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D1F23"/>
          <w:sz w:val="52"/>
        </w:rPr>
        <w:t>Pick and Chill</w:t>
      </w:r>
    </w:p>
    <w:p>
      <w:pPr>
        <w:spacing w:after="280"/>
      </w:pPr>
      <w:r>
        <w:rPr>
          <w:color w:val="5C6470"/>
          <w:sz w:val="24"/>
        </w:rPr>
        <w:t>Product Requirements Document for the Netflix recommendation badge prototype</w:t>
      </w:r>
    </w:p>
    <w:tbl>
      <w:tblPr>
        <w:tblW w:type="dxa" w:w="9360"/>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4680"/>
        <w:gridCol w:w="4680"/>
      </w:tblGrid>
      <w:tr>
        <w:trPr>
          <w:tblHeader w:val="true"/>
        </w:trPr>
        <w:tc>
          <w:tcPr>
            <w:tcW w:type="dxa" w:w="2592"/>
            <w:tcMar>
              <w:top w:w="80" w:type="dxa"/>
              <w:start w:w="120" w:type="dxa"/>
              <w:bottom w:w="80" w:type="dxa"/>
              <w:end w:w="120" w:type="dxa"/>
            </w:tcMar>
            <w:vAlign w:val="center"/>
            <w:shd w:fill="F2F4F7"/>
          </w:tcPr>
          <w:p>
            <w:r>
              <w:rPr>
                <w:b/>
                <w:color w:val="1D1F23"/>
              </w:rPr>
              <w:t>Field</w:t>
            </w:r>
          </w:p>
        </w:tc>
        <w:tc>
          <w:tcPr>
            <w:tcW w:type="dxa" w:w="6768"/>
            <w:tcMar>
              <w:top w:w="80" w:type="dxa"/>
              <w:start w:w="120" w:type="dxa"/>
              <w:bottom w:w="80" w:type="dxa"/>
              <w:end w:w="120" w:type="dxa"/>
            </w:tcMar>
            <w:vAlign w:val="center"/>
            <w:shd w:fill="F2F4F7"/>
          </w:tcPr>
          <w:p>
            <w:r>
              <w:rPr>
                <w:b/>
                <w:color w:val="1D1F23"/>
              </w:rPr>
              <w:t>Value</w:t>
            </w:r>
          </w:p>
        </w:tc>
      </w:tr>
      <w:tr>
        <w:tc>
          <w:tcPr>
            <w:tcW w:type="dxa" w:w="2592"/>
            <w:tcMar>
              <w:top w:w="80" w:type="dxa"/>
              <w:start w:w="120" w:type="dxa"/>
              <w:bottom w:w="80" w:type="dxa"/>
              <w:end w:w="120" w:type="dxa"/>
            </w:tcMar>
            <w:vAlign w:val="center"/>
          </w:tcPr>
          <w:p>
            <w:r>
              <w:t>Document status</w:t>
            </w:r>
          </w:p>
        </w:tc>
        <w:tc>
          <w:tcPr>
            <w:tcW w:type="dxa" w:w="6768"/>
            <w:tcMar>
              <w:top w:w="80" w:type="dxa"/>
              <w:start w:w="120" w:type="dxa"/>
              <w:bottom w:w="80" w:type="dxa"/>
              <w:end w:w="120" w:type="dxa"/>
            </w:tcMar>
            <w:vAlign w:val="center"/>
          </w:tcPr>
          <w:p>
            <w:r>
              <w:t>Draft for engineering review</w:t>
            </w:r>
          </w:p>
        </w:tc>
      </w:tr>
      <w:tr>
        <w:tc>
          <w:tcPr>
            <w:tcW w:type="dxa" w:w="2592"/>
            <w:tcMar>
              <w:top w:w="80" w:type="dxa"/>
              <w:start w:w="120" w:type="dxa"/>
              <w:bottom w:w="80" w:type="dxa"/>
              <w:end w:w="120" w:type="dxa"/>
            </w:tcMar>
            <w:vAlign w:val="center"/>
          </w:tcPr>
          <w:p>
            <w:r>
              <w:t>Product area</w:t>
            </w:r>
          </w:p>
        </w:tc>
        <w:tc>
          <w:tcPr>
            <w:tcW w:type="dxa" w:w="6768"/>
            <w:tcMar>
              <w:top w:w="80" w:type="dxa"/>
              <w:start w:w="120" w:type="dxa"/>
              <w:bottom w:w="80" w:type="dxa"/>
              <w:end w:w="120" w:type="dxa"/>
            </w:tcMar>
            <w:vAlign w:val="center"/>
          </w:tcPr>
          <w:p>
            <w:r>
              <w:t>Chrome extension / Netflix browse overlay</w:t>
            </w:r>
          </w:p>
        </w:tc>
      </w:tr>
      <w:tr>
        <w:tc>
          <w:tcPr>
            <w:tcW w:type="dxa" w:w="2592"/>
            <w:tcMar>
              <w:top w:w="80" w:type="dxa"/>
              <w:start w:w="120" w:type="dxa"/>
              <w:bottom w:w="80" w:type="dxa"/>
              <w:end w:w="120" w:type="dxa"/>
            </w:tcMar>
            <w:vAlign w:val="center"/>
          </w:tcPr>
          <w:p>
            <w:r>
              <w:t>Current prototype version</w:t>
            </w:r>
          </w:p>
        </w:tc>
        <w:tc>
          <w:tcPr>
            <w:tcW w:type="dxa" w:w="6768"/>
            <w:tcMar>
              <w:top w:w="80" w:type="dxa"/>
              <w:start w:w="120" w:type="dxa"/>
              <w:bottom w:w="80" w:type="dxa"/>
              <w:end w:w="120" w:type="dxa"/>
            </w:tcMar>
            <w:vAlign w:val="center"/>
          </w:tcPr>
          <w:p>
            <w:r>
              <w:t>0.1.0</w:t>
            </w:r>
          </w:p>
        </w:tc>
      </w:tr>
      <w:tr>
        <w:tc>
          <w:tcPr>
            <w:tcW w:type="dxa" w:w="2592"/>
            <w:tcMar>
              <w:top w:w="80" w:type="dxa"/>
              <w:start w:w="120" w:type="dxa"/>
              <w:bottom w:w="80" w:type="dxa"/>
              <w:end w:w="120" w:type="dxa"/>
            </w:tcMar>
            <w:vAlign w:val="center"/>
          </w:tcPr>
          <w:p>
            <w:r>
              <w:t>Primary data provider</w:t>
            </w:r>
          </w:p>
        </w:tc>
        <w:tc>
          <w:tcPr>
            <w:tcW w:type="dxa" w:w="6768"/>
            <w:tcMar>
              <w:top w:w="80" w:type="dxa"/>
              <w:start w:w="120" w:type="dxa"/>
              <w:bottom w:w="80" w:type="dxa"/>
              <w:end w:w="120" w:type="dxa"/>
            </w:tcMar>
            <w:vAlign w:val="center"/>
          </w:tcPr>
          <w:p>
            <w:r>
              <w:t>OMDb API, using IMDb and Rotten Tomatoes ratings where available</w:t>
            </w:r>
          </w:p>
        </w:tc>
      </w:tr>
      <w:tr>
        <w:tc>
          <w:tcPr>
            <w:tcW w:type="dxa" w:w="2592"/>
            <w:tcMar>
              <w:top w:w="80" w:type="dxa"/>
              <w:start w:w="120" w:type="dxa"/>
              <w:bottom w:w="80" w:type="dxa"/>
              <w:end w:w="120" w:type="dxa"/>
            </w:tcMar>
            <w:vAlign w:val="center"/>
          </w:tcPr>
          <w:p>
            <w:r>
              <w:t>Prepared from</w:t>
            </w:r>
          </w:p>
        </w:tc>
        <w:tc>
          <w:tcPr>
            <w:tcW w:type="dxa" w:w="6768"/>
            <w:tcMar>
              <w:top w:w="80" w:type="dxa"/>
              <w:start w:w="120" w:type="dxa"/>
              <w:bottom w:w="80" w:type="dxa"/>
              <w:end w:w="120" w:type="dxa"/>
            </w:tcMar>
            <w:vAlign w:val="center"/>
          </w:tcPr>
          <w:p>
            <w:r>
              <w:t>Local prototype source files and tests in this workspace</w:t>
            </w:r>
          </w:p>
        </w:tc>
      </w:tr>
    </w:tbl>
    <w:p>
      <w:pPr>
        <w:pStyle w:val="Heading1"/>
      </w:pPr>
      <w:r>
        <w:t>1. Executive Summary</w:t>
      </w:r>
    </w:p>
    <w:p>
      <w:r>
        <w:t>Pick and Chill is a Chrome Manifest V3 extension that helps Netflix users decide what to watch by overlaying compact recommendation badges on visible browse tiles. The badge uses a normalized score derived from IMDb and Rotten Tomatoes ratings returned by OMDb. The prototype already demonstrates the core loop: detect Netflix tiles, extract a title/year, request a background lookup, cache successful results, and render a score badge with source details.</w:t>
      </w:r>
    </w:p>
    <w:tbl>
      <w:tblPr>
        <w:tblW w:type="dxa" w:w="9360"/>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9360"/>
      </w:tblGrid>
      <w:tr>
        <w:tc>
          <w:tcPr>
            <w:tcW w:type="dxa" w:w="9360"/>
            <w:shd w:fill="F4F6F9"/>
            <w:tcMar>
              <w:top w:w="80" w:type="dxa"/>
              <w:start w:w="120" w:type="dxa"/>
              <w:bottom w:w="80" w:type="dxa"/>
              <w:end w:w="120" w:type="dxa"/>
            </w:tcMar>
            <w:vAlign w:val="center"/>
          </w:tcPr>
          <w:p>
            <w:r>
              <w:rPr>
                <w:b/>
                <w:color w:val="1F4D78"/>
              </w:rPr>
              <w:t>Recommendation:</w:t>
            </w:r>
            <w:r>
              <w:t xml:space="preserve"> Use this prototype as the product and technical baseline for an MVP, but harden title matching, quota handling, privacy posture, observability, and Netflix DOM compatibility before broad release.</w:t>
            </w:r>
          </w:p>
        </w:tc>
      </w:tr>
    </w:tbl>
    <w:p/>
    <w:p>
      <w:pPr>
        <w:pStyle w:val="Heading1"/>
      </w:pPr>
      <w:r>
        <w:t>2. Goals and Non-Goals</w:t>
      </w:r>
    </w:p>
    <w:tbl>
      <w:tblPr>
        <w:tblW w:type="dxa" w:w="9360"/>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4680"/>
        <w:gridCol w:w="4680"/>
      </w:tblGrid>
      <w:tr>
        <w:trPr>
          <w:tblHeader w:val="true"/>
        </w:trPr>
        <w:tc>
          <w:tcPr>
            <w:tcW w:type="dxa" w:w="4680"/>
            <w:tcMar>
              <w:top w:w="80" w:type="dxa"/>
              <w:start w:w="120" w:type="dxa"/>
              <w:bottom w:w="80" w:type="dxa"/>
              <w:end w:w="120" w:type="dxa"/>
            </w:tcMar>
            <w:vAlign w:val="center"/>
            <w:shd w:fill="F2F4F7"/>
          </w:tcPr>
          <w:p>
            <w:r>
              <w:rPr>
                <w:b/>
                <w:color w:val="1D1F23"/>
              </w:rPr>
              <w:t>Goals</w:t>
            </w:r>
          </w:p>
        </w:tc>
        <w:tc>
          <w:tcPr>
            <w:tcW w:type="dxa" w:w="4680"/>
            <w:tcMar>
              <w:top w:w="80" w:type="dxa"/>
              <w:start w:w="120" w:type="dxa"/>
              <w:bottom w:w="80" w:type="dxa"/>
              <w:end w:w="120" w:type="dxa"/>
            </w:tcMar>
            <w:vAlign w:val="center"/>
            <w:shd w:fill="F2F4F7"/>
          </w:tcPr>
          <w:p>
            <w:r>
              <w:rPr>
                <w:b/>
                <w:color w:val="1D1F23"/>
              </w:rPr>
              <w:t>Non-Goals</w:t>
            </w:r>
          </w:p>
        </w:tc>
      </w:tr>
      <w:tr>
        <w:tc>
          <w:tcPr>
            <w:tcW w:type="dxa" w:w="4680"/>
            <w:tcMar>
              <w:top w:w="80" w:type="dxa"/>
              <w:start w:w="120" w:type="dxa"/>
              <w:bottom w:w="80" w:type="dxa"/>
              <w:end w:w="120" w:type="dxa"/>
            </w:tcMar>
            <w:vAlign w:val="center"/>
          </w:tcPr>
          <w:p>
            <w:r>
              <w:t>Show trustworthy, low-friction recommendation signals directly on Netflix browse tiles.</w:t>
            </w:r>
          </w:p>
        </w:tc>
        <w:tc>
          <w:tcPr>
            <w:tcW w:type="dxa" w:w="4680"/>
            <w:tcMar>
              <w:top w:w="80" w:type="dxa"/>
              <w:start w:w="120" w:type="dxa"/>
              <w:bottom w:w="80" w:type="dxa"/>
              <w:end w:w="120" w:type="dxa"/>
            </w:tcMar>
            <w:vAlign w:val="center"/>
          </w:tcPr>
          <w:p>
            <w:r>
              <w:t>Build a standalone streaming catalog, search engine, or watchlist product.</w:t>
            </w:r>
          </w:p>
        </w:tc>
      </w:tr>
      <w:tr>
        <w:tc>
          <w:tcPr>
            <w:tcW w:type="dxa" w:w="4680"/>
            <w:tcMar>
              <w:top w:w="80" w:type="dxa"/>
              <w:start w:w="120" w:type="dxa"/>
              <w:bottom w:w="80" w:type="dxa"/>
              <w:end w:w="120" w:type="dxa"/>
            </w:tcMar>
            <w:vAlign w:val="center"/>
          </w:tcPr>
          <w:p>
            <w:r>
              <w:t>Keep Netflix browsing responsive by scanning only visible tiles and caching successful lookups.</w:t>
            </w:r>
          </w:p>
        </w:tc>
        <w:tc>
          <w:tcPr>
            <w:tcW w:type="dxa" w:w="4680"/>
            <w:tcMar>
              <w:top w:w="80" w:type="dxa"/>
              <w:start w:w="120" w:type="dxa"/>
              <w:bottom w:w="80" w:type="dxa"/>
              <w:end w:w="120" w:type="dxa"/>
            </w:tcMar>
            <w:vAlign w:val="center"/>
          </w:tcPr>
          <w:p>
            <w:r>
              <w:t>Scrape Netflix metadata beyond what is visible in the browser DOM.</w:t>
            </w:r>
          </w:p>
        </w:tc>
      </w:tr>
      <w:tr>
        <w:tc>
          <w:tcPr>
            <w:tcW w:type="dxa" w:w="4680"/>
            <w:tcMar>
              <w:top w:w="80" w:type="dxa"/>
              <w:start w:w="120" w:type="dxa"/>
              <w:bottom w:w="80" w:type="dxa"/>
              <w:end w:w="120" w:type="dxa"/>
            </w:tcMar>
            <w:vAlign w:val="center"/>
          </w:tcPr>
          <w:p>
            <w:r>
              <w:t>Allow each user to bring their own OMDb API key through an options page.</w:t>
            </w:r>
          </w:p>
        </w:tc>
        <w:tc>
          <w:tcPr>
            <w:tcW w:type="dxa" w:w="4680"/>
            <w:tcMar>
              <w:top w:w="80" w:type="dxa"/>
              <w:start w:w="120" w:type="dxa"/>
              <w:bottom w:w="80" w:type="dxa"/>
              <w:end w:w="120" w:type="dxa"/>
            </w:tcMar>
            <w:vAlign w:val="center"/>
          </w:tcPr>
          <w:p>
            <w:r>
              <w:t>Proxy or resell OMDb data through a company backend in the MVP unless product strategy changes.</w:t>
            </w:r>
          </w:p>
        </w:tc>
      </w:tr>
      <w:tr>
        <w:tc>
          <w:tcPr>
            <w:tcW w:type="dxa" w:w="4680"/>
            <w:tcMar>
              <w:top w:w="80" w:type="dxa"/>
              <w:start w:w="120" w:type="dxa"/>
              <w:bottom w:w="80" w:type="dxa"/>
              <w:end w:w="120" w:type="dxa"/>
            </w:tcMar>
            <w:vAlign w:val="center"/>
          </w:tcPr>
          <w:p>
            <w:r>
              <w:t>Provide quiet failure behavior for regular users and explicit debug visibility for QA.</w:t>
            </w:r>
          </w:p>
        </w:tc>
        <w:tc>
          <w:tcPr>
            <w:tcW w:type="dxa" w:w="4680"/>
            <w:tcMar>
              <w:top w:w="80" w:type="dxa"/>
              <w:start w:w="120" w:type="dxa"/>
              <w:bottom w:w="80" w:type="dxa"/>
              <w:end w:w="120" w:type="dxa"/>
            </w:tcMar>
            <w:vAlign w:val="center"/>
          </w:tcPr>
          <w:p>
            <w:r>
              <w:t>Guarantee perfect title matching for all localized, alternate, or franchise titles in the first release.</w:t>
            </w:r>
          </w:p>
        </w:tc>
      </w:tr>
    </w:tbl>
    <w:p>
      <w:pPr>
        <w:pStyle w:val="Heading1"/>
      </w:pPr>
      <w:r>
        <w:t>3. Users and Use Cases</w:t>
      </w:r>
    </w:p>
    <w:tbl>
      <w:tblPr>
        <w:tblW w:type="dxa" w:w="9360"/>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r>
              <w:rPr>
                <w:b/>
                <w:color w:val="1D1F23"/>
              </w:rPr>
              <w:t>User</w:t>
            </w:r>
          </w:p>
        </w:tc>
        <w:tc>
          <w:tcPr>
            <w:tcW w:type="dxa" w:w="3960"/>
            <w:tcMar>
              <w:top w:w="80" w:type="dxa"/>
              <w:start w:w="120" w:type="dxa"/>
              <w:bottom w:w="80" w:type="dxa"/>
              <w:end w:w="120" w:type="dxa"/>
            </w:tcMar>
            <w:vAlign w:val="center"/>
            <w:shd w:fill="F2F4F7"/>
          </w:tcPr>
          <w:p>
            <w:r>
              <w:rPr>
                <w:b/>
                <w:color w:val="1D1F23"/>
              </w:rPr>
              <w:t>Need</w:t>
            </w:r>
          </w:p>
        </w:tc>
        <w:tc>
          <w:tcPr>
            <w:tcW w:type="dxa" w:w="3456"/>
            <w:tcMar>
              <w:top w:w="80" w:type="dxa"/>
              <w:start w:w="120" w:type="dxa"/>
              <w:bottom w:w="80" w:type="dxa"/>
              <w:end w:w="120" w:type="dxa"/>
            </w:tcMar>
            <w:vAlign w:val="center"/>
            <w:shd w:fill="F2F4F7"/>
          </w:tcPr>
          <w:p>
            <w:r>
              <w:rPr>
                <w:b/>
                <w:color w:val="1D1F23"/>
              </w:rPr>
              <w:t>Success Signal</w:t>
            </w:r>
          </w:p>
        </w:tc>
      </w:tr>
      <w:tr>
        <w:tc>
          <w:tcPr>
            <w:tcW w:type="dxa" w:w="1944"/>
            <w:tcMar>
              <w:top w:w="80" w:type="dxa"/>
              <w:start w:w="120" w:type="dxa"/>
              <w:bottom w:w="80" w:type="dxa"/>
              <w:end w:w="120" w:type="dxa"/>
            </w:tcMar>
            <w:vAlign w:val="center"/>
          </w:tcPr>
          <w:p>
            <w:r>
              <w:t>Netflix viewer</w:t>
            </w:r>
          </w:p>
        </w:tc>
        <w:tc>
          <w:tcPr>
            <w:tcW w:type="dxa" w:w="3960"/>
            <w:tcMar>
              <w:top w:w="80" w:type="dxa"/>
              <w:start w:w="120" w:type="dxa"/>
              <w:bottom w:w="80" w:type="dxa"/>
              <w:end w:w="120" w:type="dxa"/>
            </w:tcMar>
            <w:vAlign w:val="center"/>
          </w:tcPr>
          <w:p>
            <w:r>
              <w:t>Quickly identify high-quality titles while browsing rows.</w:t>
            </w:r>
          </w:p>
        </w:tc>
        <w:tc>
          <w:tcPr>
            <w:tcW w:type="dxa" w:w="3456"/>
            <w:tcMar>
              <w:top w:w="80" w:type="dxa"/>
              <w:start w:w="120" w:type="dxa"/>
              <w:bottom w:w="80" w:type="dxa"/>
              <w:end w:w="120" w:type="dxa"/>
            </w:tcMar>
            <w:vAlign w:val="center"/>
          </w:tcPr>
          <w:p>
            <w:r>
              <w:t>Sees a badge on supported visible tiles without leaving Netflix.</w:t>
            </w:r>
          </w:p>
        </w:tc>
      </w:tr>
      <w:tr>
        <w:tc>
          <w:tcPr>
            <w:tcW w:type="dxa" w:w="1944"/>
            <w:tcMar>
              <w:top w:w="80" w:type="dxa"/>
              <w:start w:w="120" w:type="dxa"/>
              <w:bottom w:w="80" w:type="dxa"/>
              <w:end w:w="120" w:type="dxa"/>
            </w:tcMar>
            <w:vAlign w:val="center"/>
          </w:tcPr>
          <w:p>
            <w:r>
              <w:t>Power user</w:t>
            </w:r>
          </w:p>
        </w:tc>
        <w:tc>
          <w:tcPr>
            <w:tcW w:type="dxa" w:w="3960"/>
            <w:tcMar>
              <w:top w:w="80" w:type="dxa"/>
              <w:start w:w="120" w:type="dxa"/>
              <w:bottom w:w="80" w:type="dxa"/>
              <w:end w:w="120" w:type="dxa"/>
            </w:tcMar>
            <w:vAlign w:val="center"/>
          </w:tcPr>
          <w:p>
            <w:r>
              <w:t>Understand why a badge exists.</w:t>
            </w:r>
          </w:p>
        </w:tc>
        <w:tc>
          <w:tcPr>
            <w:tcW w:type="dxa" w:w="3456"/>
            <w:tcMar>
              <w:top w:w="80" w:type="dxa"/>
              <w:start w:w="120" w:type="dxa"/>
              <w:bottom w:w="80" w:type="dxa"/>
              <w:end w:w="120" w:type="dxa"/>
            </w:tcMar>
            <w:vAlign w:val="center"/>
          </w:tcPr>
          <w:p>
            <w:r>
              <w:t>Can hover or focus a badge to see IMDb and Rotten Tomatoes source values.</w:t>
            </w:r>
          </w:p>
        </w:tc>
      </w:tr>
      <w:tr>
        <w:tc>
          <w:tcPr>
            <w:tcW w:type="dxa" w:w="1944"/>
            <w:tcMar>
              <w:top w:w="80" w:type="dxa"/>
              <w:start w:w="120" w:type="dxa"/>
              <w:bottom w:w="80" w:type="dxa"/>
              <w:end w:w="120" w:type="dxa"/>
            </w:tcMar>
            <w:vAlign w:val="center"/>
          </w:tcPr>
          <w:p>
            <w:r>
              <w:t>QA / support</w:t>
            </w:r>
          </w:p>
        </w:tc>
        <w:tc>
          <w:tcPr>
            <w:tcW w:type="dxa" w:w="3960"/>
            <w:tcMar>
              <w:top w:w="80" w:type="dxa"/>
              <w:start w:w="120" w:type="dxa"/>
              <w:bottom w:w="80" w:type="dxa"/>
              <w:end w:w="120" w:type="dxa"/>
            </w:tcMar>
            <w:vAlign w:val="center"/>
          </w:tcPr>
          <w:p>
            <w:r>
              <w:t>Diagnose missing matches.</w:t>
            </w:r>
          </w:p>
        </w:tc>
        <w:tc>
          <w:tcPr>
            <w:tcW w:type="dxa" w:w="3456"/>
            <w:tcMar>
              <w:top w:w="80" w:type="dxa"/>
              <w:start w:w="120" w:type="dxa"/>
              <w:bottom w:w="80" w:type="dxa"/>
              <w:end w:w="120" w:type="dxa"/>
            </w:tcMar>
            <w:vAlign w:val="center"/>
          </w:tcPr>
          <w:p>
            <w:r>
              <w:t>Can enable debug mode and see unmatched titles marked with a question badge.</w:t>
            </w:r>
          </w:p>
        </w:tc>
      </w:tr>
      <w:tr>
        <w:tc>
          <w:tcPr>
            <w:tcW w:type="dxa" w:w="1944"/>
            <w:tcMar>
              <w:top w:w="80" w:type="dxa"/>
              <w:start w:w="120" w:type="dxa"/>
              <w:bottom w:w="80" w:type="dxa"/>
              <w:end w:w="120" w:type="dxa"/>
            </w:tcMar>
            <w:vAlign w:val="center"/>
          </w:tcPr>
          <w:p>
            <w:r>
              <w:t>Engineering team</w:t>
            </w:r>
          </w:p>
        </w:tc>
        <w:tc>
          <w:tcPr>
            <w:tcW w:type="dxa" w:w="3960"/>
            <w:tcMar>
              <w:top w:w="80" w:type="dxa"/>
              <w:start w:w="120" w:type="dxa"/>
              <w:bottom w:w="80" w:type="dxa"/>
              <w:end w:w="120" w:type="dxa"/>
            </w:tcMar>
            <w:vAlign w:val="center"/>
          </w:tcPr>
          <w:p>
            <w:r>
              <w:t>Ship safely despite Netflix DOM churn and OMDb limits.</w:t>
            </w:r>
          </w:p>
        </w:tc>
        <w:tc>
          <w:tcPr>
            <w:tcW w:type="dxa" w:w="3456"/>
            <w:tcMar>
              <w:top w:w="80" w:type="dxa"/>
              <w:start w:w="120" w:type="dxa"/>
              <w:bottom w:w="80" w:type="dxa"/>
              <w:end w:w="120" w:type="dxa"/>
            </w:tcMar>
            <w:vAlign w:val="center"/>
          </w:tcPr>
          <w:p>
            <w:r>
              <w:t>Has measurable requirements for scan scope, cache behavior, and failure states.</w:t>
            </w:r>
          </w:p>
        </w:tc>
      </w:tr>
    </w:tbl>
    <w:p>
      <w:pPr>
        <w:pStyle w:val="Heading1"/>
      </w:pPr>
      <w:r>
        <w:t>4. Current Prototype Behavior</w:t>
      </w:r>
    </w:p>
    <w:p>
      <w:pPr>
        <w:pStyle w:val="ListBullet"/>
      </w:pPr>
      <w:r>
        <w:t>Runs as a Chrome Manifest V3 extension named Pick and Chill.</w:t>
      </w:r>
    </w:p>
    <w:p>
      <w:pPr>
        <w:pStyle w:val="ListBullet"/>
      </w:pPr>
      <w:r>
        <w:t>Injects a content script and badge stylesheet on https://www.netflix.com/* at document idle.</w:t>
      </w:r>
    </w:p>
    <w:p>
      <w:pPr>
        <w:pStyle w:val="ListBullet"/>
      </w:pPr>
      <w:r>
        <w:t>Finds candidate Netflix browse tiles using common selectors such as slider-item, title-card, data-uia title-card, boxart-container, and img[alt].</w:t>
      </w:r>
    </w:p>
    <w:p>
      <w:pPr>
        <w:pStyle w:val="ListBullet"/>
      </w:pPr>
      <w:r>
        <w:t>Skips preview overlays, bob cards, jawbone views, action controls, and unsupported Netflix surfaces.</w:t>
      </w:r>
    </w:p>
    <w:p>
      <w:pPr>
        <w:pStyle w:val="ListBullet"/>
      </w:pPr>
      <w:r>
        <w:t>Processes only visible tiles and marks each processed tile with a data attribute to avoid duplicate lookups.</w:t>
      </w:r>
    </w:p>
    <w:p>
      <w:pPr>
        <w:pStyle w:val="ListBullet"/>
      </w:pPr>
      <w:r>
        <w:t>Sends title/year metadata to the service worker through a ratings-and-chill:lookup runtime message.</w:t>
      </w:r>
    </w:p>
    <w:p>
      <w:pPr>
        <w:pStyle w:val="ListBullet"/>
      </w:pPr>
      <w:r>
        <w:t>Uses chrome.storage.local for OMDb API key, debug mode, and a successful lookup cache.</w:t>
      </w:r>
    </w:p>
    <w:p>
      <w:pPr>
        <w:pStyle w:val="ListBullet"/>
      </w:pPr>
      <w:r>
        <w:t>Queues uncached OMDb requests with a 250 ms delay to reduce request bursts.</w:t>
      </w:r>
    </w:p>
    <w:p>
      <w:pPr>
        <w:pStyle w:val="ListBullet"/>
      </w:pPr>
      <w:r>
        <w:t>Caches successful lookups for seven days with a lookup-v2 cache namespace.</w:t>
      </w:r>
    </w:p>
    <w:p>
      <w:pPr>
        <w:pStyle w:val="Heading1"/>
      </w:pPr>
      <w:r>
        <w:t>5. Functional Requirements</w:t>
      </w:r>
    </w:p>
    <w:tbl>
      <w:tblPr>
        <w:tblW w:type="dxa" w:w="9359"/>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120"/>
        <w:gridCol w:w="3120"/>
        <w:gridCol w:w="3120"/>
      </w:tblGrid>
      <w:tr>
        <w:trPr>
          <w:tblHeader w:val="true"/>
        </w:trPr>
        <w:tc>
          <w:tcPr>
            <w:tcW w:type="dxa" w:w="893"/>
            <w:tcMar>
              <w:top w:w="80" w:type="dxa"/>
              <w:start w:w="120" w:type="dxa"/>
              <w:bottom w:w="80" w:type="dxa"/>
              <w:end w:w="120" w:type="dxa"/>
            </w:tcMar>
            <w:vAlign w:val="center"/>
            <w:shd w:fill="F2F4F7"/>
          </w:tcPr>
          <w:p>
            <w:r>
              <w:rPr>
                <w:b/>
                <w:color w:val="1D1F23"/>
              </w:rPr>
              <w:t>ID</w:t>
            </w:r>
          </w:p>
        </w:tc>
        <w:tc>
          <w:tcPr>
            <w:tcW w:type="dxa" w:w="3384"/>
            <w:tcMar>
              <w:top w:w="80" w:type="dxa"/>
              <w:start w:w="120" w:type="dxa"/>
              <w:bottom w:w="80" w:type="dxa"/>
              <w:end w:w="120" w:type="dxa"/>
            </w:tcMar>
            <w:vAlign w:val="center"/>
            <w:shd w:fill="F2F4F7"/>
          </w:tcPr>
          <w:p>
            <w:r>
              <w:rPr>
                <w:b/>
                <w:color w:val="1D1F23"/>
              </w:rPr>
              <w:t>Requirement</w:t>
            </w:r>
          </w:p>
        </w:tc>
        <w:tc>
          <w:tcPr>
            <w:tcW w:type="dxa" w:w="5083"/>
            <w:tcMar>
              <w:top w:w="80" w:type="dxa"/>
              <w:start w:w="120" w:type="dxa"/>
              <w:bottom w:w="80" w:type="dxa"/>
              <w:end w:w="120" w:type="dxa"/>
            </w:tcMar>
            <w:vAlign w:val="center"/>
            <w:shd w:fill="F2F4F7"/>
          </w:tcPr>
          <w:p>
            <w:r>
              <w:rPr>
                <w:b/>
                <w:color w:val="1D1F23"/>
              </w:rPr>
              <w:t>Acceptance Criteria</w:t>
            </w:r>
          </w:p>
        </w:tc>
      </w:tr>
      <w:tr>
        <w:tc>
          <w:tcPr>
            <w:tcW w:type="dxa" w:w="893"/>
            <w:tcMar>
              <w:top w:w="80" w:type="dxa"/>
              <w:start w:w="120" w:type="dxa"/>
              <w:bottom w:w="80" w:type="dxa"/>
              <w:end w:w="120" w:type="dxa"/>
            </w:tcMar>
            <w:vAlign w:val="center"/>
          </w:tcPr>
          <w:p>
            <w:r>
              <w:t>FR-1</w:t>
            </w:r>
          </w:p>
        </w:tc>
        <w:tc>
          <w:tcPr>
            <w:tcW w:type="dxa" w:w="3384"/>
            <w:tcMar>
              <w:top w:w="80" w:type="dxa"/>
              <w:start w:w="120" w:type="dxa"/>
              <w:bottom w:w="80" w:type="dxa"/>
              <w:end w:w="120" w:type="dxa"/>
            </w:tcMar>
            <w:vAlign w:val="center"/>
          </w:tcPr>
          <w:p>
            <w:r>
              <w:t>Detect supported Netflix browse tiles.</w:t>
            </w:r>
          </w:p>
        </w:tc>
        <w:tc>
          <w:tcPr>
            <w:tcW w:type="dxa" w:w="5083"/>
            <w:tcMar>
              <w:top w:w="80" w:type="dxa"/>
              <w:start w:w="120" w:type="dxa"/>
              <w:bottom w:w="80" w:type="dxa"/>
              <w:end w:w="120" w:type="dxa"/>
            </w:tcMar>
            <w:vAlign w:val="center"/>
          </w:tcPr>
          <w:p>
            <w:r>
              <w:t>The extension scans Netflix browse rows and identifies visible title tiles without selecting broad watch/title links or preview controls.</w:t>
            </w:r>
          </w:p>
        </w:tc>
      </w:tr>
      <w:tr>
        <w:tc>
          <w:tcPr>
            <w:tcW w:type="dxa" w:w="893"/>
            <w:tcMar>
              <w:top w:w="80" w:type="dxa"/>
              <w:start w:w="120" w:type="dxa"/>
              <w:bottom w:w="80" w:type="dxa"/>
              <w:end w:w="120" w:type="dxa"/>
            </w:tcMar>
            <w:vAlign w:val="center"/>
          </w:tcPr>
          <w:p>
            <w:r>
              <w:t>FR-2</w:t>
            </w:r>
          </w:p>
        </w:tc>
        <w:tc>
          <w:tcPr>
            <w:tcW w:type="dxa" w:w="3384"/>
            <w:tcMar>
              <w:top w:w="80" w:type="dxa"/>
              <w:start w:w="120" w:type="dxa"/>
              <w:bottom w:w="80" w:type="dxa"/>
              <w:end w:w="120" w:type="dxa"/>
            </w:tcMar>
            <w:vAlign w:val="center"/>
          </w:tcPr>
          <w:p>
            <w:r>
              <w:t>Extract title metadata.</w:t>
            </w:r>
          </w:p>
        </w:tc>
        <w:tc>
          <w:tcPr>
            <w:tcW w:type="dxa" w:w="5083"/>
            <w:tcMar>
              <w:top w:w="80" w:type="dxa"/>
              <w:start w:w="120" w:type="dxa"/>
              <w:bottom w:w="80" w:type="dxa"/>
              <w:end w:w="120" w:type="dxa"/>
            </w:tcMar>
            <w:vAlign w:val="center"/>
          </w:tcPr>
          <w:p>
            <w:r>
              <w:t>For each supported tile, the extension derives a title from aria-label, title, data-title, image alt text, fallback text, link text, or cleaned tile text. Years are extracted from 19xx/20xx values when present.</w:t>
            </w:r>
          </w:p>
        </w:tc>
      </w:tr>
      <w:tr>
        <w:tc>
          <w:tcPr>
            <w:tcW w:type="dxa" w:w="893"/>
            <w:tcMar>
              <w:top w:w="80" w:type="dxa"/>
              <w:start w:w="120" w:type="dxa"/>
              <w:bottom w:w="80" w:type="dxa"/>
              <w:end w:w="120" w:type="dxa"/>
            </w:tcMar>
            <w:vAlign w:val="center"/>
          </w:tcPr>
          <w:p>
            <w:r>
              <w:t>FR-3</w:t>
            </w:r>
          </w:p>
        </w:tc>
        <w:tc>
          <w:tcPr>
            <w:tcW w:type="dxa" w:w="3384"/>
            <w:tcMar>
              <w:top w:w="80" w:type="dxa"/>
              <w:start w:w="120" w:type="dxa"/>
              <w:bottom w:w="80" w:type="dxa"/>
              <w:end w:w="120" w:type="dxa"/>
            </w:tcMar>
            <w:vAlign w:val="center"/>
          </w:tcPr>
          <w:p>
            <w:r>
              <w:t>Request rating lookup.</w:t>
            </w:r>
          </w:p>
        </w:tc>
        <w:tc>
          <w:tcPr>
            <w:tcW w:type="dxa" w:w="5083"/>
            <w:tcMar>
              <w:top w:w="80" w:type="dxa"/>
              <w:start w:w="120" w:type="dxa"/>
              <w:bottom w:w="80" w:type="dxa"/>
              <w:end w:w="120" w:type="dxa"/>
            </w:tcMar>
            <w:vAlign w:val="center"/>
          </w:tcPr>
          <w:p>
            <w:r>
              <w:t>The content script sends a runtime message with type ratings-and-chill:lookup and payload {title, year}.</w:t>
            </w:r>
          </w:p>
        </w:tc>
      </w:tr>
      <w:tr>
        <w:tc>
          <w:tcPr>
            <w:tcW w:type="dxa" w:w="893"/>
            <w:tcMar>
              <w:top w:w="80" w:type="dxa"/>
              <w:start w:w="120" w:type="dxa"/>
              <w:bottom w:w="80" w:type="dxa"/>
              <w:end w:w="120" w:type="dxa"/>
            </w:tcMar>
            <w:vAlign w:val="center"/>
          </w:tcPr>
          <w:p>
            <w:r>
              <w:t>FR-4</w:t>
            </w:r>
          </w:p>
        </w:tc>
        <w:tc>
          <w:tcPr>
            <w:tcW w:type="dxa" w:w="3384"/>
            <w:tcMar>
              <w:top w:w="80" w:type="dxa"/>
              <w:start w:w="120" w:type="dxa"/>
              <w:bottom w:w="80" w:type="dxa"/>
              <w:end w:w="120" w:type="dxa"/>
            </w:tcMar>
            <w:vAlign w:val="center"/>
          </w:tcPr>
          <w:p>
            <w:r>
              <w:t>Require user OMDb key.</w:t>
            </w:r>
          </w:p>
        </w:tc>
        <w:tc>
          <w:tcPr>
            <w:tcW w:type="dxa" w:w="5083"/>
            <w:tcMar>
              <w:top w:w="80" w:type="dxa"/>
              <w:start w:w="120" w:type="dxa"/>
              <w:bottom w:w="80" w:type="dxa"/>
              <w:end w:w="120" w:type="dxa"/>
            </w:tcMar>
            <w:vAlign w:val="center"/>
          </w:tcPr>
          <w:p>
            <w:r>
              <w:t>If no API key is saved, the lookup returns a quiet missing-api-key failure and no regular badge is shown.</w:t>
            </w:r>
          </w:p>
        </w:tc>
      </w:tr>
      <w:tr>
        <w:tc>
          <w:tcPr>
            <w:tcW w:type="dxa" w:w="893"/>
            <w:tcMar>
              <w:top w:w="80" w:type="dxa"/>
              <w:start w:w="120" w:type="dxa"/>
              <w:bottom w:w="80" w:type="dxa"/>
              <w:end w:w="120" w:type="dxa"/>
            </w:tcMar>
            <w:vAlign w:val="center"/>
          </w:tcPr>
          <w:p>
            <w:r>
              <w:t>FR-5</w:t>
            </w:r>
          </w:p>
        </w:tc>
        <w:tc>
          <w:tcPr>
            <w:tcW w:type="dxa" w:w="3384"/>
            <w:tcMar>
              <w:top w:w="80" w:type="dxa"/>
              <w:start w:w="120" w:type="dxa"/>
              <w:bottom w:w="80" w:type="dxa"/>
              <w:end w:w="120" w:type="dxa"/>
            </w:tcMar>
            <w:vAlign w:val="center"/>
          </w:tcPr>
          <w:p>
            <w:r>
              <w:t>Fetch OMDb result.</w:t>
            </w:r>
          </w:p>
        </w:tc>
        <w:tc>
          <w:tcPr>
            <w:tcW w:type="dxa" w:w="5083"/>
            <w:tcMar>
              <w:top w:w="80" w:type="dxa"/>
              <w:start w:w="120" w:type="dxa"/>
              <w:bottom w:w="80" w:type="dxa"/>
              <w:end w:w="120" w:type="dxa"/>
            </w:tcMar>
            <w:vAlign w:val="center"/>
          </w:tcPr>
          <w:p>
            <w:r>
              <w:t>The service worker first tries exact title lookup. If that fails, it searches by title, selects the best match, and fetches details by IMDb ID.</w:t>
            </w:r>
          </w:p>
        </w:tc>
      </w:tr>
      <w:tr>
        <w:tc>
          <w:tcPr>
            <w:tcW w:type="dxa" w:w="893"/>
            <w:tcMar>
              <w:top w:w="80" w:type="dxa"/>
              <w:start w:w="120" w:type="dxa"/>
              <w:bottom w:w="80" w:type="dxa"/>
              <w:end w:w="120" w:type="dxa"/>
            </w:tcMar>
            <w:vAlign w:val="center"/>
          </w:tcPr>
          <w:p>
            <w:r>
              <w:t>FR-6</w:t>
            </w:r>
          </w:p>
        </w:tc>
        <w:tc>
          <w:tcPr>
            <w:tcW w:type="dxa" w:w="3384"/>
            <w:tcMar>
              <w:top w:w="80" w:type="dxa"/>
              <w:start w:w="120" w:type="dxa"/>
              <w:bottom w:w="80" w:type="dxa"/>
              <w:end w:w="120" w:type="dxa"/>
            </w:tcMar>
            <w:vAlign w:val="center"/>
          </w:tcPr>
          <w:p>
            <w:r>
              <w:t>Calculate recommendation.</w:t>
            </w:r>
          </w:p>
        </w:tc>
        <w:tc>
          <w:tcPr>
            <w:tcW w:type="dxa" w:w="5083"/>
            <w:tcMar>
              <w:top w:w="80" w:type="dxa"/>
              <w:start w:w="120" w:type="dxa"/>
              <w:bottom w:w="80" w:type="dxa"/>
              <w:end w:w="120" w:type="dxa"/>
            </w:tcMar>
            <w:vAlign w:val="center"/>
          </w:tcPr>
          <w:p>
            <w:r>
              <w:t>IMDb is converted from 0-10 to 0-100, Rotten Tomatoes is parsed as a percent, and the score is the rounded average of available valid sources.</w:t>
            </w:r>
          </w:p>
        </w:tc>
      </w:tr>
      <w:tr>
        <w:tc>
          <w:tcPr>
            <w:tcW w:type="dxa" w:w="893"/>
            <w:tcMar>
              <w:top w:w="80" w:type="dxa"/>
              <w:start w:w="120" w:type="dxa"/>
              <w:bottom w:w="80" w:type="dxa"/>
              <w:end w:w="120" w:type="dxa"/>
            </w:tcMar>
            <w:vAlign w:val="center"/>
          </w:tcPr>
          <w:p>
            <w:r>
              <w:t>FR-7</w:t>
            </w:r>
          </w:p>
        </w:tc>
        <w:tc>
          <w:tcPr>
            <w:tcW w:type="dxa" w:w="3384"/>
            <w:tcMar>
              <w:top w:w="80" w:type="dxa"/>
              <w:start w:w="120" w:type="dxa"/>
              <w:bottom w:w="80" w:type="dxa"/>
              <w:end w:w="120" w:type="dxa"/>
            </w:tcMar>
            <w:vAlign w:val="center"/>
          </w:tcPr>
          <w:p>
            <w:r>
              <w:t>Render badge states.</w:t>
            </w:r>
          </w:p>
        </w:tc>
        <w:tc>
          <w:tcPr>
            <w:tcW w:type="dxa" w:w="5083"/>
            <w:tcMar>
              <w:top w:w="80" w:type="dxa"/>
              <w:start w:w="120" w:type="dxa"/>
              <w:bottom w:w="80" w:type="dxa"/>
              <w:end w:w="120" w:type="dxa"/>
            </w:tcMar>
            <w:vAlign w:val="center"/>
          </w:tcPr>
          <w:p>
            <w:r>
              <w:t>Successful results show score plus label; loading shows ellipsis; debug-only misses show question mark; regular failures remove the badge.</w:t>
            </w:r>
          </w:p>
        </w:tc>
      </w:tr>
      <w:tr>
        <w:tc>
          <w:tcPr>
            <w:tcW w:type="dxa" w:w="893"/>
            <w:tcMar>
              <w:top w:w="80" w:type="dxa"/>
              <w:start w:w="120" w:type="dxa"/>
              <w:bottom w:w="80" w:type="dxa"/>
              <w:end w:w="120" w:type="dxa"/>
            </w:tcMar>
            <w:vAlign w:val="center"/>
          </w:tcPr>
          <w:p>
            <w:r>
              <w:t>FR-8</w:t>
            </w:r>
          </w:p>
        </w:tc>
        <w:tc>
          <w:tcPr>
            <w:tcW w:type="dxa" w:w="3384"/>
            <w:tcMar>
              <w:top w:w="80" w:type="dxa"/>
              <w:start w:w="120" w:type="dxa"/>
              <w:bottom w:w="80" w:type="dxa"/>
              <w:end w:w="120" w:type="dxa"/>
            </w:tcMar>
            <w:vAlign w:val="center"/>
          </w:tcPr>
          <w:p>
            <w:r>
              <w:t>Show source detail.</w:t>
            </w:r>
          </w:p>
        </w:tc>
        <w:tc>
          <w:tcPr>
            <w:tcW w:type="dxa" w:w="5083"/>
            <w:tcMar>
              <w:top w:w="80" w:type="dxa"/>
              <w:start w:w="120" w:type="dxa"/>
              <w:bottom w:w="80" w:type="dxa"/>
              <w:end w:w="120" w:type="dxa"/>
            </w:tcMar>
            <w:vAlign w:val="center"/>
          </w:tcPr>
          <w:p>
            <w:r>
              <w:t>Hover and keyboard focus reveal a small detail card with IMDb, RT, and partial-source note when applicable.</w:t>
            </w:r>
          </w:p>
        </w:tc>
      </w:tr>
      <w:tr>
        <w:tc>
          <w:tcPr>
            <w:tcW w:type="dxa" w:w="893"/>
            <w:tcMar>
              <w:top w:w="80" w:type="dxa"/>
              <w:start w:w="120" w:type="dxa"/>
              <w:bottom w:w="80" w:type="dxa"/>
              <w:end w:w="120" w:type="dxa"/>
            </w:tcMar>
            <w:vAlign w:val="center"/>
          </w:tcPr>
          <w:p>
            <w:r>
              <w:t>FR-9</w:t>
            </w:r>
          </w:p>
        </w:tc>
        <w:tc>
          <w:tcPr>
            <w:tcW w:type="dxa" w:w="3384"/>
            <w:tcMar>
              <w:top w:w="80" w:type="dxa"/>
              <w:start w:w="120" w:type="dxa"/>
              <w:bottom w:w="80" w:type="dxa"/>
              <w:end w:w="120" w:type="dxa"/>
            </w:tcMar>
            <w:vAlign w:val="center"/>
          </w:tcPr>
          <w:p>
            <w:r>
              <w:t>Cache successful results.</w:t>
            </w:r>
          </w:p>
        </w:tc>
        <w:tc>
          <w:tcPr>
            <w:tcW w:type="dxa" w:w="5083"/>
            <w:tcMar>
              <w:top w:w="80" w:type="dxa"/>
              <w:start w:w="120" w:type="dxa"/>
              <w:bottom w:w="80" w:type="dxa"/>
              <w:end w:w="120" w:type="dxa"/>
            </w:tcMar>
            <w:vAlign w:val="center"/>
          </w:tcPr>
          <w:p>
            <w:r>
              <w:t>Successful lookups are cached by normalized title/year for seven days. Failed lookups are not cached.</w:t>
            </w:r>
          </w:p>
        </w:tc>
      </w:tr>
      <w:tr>
        <w:tc>
          <w:tcPr>
            <w:tcW w:type="dxa" w:w="893"/>
            <w:tcMar>
              <w:top w:w="80" w:type="dxa"/>
              <w:start w:w="120" w:type="dxa"/>
              <w:bottom w:w="80" w:type="dxa"/>
              <w:end w:w="120" w:type="dxa"/>
            </w:tcMar>
            <w:vAlign w:val="center"/>
          </w:tcPr>
          <w:p>
            <w:r>
              <w:t>FR-10</w:t>
            </w:r>
          </w:p>
        </w:tc>
        <w:tc>
          <w:tcPr>
            <w:tcW w:type="dxa" w:w="3384"/>
            <w:tcMar>
              <w:top w:w="80" w:type="dxa"/>
              <w:start w:w="120" w:type="dxa"/>
              <w:bottom w:w="80" w:type="dxa"/>
              <w:end w:w="120" w:type="dxa"/>
            </w:tcMar>
            <w:vAlign w:val="center"/>
          </w:tcPr>
          <w:p>
            <w:r>
              <w:t>Persist settings.</w:t>
            </w:r>
          </w:p>
        </w:tc>
        <w:tc>
          <w:tcPr>
            <w:tcW w:type="dxa" w:w="5083"/>
            <w:tcMar>
              <w:top w:w="80" w:type="dxa"/>
              <w:start w:w="120" w:type="dxa"/>
              <w:bottom w:w="80" w:type="dxa"/>
              <w:end w:w="120" w:type="dxa"/>
            </w:tcMar>
            <w:vAlign w:val="center"/>
          </w:tcPr>
          <w:p>
            <w:r>
              <w:t>Options page saves OMDb API key and debug mode in chrome.storage.local and reflects saved state on load.</w:t>
            </w:r>
          </w:p>
        </w:tc>
      </w:tr>
    </w:tbl>
    <w:p>
      <w:pPr>
        <w:pStyle w:val="Heading1"/>
      </w:pPr>
      <w:r>
        <w:t>6. Recommendation Logic</w:t>
      </w:r>
    </w:p>
    <w:tbl>
      <w:tblPr>
        <w:tblW w:type="dxa" w:w="9360"/>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120"/>
        <w:gridCol w:w="3120"/>
        <w:gridCol w:w="3120"/>
      </w:tblGrid>
      <w:tr>
        <w:trPr>
          <w:tblHeader w:val="true"/>
        </w:trPr>
        <w:tc>
          <w:tcPr>
            <w:tcW w:type="dxa" w:w="1800"/>
            <w:tcMar>
              <w:top w:w="80" w:type="dxa"/>
              <w:start w:w="120" w:type="dxa"/>
              <w:bottom w:w="80" w:type="dxa"/>
              <w:end w:w="120" w:type="dxa"/>
            </w:tcMar>
            <w:vAlign w:val="center"/>
            <w:shd w:fill="F2F4F7"/>
          </w:tcPr>
          <w:p>
            <w:r>
              <w:rPr>
                <w:b/>
                <w:color w:val="1D1F23"/>
              </w:rPr>
              <w:t>Score Range</w:t>
            </w:r>
          </w:p>
        </w:tc>
        <w:tc>
          <w:tcPr>
            <w:tcW w:type="dxa" w:w="2088"/>
            <w:tcMar>
              <w:top w:w="80" w:type="dxa"/>
              <w:start w:w="120" w:type="dxa"/>
              <w:bottom w:w="80" w:type="dxa"/>
              <w:end w:w="120" w:type="dxa"/>
            </w:tcMar>
            <w:vAlign w:val="center"/>
            <w:shd w:fill="F2F4F7"/>
          </w:tcPr>
          <w:p>
            <w:r>
              <w:rPr>
                <w:b/>
                <w:color w:val="1D1F23"/>
              </w:rPr>
              <w:t>Label</w:t>
            </w:r>
          </w:p>
        </w:tc>
        <w:tc>
          <w:tcPr>
            <w:tcW w:type="dxa" w:w="5472"/>
            <w:tcMar>
              <w:top w:w="80" w:type="dxa"/>
              <w:start w:w="120" w:type="dxa"/>
              <w:bottom w:w="80" w:type="dxa"/>
              <w:end w:w="120" w:type="dxa"/>
            </w:tcMar>
            <w:vAlign w:val="center"/>
            <w:shd w:fill="F2F4F7"/>
          </w:tcPr>
          <w:p>
            <w:r>
              <w:rPr>
                <w:b/>
                <w:color w:val="1D1F23"/>
              </w:rPr>
              <w:t>Badge Tone</w:t>
            </w:r>
          </w:p>
        </w:tc>
      </w:tr>
      <w:tr>
        <w:tc>
          <w:tcPr>
            <w:tcW w:type="dxa" w:w="1800"/>
            <w:tcMar>
              <w:top w:w="80" w:type="dxa"/>
              <w:start w:w="120" w:type="dxa"/>
              <w:bottom w:w="80" w:type="dxa"/>
              <w:end w:w="120" w:type="dxa"/>
            </w:tcMar>
            <w:vAlign w:val="center"/>
          </w:tcPr>
          <w:p>
            <w:r>
              <w:t>85-100</w:t>
            </w:r>
          </w:p>
        </w:tc>
        <w:tc>
          <w:tcPr>
            <w:tcW w:type="dxa" w:w="2088"/>
            <w:tcMar>
              <w:top w:w="80" w:type="dxa"/>
              <w:start w:w="120" w:type="dxa"/>
              <w:bottom w:w="80" w:type="dxa"/>
              <w:end w:w="120" w:type="dxa"/>
            </w:tcMar>
            <w:vAlign w:val="center"/>
          </w:tcPr>
          <w:p>
            <w:r>
              <w:t>Must watch</w:t>
            </w:r>
          </w:p>
        </w:tc>
        <w:tc>
          <w:tcPr>
            <w:tcW w:type="dxa" w:w="5472"/>
            <w:tcMar>
              <w:top w:w="80" w:type="dxa"/>
              <w:start w:w="120" w:type="dxa"/>
              <w:bottom w:w="80" w:type="dxa"/>
              <w:end w:w="120" w:type="dxa"/>
            </w:tcMar>
            <w:vAlign w:val="center"/>
          </w:tcPr>
          <w:p>
            <w:r>
              <w:t>Green, highlighted with shine animation unless reduced motion is preferred</w:t>
            </w:r>
          </w:p>
        </w:tc>
      </w:tr>
      <w:tr>
        <w:tc>
          <w:tcPr>
            <w:tcW w:type="dxa" w:w="1800"/>
            <w:tcMar>
              <w:top w:w="80" w:type="dxa"/>
              <w:start w:w="120" w:type="dxa"/>
              <w:bottom w:w="80" w:type="dxa"/>
              <w:end w:w="120" w:type="dxa"/>
            </w:tcMar>
            <w:vAlign w:val="center"/>
          </w:tcPr>
          <w:p>
            <w:r>
              <w:t>70-84</w:t>
            </w:r>
          </w:p>
        </w:tc>
        <w:tc>
          <w:tcPr>
            <w:tcW w:type="dxa" w:w="2088"/>
            <w:tcMar>
              <w:top w:w="80" w:type="dxa"/>
              <w:start w:w="120" w:type="dxa"/>
              <w:bottom w:w="80" w:type="dxa"/>
              <w:end w:w="120" w:type="dxa"/>
            </w:tcMar>
            <w:vAlign w:val="center"/>
          </w:tcPr>
          <w:p>
            <w:r>
              <w:t>Worth it</w:t>
            </w:r>
          </w:p>
        </w:tc>
        <w:tc>
          <w:tcPr>
            <w:tcW w:type="dxa" w:w="5472"/>
            <w:tcMar>
              <w:top w:w="80" w:type="dxa"/>
              <w:start w:w="120" w:type="dxa"/>
              <w:bottom w:w="80" w:type="dxa"/>
              <w:end w:w="120" w:type="dxa"/>
            </w:tcMar>
            <w:vAlign w:val="center"/>
          </w:tcPr>
          <w:p>
            <w:r>
              <w:t>Blue</w:t>
            </w:r>
          </w:p>
        </w:tc>
      </w:tr>
      <w:tr>
        <w:tc>
          <w:tcPr>
            <w:tcW w:type="dxa" w:w="1800"/>
            <w:tcMar>
              <w:top w:w="80" w:type="dxa"/>
              <w:start w:w="120" w:type="dxa"/>
              <w:bottom w:w="80" w:type="dxa"/>
              <w:end w:w="120" w:type="dxa"/>
            </w:tcMar>
            <w:vAlign w:val="center"/>
          </w:tcPr>
          <w:p>
            <w:r>
              <w:t>50-69</w:t>
            </w:r>
          </w:p>
        </w:tc>
        <w:tc>
          <w:tcPr>
            <w:tcW w:type="dxa" w:w="2088"/>
            <w:tcMar>
              <w:top w:w="80" w:type="dxa"/>
              <w:start w:w="120" w:type="dxa"/>
              <w:bottom w:w="80" w:type="dxa"/>
              <w:end w:w="120" w:type="dxa"/>
            </w:tcMar>
            <w:vAlign w:val="center"/>
          </w:tcPr>
          <w:p>
            <w:r>
              <w:t>Mixed</w:t>
            </w:r>
          </w:p>
        </w:tc>
        <w:tc>
          <w:tcPr>
            <w:tcW w:type="dxa" w:w="5472"/>
            <w:tcMar>
              <w:top w:w="80" w:type="dxa"/>
              <w:start w:w="120" w:type="dxa"/>
              <w:bottom w:w="80" w:type="dxa"/>
              <w:end w:w="120" w:type="dxa"/>
            </w:tcMar>
            <w:vAlign w:val="center"/>
          </w:tcPr>
          <w:p>
            <w:r>
              <w:t>Amber</w:t>
            </w:r>
          </w:p>
        </w:tc>
      </w:tr>
      <w:tr>
        <w:tc>
          <w:tcPr>
            <w:tcW w:type="dxa" w:w="1800"/>
            <w:tcMar>
              <w:top w:w="80" w:type="dxa"/>
              <w:start w:w="120" w:type="dxa"/>
              <w:bottom w:w="80" w:type="dxa"/>
              <w:end w:w="120" w:type="dxa"/>
            </w:tcMar>
            <w:vAlign w:val="center"/>
          </w:tcPr>
          <w:p>
            <w:r>
              <w:t>0-49</w:t>
            </w:r>
          </w:p>
        </w:tc>
        <w:tc>
          <w:tcPr>
            <w:tcW w:type="dxa" w:w="2088"/>
            <w:tcMar>
              <w:top w:w="80" w:type="dxa"/>
              <w:start w:w="120" w:type="dxa"/>
              <w:bottom w:w="80" w:type="dxa"/>
              <w:end w:w="120" w:type="dxa"/>
            </w:tcMar>
            <w:vAlign w:val="center"/>
          </w:tcPr>
          <w:p>
            <w:r>
              <w:t>Skip</w:t>
            </w:r>
          </w:p>
        </w:tc>
        <w:tc>
          <w:tcPr>
            <w:tcW w:type="dxa" w:w="5472"/>
            <w:tcMar>
              <w:top w:w="80" w:type="dxa"/>
              <w:start w:w="120" w:type="dxa"/>
              <w:bottom w:w="80" w:type="dxa"/>
              <w:end w:w="120" w:type="dxa"/>
            </w:tcMar>
            <w:vAlign w:val="center"/>
          </w:tcPr>
          <w:p>
            <w:r>
              <w:t>Red</w:t>
            </w:r>
          </w:p>
        </w:tc>
      </w:tr>
      <w:tr>
        <w:tc>
          <w:tcPr>
            <w:tcW w:type="dxa" w:w="1800"/>
            <w:tcMar>
              <w:top w:w="80" w:type="dxa"/>
              <w:start w:w="120" w:type="dxa"/>
              <w:bottom w:w="80" w:type="dxa"/>
              <w:end w:w="120" w:type="dxa"/>
            </w:tcMar>
            <w:vAlign w:val="center"/>
          </w:tcPr>
          <w:p>
            <w:r>
              <w:t>Unavailable</w:t>
            </w:r>
          </w:p>
        </w:tc>
        <w:tc>
          <w:tcPr>
            <w:tcW w:type="dxa" w:w="2088"/>
            <w:tcMar>
              <w:top w:w="80" w:type="dxa"/>
              <w:start w:w="120" w:type="dxa"/>
              <w:bottom w:w="80" w:type="dxa"/>
              <w:end w:w="120" w:type="dxa"/>
            </w:tcMar>
            <w:vAlign w:val="center"/>
          </w:tcPr>
          <w:p>
            <w:r>
              <w:t>No label</w:t>
            </w:r>
          </w:p>
        </w:tc>
        <w:tc>
          <w:tcPr>
            <w:tcW w:type="dxa" w:w="5472"/>
            <w:tcMar>
              <w:top w:w="80" w:type="dxa"/>
              <w:start w:w="120" w:type="dxa"/>
              <w:bottom w:w="80" w:type="dxa"/>
              <w:end w:w="120" w:type="dxa"/>
            </w:tcMar>
            <w:vAlign w:val="center"/>
          </w:tcPr>
          <w:p>
            <w:r>
              <w:t>No badge, unless debug mode shows a question badge</w:t>
            </w:r>
          </w:p>
        </w:tc>
      </w:tr>
    </w:tbl>
    <w:p>
      <w:r>
        <w:t>When both IMDb and Rotten Tomatoes values are available, the recommendation score is the rounded average. When only one valid source is available, that source drives the score and the sourceStatus is partial. If no valid rating is available, the result is unavailable.</w:t>
      </w:r>
    </w:p>
    <w:p>
      <w:pPr>
        <w:pStyle w:val="Heading1"/>
      </w:pPr>
      <w:r>
        <w:t>7. Data Flows</w:t>
      </w:r>
    </w:p>
    <w:tbl>
      <w:tblPr>
        <w:tblW w:type="dxa" w:w="9360"/>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4680"/>
        <w:gridCol w:w="4680"/>
      </w:tblGrid>
      <w:tr>
        <w:trPr>
          <w:tblHeader w:val="true"/>
        </w:trPr>
        <w:tc>
          <w:tcPr>
            <w:tcW w:type="dxa" w:w="2088"/>
            <w:tcMar>
              <w:top w:w="80" w:type="dxa"/>
              <w:start w:w="120" w:type="dxa"/>
              <w:bottom w:w="80" w:type="dxa"/>
              <w:end w:w="120" w:type="dxa"/>
            </w:tcMar>
            <w:vAlign w:val="center"/>
            <w:shd w:fill="F2F4F7"/>
          </w:tcPr>
          <w:p>
            <w:r>
              <w:rPr>
                <w:b/>
                <w:color w:val="1D1F23"/>
              </w:rPr>
              <w:t>Flow</w:t>
            </w:r>
          </w:p>
        </w:tc>
        <w:tc>
          <w:tcPr>
            <w:tcW w:type="dxa" w:w="7272"/>
            <w:tcMar>
              <w:top w:w="80" w:type="dxa"/>
              <w:start w:w="120" w:type="dxa"/>
              <w:bottom w:w="80" w:type="dxa"/>
              <w:end w:w="120" w:type="dxa"/>
            </w:tcMar>
            <w:vAlign w:val="center"/>
            <w:shd w:fill="F2F4F7"/>
          </w:tcPr>
          <w:p>
            <w:r>
              <w:rPr>
                <w:b/>
                <w:color w:val="1D1F23"/>
              </w:rPr>
              <w:t>Steps</w:t>
            </w:r>
          </w:p>
        </w:tc>
      </w:tr>
      <w:tr>
        <w:tc>
          <w:tcPr>
            <w:tcW w:type="dxa" w:w="2088"/>
            <w:tcMar>
              <w:top w:w="80" w:type="dxa"/>
              <w:start w:w="120" w:type="dxa"/>
              <w:bottom w:w="80" w:type="dxa"/>
              <w:end w:w="120" w:type="dxa"/>
            </w:tcMar>
            <w:vAlign w:val="center"/>
          </w:tcPr>
          <w:p>
            <w:r>
              <w:t>Settings flow</w:t>
            </w:r>
          </w:p>
        </w:tc>
        <w:tc>
          <w:tcPr>
            <w:tcW w:type="dxa" w:w="7272"/>
            <w:tcMar>
              <w:top w:w="80" w:type="dxa"/>
              <w:start w:w="120" w:type="dxa"/>
              <w:bottom w:w="80" w:type="dxa"/>
              <w:end w:w="120" w:type="dxa"/>
            </w:tcMar>
            <w:vAlign w:val="center"/>
          </w:tcPr>
          <w:p>
            <w:r>
              <w:t>User opens options page -&gt; enters OMDb API key and debug preference -&gt; options page writes omdbApiKey and debugMode to chrome.storage.local -&gt; later lookups read those settings.</w:t>
            </w:r>
          </w:p>
        </w:tc>
      </w:tr>
      <w:tr>
        <w:tc>
          <w:tcPr>
            <w:tcW w:type="dxa" w:w="2088"/>
            <w:tcMar>
              <w:top w:w="80" w:type="dxa"/>
              <w:start w:w="120" w:type="dxa"/>
              <w:bottom w:w="80" w:type="dxa"/>
              <w:end w:w="120" w:type="dxa"/>
            </w:tcMar>
            <w:vAlign w:val="center"/>
          </w:tcPr>
          <w:p>
            <w:r>
              <w:t>Happy path rating flow</w:t>
            </w:r>
          </w:p>
        </w:tc>
        <w:tc>
          <w:tcPr>
            <w:tcW w:type="dxa" w:w="7272"/>
            <w:tcMar>
              <w:top w:w="80" w:type="dxa"/>
              <w:start w:w="120" w:type="dxa"/>
              <w:bottom w:w="80" w:type="dxa"/>
              <w:end w:w="120" w:type="dxa"/>
            </w:tcMar>
            <w:vAlign w:val="center"/>
          </w:tcPr>
          <w:p>
            <w:r>
              <w:t>Netflix page changes or viewport changes -&gt; content script scans visible supported tiles -&gt; extracts title/year -&gt; renders loading badge -&gt; sends lookup message -&gt; service worker checks cache -&gt; fetches OMDb if needed -&gt; normalizes rating -&gt; stores success in cache -&gt; content script renders final badge and detail card.</w:t>
            </w:r>
          </w:p>
        </w:tc>
      </w:tr>
      <w:tr>
        <w:tc>
          <w:tcPr>
            <w:tcW w:type="dxa" w:w="2088"/>
            <w:tcMar>
              <w:top w:w="80" w:type="dxa"/>
              <w:start w:w="120" w:type="dxa"/>
              <w:bottom w:w="80" w:type="dxa"/>
              <w:end w:w="120" w:type="dxa"/>
            </w:tcMar>
            <w:vAlign w:val="center"/>
          </w:tcPr>
          <w:p>
            <w:r>
              <w:t>Cache-hit flow</w:t>
            </w:r>
          </w:p>
        </w:tc>
        <w:tc>
          <w:tcPr>
            <w:tcW w:type="dxa" w:w="7272"/>
            <w:tcMar>
              <w:top w:w="80" w:type="dxa"/>
              <w:start w:w="120" w:type="dxa"/>
              <w:bottom w:w="80" w:type="dxa"/>
              <w:end w:w="120" w:type="dxa"/>
            </w:tcMar>
            <w:vAlign w:val="center"/>
          </w:tcPr>
          <w:p>
            <w:r>
              <w:t>Service worker builds lookup-v2 cache key -&gt; finds fresh cache entry -&gt; returns cached value with cacheHit true and current debugMode -&gt; content script updates badge without OMDb network call.</w:t>
            </w:r>
          </w:p>
        </w:tc>
      </w:tr>
      <w:tr>
        <w:tc>
          <w:tcPr>
            <w:tcW w:type="dxa" w:w="2088"/>
            <w:tcMar>
              <w:top w:w="80" w:type="dxa"/>
              <w:start w:w="120" w:type="dxa"/>
              <w:bottom w:w="80" w:type="dxa"/>
              <w:end w:w="120" w:type="dxa"/>
            </w:tcMar>
            <w:vAlign w:val="center"/>
          </w:tcPr>
          <w:p>
            <w:r>
              <w:t>Quiet failure flow</w:t>
            </w:r>
          </w:p>
        </w:tc>
        <w:tc>
          <w:tcPr>
            <w:tcW w:type="dxa" w:w="7272"/>
            <w:tcMar>
              <w:top w:w="80" w:type="dxa"/>
              <w:start w:w="120" w:type="dxa"/>
              <w:bottom w:w="80" w:type="dxa"/>
              <w:end w:w="120" w:type="dxa"/>
            </w:tcMar>
            <w:vAlign w:val="center"/>
          </w:tcPr>
          <w:p>
            <w:r>
              <w:t>Missing title, missing API key, no match, ratings unavailable, or fetch error -&gt; service worker returns structured failure -&gt; content script removes loading badge unless debug mode is enabled.</w:t>
            </w:r>
          </w:p>
        </w:tc>
      </w:tr>
    </w:tbl>
    <w:p>
      <w:pPr>
        <w:pStyle w:val="Heading1"/>
      </w:pPr>
      <w:r>
        <w:t>8. Architecture</w:t>
      </w:r>
    </w:p>
    <w:tbl>
      <w:tblPr>
        <w:tblW w:type="dxa" w:w="9360"/>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4680"/>
        <w:gridCol w:w="4680"/>
      </w:tblGrid>
      <w:tr>
        <w:trPr>
          <w:tblHeader w:val="true"/>
        </w:trPr>
        <w:tc>
          <w:tcPr>
            <w:tcW w:type="dxa" w:w="2304"/>
            <w:tcMar>
              <w:top w:w="80" w:type="dxa"/>
              <w:start w:w="120" w:type="dxa"/>
              <w:bottom w:w="80" w:type="dxa"/>
              <w:end w:w="120" w:type="dxa"/>
            </w:tcMar>
            <w:vAlign w:val="center"/>
            <w:shd w:fill="F2F4F7"/>
          </w:tcPr>
          <w:p>
            <w:r>
              <w:rPr>
                <w:b/>
                <w:color w:val="1D1F23"/>
              </w:rPr>
              <w:t>Component</w:t>
            </w:r>
          </w:p>
        </w:tc>
        <w:tc>
          <w:tcPr>
            <w:tcW w:type="dxa" w:w="7056"/>
            <w:tcMar>
              <w:top w:w="80" w:type="dxa"/>
              <w:start w:w="120" w:type="dxa"/>
              <w:bottom w:w="80" w:type="dxa"/>
              <w:end w:w="120" w:type="dxa"/>
            </w:tcMar>
            <w:vAlign w:val="center"/>
            <w:shd w:fill="F2F4F7"/>
          </w:tcPr>
          <w:p>
            <w:r>
              <w:rPr>
                <w:b/>
                <w:color w:val="1D1F23"/>
              </w:rPr>
              <w:t>Responsibilities</w:t>
            </w:r>
          </w:p>
        </w:tc>
      </w:tr>
      <w:tr>
        <w:tc>
          <w:tcPr>
            <w:tcW w:type="dxa" w:w="2304"/>
            <w:tcMar>
              <w:top w:w="80" w:type="dxa"/>
              <w:start w:w="120" w:type="dxa"/>
              <w:bottom w:w="80" w:type="dxa"/>
              <w:end w:w="120" w:type="dxa"/>
            </w:tcMar>
            <w:vAlign w:val="center"/>
          </w:tcPr>
          <w:p>
            <w:r>
              <w:t>Manifest</w:t>
            </w:r>
          </w:p>
        </w:tc>
        <w:tc>
          <w:tcPr>
            <w:tcW w:type="dxa" w:w="7056"/>
            <w:tcMar>
              <w:top w:w="80" w:type="dxa"/>
              <w:start w:w="120" w:type="dxa"/>
              <w:bottom w:w="80" w:type="dxa"/>
              <w:end w:w="120" w:type="dxa"/>
            </w:tcMar>
            <w:vAlign w:val="center"/>
          </w:tcPr>
          <w:p>
            <w:r>
              <w:t>Declares MV3 extension, storage permission, Netflix and OMDb host permissions, service worker, content script, stylesheet, options page, and icons.</w:t>
            </w:r>
          </w:p>
        </w:tc>
      </w:tr>
      <w:tr>
        <w:tc>
          <w:tcPr>
            <w:tcW w:type="dxa" w:w="2304"/>
            <w:tcMar>
              <w:top w:w="80" w:type="dxa"/>
              <w:start w:w="120" w:type="dxa"/>
              <w:bottom w:w="80" w:type="dxa"/>
              <w:end w:w="120" w:type="dxa"/>
            </w:tcMar>
            <w:vAlign w:val="center"/>
          </w:tcPr>
          <w:p>
            <w:r>
              <w:t>Content script</w:t>
            </w:r>
          </w:p>
        </w:tc>
        <w:tc>
          <w:tcPr>
            <w:tcW w:type="dxa" w:w="7056"/>
            <w:tcMar>
              <w:top w:w="80" w:type="dxa"/>
              <w:start w:w="120" w:type="dxa"/>
              <w:bottom w:w="80" w:type="dxa"/>
              <w:end w:w="120" w:type="dxa"/>
            </w:tcMar>
            <w:vAlign w:val="center"/>
          </w:tcPr>
          <w:p>
            <w:r>
              <w:t>Observes Netflix DOM mutations, scroll, and resize; scans visible tiles; extracts metadata; injects/removes badges; handles display states.</w:t>
            </w:r>
          </w:p>
        </w:tc>
      </w:tr>
      <w:tr>
        <w:tc>
          <w:tcPr>
            <w:tcW w:type="dxa" w:w="2304"/>
            <w:tcMar>
              <w:top w:w="80" w:type="dxa"/>
              <w:start w:w="120" w:type="dxa"/>
              <w:bottom w:w="80" w:type="dxa"/>
              <w:end w:w="120" w:type="dxa"/>
            </w:tcMar>
            <w:vAlign w:val="center"/>
          </w:tcPr>
          <w:p>
            <w:r>
              <w:t>Background service worker</w:t>
            </w:r>
          </w:p>
        </w:tc>
        <w:tc>
          <w:tcPr>
            <w:tcW w:type="dxa" w:w="7056"/>
            <w:tcMar>
              <w:top w:w="80" w:type="dxa"/>
              <w:start w:w="120" w:type="dxa"/>
              <w:bottom w:w="80" w:type="dxa"/>
              <w:end w:w="120" w:type="dxa"/>
            </w:tcMar>
            <w:vAlign w:val="center"/>
          </w:tcPr>
          <w:p>
            <w:r>
              <w:t>Receives lookup messages, reads settings/cache, queues OMDb requests, performs exact/search fallback, normalizes response, and caches successful results.</w:t>
            </w:r>
          </w:p>
        </w:tc>
      </w:tr>
      <w:tr>
        <w:tc>
          <w:tcPr>
            <w:tcW w:type="dxa" w:w="2304"/>
            <w:tcMar>
              <w:top w:w="80" w:type="dxa"/>
              <w:start w:w="120" w:type="dxa"/>
              <w:bottom w:w="80" w:type="dxa"/>
              <w:end w:w="120" w:type="dxa"/>
            </w:tcMar>
            <w:vAlign w:val="center"/>
          </w:tcPr>
          <w:p>
            <w:r>
              <w:t>Shared scoring module</w:t>
            </w:r>
          </w:p>
        </w:tc>
        <w:tc>
          <w:tcPr>
            <w:tcW w:type="dxa" w:w="7056"/>
            <w:tcMar>
              <w:top w:w="80" w:type="dxa"/>
              <w:start w:w="120" w:type="dxa"/>
              <w:bottom w:w="80" w:type="dxa"/>
              <w:end w:w="120" w:type="dxa"/>
            </w:tcMar>
            <w:vAlign w:val="center"/>
          </w:tcPr>
          <w:p>
            <w:r>
              <w:t>Parses IMDb and Rotten Tomatoes values, clamps percentages, calculates score, label, source status, and display source strings.</w:t>
            </w:r>
          </w:p>
        </w:tc>
      </w:tr>
      <w:tr>
        <w:tc>
          <w:tcPr>
            <w:tcW w:type="dxa" w:w="2304"/>
            <w:tcMar>
              <w:top w:w="80" w:type="dxa"/>
              <w:start w:w="120" w:type="dxa"/>
              <w:bottom w:w="80" w:type="dxa"/>
              <w:end w:w="120" w:type="dxa"/>
            </w:tcMar>
            <w:vAlign w:val="center"/>
          </w:tcPr>
          <w:p>
            <w:r>
              <w:t>Shared cache module</w:t>
            </w:r>
          </w:p>
        </w:tc>
        <w:tc>
          <w:tcPr>
            <w:tcW w:type="dxa" w:w="7056"/>
            <w:tcMar>
              <w:top w:w="80" w:type="dxa"/>
              <w:start w:w="120" w:type="dxa"/>
              <w:bottom w:w="80" w:type="dxa"/>
              <w:end w:w="120" w:type="dxa"/>
            </w:tcMar>
            <w:vAlign w:val="center"/>
          </w:tcPr>
          <w:p>
            <w:r>
              <w:t>Builds normalized cache keys, creates timestamped cache entries, and validates seven-day freshness.</w:t>
            </w:r>
          </w:p>
        </w:tc>
      </w:tr>
      <w:tr>
        <w:tc>
          <w:tcPr>
            <w:tcW w:type="dxa" w:w="2304"/>
            <w:tcMar>
              <w:top w:w="80" w:type="dxa"/>
              <w:start w:w="120" w:type="dxa"/>
              <w:bottom w:w="80" w:type="dxa"/>
              <w:end w:w="120" w:type="dxa"/>
            </w:tcMar>
            <w:vAlign w:val="center"/>
          </w:tcPr>
          <w:p>
            <w:r>
              <w:t>Options page</w:t>
            </w:r>
          </w:p>
        </w:tc>
        <w:tc>
          <w:tcPr>
            <w:tcW w:type="dxa" w:w="7056"/>
            <w:tcMar>
              <w:top w:w="80" w:type="dxa"/>
              <w:start w:w="120" w:type="dxa"/>
              <w:bottom w:w="80" w:type="dxa"/>
              <w:end w:w="120" w:type="dxa"/>
            </w:tcMar>
            <w:vAlign w:val="center"/>
          </w:tcPr>
          <w:p>
            <w:r>
              <w:t>Captures OMDb API key and debug mode, persists settings, and reports current setup state.</w:t>
            </w:r>
          </w:p>
        </w:tc>
      </w:tr>
    </w:tbl>
    <w:tbl>
      <w:tblPr>
        <w:tblW w:type="dxa" w:w="9360"/>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9360"/>
      </w:tblGrid>
      <w:tr>
        <w:tc>
          <w:tcPr>
            <w:tcW w:type="dxa" w:w="9360"/>
            <w:shd w:fill="F4F6F9"/>
            <w:tcMar>
              <w:top w:w="80" w:type="dxa"/>
              <w:start w:w="120" w:type="dxa"/>
              <w:bottom w:w="80" w:type="dxa"/>
              <w:end w:w="120" w:type="dxa"/>
            </w:tcMar>
            <w:vAlign w:val="center"/>
          </w:tcPr>
          <w:p>
            <w:r>
              <w:rPr>
                <w:b/>
                <w:color w:val="1F4D78"/>
              </w:rPr>
              <w:t>Logical architecture:</w:t>
            </w:r>
            <w:r>
              <w:t xml:space="preserve"> Netflix DOM -&gt; content script tile scanner -&gt; runtime message -&gt; MV3 service worker -&gt; chrome.storage.local cache/settings -&gt; OMDb API -&gt; scoring module -&gt; badge renderer.</w:t>
            </w:r>
          </w:p>
        </w:tc>
      </w:tr>
    </w:tbl>
    <w:p/>
    <w:p>
      <w:pPr>
        <w:pStyle w:val="Heading1"/>
      </w:pPr>
      <w:r>
        <w:t>9. Data and Storage Contract</w:t>
      </w:r>
    </w:p>
    <w:tbl>
      <w:tblPr>
        <w:tblW w:type="dxa" w:w="9360"/>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340"/>
        <w:gridCol w:w="2340"/>
        <w:gridCol w:w="2340"/>
        <w:gridCol w:w="2340"/>
      </w:tblGrid>
      <w:tr>
        <w:trPr>
          <w:tblHeader w:val="true"/>
        </w:trPr>
        <w:tc>
          <w:tcPr>
            <w:tcW w:type="dxa" w:w="1944"/>
            <w:tcMar>
              <w:top w:w="80" w:type="dxa"/>
              <w:start w:w="120" w:type="dxa"/>
              <w:bottom w:w="80" w:type="dxa"/>
              <w:end w:w="120" w:type="dxa"/>
            </w:tcMar>
            <w:vAlign w:val="center"/>
            <w:shd w:fill="F2F4F7"/>
          </w:tcPr>
          <w:p>
            <w:r>
              <w:rPr>
                <w:b/>
                <w:color w:val="1D1F23"/>
              </w:rPr>
              <w:t>Key / Object</w:t>
            </w:r>
          </w:p>
        </w:tc>
        <w:tc>
          <w:tcPr>
            <w:tcW w:type="dxa" w:w="1800"/>
            <w:tcMar>
              <w:top w:w="80" w:type="dxa"/>
              <w:start w:w="120" w:type="dxa"/>
              <w:bottom w:w="80" w:type="dxa"/>
              <w:end w:w="120" w:type="dxa"/>
            </w:tcMar>
            <w:vAlign w:val="center"/>
            <w:shd w:fill="F2F4F7"/>
          </w:tcPr>
          <w:p>
            <w:r>
              <w:rPr>
                <w:b/>
                <w:color w:val="1D1F23"/>
              </w:rPr>
              <w:t>Location</w:t>
            </w:r>
          </w:p>
        </w:tc>
        <w:tc>
          <w:tcPr>
            <w:tcW w:type="dxa" w:w="2880"/>
            <w:tcMar>
              <w:top w:w="80" w:type="dxa"/>
              <w:start w:w="120" w:type="dxa"/>
              <w:bottom w:w="80" w:type="dxa"/>
              <w:end w:w="120" w:type="dxa"/>
            </w:tcMar>
            <w:vAlign w:val="center"/>
            <w:shd w:fill="F2F4F7"/>
          </w:tcPr>
          <w:p>
            <w:r>
              <w:rPr>
                <w:b/>
                <w:color w:val="1D1F23"/>
              </w:rPr>
              <w:t>Purpose</w:t>
            </w:r>
          </w:p>
        </w:tc>
        <w:tc>
          <w:tcPr>
            <w:tcW w:type="dxa" w:w="2736"/>
            <w:tcMar>
              <w:top w:w="80" w:type="dxa"/>
              <w:start w:w="120" w:type="dxa"/>
              <w:bottom w:w="80" w:type="dxa"/>
              <w:end w:w="120" w:type="dxa"/>
            </w:tcMar>
            <w:vAlign w:val="center"/>
            <w:shd w:fill="F2F4F7"/>
          </w:tcPr>
          <w:p>
            <w:r>
              <w:rPr>
                <w:b/>
                <w:color w:val="1D1F23"/>
              </w:rPr>
              <w:t>Notes</w:t>
            </w:r>
          </w:p>
        </w:tc>
      </w:tr>
      <w:tr>
        <w:tc>
          <w:tcPr>
            <w:tcW w:type="dxa" w:w="1944"/>
            <w:tcMar>
              <w:top w:w="80" w:type="dxa"/>
              <w:start w:w="120" w:type="dxa"/>
              <w:bottom w:w="80" w:type="dxa"/>
              <w:end w:w="120" w:type="dxa"/>
            </w:tcMar>
            <w:vAlign w:val="center"/>
          </w:tcPr>
          <w:p>
            <w:r>
              <w:t>omdbApiKey</w:t>
            </w:r>
          </w:p>
        </w:tc>
        <w:tc>
          <w:tcPr>
            <w:tcW w:type="dxa" w:w="1800"/>
            <w:tcMar>
              <w:top w:w="80" w:type="dxa"/>
              <w:start w:w="120" w:type="dxa"/>
              <w:bottom w:w="80" w:type="dxa"/>
              <w:end w:w="120" w:type="dxa"/>
            </w:tcMar>
            <w:vAlign w:val="center"/>
          </w:tcPr>
          <w:p>
            <w:r>
              <w:t>chrome.storage.local</w:t>
            </w:r>
          </w:p>
        </w:tc>
        <w:tc>
          <w:tcPr>
            <w:tcW w:type="dxa" w:w="2880"/>
            <w:tcMar>
              <w:top w:w="80" w:type="dxa"/>
              <w:start w:w="120" w:type="dxa"/>
              <w:bottom w:w="80" w:type="dxa"/>
              <w:end w:w="120" w:type="dxa"/>
            </w:tcMar>
            <w:vAlign w:val="center"/>
          </w:tcPr>
          <w:p>
            <w:r>
              <w:t>User-provided OMDb API key.</w:t>
            </w:r>
          </w:p>
        </w:tc>
        <w:tc>
          <w:tcPr>
            <w:tcW w:type="dxa" w:w="2736"/>
            <w:tcMar>
              <w:top w:w="80" w:type="dxa"/>
              <w:start w:w="120" w:type="dxa"/>
              <w:bottom w:w="80" w:type="dxa"/>
              <w:end w:w="120" w:type="dxa"/>
            </w:tcMar>
            <w:vAlign w:val="center"/>
          </w:tcPr>
          <w:p>
            <w:r>
              <w:t>Stored locally. Should not be logged or sent anywhere except OMDb requests.</w:t>
            </w:r>
          </w:p>
        </w:tc>
      </w:tr>
      <w:tr>
        <w:tc>
          <w:tcPr>
            <w:tcW w:type="dxa" w:w="1944"/>
            <w:tcMar>
              <w:top w:w="80" w:type="dxa"/>
              <w:start w:w="120" w:type="dxa"/>
              <w:bottom w:w="80" w:type="dxa"/>
              <w:end w:w="120" w:type="dxa"/>
            </w:tcMar>
            <w:vAlign w:val="center"/>
          </w:tcPr>
          <w:p>
            <w:r>
              <w:t>debugMode</w:t>
            </w:r>
          </w:p>
        </w:tc>
        <w:tc>
          <w:tcPr>
            <w:tcW w:type="dxa" w:w="1800"/>
            <w:tcMar>
              <w:top w:w="80" w:type="dxa"/>
              <w:start w:w="120" w:type="dxa"/>
              <w:bottom w:w="80" w:type="dxa"/>
              <w:end w:w="120" w:type="dxa"/>
            </w:tcMar>
            <w:vAlign w:val="center"/>
          </w:tcPr>
          <w:p>
            <w:r>
              <w:t>chrome.storage.local</w:t>
            </w:r>
          </w:p>
        </w:tc>
        <w:tc>
          <w:tcPr>
            <w:tcW w:type="dxa" w:w="2880"/>
            <w:tcMar>
              <w:top w:w="80" w:type="dxa"/>
              <w:start w:w="120" w:type="dxa"/>
              <w:bottom w:w="80" w:type="dxa"/>
              <w:end w:w="120" w:type="dxa"/>
            </w:tcMar>
            <w:vAlign w:val="center"/>
          </w:tcPr>
          <w:p>
            <w:r>
              <w:t>Enables question-mark badges for unmatched titles.</w:t>
            </w:r>
          </w:p>
        </w:tc>
        <w:tc>
          <w:tcPr>
            <w:tcW w:type="dxa" w:w="2736"/>
            <w:tcMar>
              <w:top w:w="80" w:type="dxa"/>
              <w:start w:w="120" w:type="dxa"/>
              <w:bottom w:w="80" w:type="dxa"/>
              <w:end w:w="120" w:type="dxa"/>
            </w:tcMar>
            <w:vAlign w:val="center"/>
          </w:tcPr>
          <w:p>
            <w:r>
              <w:t>Primarily QA/support behavior.</w:t>
            </w:r>
          </w:p>
        </w:tc>
      </w:tr>
      <w:tr>
        <w:tc>
          <w:tcPr>
            <w:tcW w:type="dxa" w:w="1944"/>
            <w:tcMar>
              <w:top w:w="80" w:type="dxa"/>
              <w:start w:w="120" w:type="dxa"/>
              <w:bottom w:w="80" w:type="dxa"/>
              <w:end w:w="120" w:type="dxa"/>
            </w:tcMar>
            <w:vAlign w:val="center"/>
          </w:tcPr>
          <w:p>
            <w:r>
              <w:t>ratingsCache</w:t>
            </w:r>
          </w:p>
        </w:tc>
        <w:tc>
          <w:tcPr>
            <w:tcW w:type="dxa" w:w="1800"/>
            <w:tcMar>
              <w:top w:w="80" w:type="dxa"/>
              <w:start w:w="120" w:type="dxa"/>
              <w:bottom w:w="80" w:type="dxa"/>
              <w:end w:w="120" w:type="dxa"/>
            </w:tcMar>
            <w:vAlign w:val="center"/>
          </w:tcPr>
          <w:p>
            <w:r>
              <w:t>chrome.storage.local</w:t>
            </w:r>
          </w:p>
        </w:tc>
        <w:tc>
          <w:tcPr>
            <w:tcW w:type="dxa" w:w="2880"/>
            <w:tcMar>
              <w:top w:w="80" w:type="dxa"/>
              <w:start w:w="120" w:type="dxa"/>
              <w:bottom w:w="80" w:type="dxa"/>
              <w:end w:w="120" w:type="dxa"/>
            </w:tcMar>
            <w:vAlign w:val="center"/>
          </w:tcPr>
          <w:p>
            <w:r>
              <w:t>Stores successful lookup responses by normalized title/year.</w:t>
            </w:r>
          </w:p>
        </w:tc>
        <w:tc>
          <w:tcPr>
            <w:tcW w:type="dxa" w:w="2736"/>
            <w:tcMar>
              <w:top w:w="80" w:type="dxa"/>
              <w:start w:w="120" w:type="dxa"/>
              <w:bottom w:w="80" w:type="dxa"/>
              <w:end w:w="120" w:type="dxa"/>
            </w:tcMar>
            <w:vAlign w:val="center"/>
          </w:tcPr>
          <w:p>
            <w:r>
              <w:t>TTL is seven days; current namespace is lookup-v2.</w:t>
            </w:r>
          </w:p>
        </w:tc>
      </w:tr>
      <w:tr>
        <w:tc>
          <w:tcPr>
            <w:tcW w:type="dxa" w:w="1944"/>
            <w:tcMar>
              <w:top w:w="80" w:type="dxa"/>
              <w:start w:w="120" w:type="dxa"/>
              <w:bottom w:w="80" w:type="dxa"/>
              <w:end w:w="120" w:type="dxa"/>
            </w:tcMar>
            <w:vAlign w:val="center"/>
          </w:tcPr>
          <w:p>
            <w:r>
              <w:t>Lookup payload</w:t>
            </w:r>
          </w:p>
        </w:tc>
        <w:tc>
          <w:tcPr>
            <w:tcW w:type="dxa" w:w="1800"/>
            <w:tcMar>
              <w:top w:w="80" w:type="dxa"/>
              <w:start w:w="120" w:type="dxa"/>
              <w:bottom w:w="80" w:type="dxa"/>
              <w:end w:w="120" w:type="dxa"/>
            </w:tcMar>
            <w:vAlign w:val="center"/>
          </w:tcPr>
          <w:p>
            <w:r>
              <w:t>Runtime message</w:t>
            </w:r>
          </w:p>
        </w:tc>
        <w:tc>
          <w:tcPr>
            <w:tcW w:type="dxa" w:w="2880"/>
            <w:tcMar>
              <w:top w:w="80" w:type="dxa"/>
              <w:start w:w="120" w:type="dxa"/>
              <w:bottom w:w="80" w:type="dxa"/>
              <w:end w:w="120" w:type="dxa"/>
            </w:tcMar>
            <w:vAlign w:val="center"/>
          </w:tcPr>
          <w:p>
            <w:r>
              <w:t>{title, year}</w:t>
            </w:r>
          </w:p>
        </w:tc>
        <w:tc>
          <w:tcPr>
            <w:tcW w:type="dxa" w:w="2736"/>
            <w:tcMar>
              <w:top w:w="80" w:type="dxa"/>
              <w:start w:w="120" w:type="dxa"/>
              <w:bottom w:w="80" w:type="dxa"/>
              <w:end w:w="120" w:type="dxa"/>
            </w:tcMar>
            <w:vAlign w:val="center"/>
          </w:tcPr>
          <w:p>
            <w:r>
              <w:t>Title is required; year is optional normalized 19xx/20xx.</w:t>
            </w:r>
          </w:p>
        </w:tc>
      </w:tr>
      <w:tr>
        <w:tc>
          <w:tcPr>
            <w:tcW w:type="dxa" w:w="1944"/>
            <w:tcMar>
              <w:top w:w="80" w:type="dxa"/>
              <w:start w:w="120" w:type="dxa"/>
              <w:bottom w:w="80" w:type="dxa"/>
              <w:end w:w="120" w:type="dxa"/>
            </w:tcMar>
            <w:vAlign w:val="center"/>
          </w:tcPr>
          <w:p>
            <w:r>
              <w:t>Lookup response</w:t>
            </w:r>
          </w:p>
        </w:tc>
        <w:tc>
          <w:tcPr>
            <w:tcW w:type="dxa" w:w="1800"/>
            <w:tcMar>
              <w:top w:w="80" w:type="dxa"/>
              <w:start w:w="120" w:type="dxa"/>
              <w:bottom w:w="80" w:type="dxa"/>
              <w:end w:w="120" w:type="dxa"/>
            </w:tcMar>
            <w:vAlign w:val="center"/>
          </w:tcPr>
          <w:p>
            <w:r>
              <w:t>Runtime message</w:t>
            </w:r>
          </w:p>
        </w:tc>
        <w:tc>
          <w:tcPr>
            <w:tcW w:type="dxa" w:w="2880"/>
            <w:tcMar>
              <w:top w:w="80" w:type="dxa"/>
              <w:start w:w="120" w:type="dxa"/>
              <w:bottom w:w="80" w:type="dxa"/>
              <w:end w:w="120" w:type="dxa"/>
            </w:tcMar>
            <w:vAlign w:val="center"/>
          </w:tcPr>
          <w:p>
            <w:r>
              <w:t>{ok, reason, score, label, sourceStatus, sources, displaySources, cacheHit, debugMode}</w:t>
            </w:r>
          </w:p>
        </w:tc>
        <w:tc>
          <w:tcPr>
            <w:tcW w:type="dxa" w:w="2736"/>
            <w:tcMar>
              <w:top w:w="80" w:type="dxa"/>
              <w:start w:w="120" w:type="dxa"/>
              <w:bottom w:w="80" w:type="dxa"/>
              <w:end w:w="120" w:type="dxa"/>
            </w:tcMar>
            <w:vAlign w:val="center"/>
          </w:tcPr>
          <w:p>
            <w:r>
              <w:t>Failures keep score and label null.</w:t>
            </w:r>
          </w:p>
        </w:tc>
      </w:tr>
    </w:tbl>
    <w:p>
      <w:pPr>
        <w:pStyle w:val="Heading1"/>
      </w:pPr>
      <w:r>
        <w:t>10. Non-Functional Requirements</w:t>
      </w:r>
    </w:p>
    <w:tbl>
      <w:tblPr>
        <w:tblW w:type="dxa" w:w="9360"/>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4680"/>
        <w:gridCol w:w="4680"/>
      </w:tblGrid>
      <w:tr>
        <w:trPr>
          <w:tblHeader w:val="true"/>
        </w:trPr>
        <w:tc>
          <w:tcPr>
            <w:tcW w:type="dxa" w:w="2088"/>
            <w:tcMar>
              <w:top w:w="80" w:type="dxa"/>
              <w:start w:w="120" w:type="dxa"/>
              <w:bottom w:w="80" w:type="dxa"/>
              <w:end w:w="120" w:type="dxa"/>
            </w:tcMar>
            <w:vAlign w:val="center"/>
            <w:shd w:fill="F2F4F7"/>
          </w:tcPr>
          <w:p>
            <w:r>
              <w:rPr>
                <w:b/>
                <w:color w:val="1D1F23"/>
              </w:rPr>
              <w:t>Area</w:t>
            </w:r>
          </w:p>
        </w:tc>
        <w:tc>
          <w:tcPr>
            <w:tcW w:type="dxa" w:w="7272"/>
            <w:tcMar>
              <w:top w:w="80" w:type="dxa"/>
              <w:start w:w="120" w:type="dxa"/>
              <w:bottom w:w="80" w:type="dxa"/>
              <w:end w:w="120" w:type="dxa"/>
            </w:tcMar>
            <w:vAlign w:val="center"/>
            <w:shd w:fill="F2F4F7"/>
          </w:tcPr>
          <w:p>
            <w:r>
              <w:rPr>
                <w:b/>
                <w:color w:val="1D1F23"/>
              </w:rPr>
              <w:t>Requirement</w:t>
            </w:r>
          </w:p>
        </w:tc>
      </w:tr>
      <w:tr>
        <w:tc>
          <w:tcPr>
            <w:tcW w:type="dxa" w:w="2088"/>
            <w:tcMar>
              <w:top w:w="80" w:type="dxa"/>
              <w:start w:w="120" w:type="dxa"/>
              <w:bottom w:w="80" w:type="dxa"/>
              <w:end w:w="120" w:type="dxa"/>
            </w:tcMar>
            <w:vAlign w:val="center"/>
          </w:tcPr>
          <w:p>
            <w:r>
              <w:t>Performance</w:t>
            </w:r>
          </w:p>
        </w:tc>
        <w:tc>
          <w:tcPr>
            <w:tcW w:type="dxa" w:w="7272"/>
            <w:tcMar>
              <w:top w:w="80" w:type="dxa"/>
              <w:start w:w="120" w:type="dxa"/>
              <w:bottom w:w="80" w:type="dxa"/>
              <w:end w:w="120" w:type="dxa"/>
            </w:tcMar>
            <w:vAlign w:val="center"/>
          </w:tcPr>
          <w:p>
            <w:r>
              <w:t>Scanning must be animation-frame scheduled, limited to visible tiles, and avoid duplicate processing through a tile marker attribute.</w:t>
            </w:r>
          </w:p>
        </w:tc>
      </w:tr>
      <w:tr>
        <w:tc>
          <w:tcPr>
            <w:tcW w:type="dxa" w:w="2088"/>
            <w:tcMar>
              <w:top w:w="80" w:type="dxa"/>
              <w:start w:w="120" w:type="dxa"/>
              <w:bottom w:w="80" w:type="dxa"/>
              <w:end w:w="120" w:type="dxa"/>
            </w:tcMar>
            <w:vAlign w:val="center"/>
          </w:tcPr>
          <w:p>
            <w:r>
              <w:t>Network</w:t>
            </w:r>
          </w:p>
        </w:tc>
        <w:tc>
          <w:tcPr>
            <w:tcW w:type="dxa" w:w="7272"/>
            <w:tcMar>
              <w:top w:w="80" w:type="dxa"/>
              <w:start w:w="120" w:type="dxa"/>
              <w:bottom w:w="80" w:type="dxa"/>
              <w:end w:w="120" w:type="dxa"/>
            </w:tcMar>
            <w:vAlign w:val="center"/>
          </w:tcPr>
          <w:p>
            <w:r>
              <w:t>Uncached OMDb requests must be queued or rate-limited. The MVP baseline is at least a 250 ms delay between queued lookups.</w:t>
            </w:r>
          </w:p>
        </w:tc>
      </w:tr>
      <w:tr>
        <w:tc>
          <w:tcPr>
            <w:tcW w:type="dxa" w:w="2088"/>
            <w:tcMar>
              <w:top w:w="80" w:type="dxa"/>
              <w:start w:w="120" w:type="dxa"/>
              <w:bottom w:w="80" w:type="dxa"/>
              <w:end w:w="120" w:type="dxa"/>
            </w:tcMar>
            <w:vAlign w:val="center"/>
          </w:tcPr>
          <w:p>
            <w:r>
              <w:t>Reliability</w:t>
            </w:r>
          </w:p>
        </w:tc>
        <w:tc>
          <w:tcPr>
            <w:tcW w:type="dxa" w:w="7272"/>
            <w:tcMar>
              <w:top w:w="80" w:type="dxa"/>
              <w:start w:w="120" w:type="dxa"/>
              <w:bottom w:w="80" w:type="dxa"/>
              <w:end w:w="120" w:type="dxa"/>
            </w:tcMar>
            <w:vAlign w:val="center"/>
          </w:tcPr>
          <w:p>
            <w:r>
              <w:t>Failures must not break Netflix browsing. Content script errors should remove transient badges and leave the Netflix page usable.</w:t>
            </w:r>
          </w:p>
        </w:tc>
      </w:tr>
      <w:tr>
        <w:tc>
          <w:tcPr>
            <w:tcW w:type="dxa" w:w="2088"/>
            <w:tcMar>
              <w:top w:w="80" w:type="dxa"/>
              <w:start w:w="120" w:type="dxa"/>
              <w:bottom w:w="80" w:type="dxa"/>
              <w:end w:w="120" w:type="dxa"/>
            </w:tcMar>
            <w:vAlign w:val="center"/>
          </w:tcPr>
          <w:p>
            <w:r>
              <w:t>Accessibility</w:t>
            </w:r>
          </w:p>
        </w:tc>
        <w:tc>
          <w:tcPr>
            <w:tcW w:type="dxa" w:w="7272"/>
            <w:tcMar>
              <w:top w:w="80" w:type="dxa"/>
              <w:start w:w="120" w:type="dxa"/>
              <w:bottom w:w="80" w:type="dxa"/>
              <w:end w:w="120" w:type="dxa"/>
            </w:tcMar>
            <w:vAlign w:val="center"/>
          </w:tcPr>
          <w:p>
            <w:r>
              <w:t>Successful badges must be keyboard focusable and expose source details on focus as well as hover. Motion-sensitive users must not see shine animation when reduced motion is enabled.</w:t>
            </w:r>
          </w:p>
        </w:tc>
      </w:tr>
      <w:tr>
        <w:tc>
          <w:tcPr>
            <w:tcW w:type="dxa" w:w="2088"/>
            <w:tcMar>
              <w:top w:w="80" w:type="dxa"/>
              <w:start w:w="120" w:type="dxa"/>
              <w:bottom w:w="80" w:type="dxa"/>
              <w:end w:w="120" w:type="dxa"/>
            </w:tcMar>
            <w:vAlign w:val="center"/>
          </w:tcPr>
          <w:p>
            <w:r>
              <w:t>Privacy</w:t>
            </w:r>
          </w:p>
        </w:tc>
        <w:tc>
          <w:tcPr>
            <w:tcW w:type="dxa" w:w="7272"/>
            <w:tcMar>
              <w:top w:w="80" w:type="dxa"/>
              <w:start w:w="120" w:type="dxa"/>
              <w:bottom w:w="80" w:type="dxa"/>
              <w:end w:w="120" w:type="dxa"/>
            </w:tcMar>
            <w:vAlign w:val="center"/>
          </w:tcPr>
          <w:p>
            <w:r>
              <w:t>The extension must minimize data collection. It should process only visible page metadata needed for lookups and store settings/cache locally.</w:t>
            </w:r>
          </w:p>
        </w:tc>
      </w:tr>
      <w:tr>
        <w:tc>
          <w:tcPr>
            <w:tcW w:type="dxa" w:w="2088"/>
            <w:tcMar>
              <w:top w:w="80" w:type="dxa"/>
              <w:start w:w="120" w:type="dxa"/>
              <w:bottom w:w="80" w:type="dxa"/>
              <w:end w:w="120" w:type="dxa"/>
            </w:tcMar>
            <w:vAlign w:val="center"/>
          </w:tcPr>
          <w:p>
            <w:r>
              <w:t>Compatibility</w:t>
            </w:r>
          </w:p>
        </w:tc>
        <w:tc>
          <w:tcPr>
            <w:tcW w:type="dxa" w:w="7272"/>
            <w:tcMar>
              <w:top w:w="80" w:type="dxa"/>
              <w:start w:w="120" w:type="dxa"/>
              <w:bottom w:w="80" w:type="dxa"/>
              <w:end w:w="120" w:type="dxa"/>
            </w:tcMar>
            <w:vAlign w:val="center"/>
          </w:tcPr>
          <w:p>
            <w:r>
              <w:t>The extension must tolerate Netflix DOM changes by using multiple selectors and excluding unsupported overlay surfaces.</w:t>
            </w:r>
          </w:p>
        </w:tc>
      </w:tr>
    </w:tbl>
    <w:p>
      <w:pPr>
        <w:pStyle w:val="Heading1"/>
      </w:pPr>
      <w:r>
        <w:t>11. QA and Test Requirements</w:t>
      </w:r>
    </w:p>
    <w:p>
      <w:pPr>
        <w:pStyle w:val="ListBullet"/>
      </w:pPr>
      <w:r>
        <w:t>Keep unit coverage for scoring thresholds, source parsing, partial-source behavior, cache key normalization, TTL freshness, and malformed cache entries.</w:t>
      </w:r>
    </w:p>
    <w:p>
      <w:pPr>
        <w:pStyle w:val="ListBullet"/>
      </w:pPr>
      <w:r>
        <w:t>Keep source-level coverage for OMDb exact-to-search fallback, cache versioning, successful-only caching, and queued network requests.</w:t>
      </w:r>
    </w:p>
    <w:p>
      <w:pPr>
        <w:pStyle w:val="ListBullet"/>
      </w:pPr>
      <w:r>
        <w:t>Add browser-extension integration tests for Netflix-like DOM fixtures covering tile detection, unsupported overlays, badge rendering, focus/hover detail behavior, debug badges, and duplicate processing.</w:t>
      </w:r>
    </w:p>
    <w:p>
      <w:pPr>
        <w:pStyle w:val="ListBullet"/>
      </w:pPr>
      <w:r>
        <w:t>Add manual QA matrix for Chrome stable on Netflix home, genre rows, search results, hover previews, resize, scroll, dark/light OS preference for options page, and reduced-motion mode.</w:t>
      </w:r>
    </w:p>
    <w:p>
      <w:pPr>
        <w:pStyle w:val="ListBullet"/>
      </w:pPr>
      <w:r>
        <w:t>Add OMDb behavior tests for missing API key, invalid API key, quota exceeded, no result, title mismatch, and ratings unavailable.</w:t>
      </w:r>
    </w:p>
    <w:p>
      <w:pPr>
        <w:pStyle w:val="Heading1"/>
      </w:pPr>
      <w:r>
        <w:t>12. Release Plan</w:t>
      </w:r>
    </w:p>
    <w:tbl>
      <w:tblPr>
        <w:tblW w:type="dxa" w:w="9360"/>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120"/>
        <w:gridCol w:w="3120"/>
        <w:gridCol w:w="3120"/>
      </w:tblGrid>
      <w:tr>
        <w:trPr>
          <w:tblHeader w:val="true"/>
        </w:trPr>
        <w:tc>
          <w:tcPr>
            <w:tcW w:type="dxa" w:w="1800"/>
            <w:tcMar>
              <w:top w:w="80" w:type="dxa"/>
              <w:start w:w="120" w:type="dxa"/>
              <w:bottom w:w="80" w:type="dxa"/>
              <w:end w:w="120" w:type="dxa"/>
            </w:tcMar>
            <w:vAlign w:val="center"/>
            <w:shd w:fill="F2F4F7"/>
          </w:tcPr>
          <w:p>
            <w:r>
              <w:rPr>
                <w:b/>
                <w:color w:val="1D1F23"/>
              </w:rPr>
              <w:t>Phase</w:t>
            </w:r>
          </w:p>
        </w:tc>
        <w:tc>
          <w:tcPr>
            <w:tcW w:type="dxa" w:w="4392"/>
            <w:tcMar>
              <w:top w:w="80" w:type="dxa"/>
              <w:start w:w="120" w:type="dxa"/>
              <w:bottom w:w="80" w:type="dxa"/>
              <w:end w:w="120" w:type="dxa"/>
            </w:tcMar>
            <w:vAlign w:val="center"/>
            <w:shd w:fill="F2F4F7"/>
          </w:tcPr>
          <w:p>
            <w:r>
              <w:rPr>
                <w:b/>
                <w:color w:val="1D1F23"/>
              </w:rPr>
              <w:t>Scope</w:t>
            </w:r>
          </w:p>
        </w:tc>
        <w:tc>
          <w:tcPr>
            <w:tcW w:type="dxa" w:w="3168"/>
            <w:tcMar>
              <w:top w:w="80" w:type="dxa"/>
              <w:start w:w="120" w:type="dxa"/>
              <w:bottom w:w="80" w:type="dxa"/>
              <w:end w:w="120" w:type="dxa"/>
            </w:tcMar>
            <w:vAlign w:val="center"/>
            <w:shd w:fill="F2F4F7"/>
          </w:tcPr>
          <w:p>
            <w:r>
              <w:rPr>
                <w:b/>
                <w:color w:val="1D1F23"/>
              </w:rPr>
              <w:t>Exit Criteria</w:t>
            </w:r>
          </w:p>
        </w:tc>
      </w:tr>
      <w:tr>
        <w:tc>
          <w:tcPr>
            <w:tcW w:type="dxa" w:w="1800"/>
            <w:tcMar>
              <w:top w:w="80" w:type="dxa"/>
              <w:start w:w="120" w:type="dxa"/>
              <w:bottom w:w="80" w:type="dxa"/>
              <w:end w:w="120" w:type="dxa"/>
            </w:tcMar>
            <w:vAlign w:val="center"/>
          </w:tcPr>
          <w:p>
            <w:r>
              <w:t>Prototype hardening</w:t>
            </w:r>
          </w:p>
        </w:tc>
        <w:tc>
          <w:tcPr>
            <w:tcW w:type="dxa" w:w="4392"/>
            <w:tcMar>
              <w:top w:w="80" w:type="dxa"/>
              <w:start w:w="120" w:type="dxa"/>
              <w:bottom w:w="80" w:type="dxa"/>
              <w:end w:w="120" w:type="dxa"/>
            </w:tcMar>
            <w:vAlign w:val="center"/>
          </w:tcPr>
          <w:p>
            <w:r>
              <w:t>Stabilize DOM scanning, settings, cache, and failure handling.</w:t>
            </w:r>
          </w:p>
        </w:tc>
        <w:tc>
          <w:tcPr>
            <w:tcW w:type="dxa" w:w="3168"/>
            <w:tcMar>
              <w:top w:w="80" w:type="dxa"/>
              <w:start w:w="120" w:type="dxa"/>
              <w:bottom w:w="80" w:type="dxa"/>
              <w:end w:w="120" w:type="dxa"/>
            </w:tcMar>
            <w:vAlign w:val="center"/>
          </w:tcPr>
          <w:p>
            <w:r>
              <w:t>Engineering can reproduce current prototype behavior with automated tests passing.</w:t>
            </w:r>
          </w:p>
        </w:tc>
      </w:tr>
      <w:tr>
        <w:tc>
          <w:tcPr>
            <w:tcW w:type="dxa" w:w="1800"/>
            <w:tcMar>
              <w:top w:w="80" w:type="dxa"/>
              <w:start w:w="120" w:type="dxa"/>
              <w:bottom w:w="80" w:type="dxa"/>
              <w:end w:w="120" w:type="dxa"/>
            </w:tcMar>
            <w:vAlign w:val="center"/>
          </w:tcPr>
          <w:p>
            <w:r>
              <w:t>MVP beta</w:t>
            </w:r>
          </w:p>
        </w:tc>
        <w:tc>
          <w:tcPr>
            <w:tcW w:type="dxa" w:w="4392"/>
            <w:tcMar>
              <w:top w:w="80" w:type="dxa"/>
              <w:start w:w="120" w:type="dxa"/>
              <w:bottom w:w="80" w:type="dxa"/>
              <w:end w:w="120" w:type="dxa"/>
            </w:tcMar>
            <w:vAlign w:val="center"/>
          </w:tcPr>
          <w:p>
            <w:r>
              <w:t>Package installable Chrome extension for internal users with bring-your-own OMDb key.</w:t>
            </w:r>
          </w:p>
        </w:tc>
        <w:tc>
          <w:tcPr>
            <w:tcW w:type="dxa" w:w="3168"/>
            <w:tcMar>
              <w:top w:w="80" w:type="dxa"/>
              <w:start w:w="120" w:type="dxa"/>
              <w:bottom w:w="80" w:type="dxa"/>
              <w:end w:w="120" w:type="dxa"/>
            </w:tcMar>
            <w:vAlign w:val="center"/>
          </w:tcPr>
          <w:p>
            <w:r>
              <w:t>Internal QA validates supported Netflix surfaces and no major browsing regressions.</w:t>
            </w:r>
          </w:p>
        </w:tc>
      </w:tr>
      <w:tr>
        <w:tc>
          <w:tcPr>
            <w:tcW w:type="dxa" w:w="1800"/>
            <w:tcMar>
              <w:top w:w="80" w:type="dxa"/>
              <w:start w:w="120" w:type="dxa"/>
              <w:bottom w:w="80" w:type="dxa"/>
              <w:end w:w="120" w:type="dxa"/>
            </w:tcMar>
            <w:vAlign w:val="center"/>
          </w:tcPr>
          <w:p>
            <w:r>
              <w:t>Public readiness</w:t>
            </w:r>
          </w:p>
        </w:tc>
        <w:tc>
          <w:tcPr>
            <w:tcW w:type="dxa" w:w="4392"/>
            <w:tcMar>
              <w:top w:w="80" w:type="dxa"/>
              <w:start w:w="120" w:type="dxa"/>
              <w:bottom w:w="80" w:type="dxa"/>
              <w:end w:w="120" w:type="dxa"/>
            </w:tcMar>
            <w:vAlign w:val="center"/>
          </w:tcPr>
          <w:p>
            <w:r>
              <w:t>Privacy review, store listing assets, support copy, telemetry decision, and compatibility monitoring plan.</w:t>
            </w:r>
          </w:p>
        </w:tc>
        <w:tc>
          <w:tcPr>
            <w:tcW w:type="dxa" w:w="3168"/>
            <w:tcMar>
              <w:top w:w="80" w:type="dxa"/>
              <w:start w:w="120" w:type="dxa"/>
              <w:bottom w:w="80" w:type="dxa"/>
              <w:end w:w="120" w:type="dxa"/>
            </w:tcMar>
            <w:vAlign w:val="center"/>
          </w:tcPr>
          <w:p>
            <w:r>
              <w:t>Chrome Web Store submission package is complete and reviewed.</w:t>
            </w:r>
          </w:p>
        </w:tc>
      </w:tr>
    </w:tbl>
    <w:p>
      <w:pPr>
        <w:pStyle w:val="Heading1"/>
      </w:pPr>
      <w:r>
        <w:t>13. Risks and Open Questions</w:t>
      </w:r>
    </w:p>
    <w:tbl>
      <w:tblPr>
        <w:tblW w:type="dxa" w:w="9359"/>
        <w:jc w:val="left"/>
        <w:tblLayout w:type="fixed"/>
        <w:tblLook w:firstColumn="1" w:firstRow="1" w:lastColumn="0" w:lastRow="0" w:noHBand="0" w:noVBand="1" w:val="04A0"/>
        <w:tblInd w:type="dxa" w:w="1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r>
              <w:rPr>
                <w:b/>
                <w:color w:val="1D1F23"/>
              </w:rPr>
              <w:t>Topic</w:t>
            </w:r>
          </w:p>
        </w:tc>
        <w:tc>
          <w:tcPr>
            <w:tcW w:type="dxa" w:w="5400"/>
            <w:tcMar>
              <w:top w:w="80" w:type="dxa"/>
              <w:start w:w="120" w:type="dxa"/>
              <w:bottom w:w="80" w:type="dxa"/>
              <w:end w:w="120" w:type="dxa"/>
            </w:tcMar>
            <w:vAlign w:val="center"/>
            <w:shd w:fill="F2F4F7"/>
          </w:tcPr>
          <w:p>
            <w:r>
              <w:rPr>
                <w:b/>
                <w:color w:val="1D1F23"/>
              </w:rPr>
              <w:t>Risk / Question</w:t>
            </w:r>
          </w:p>
        </w:tc>
        <w:tc>
          <w:tcPr>
            <w:tcW w:type="dxa" w:w="2016"/>
            <w:tcMar>
              <w:top w:w="80" w:type="dxa"/>
              <w:start w:w="120" w:type="dxa"/>
              <w:bottom w:w="80" w:type="dxa"/>
              <w:end w:w="120" w:type="dxa"/>
            </w:tcMar>
            <w:vAlign w:val="center"/>
            <w:shd w:fill="F2F4F7"/>
          </w:tcPr>
          <w:p>
            <w:r>
              <w:rPr>
                <w:b/>
                <w:color w:val="1D1F23"/>
              </w:rPr>
              <w:t>Proposed Owner</w:t>
            </w:r>
          </w:p>
        </w:tc>
      </w:tr>
      <w:tr>
        <w:tc>
          <w:tcPr>
            <w:tcW w:type="dxa" w:w="1944"/>
            <w:tcMar>
              <w:top w:w="80" w:type="dxa"/>
              <w:start w:w="120" w:type="dxa"/>
              <w:bottom w:w="80" w:type="dxa"/>
              <w:end w:w="120" w:type="dxa"/>
            </w:tcMar>
            <w:vAlign w:val="center"/>
          </w:tcPr>
          <w:p>
            <w:r>
              <w:t>Netflix DOM churn</w:t>
            </w:r>
          </w:p>
        </w:tc>
        <w:tc>
          <w:tcPr>
            <w:tcW w:type="dxa" w:w="5400"/>
            <w:tcMar>
              <w:top w:w="80" w:type="dxa"/>
              <w:start w:w="120" w:type="dxa"/>
              <w:bottom w:w="80" w:type="dxa"/>
              <w:end w:w="120" w:type="dxa"/>
            </w:tcMar>
            <w:vAlign w:val="center"/>
          </w:tcPr>
          <w:p>
            <w:r>
              <w:t>Selectors may break without warning as Netflix updates page structure.</w:t>
            </w:r>
          </w:p>
        </w:tc>
        <w:tc>
          <w:tcPr>
            <w:tcW w:type="dxa" w:w="2016"/>
            <w:tcMar>
              <w:top w:w="80" w:type="dxa"/>
              <w:start w:w="120" w:type="dxa"/>
              <w:bottom w:w="80" w:type="dxa"/>
              <w:end w:w="120" w:type="dxa"/>
            </w:tcMar>
            <w:vAlign w:val="center"/>
          </w:tcPr>
          <w:p>
            <w:r>
              <w:t>Frontend / extension engineering</w:t>
            </w:r>
          </w:p>
        </w:tc>
      </w:tr>
      <w:tr>
        <w:tc>
          <w:tcPr>
            <w:tcW w:type="dxa" w:w="1944"/>
            <w:tcMar>
              <w:top w:w="80" w:type="dxa"/>
              <w:start w:w="120" w:type="dxa"/>
              <w:bottom w:w="80" w:type="dxa"/>
              <w:end w:w="120" w:type="dxa"/>
            </w:tcMar>
            <w:vAlign w:val="center"/>
          </w:tcPr>
          <w:p>
            <w:r>
              <w:t>OMDb limits</w:t>
            </w:r>
          </w:p>
        </w:tc>
        <w:tc>
          <w:tcPr>
            <w:tcW w:type="dxa" w:w="5400"/>
            <w:tcMar>
              <w:top w:w="80" w:type="dxa"/>
              <w:start w:w="120" w:type="dxa"/>
              <w:bottom w:w="80" w:type="dxa"/>
              <w:end w:w="120" w:type="dxa"/>
            </w:tcMar>
            <w:vAlign w:val="center"/>
          </w:tcPr>
          <w:p>
            <w:r>
              <w:t>User-provided keys may hit quota, fail, or vary by account.</w:t>
            </w:r>
          </w:p>
        </w:tc>
        <w:tc>
          <w:tcPr>
            <w:tcW w:type="dxa" w:w="2016"/>
            <w:tcMar>
              <w:top w:w="80" w:type="dxa"/>
              <w:start w:w="120" w:type="dxa"/>
              <w:bottom w:w="80" w:type="dxa"/>
              <w:end w:w="120" w:type="dxa"/>
            </w:tcMar>
            <w:vAlign w:val="center"/>
          </w:tcPr>
          <w:p>
            <w:r>
              <w:t>Product + engineering</w:t>
            </w:r>
          </w:p>
        </w:tc>
      </w:tr>
      <w:tr>
        <w:tc>
          <w:tcPr>
            <w:tcW w:type="dxa" w:w="1944"/>
            <w:tcMar>
              <w:top w:w="80" w:type="dxa"/>
              <w:start w:w="120" w:type="dxa"/>
              <w:bottom w:w="80" w:type="dxa"/>
              <w:end w:w="120" w:type="dxa"/>
            </w:tcMar>
            <w:vAlign w:val="center"/>
          </w:tcPr>
          <w:p>
            <w:r>
              <w:t>Title matching</w:t>
            </w:r>
          </w:p>
        </w:tc>
        <w:tc>
          <w:tcPr>
            <w:tcW w:type="dxa" w:w="5400"/>
            <w:tcMar>
              <w:top w:w="80" w:type="dxa"/>
              <w:start w:w="120" w:type="dxa"/>
              <w:bottom w:w="80" w:type="dxa"/>
              <w:end w:w="120" w:type="dxa"/>
            </w:tcMar>
            <w:vAlign w:val="center"/>
          </w:tcPr>
          <w:p>
            <w:r>
              <w:t>Localized titles, alternate titles, franchise naming, and years may produce wrong matches.</w:t>
            </w:r>
          </w:p>
        </w:tc>
        <w:tc>
          <w:tcPr>
            <w:tcW w:type="dxa" w:w="2016"/>
            <w:tcMar>
              <w:top w:w="80" w:type="dxa"/>
              <w:start w:w="120" w:type="dxa"/>
              <w:bottom w:w="80" w:type="dxa"/>
              <w:end w:w="120" w:type="dxa"/>
            </w:tcMar>
            <w:vAlign w:val="center"/>
          </w:tcPr>
          <w:p>
            <w:r>
              <w:t>Backend/data logic</w:t>
            </w:r>
          </w:p>
        </w:tc>
      </w:tr>
      <w:tr>
        <w:tc>
          <w:tcPr>
            <w:tcW w:type="dxa" w:w="1944"/>
            <w:tcMar>
              <w:top w:w="80" w:type="dxa"/>
              <w:start w:w="120" w:type="dxa"/>
              <w:bottom w:w="80" w:type="dxa"/>
              <w:end w:w="120" w:type="dxa"/>
            </w:tcMar>
            <w:vAlign w:val="center"/>
          </w:tcPr>
          <w:p>
            <w:r>
              <w:t>Policy and terms</w:t>
            </w:r>
          </w:p>
        </w:tc>
        <w:tc>
          <w:tcPr>
            <w:tcW w:type="dxa" w:w="5400"/>
            <w:tcMar>
              <w:top w:w="80" w:type="dxa"/>
              <w:start w:w="120" w:type="dxa"/>
              <w:bottom w:w="80" w:type="dxa"/>
              <w:end w:w="120" w:type="dxa"/>
            </w:tcMar>
            <w:vAlign w:val="center"/>
          </w:tcPr>
          <w:p>
            <w:r>
              <w:t>Confirm Chrome Web Store, Netflix, and OMDb terms for an overlay extension using visible page data.</w:t>
            </w:r>
          </w:p>
        </w:tc>
        <w:tc>
          <w:tcPr>
            <w:tcW w:type="dxa" w:w="2016"/>
            <w:tcMar>
              <w:top w:w="80" w:type="dxa"/>
              <w:start w:w="120" w:type="dxa"/>
              <w:bottom w:w="80" w:type="dxa"/>
              <w:end w:w="120" w:type="dxa"/>
            </w:tcMar>
            <w:vAlign w:val="center"/>
          </w:tcPr>
          <w:p>
            <w:r>
              <w:t>Legal/product</w:t>
            </w:r>
          </w:p>
        </w:tc>
      </w:tr>
      <w:tr>
        <w:tc>
          <w:tcPr>
            <w:tcW w:type="dxa" w:w="1944"/>
            <w:tcMar>
              <w:top w:w="80" w:type="dxa"/>
              <w:start w:w="120" w:type="dxa"/>
              <w:bottom w:w="80" w:type="dxa"/>
              <w:end w:w="120" w:type="dxa"/>
            </w:tcMar>
            <w:vAlign w:val="center"/>
          </w:tcPr>
          <w:p>
            <w:r>
              <w:t>Telemetry</w:t>
            </w:r>
          </w:p>
        </w:tc>
        <w:tc>
          <w:tcPr>
            <w:tcW w:type="dxa" w:w="5400"/>
            <w:tcMar>
              <w:top w:w="80" w:type="dxa"/>
              <w:start w:w="120" w:type="dxa"/>
              <w:bottom w:w="80" w:type="dxa"/>
              <w:end w:w="120" w:type="dxa"/>
            </w:tcMar>
            <w:vAlign w:val="center"/>
          </w:tcPr>
          <w:p>
            <w:r>
              <w:t>Decide whether to add privacy-preserving diagnostics or keep MVP fully local.</w:t>
            </w:r>
          </w:p>
        </w:tc>
        <w:tc>
          <w:tcPr>
            <w:tcW w:type="dxa" w:w="2016"/>
            <w:tcMar>
              <w:top w:w="80" w:type="dxa"/>
              <w:start w:w="120" w:type="dxa"/>
              <w:bottom w:w="80" w:type="dxa"/>
              <w:end w:w="120" w:type="dxa"/>
            </w:tcMar>
            <w:vAlign w:val="center"/>
          </w:tcPr>
          <w:p>
            <w:r>
              <w:t>Product</w:t>
            </w:r>
          </w:p>
        </w:tc>
      </w:tr>
      <w:tr>
        <w:tc>
          <w:tcPr>
            <w:tcW w:type="dxa" w:w="1944"/>
            <w:tcMar>
              <w:top w:w="80" w:type="dxa"/>
              <w:start w:w="120" w:type="dxa"/>
              <w:bottom w:w="80" w:type="dxa"/>
              <w:end w:w="120" w:type="dxa"/>
            </w:tcMar>
            <w:vAlign w:val="center"/>
          </w:tcPr>
          <w:p>
            <w:r>
              <w:t>Internationalization</w:t>
            </w:r>
          </w:p>
        </w:tc>
        <w:tc>
          <w:tcPr>
            <w:tcW w:type="dxa" w:w="5400"/>
            <w:tcMar>
              <w:top w:w="80" w:type="dxa"/>
              <w:start w:w="120" w:type="dxa"/>
              <w:bottom w:w="80" w:type="dxa"/>
              <w:end w:w="120" w:type="dxa"/>
            </w:tcMar>
            <w:vAlign w:val="center"/>
          </w:tcPr>
          <w:p>
            <w:r>
              <w:t>Determine support level for non-English Netflix catalogs and translated metadata.</w:t>
            </w:r>
          </w:p>
        </w:tc>
        <w:tc>
          <w:tcPr>
            <w:tcW w:type="dxa" w:w="2016"/>
            <w:tcMar>
              <w:top w:w="80" w:type="dxa"/>
              <w:start w:w="120" w:type="dxa"/>
              <w:bottom w:w="80" w:type="dxa"/>
              <w:end w:w="120" w:type="dxa"/>
            </w:tcMar>
            <w:vAlign w:val="center"/>
          </w:tcPr>
          <w:p>
            <w:r>
              <w:t>Product</w:t>
            </w:r>
          </w:p>
        </w:tc>
      </w:tr>
    </w:tbl>
    <w:p>
      <w:pPr>
        <w:pStyle w:val="Heading1"/>
      </w:pPr>
      <w:r>
        <w:t>Appendix A: Implementation Notes from Prototype</w:t>
      </w:r>
    </w:p>
    <w:p>
      <w:pPr>
        <w:pStyle w:val="ListNumber"/>
      </w:pPr>
      <w:r>
        <w:t>The content script starts with an immediate scan, observes document mutations, and rescans on scroll/resize.</w:t>
      </w:r>
    </w:p>
    <w:p>
      <w:pPr>
        <w:pStyle w:val="ListNumber"/>
      </w:pPr>
      <w:r>
        <w:t>Tile metadata cleaning removes common Netflix action prefixes such as watch, play, explore titles related to, and more info for.</w:t>
      </w:r>
    </w:p>
    <w:p>
      <w:pPr>
        <w:pStyle w:val="ListNumber"/>
      </w:pPr>
      <w:r>
        <w:t>OMDb exact title lookup retries without year if the year-specific lookup fails.</w:t>
      </w:r>
    </w:p>
    <w:p>
      <w:pPr>
        <w:pStyle w:val="ListNumber"/>
      </w:pPr>
      <w:r>
        <w:t>OMDb search fallback retries without year if the year-specific search fails, then fetches details for the best IMDb ID match.</w:t>
      </w:r>
    </w:p>
    <w:p>
      <w:pPr>
        <w:pStyle w:val="ListNumber"/>
      </w:pPr>
      <w:r>
        <w:t>Debug mode should be treated as diagnostic UI, not a consumer-facing error state.</w:t>
      </w:r>
    </w:p>
    <w:p>
      <w:pPr>
        <w:pStyle w:val="Heading1"/>
      </w:pPr>
      <w:r>
        <w:t>Appendix B: MVP Definition of Done</w:t>
      </w:r>
    </w:p>
    <w:p>
      <w:pPr>
        <w:pStyle w:val="ListBullet"/>
      </w:pPr>
      <w:r>
        <w:t>All functional requirements FR-1 through FR-10 implemented and covered by automated or manual QA.</w:t>
      </w:r>
    </w:p>
    <w:p>
      <w:pPr>
        <w:pStyle w:val="ListBullet"/>
      </w:pPr>
      <w:r>
        <w:t>No extension errors block Netflix browsing during normal scroll, resize, hover, or route changes.</w:t>
      </w:r>
    </w:p>
    <w:p>
      <w:pPr>
        <w:pStyle w:val="ListBullet"/>
      </w:pPr>
      <w:r>
        <w:t>Successful badges are readable, keyboard reachable, and visually stable on common Netflix tile sizes.</w:t>
      </w:r>
    </w:p>
    <w:p>
      <w:pPr>
        <w:pStyle w:val="ListBullet"/>
      </w:pPr>
      <w:r>
        <w:t>The options page clearly communicates when no OMDb key is saved.</w:t>
      </w:r>
    </w:p>
    <w:p>
      <w:pPr>
        <w:pStyle w:val="ListBullet"/>
      </w:pPr>
      <w:r>
        <w:t>A privacy/security review confirms local storage behavior and API-key handling.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470"/>
        <w:sz w:val="18"/>
      </w:rPr>
      <w:t>Pick and Chill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D1F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