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864"/>
          <w:sz w:val="96"/>
          <w:szCs w:val="96"/>
        </w:rPr>
        <w:t xml:space="preserve">NEXUS</w:t>
      </w:r>
    </w:p>
    <w:p>
      <w:pPr>
        <w:spacing w:after="120"/>
        <w:jc w:val="center"/>
      </w:pPr>
      <w:r>
        <w:rPr>
          <w:color w:val="2F5496"/>
          <w:sz w:val="40"/>
          <w:szCs w:val="40"/>
        </w:rPr>
        <w:t xml:space="preserve">Merchant Acquiring Intelligence &amp; Analytics Platform</w:t>
      </w:r>
    </w:p>
    <w:p>
      <w:pPr>
        <w:spacing w:after="400"/>
        <w:jc w:val="center"/>
      </w:pPr>
      <w:r>
        <w:rPr>
          <w:color w:val="595959"/>
          <w:sz w:val="30"/>
          <w:szCs w:val="30"/>
        </w:rPr>
        <w:t xml:space="preserve">End-to-End Business and Functional Overview</w:t>
      </w:r>
    </w:p>
    <w:p>
      <w:pPr>
        <w:spacing w:after="160"/>
        <w:jc w:val="center"/>
      </w:pPr>
      <w:r>
        <w:rPr>
          <w:b/>
          <w:bCs/>
          <w:sz w:val="24"/>
          <w:szCs w:val="24"/>
        </w:rPr>
        <w:t xml:space="preserve">From Transaction Data to Merchant Intelligence and Business Action</w:t>
      </w:r>
    </w:p>
    <w:p>
      <w:pPr>
        <w:jc w:val="center"/>
      </w:pPr>
      <w:r>
        <w:rPr>
          <w:i/>
          <w:iCs/>
          <w:color w:val="595959"/>
          <w:sz w:val="22"/>
          <w:szCs w:val="22"/>
        </w:rPr>
        <w:t xml:space="preserve">Prepared for the Acquiring Steering Committee — August 2026</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ageBreakBefore/>
        <w:spacing w:after="120" w:before="360"/>
      </w:pPr>
      <w:r>
        <w:t xml:space="preserve">1. Executive Summary</w:t>
      </w:r>
    </w:p>
    <w:p>
      <w:pPr>
        <w:spacing w:after="140" w:line="276"/>
        <w:jc w:val="both"/>
      </w:pPr>
      <w:r>
        <w:t xml:space="preserve">NEXUS is a multi-tenant merchant acquiring intelligence platform. It takes the raw material an acquiring bank already produces every day — transaction files, merchant master records, fee and settlement data — and converts it into a single, consistent view of acquiring performance: volumes, Merchant Service Fee revenue, interchange and scheme costs, net margin, merchant behaviour, sales performance and portfolio risk.</w:t>
      </w:r>
    </w:p>
    <w:p>
      <w:pPr>
        <w:spacing w:after="140" w:line="276"/>
        <w:jc w:val="both"/>
      </w:pPr>
      <w:r>
        <w:t xml:space="preserve">The platform exists because acquiring data is voluminous but rarely usable. A bank's switch and settlement systems record every transaction faithfully, yet answering ordinary management questions — </w:t>
      </w:r>
      <w:r>
        <w:rPr>
          <w:i/>
          <w:iCs/>
        </w:rPr>
        <w:t xml:space="preserve">Which merchants are losing us money? Which relationship manager's portfolio is declining? What did interchange actually cost us last month, by scheme and card product?</w:t>
      </w:r>
      <w:r>
        <w:t xml:space="preserve"> — typically requires days of manual extraction and spreadsheet work. NEXUS answers these questions on screen, from data that reconciles back to source.</w:t>
      </w:r>
    </w:p>
    <w:p>
      <w:pPr>
        <w:spacing w:after="140" w:line="276"/>
        <w:jc w:val="both"/>
      </w:pPr>
      <w:r>
        <w:t xml:space="preserve">One NEXUS deployment serves multiple banks or acquiring entities. Each institution (tenant) is isolated by design: its own data, its own currency and decimal conventions, its own users, menus and branding. The platform is live-tested across multiple markets, with country rate cards and currency handling in place for the UAE, Bahrain, Oman and Egypt — including three-decimal currencies such as the Bahraini Dinar and local schemes such as BENEFIT and Meeza alongside Visa, Mastercard and JCB.</w:t>
      </w:r>
    </w:p>
    <w:p>
      <w:pPr>
        <w:spacing w:after="140" w:line="276"/>
        <w:jc w:val="both"/>
      </w:pPr>
      <w:r>
        <w:t xml:space="preserve">Its users span the acquiring organisation. Executives open a landing dashboard of volume, net margin and fee composition. Finance works with profitability, loss-making merchant and revenue-leakage views. Sales management runs leaderboards and target attainment for a Country Lead → Team Lead → Agent hierarchy. Operations monitors file loads and batch jobs. Analysts build their own queries in a governed self-service explorer, or simply ask questions in plain English through the built-in AI assistant. Merchants themselves receive monthly branded PDF insight reports generated in bulk by the platform.</w:t>
      </w:r>
    </w:p>
    <w:p>
      <w:pPr>
        <w:pBdr>
          <w:left w:val="single" w:color="2F5496" w:sz="18" w:space="8"/>
        </w:pBdr>
        <w:spacing w:after="160" w:before="160"/>
        <w:ind w:left="480" w:right="480"/>
      </w:pPr>
      <w:r>
        <w:rPr>
          <w:b/>
          <w:bCs/>
          <w:i w:val="false"/>
          <w:iCs w:val="false"/>
          <w:color w:val="243447"/>
          <w:sz w:val="21"/>
          <w:szCs w:val="21"/>
        </w:rPr>
        <w:t xml:space="preserve">Positioning statement.</w:t>
      </w:r>
      <w:r>
        <w:rPr>
          <w:i w:val="false"/>
          <w:iCs w:val="false"/>
          <w:color w:val="243447"/>
          <w:sz w:val="21"/>
          <w:szCs w:val="21"/>
        </w:rPr>
        <w:t xml:space="preserve"> NEXUS is an acquiring intelligence platform that ingests merchant, transaction and fee data, computes the full fee economics of every transaction — MSF, interchange, scheme fees and e-commerce fees — and presents acquiring performance, profitability, merchant behaviour and sales effectiveness in one governed, multi-bank analytical layer.</w:t>
      </w:r>
    </w:p>
    <w:p>
      <w:pPr>
        <w:spacing w:after="140" w:line="276"/>
        <w:jc w:val="both"/>
      </w:pPr>
      <w:r>
        <w:t xml:space="preserve">A reader should take away one central idea: NEXUS is not a payments switch, a billing engine or a CRM. It sits </w:t>
      </w:r>
      <w:r>
        <w:rPr>
          <w:i/>
          <w:iCs/>
        </w:rPr>
        <w:t xml:space="preserve">after</w:t>
      </w:r>
      <w:r>
        <w:t xml:space="preserve"> processing and </w:t>
      </w:r>
      <w:r>
        <w:rPr>
          <w:i/>
          <w:iCs/>
        </w:rPr>
        <w:t xml:space="preserve">before</w:t>
      </w:r>
      <w:r>
        <w:t xml:space="preserve"> decisions — the layer where transaction data becomes management information.</w:t>
      </w:r>
    </w:p>
    <w:p>
      <w:pPr>
        <w:pStyle w:val="Heading1"/>
        <w:pageBreakBefore/>
        <w:spacing w:after="120" w:before="360"/>
      </w:pPr>
      <w:r>
        <w:t xml:space="preserve">2. Business Problem and Purpose</w:t>
      </w:r>
    </w:p>
    <w:p>
      <w:pPr>
        <w:spacing w:after="140" w:line="276"/>
        <w:jc w:val="both"/>
      </w:pPr>
      <w:r>
        <w:t xml:space="preserve">Merchant acquiring is a thin-margin, high-volume business. Revenue is earned in basis points on every transaction; costs (interchange, scheme fees, processing) are also incurred in basis points on every transaction. Small pricing errors, unnoticed merchant attrition or unmanaged cost drift compound quietly across millions of transactions. The problems NEXUS addresses are familiar to any acquiring team:</w:t>
      </w:r>
    </w:p>
    <w:p>
      <w:pPr>
        <w:pStyle w:val="ListParagraph"/>
        <w:numPr>
          <w:ilvl w:val="0"/>
          <w:numId w:val="2"/>
        </w:numPr>
        <w:spacing w:after="60"/>
      </w:pPr>
      <w:r>
        <w:t xml:space="preserve">Transaction, merchant and fee data live in separate operational systems and arrive as large files, not as answers.</w:t>
      </w:r>
    </w:p>
    <w:p>
      <w:pPr>
        <w:pStyle w:val="ListParagraph"/>
        <w:numPr>
          <w:ilvl w:val="0"/>
          <w:numId w:val="2"/>
        </w:numPr>
        <w:spacing w:after="60"/>
      </w:pPr>
      <w:r>
        <w:t xml:space="preserve">Merchant-level profitability is invisible: MSF revenue is known in total, but interchange and scheme cost are rarely attributed back to the individual merchant.</w:t>
      </w:r>
    </w:p>
    <w:p>
      <w:pPr>
        <w:pStyle w:val="ListParagraph"/>
        <w:numPr>
          <w:ilvl w:val="0"/>
          <w:numId w:val="2"/>
        </w:numPr>
        <w:spacing w:after="60"/>
      </w:pPr>
      <w:r>
        <w:t xml:space="preserve">Management reporting is manual, slow and inconsistent — each team maintains its own spreadsheets with its own definitions.</w:t>
      </w:r>
    </w:p>
    <w:p>
      <w:pPr>
        <w:pStyle w:val="ListParagraph"/>
        <w:numPr>
          <w:ilvl w:val="0"/>
          <w:numId w:val="2"/>
        </w:numPr>
        <w:spacing w:after="60"/>
      </w:pPr>
      <w:r>
        <w:t xml:space="preserve">Dormant and declining merchants are discovered months late, when the revenue is already gone.</w:t>
      </w:r>
    </w:p>
    <w:p>
      <w:pPr>
        <w:pStyle w:val="ListParagraph"/>
        <w:numPr>
          <w:ilvl w:val="0"/>
          <w:numId w:val="2"/>
        </w:numPr>
        <w:spacing w:after="60"/>
      </w:pPr>
      <w:r>
        <w:t xml:space="preserve">Relationship managers have no systematic view of their own portfolios or targets.</w:t>
      </w:r>
    </w:p>
    <w:p>
      <w:pPr>
        <w:pStyle w:val="ListParagraph"/>
        <w:numPr>
          <w:ilvl w:val="0"/>
          <w:numId w:val="2"/>
        </w:numPr>
        <w:spacing w:after="60"/>
      </w:pPr>
      <w:r>
        <w:t xml:space="preserve">Repricing opportunities and revenue leakage (rate drift, zero-MSF activity) go undetected.</w:t>
      </w:r>
    </w:p>
    <w:p>
      <w:pPr>
        <w:pStyle w:val="ListParagraph"/>
        <w:numPr>
          <w:ilvl w:val="0"/>
          <w:numId w:val="2"/>
        </w:numPr>
        <w:spacing w:after="60"/>
      </w:pPr>
      <w:r>
        <w:t xml:space="preserve">Multi-country operations multiply all of the above: different currencies, decimal conventions, schemes and interchange regimes.</w:t>
      </w:r>
    </w:p>
    <w:p>
      <w:pPr>
        <w:pStyle w:val="Heading3"/>
        <w:spacing w:after="120" w:before="240"/>
      </w:pPr>
      <w:r>
        <w:t xml:space="preserve">Without NEXUS vs with NEXUS</w:t>
      </w:r>
    </w:p>
    <w:tbl>
      <w:tblPr>
        <w:tblW w:type="dxa" w:w="9026"/>
        <w:tblBorders>
          <w:top w:val="single" w:color="C5D3E8" w:sz="4"/>
          <w:left w:val="single" w:color="C5D3E8" w:sz="4"/>
          <w:bottom w:val="single" w:color="C5D3E8" w:sz="4"/>
          <w:right w:val="single" w:color="C5D3E8" w:sz="4"/>
          <w:insideH w:val="single" w:color="C5D3E8" w:sz="4"/>
          <w:insideV w:val="single" w:color="C5D3E8" w:sz="4"/>
        </w:tblBorders>
      </w:tblPr>
      <w:tblGrid>
        <w:gridCol w:w="3008"/>
        <w:gridCol w:w="3008"/>
        <w:gridCol w:w="3008"/>
      </w:tblGrid>
      <w:tr>
        <w:trPr>
          <w:tblHeader/>
        </w:trPr>
        <w:tc>
          <w:tcPr>
            <w:tcW w:type="dxa" w:w="3008"/>
            <w:shd w:fill="E8EEF7" w:val="clear"/>
            <w:tcMar>
              <w:top w:type="dxa" w:w="60"/>
              <w:left w:type="dxa" w:w="100"/>
              <w:bottom w:type="dxa" w:w="60"/>
              <w:right w:type="dxa" w:w="100"/>
            </w:tcMar>
          </w:tcPr>
          <w:p>
            <w:pPr>
              <w:spacing w:after="20" w:before="20"/>
            </w:pPr>
            <w:r>
              <w:rPr>
                <w:b/>
                <w:bCs/>
                <w:color w:val="1F3864"/>
                <w:sz w:val="18"/>
                <w:szCs w:val="18"/>
              </w:rPr>
              <w:t xml:space="preserve">Question</w:t>
            </w:r>
          </w:p>
        </w:tc>
        <w:tc>
          <w:tcPr>
            <w:tcW w:type="dxa" w:w="3008"/>
            <w:shd w:fill="E8EEF7" w:val="clear"/>
            <w:tcMar>
              <w:top w:type="dxa" w:w="60"/>
              <w:left w:type="dxa" w:w="100"/>
              <w:bottom w:type="dxa" w:w="60"/>
              <w:right w:type="dxa" w:w="100"/>
            </w:tcMar>
          </w:tcPr>
          <w:p>
            <w:pPr>
              <w:spacing w:after="20" w:before="20"/>
            </w:pPr>
            <w:r>
              <w:rPr>
                <w:b/>
                <w:bCs/>
                <w:color w:val="1F3864"/>
                <w:sz w:val="18"/>
                <w:szCs w:val="18"/>
              </w:rPr>
              <w:t xml:space="preserve">Without NEXUS</w:t>
            </w:r>
          </w:p>
        </w:tc>
        <w:tc>
          <w:tcPr>
            <w:tcW w:type="dxa" w:w="3008"/>
            <w:shd w:fill="E8EEF7" w:val="clear"/>
            <w:tcMar>
              <w:top w:type="dxa" w:w="60"/>
              <w:left w:type="dxa" w:w="100"/>
              <w:bottom w:type="dxa" w:w="60"/>
              <w:right w:type="dxa" w:w="100"/>
            </w:tcMar>
          </w:tcPr>
          <w:p>
            <w:pPr>
              <w:spacing w:after="20" w:before="20"/>
            </w:pPr>
            <w:r>
              <w:rPr>
                <w:b/>
                <w:bCs/>
                <w:color w:val="1F3864"/>
                <w:sz w:val="18"/>
                <w:szCs w:val="18"/>
              </w:rPr>
              <w:t xml:space="preserve">With NEXUS</w:t>
            </w:r>
          </w:p>
        </w:tc>
      </w:tr>
      <w:tr>
        <w:trPr>
          <w:tblHeader w:val="false"/>
        </w:trPr>
        <w:tc>
          <w:tcPr>
            <w:tcW w:type="dxa" w:w="3008"/>
            <w:tcMar>
              <w:top w:type="dxa" w:w="60"/>
              <w:left w:type="dxa" w:w="100"/>
              <w:bottom w:type="dxa" w:w="60"/>
              <w:right w:type="dxa" w:w="100"/>
            </w:tcMar>
          </w:tcPr>
          <w:p>
            <w:pPr>
              <w:spacing w:after="20" w:before="20"/>
            </w:pPr>
            <w:r>
              <w:rPr>
                <w:b w:val="false"/>
                <w:bCs w:val="false"/>
                <w:sz w:val="18"/>
                <w:szCs w:val="18"/>
              </w:rPr>
              <w:t xml:space="preserve">What was portfolio volume and margin this month?</w:t>
            </w:r>
          </w:p>
        </w:tc>
        <w:tc>
          <w:tcPr>
            <w:tcW w:type="dxa" w:w="3008"/>
            <w:tcMar>
              <w:top w:type="dxa" w:w="60"/>
              <w:left w:type="dxa" w:w="100"/>
              <w:bottom w:type="dxa" w:w="60"/>
              <w:right w:type="dxa" w:w="100"/>
            </w:tcMar>
          </w:tcPr>
          <w:p>
            <w:pPr>
              <w:spacing w:after="20" w:before="20"/>
            </w:pPr>
            <w:r>
              <w:rPr>
                <w:b w:val="false"/>
                <w:bCs w:val="false"/>
                <w:sz w:val="18"/>
                <w:szCs w:val="18"/>
              </w:rPr>
              <w:t xml:space="preserve">Assembled manually from files, days after month-end</w:t>
            </w:r>
          </w:p>
        </w:tc>
        <w:tc>
          <w:tcPr>
            <w:tcW w:type="dxa" w:w="3008"/>
            <w:tcMar>
              <w:top w:type="dxa" w:w="60"/>
              <w:left w:type="dxa" w:w="100"/>
              <w:bottom w:type="dxa" w:w="60"/>
              <w:right w:type="dxa" w:w="100"/>
            </w:tcMar>
          </w:tcPr>
          <w:p>
            <w:pPr>
              <w:spacing w:after="20" w:before="20"/>
            </w:pPr>
            <w:r>
              <w:rPr>
                <w:b w:val="false"/>
                <w:bCs w:val="false"/>
                <w:sz w:val="18"/>
                <w:szCs w:val="18"/>
              </w:rPr>
              <w:t xml:space="preserve">On the executive dashboard, refreshed with each data load</w:t>
            </w:r>
          </w:p>
        </w:tc>
      </w:tr>
      <w:tr>
        <w:trPr>
          <w:tblHeader w:val="false"/>
        </w:trPr>
        <w:tc>
          <w:tcPr>
            <w:tcW w:type="dxa" w:w="3008"/>
            <w:tcMar>
              <w:top w:type="dxa" w:w="60"/>
              <w:left w:type="dxa" w:w="100"/>
              <w:bottom w:type="dxa" w:w="60"/>
              <w:right w:type="dxa" w:w="100"/>
            </w:tcMar>
          </w:tcPr>
          <w:p>
            <w:pPr>
              <w:spacing w:after="20" w:before="20"/>
            </w:pPr>
            <w:r>
              <w:rPr>
                <w:b w:val="false"/>
                <w:bCs w:val="false"/>
                <w:sz w:val="18"/>
                <w:szCs w:val="18"/>
              </w:rPr>
              <w:t xml:space="preserve">Which merchants are loss-making?</w:t>
            </w:r>
          </w:p>
        </w:tc>
        <w:tc>
          <w:tcPr>
            <w:tcW w:type="dxa" w:w="3008"/>
            <w:tcMar>
              <w:top w:type="dxa" w:w="60"/>
              <w:left w:type="dxa" w:w="100"/>
              <w:bottom w:type="dxa" w:w="60"/>
              <w:right w:type="dxa" w:w="100"/>
            </w:tcMar>
          </w:tcPr>
          <w:p>
            <w:pPr>
              <w:spacing w:after="20" w:before="20"/>
            </w:pPr>
            <w:r>
              <w:rPr>
                <w:b w:val="false"/>
                <w:bCs w:val="false"/>
                <w:sz w:val="18"/>
                <w:szCs w:val="18"/>
              </w:rPr>
              <w:t xml:space="preserve">Effectively unanswerable at scale</w:t>
            </w:r>
          </w:p>
        </w:tc>
        <w:tc>
          <w:tcPr>
            <w:tcW w:type="dxa" w:w="3008"/>
            <w:tcMar>
              <w:top w:type="dxa" w:w="60"/>
              <w:left w:type="dxa" w:w="100"/>
              <w:bottom w:type="dxa" w:w="60"/>
              <w:right w:type="dxa" w:w="100"/>
            </w:tcMar>
          </w:tcPr>
          <w:p>
            <w:pPr>
              <w:spacing w:after="20" w:before="20"/>
            </w:pPr>
            <w:r>
              <w:rPr>
                <w:b w:val="false"/>
                <w:bCs w:val="false"/>
                <w:sz w:val="18"/>
                <w:szCs w:val="18"/>
              </w:rPr>
              <w:t xml:space="preserve">A standing report: merchants where MSF minus interchange, scheme and e-com fees is negative</w:t>
            </w:r>
          </w:p>
        </w:tc>
      </w:tr>
      <w:tr>
        <w:trPr>
          <w:tblHeader w:val="false"/>
        </w:trPr>
        <w:tc>
          <w:tcPr>
            <w:tcW w:type="dxa" w:w="3008"/>
            <w:tcMar>
              <w:top w:type="dxa" w:w="60"/>
              <w:left w:type="dxa" w:w="100"/>
              <w:bottom w:type="dxa" w:w="60"/>
              <w:right w:type="dxa" w:w="100"/>
            </w:tcMar>
          </w:tcPr>
          <w:p>
            <w:pPr>
              <w:spacing w:after="20" w:before="20"/>
            </w:pPr>
            <w:r>
              <w:rPr>
                <w:b w:val="false"/>
                <w:bCs w:val="false"/>
                <w:sz w:val="18"/>
                <w:szCs w:val="18"/>
              </w:rPr>
              <w:t xml:space="preserve">Which merchants are about to go dormant?</w:t>
            </w:r>
          </w:p>
        </w:tc>
        <w:tc>
          <w:tcPr>
            <w:tcW w:type="dxa" w:w="3008"/>
            <w:tcMar>
              <w:top w:type="dxa" w:w="60"/>
              <w:left w:type="dxa" w:w="100"/>
              <w:bottom w:type="dxa" w:w="60"/>
              <w:right w:type="dxa" w:w="100"/>
            </w:tcMar>
          </w:tcPr>
          <w:p>
            <w:pPr>
              <w:spacing w:after="20" w:before="20"/>
            </w:pPr>
            <w:r>
              <w:rPr>
                <w:b w:val="false"/>
                <w:bCs w:val="false"/>
                <w:sz w:val="18"/>
                <w:szCs w:val="18"/>
              </w:rPr>
              <w:t xml:space="preserve">Noticed after the fact</w:t>
            </w:r>
          </w:p>
        </w:tc>
        <w:tc>
          <w:tcPr>
            <w:tcW w:type="dxa" w:w="3008"/>
            <w:tcMar>
              <w:top w:type="dxa" w:w="60"/>
              <w:left w:type="dxa" w:w="100"/>
              <w:bottom w:type="dxa" w:w="60"/>
              <w:right w:type="dxa" w:w="100"/>
            </w:tcMar>
          </w:tcPr>
          <w:p>
            <w:pPr>
              <w:spacing w:after="20" w:before="20"/>
            </w:pPr>
            <w:r>
              <w:rPr>
                <w:b w:val="false"/>
                <w:bCs w:val="false"/>
                <w:sz w:val="18"/>
                <w:szCs w:val="18"/>
              </w:rPr>
              <w:t xml:space="preserve">Attrition and churn-risk screens flag declining merchants while they are still recoverable</w:t>
            </w:r>
          </w:p>
        </w:tc>
      </w:tr>
      <w:tr>
        <w:trPr>
          <w:tblHeader w:val="false"/>
        </w:trPr>
        <w:tc>
          <w:tcPr>
            <w:tcW w:type="dxa" w:w="3008"/>
            <w:tcMar>
              <w:top w:type="dxa" w:w="60"/>
              <w:left w:type="dxa" w:w="100"/>
              <w:bottom w:type="dxa" w:w="60"/>
              <w:right w:type="dxa" w:w="100"/>
            </w:tcMar>
          </w:tcPr>
          <w:p>
            <w:pPr>
              <w:spacing w:after="20" w:before="20"/>
            </w:pPr>
            <w:r>
              <w:rPr>
                <w:b w:val="false"/>
                <w:bCs w:val="false"/>
                <w:sz w:val="18"/>
                <w:szCs w:val="18"/>
              </w:rPr>
              <w:t xml:space="preserve">How is each sales agent performing against target?</w:t>
            </w:r>
          </w:p>
        </w:tc>
        <w:tc>
          <w:tcPr>
            <w:tcW w:type="dxa" w:w="3008"/>
            <w:tcMar>
              <w:top w:type="dxa" w:w="60"/>
              <w:left w:type="dxa" w:w="100"/>
              <w:bottom w:type="dxa" w:w="60"/>
              <w:right w:type="dxa" w:w="100"/>
            </w:tcMar>
          </w:tcPr>
          <w:p>
            <w:pPr>
              <w:spacing w:after="20" w:before="20"/>
            </w:pPr>
            <w:r>
              <w:rPr>
                <w:b w:val="false"/>
                <w:bCs w:val="false"/>
                <w:sz w:val="18"/>
                <w:szCs w:val="18"/>
              </w:rPr>
              <w:t xml:space="preserve">Quarterly spreadsheet exercise</w:t>
            </w:r>
          </w:p>
        </w:tc>
        <w:tc>
          <w:tcPr>
            <w:tcW w:type="dxa" w:w="3008"/>
            <w:tcMar>
              <w:top w:type="dxa" w:w="60"/>
              <w:left w:type="dxa" w:w="100"/>
              <w:bottom w:type="dxa" w:w="60"/>
              <w:right w:type="dxa" w:w="100"/>
            </w:tcMar>
          </w:tcPr>
          <w:p>
            <w:pPr>
              <w:spacing w:after="20" w:before="20"/>
            </w:pPr>
            <w:r>
              <w:rPr>
                <w:b w:val="false"/>
                <w:bCs w:val="false"/>
                <w:sz w:val="18"/>
                <w:szCs w:val="18"/>
              </w:rPr>
              <w:t xml:space="preserve">Live leaderboards and portfolio views across country, team and agent</w:t>
            </w:r>
          </w:p>
        </w:tc>
      </w:tr>
      <w:tr>
        <w:trPr>
          <w:tblHeader w:val="false"/>
        </w:trPr>
        <w:tc>
          <w:tcPr>
            <w:tcW w:type="dxa" w:w="3008"/>
            <w:tcMar>
              <w:top w:type="dxa" w:w="60"/>
              <w:left w:type="dxa" w:w="100"/>
              <w:bottom w:type="dxa" w:w="60"/>
              <w:right w:type="dxa" w:w="100"/>
            </w:tcMar>
          </w:tcPr>
          <w:p>
            <w:pPr>
              <w:spacing w:after="20" w:before="20"/>
            </w:pPr>
            <w:r>
              <w:rPr>
                <w:b w:val="false"/>
                <w:bCs w:val="false"/>
                <w:sz w:val="18"/>
                <w:szCs w:val="18"/>
              </w:rPr>
              <w:t xml:space="preserve">What did interchange cost, and was it right?</w:t>
            </w:r>
          </w:p>
        </w:tc>
        <w:tc>
          <w:tcPr>
            <w:tcW w:type="dxa" w:w="3008"/>
            <w:tcMar>
              <w:top w:type="dxa" w:w="60"/>
              <w:left w:type="dxa" w:w="100"/>
              <w:bottom w:type="dxa" w:w="60"/>
              <w:right w:type="dxa" w:w="100"/>
            </w:tcMar>
          </w:tcPr>
          <w:p>
            <w:pPr>
              <w:spacing w:after="20" w:before="20"/>
            </w:pPr>
            <w:r>
              <w:rPr>
                <w:b w:val="false"/>
                <w:bCs w:val="false"/>
                <w:sz w:val="18"/>
                <w:szCs w:val="18"/>
              </w:rPr>
              <w:t xml:space="preserve">A single ledger figure</w:t>
            </w:r>
          </w:p>
        </w:tc>
        <w:tc>
          <w:tcPr>
            <w:tcW w:type="dxa" w:w="3008"/>
            <w:tcMar>
              <w:top w:type="dxa" w:w="60"/>
              <w:left w:type="dxa" w:w="100"/>
              <w:bottom w:type="dxa" w:w="60"/>
              <w:right w:type="dxa" w:w="100"/>
            </w:tcMar>
          </w:tcPr>
          <w:p>
            <w:pPr>
              <w:spacing w:after="20" w:before="20"/>
            </w:pPr>
            <w:r>
              <w:rPr>
                <w:b w:val="false"/>
                <w:bCs w:val="false"/>
                <w:sz w:val="18"/>
                <w:szCs w:val="18"/>
              </w:rPr>
              <w:t xml:space="preserve">Per-transaction computed interchange with rule provenance, plus a normalisation tool to align to the Finance-confirmed total</w:t>
            </w:r>
          </w:p>
        </w:tc>
      </w:tr>
      <w:tr>
        <w:trPr>
          <w:tblHeader w:val="false"/>
        </w:trPr>
        <w:tc>
          <w:tcPr>
            <w:tcW w:type="dxa" w:w="3008"/>
            <w:tcMar>
              <w:top w:type="dxa" w:w="60"/>
              <w:left w:type="dxa" w:w="100"/>
              <w:bottom w:type="dxa" w:w="60"/>
              <w:right w:type="dxa" w:w="100"/>
            </w:tcMar>
          </w:tcPr>
          <w:p>
            <w:pPr>
              <w:spacing w:after="20" w:before="20"/>
            </w:pPr>
            <w:r>
              <w:rPr>
                <w:b w:val="false"/>
                <w:bCs w:val="false"/>
                <w:sz w:val="18"/>
                <w:szCs w:val="18"/>
              </w:rPr>
              <w:t xml:space="preserve">Can an analyst answer an ad-hoc question?</w:t>
            </w:r>
          </w:p>
        </w:tc>
        <w:tc>
          <w:tcPr>
            <w:tcW w:type="dxa" w:w="3008"/>
            <w:tcMar>
              <w:top w:type="dxa" w:w="60"/>
              <w:left w:type="dxa" w:w="100"/>
              <w:bottom w:type="dxa" w:w="60"/>
              <w:right w:type="dxa" w:w="100"/>
            </w:tcMar>
          </w:tcPr>
          <w:p>
            <w:pPr>
              <w:spacing w:after="20" w:before="20"/>
            </w:pPr>
            <w:r>
              <w:rPr>
                <w:b w:val="false"/>
                <w:bCs w:val="false"/>
                <w:sz w:val="18"/>
                <w:szCs w:val="18"/>
              </w:rPr>
              <w:t xml:space="preserve">Request to IT, wait for an extract</w:t>
            </w:r>
          </w:p>
        </w:tc>
        <w:tc>
          <w:tcPr>
            <w:tcW w:type="dxa" w:w="3008"/>
            <w:tcMar>
              <w:top w:type="dxa" w:w="60"/>
              <w:left w:type="dxa" w:w="100"/>
              <w:bottom w:type="dxa" w:w="60"/>
              <w:right w:type="dxa" w:w="100"/>
            </w:tcMar>
          </w:tcPr>
          <w:p>
            <w:pPr>
              <w:spacing w:after="20" w:before="20"/>
            </w:pPr>
            <w:r>
              <w:rPr>
                <w:b w:val="false"/>
                <w:bCs w:val="false"/>
                <w:sz w:val="18"/>
                <w:szCs w:val="18"/>
              </w:rPr>
              <w:t xml:space="preserve">Self-service explorer or a plain-English question to the AI assistant</w:t>
            </w:r>
          </w:p>
        </w:tc>
      </w:tr>
    </w:tbl>
    <w:p>
      <w:pPr>
        <w:spacing w:after="80"/>
      </w:pPr>
    </w:p>
    <w:p>
      <w:pPr>
        <w:spacing w:after="140" w:line="276"/>
        <w:jc w:val="both"/>
      </w:pPr>
      <w:r>
        <w:t xml:space="preserve">The purpose, in one sentence: give every function in the acquiring business — executive, finance, sales, operations, risk and product — the same trusted numbers, at merchant level, soon after the data arrives.</w:t>
      </w:r>
    </w:p>
    <w:p>
      <w:pPr>
        <w:pStyle w:val="Heading1"/>
        <w:pageBreakBefore/>
        <w:spacing w:after="120" w:before="360"/>
      </w:pPr>
      <w:r>
        <w:t xml:space="preserve">3. NEXUS at a Glance</w:t>
      </w:r>
    </w:p>
    <w:p>
      <w:pPr>
        <w:spacing w:after="60"/>
      </w:pPr>
    </w:p>
    <w:tbl>
      <w:tblPr>
        <w:tblW w:type="dxa" w:w="9026"/>
        <w:jc w:val="center"/>
        <w:tblBorders>
          <w:top w:val="single" w:color="1F3864" w:sz="6"/>
          <w:left w:val="single" w:color="1F3864" w:sz="6"/>
          <w:bottom w:val="single" w:color="1F3864" w:sz="6"/>
          <w:right w:val="single" w:color="1F3864" w:sz="6"/>
          <w:insideH w:val="single" w:color="auto" w:sz="4"/>
          <w:insideV w:val="single" w:color="auto" w:sz="4"/>
        </w:tblBorders>
      </w:tblPr>
      <w:tblGrid>
        <w:gridCol w:w="9026"/>
      </w:tblGrid>
      <w:tr>
        <w:tc>
          <w:tcPr>
            <w:tcW w:type="dxa" w:w="9026"/>
            <w:shd w:fill="1F3864" w:val="clear"/>
            <w:tcMar>
              <w:top w:type="dxa" w:w="40"/>
              <w:left w:type="dxa" w:w="120"/>
              <w:bottom w:type="dxa" w:w="40"/>
              <w:right w:type="dxa" w:w="120"/>
            </w:tcMar>
          </w:tcPr>
          <w:p>
            <w:pPr>
              <w:spacing w:after="20" w:before="40"/>
              <w:jc w:val="center"/>
            </w:pPr>
            <w:r>
              <w:rPr>
                <w:b/>
                <w:bCs/>
                <w:color w:val="FFFFFF"/>
                <w:sz w:val="20"/>
                <w:szCs w:val="20"/>
              </w:rPr>
              <w:t xml:space="preserve">SOURCE DATA</w:t>
            </w:r>
          </w:p>
          <w:p>
            <w:pPr>
              <w:spacing w:after="40"/>
              <w:jc w:val="center"/>
            </w:pPr>
            <w:r>
              <w:rPr>
                <w:color w:val="FFFFFF"/>
                <w:sz w:val="17"/>
                <w:szCs w:val="17"/>
              </w:rPr>
              <w:t xml:space="preserve">Transaction feeds (Excel / CSV) · Merchant master (merchants, stores, terminals) · External databases (Oracle / PostgreSQL / SQL Server) · Reference &amp; rate data (interchange, scheme fees, BIN, MCC)</w:t>
            </w:r>
          </w:p>
        </w:tc>
      </w:tr>
    </w:tbl>
    <w:p>
      <w:pPr>
        <w:spacing w:after="30" w:before="30"/>
        <w:jc w:val="center"/>
      </w:pPr>
      <w:r>
        <w:rPr>
          <w:b/>
          <w:bCs/>
          <w:color w:val="2F5496"/>
          <w:sz w:val="22"/>
          <w:szCs w:val="22"/>
        </w:rPr>
        <w:t xml:space="preserve">▼</w:t>
      </w:r>
    </w:p>
    <w:tbl>
      <w:tblPr>
        <w:tblW w:type="dxa" w:w="9026"/>
        <w:jc w:val="center"/>
        <w:tblBorders>
          <w:top w:val="single" w:color="2F5496" w:sz="6"/>
          <w:left w:val="single" w:color="2F5496" w:sz="6"/>
          <w:bottom w:val="single" w:color="2F5496" w:sz="6"/>
          <w:right w:val="single" w:color="2F5496" w:sz="6"/>
          <w:insideH w:val="single" w:color="auto" w:sz="4"/>
          <w:insideV w:val="single" w:color="auto" w:sz="4"/>
        </w:tblBorders>
      </w:tblPr>
      <w:tblGrid>
        <w:gridCol w:w="9026"/>
      </w:tblGrid>
      <w:tr>
        <w:tc>
          <w:tcPr>
            <w:tcW w:type="dxa" w:w="9026"/>
            <w:shd w:fill="2F5496" w:val="clear"/>
            <w:tcMar>
              <w:top w:type="dxa" w:w="40"/>
              <w:left w:type="dxa" w:w="120"/>
              <w:bottom w:type="dxa" w:w="40"/>
              <w:right w:type="dxa" w:w="120"/>
            </w:tcMar>
          </w:tcPr>
          <w:p>
            <w:pPr>
              <w:spacing w:after="20" w:before="40"/>
              <w:jc w:val="center"/>
            </w:pPr>
            <w:r>
              <w:rPr>
                <w:b/>
                <w:bCs/>
                <w:color w:val="FFFFFF"/>
                <w:sz w:val="20"/>
                <w:szCs w:val="20"/>
              </w:rPr>
              <w:t xml:space="preserve">INGESTION &amp; PROCESSING</w:t>
            </w:r>
          </w:p>
          <w:p>
            <w:pPr>
              <w:spacing w:after="40"/>
              <w:jc w:val="center"/>
            </w:pPr>
            <w:r>
              <w:rPr>
                <w:color w:val="FFFFFF"/>
                <w:sz w:val="17"/>
                <w:szCs w:val="17"/>
              </w:rPr>
              <w:t xml:space="preserve">Upload / scheduled pull  →  Staging &amp; validation  →  Merchant / terminal matching  →  Fee computation (interchange · scheme · e-com)</w:t>
            </w:r>
          </w:p>
        </w:tc>
      </w:tr>
    </w:tbl>
    <w:p>
      <w:pPr>
        <w:spacing w:after="30" w:before="30"/>
        <w:jc w:val="center"/>
      </w:pPr>
      <w:r>
        <w:rPr>
          <w:b/>
          <w:bCs/>
          <w:color w:val="2F5496"/>
          <w:sz w:val="22"/>
          <w:szCs w:val="22"/>
        </w:rPr>
        <w:t xml:space="preserve">▼</w:t>
      </w:r>
    </w:p>
    <w:tbl>
      <w:tblPr>
        <w:tblW w:type="dxa" w:w="9026"/>
        <w:jc w:val="center"/>
        <w:tblBorders>
          <w:top w:val="single" w:color="4472C4" w:sz="6"/>
          <w:left w:val="single" w:color="4472C4" w:sz="6"/>
          <w:bottom w:val="single" w:color="4472C4" w:sz="6"/>
          <w:right w:val="single" w:color="4472C4" w:sz="6"/>
          <w:insideH w:val="single" w:color="auto" w:sz="4"/>
          <w:insideV w:val="single" w:color="auto" w:sz="4"/>
        </w:tblBorders>
      </w:tblPr>
      <w:tblGrid>
        <w:gridCol w:w="9026"/>
      </w:tblGrid>
      <w:tr>
        <w:tc>
          <w:tcPr>
            <w:tcW w:type="dxa" w:w="9026"/>
            <w:shd w:fill="4472C4" w:val="clear"/>
            <w:tcMar>
              <w:top w:type="dxa" w:w="40"/>
              <w:left w:type="dxa" w:w="120"/>
              <w:bottom w:type="dxa" w:w="40"/>
              <w:right w:type="dxa" w:w="120"/>
            </w:tcMar>
          </w:tcPr>
          <w:p>
            <w:pPr>
              <w:spacing w:after="20" w:before="40"/>
              <w:jc w:val="center"/>
            </w:pPr>
            <w:r>
              <w:rPr>
                <w:b/>
                <w:bCs/>
                <w:color w:val="FFFFFF"/>
                <w:sz w:val="20"/>
                <w:szCs w:val="20"/>
              </w:rPr>
              <w:t xml:space="preserve">NEXUS DATA PLATFORM</w:t>
            </w:r>
          </w:p>
          <w:p>
            <w:pPr>
              <w:spacing w:after="40"/>
              <w:jc w:val="center"/>
            </w:pPr>
            <w:r>
              <w:rPr>
                <w:color w:val="FFFFFF"/>
                <w:sz w:val="17"/>
                <w:szCs w:val="17"/>
              </w:rPr>
              <w:t xml:space="preserve">Transaction facts · Daily &amp; monthly aggregates · Merchant scores &amp; segments</w:t>
            </w:r>
          </w:p>
        </w:tc>
      </w:tr>
    </w:tbl>
    <w:p>
      <w:pPr>
        <w:spacing w:after="30" w:before="30"/>
        <w:jc w:val="center"/>
      </w:pPr>
      <w:r>
        <w:rPr>
          <w:b/>
          <w:bCs/>
          <w:color w:val="2F5496"/>
          <w:sz w:val="22"/>
          <w:szCs w:val="22"/>
        </w:rPr>
        <w:t xml:space="preserve">▼</w:t>
      </w:r>
    </w:p>
    <w:tbl>
      <w:tblPr>
        <w:tblW w:type="dxa" w:w="9026"/>
        <w:jc w:val="center"/>
        <w:tblBorders>
          <w:top w:val="single" w:color="1F3864" w:sz="6"/>
          <w:left w:val="single" w:color="1F3864" w:sz="6"/>
          <w:bottom w:val="single" w:color="1F3864" w:sz="6"/>
          <w:right w:val="single" w:color="1F3864" w:sz="6"/>
          <w:insideH w:val="single" w:color="auto" w:sz="4"/>
          <w:insideV w:val="single" w:color="auto" w:sz="4"/>
        </w:tblBorders>
      </w:tblPr>
      <w:tblGrid>
        <w:gridCol w:w="9026"/>
      </w:tblGrid>
      <w:tr>
        <w:tc>
          <w:tcPr>
            <w:tcW w:type="dxa" w:w="9026"/>
            <w:shd w:fill="1F3864" w:val="clear"/>
            <w:tcMar>
              <w:top w:type="dxa" w:w="40"/>
              <w:left w:type="dxa" w:w="120"/>
              <w:bottom w:type="dxa" w:w="40"/>
              <w:right w:type="dxa" w:w="120"/>
            </w:tcMar>
          </w:tcPr>
          <w:p>
            <w:pPr>
              <w:spacing w:after="20" w:before="40"/>
              <w:jc w:val="center"/>
            </w:pPr>
            <w:r>
              <w:rPr>
                <w:b/>
                <w:bCs/>
                <w:color w:val="FFFFFF"/>
                <w:sz w:val="20"/>
                <w:szCs w:val="20"/>
              </w:rPr>
              <w:t xml:space="preserve">MANAGEMENT INTELLIGENCE</w:t>
            </w:r>
          </w:p>
          <w:p>
            <w:pPr>
              <w:spacing w:after="40"/>
              <w:jc w:val="center"/>
            </w:pPr>
            <w:r>
              <w:rPr>
                <w:color w:val="FFFFFF"/>
                <w:sz w:val="17"/>
                <w:szCs w:val="17"/>
              </w:rPr>
              <w:t xml:space="preserve">Executive &amp; finance dashboards · Sales &amp; RM leaderboards · Self-service explorer &amp; AI assistant · Merchant PDF reports, exports &amp; alerts</w:t>
            </w:r>
          </w:p>
        </w:tc>
      </w:tr>
    </w:tbl>
    <w:p>
      <w:pPr>
        <w:spacing w:after="160"/>
      </w:pPr>
    </w:p>
    <w:p>
      <w:pPr>
        <w:spacing w:after="140" w:line="276"/>
        <w:jc w:val="both"/>
      </w:pPr>
      <w:r>
        <w:t xml:space="preserve">Three characteristics define the architecture in business terms:</w:t>
      </w:r>
    </w:p>
    <w:p>
      <w:pPr>
        <w:pStyle w:val="ListParagraph"/>
        <w:numPr>
          <w:ilvl w:val="0"/>
          <w:numId w:val="3"/>
        </w:numPr>
        <w:spacing w:after="60"/>
      </w:pPr>
      <w:r>
        <w:rPr>
          <w:b/>
          <w:bCs/>
        </w:rPr>
        <w:t xml:space="preserve">Everything is computed once, at load time.</w:t>
      </w:r>
      <w:r>
        <w:t xml:space="preserve"> Fees, classifications and aggregates are calculated when data is ingested, so dashboards read pre-computed summaries and respond in seconds even over millions of transactions.</w:t>
      </w:r>
    </w:p>
    <w:p>
      <w:pPr>
        <w:pStyle w:val="ListParagraph"/>
        <w:numPr>
          <w:ilvl w:val="0"/>
          <w:numId w:val="3"/>
        </w:numPr>
        <w:spacing w:after="60"/>
      </w:pPr>
      <w:r>
        <w:rPr>
          <w:b/>
          <w:bCs/>
        </w:rPr>
        <w:t xml:space="preserve">One platform, many banks.</w:t>
      </w:r>
      <w:r>
        <w:t xml:space="preserve"> Every record carries a tenant identity; every screen, query, export and report is scoped to the institution the user is working in.</w:t>
      </w:r>
    </w:p>
    <w:p>
      <w:pPr>
        <w:pStyle w:val="ListParagraph"/>
        <w:numPr>
          <w:ilvl w:val="0"/>
          <w:numId w:val="3"/>
        </w:numPr>
        <w:spacing w:after="60"/>
      </w:pPr>
      <w:r>
        <w:rPr>
          <w:b/>
          <w:bCs/>
        </w:rPr>
        <w:t xml:space="preserve">Two currencies, one truth.</w:t>
      </w:r>
      <w:r>
        <w:t xml:space="preserve"> Each transaction is held both in cardholder currency (for reference) and in the bank's settlement currency; all revenue, cost and ranking figures use the settlement amount, so totals reconcile.</w:t>
      </w:r>
    </w:p>
    <w:p>
      <w:pPr>
        <w:pStyle w:val="Heading1"/>
        <w:pageBreakBefore/>
        <w:spacing w:after="120" w:before="360"/>
      </w:pPr>
      <w:r>
        <w:t xml:space="preserve">4. End-to-End Business Process</w:t>
      </w:r>
    </w:p>
    <w:p>
      <w:pPr>
        <w:spacing w:after="140" w:line="276"/>
        <w:jc w:val="both"/>
      </w:pPr>
      <w:r>
        <w:t xml:space="preserve">The complete lifecycle from source file to business action runs through twelve stages. The batch engine executes them as a single orchestrated job for every data load.</w:t>
      </w:r>
    </w:p>
    <w:p>
      <w:pPr>
        <w:spacing w:after="60"/>
      </w:pPr>
    </w:p>
    <w:tbl>
      <w:tblPr>
        <w:tblW w:type="dxa" w:w="9026"/>
        <w:jc w:val="center"/>
        <w:tblBorders>
          <w:top w:val="none" w:color="FFFFFF" w:sz="0"/>
          <w:left w:val="none" w:color="FFFFFF" w:sz="0"/>
          <w:bottom w:val="none" w:color="FFFFFF" w:sz="0"/>
          <w:right w:val="none" w:color="FFFFFF" w:sz="0"/>
          <w:insideH w:val="single" w:color="auto" w:sz="4"/>
          <w:insideV w:val="single" w:color="auto" w:sz="4"/>
        </w:tblBorders>
      </w:tblPr>
      <w:tblGrid>
        <w:gridCol w:w="2166"/>
        <w:gridCol w:w="120"/>
        <w:gridCol w:w="2166"/>
        <w:gridCol w:w="120"/>
        <w:gridCol w:w="2166"/>
        <w:gridCol w:w="120"/>
        <w:gridCol w:w="2166"/>
      </w:tblGrid>
      <w:tr>
        <w:tc>
          <w:tcPr>
            <w:tcW w:type="dxa" w:w="2166"/>
            <w:tcBorders>
              <w:top w:val="single" w:color="1F3864" w:sz="6"/>
              <w:left w:val="single" w:color="1F3864" w:sz="6"/>
              <w:bottom w:val="single" w:color="1F3864" w:sz="6"/>
              <w:right w:val="single" w:color="1F3864" w:sz="6"/>
            </w:tcBorders>
            <w:shd w:fill="1F3864" w:val="clear"/>
            <w:tcMar>
              <w:top w:type="dxa" w:w="40"/>
              <w:left w:type="dxa" w:w="100"/>
              <w:bottom w:type="dxa" w:w="40"/>
              <w:right w:type="dxa" w:w="100"/>
            </w:tcMar>
            <w:vAlign w:val="center"/>
          </w:tcPr>
          <w:p>
            <w:pPr>
              <w:spacing w:after="20" w:before="30"/>
              <w:jc w:val="center"/>
            </w:pPr>
            <w:r>
              <w:rPr>
                <w:b/>
                <w:bCs/>
                <w:color w:val="FFFFFF"/>
                <w:sz w:val="19"/>
                <w:szCs w:val="19"/>
              </w:rPr>
              <w:t xml:space="preserve">1</w:t>
            </w:r>
          </w:p>
          <w:p>
            <w:pPr>
              <w:spacing w:after="30"/>
              <w:jc w:val="center"/>
            </w:pPr>
            <w:r>
              <w:rPr>
                <w:color w:val="FFFFFF"/>
                <w:sz w:val="16"/>
                <w:szCs w:val="16"/>
              </w:rPr>
              <w:t xml:space="preserve">Receive data</w:t>
            </w:r>
          </w:p>
        </w:tc>
        <w:tc>
          <w:tcPr>
            <w:tcW w:type="dxa" w:w="120"/>
            <w:tcBorders>
              <w:top w:val="none" w:color="FFFFFF" w:sz="0"/>
              <w:left w:val="none" w:color="FFFFFF" w:sz="0"/>
              <w:bottom w:val="none" w:color="FFFFFF" w:sz="0"/>
              <w:right w:val="none" w:color="FFFFFF" w:sz="0"/>
            </w:tcBorders>
          </w:tcPr>
          <w:p/>
        </w:tc>
        <w:tc>
          <w:tcPr>
            <w:tcW w:type="dxa" w:w="2166"/>
            <w:tcBorders>
              <w:top w:val="single" w:color="2F5496" w:sz="6"/>
              <w:left w:val="single" w:color="2F5496" w:sz="6"/>
              <w:bottom w:val="single" w:color="2F5496" w:sz="6"/>
              <w:right w:val="single" w:color="2F5496" w:sz="6"/>
            </w:tcBorders>
            <w:shd w:fill="2F5496" w:val="clear"/>
            <w:tcMar>
              <w:top w:type="dxa" w:w="40"/>
              <w:left w:type="dxa" w:w="100"/>
              <w:bottom w:type="dxa" w:w="40"/>
              <w:right w:type="dxa" w:w="100"/>
            </w:tcMar>
            <w:vAlign w:val="center"/>
          </w:tcPr>
          <w:p>
            <w:pPr>
              <w:spacing w:after="20" w:before="30"/>
              <w:jc w:val="center"/>
            </w:pPr>
            <w:r>
              <w:rPr>
                <w:b/>
                <w:bCs/>
                <w:color w:val="FFFFFF"/>
                <w:sz w:val="19"/>
                <w:szCs w:val="19"/>
              </w:rPr>
              <w:t xml:space="preserve">2</w:t>
            </w:r>
          </w:p>
          <w:p>
            <w:pPr>
              <w:spacing w:after="30"/>
              <w:jc w:val="center"/>
            </w:pPr>
            <w:r>
              <w:rPr>
                <w:color w:val="FFFFFF"/>
                <w:sz w:val="16"/>
                <w:szCs w:val="16"/>
              </w:rPr>
              <w:t xml:space="preserve">Stage</w:t>
            </w:r>
          </w:p>
        </w:tc>
        <w:tc>
          <w:tcPr>
            <w:tcW w:type="dxa" w:w="120"/>
            <w:tcBorders>
              <w:top w:val="none" w:color="FFFFFF" w:sz="0"/>
              <w:left w:val="none" w:color="FFFFFF" w:sz="0"/>
              <w:bottom w:val="none" w:color="FFFFFF" w:sz="0"/>
              <w:right w:val="none" w:color="FFFFFF" w:sz="0"/>
            </w:tcBorders>
          </w:tcPr>
          <w:p/>
        </w:tc>
        <w:tc>
          <w:tcPr>
            <w:tcW w:type="dxa" w:w="2166"/>
            <w:tcBorders>
              <w:top w:val="single" w:color="4472C4" w:sz="6"/>
              <w:left w:val="single" w:color="4472C4" w:sz="6"/>
              <w:bottom w:val="single" w:color="4472C4" w:sz="6"/>
              <w:right w:val="single" w:color="4472C4" w:sz="6"/>
            </w:tcBorders>
            <w:shd w:fill="4472C4" w:val="clear"/>
            <w:tcMar>
              <w:top w:type="dxa" w:w="40"/>
              <w:left w:type="dxa" w:w="100"/>
              <w:bottom w:type="dxa" w:w="40"/>
              <w:right w:type="dxa" w:w="100"/>
            </w:tcMar>
            <w:vAlign w:val="center"/>
          </w:tcPr>
          <w:p>
            <w:pPr>
              <w:spacing w:after="20" w:before="30"/>
              <w:jc w:val="center"/>
            </w:pPr>
            <w:r>
              <w:rPr>
                <w:b/>
                <w:bCs/>
                <w:color w:val="FFFFFF"/>
                <w:sz w:val="19"/>
                <w:szCs w:val="19"/>
              </w:rPr>
              <w:t xml:space="preserve">3</w:t>
            </w:r>
          </w:p>
          <w:p>
            <w:pPr>
              <w:spacing w:after="30"/>
              <w:jc w:val="center"/>
            </w:pPr>
            <w:r>
              <w:rPr>
                <w:color w:val="FFFFFF"/>
                <w:sz w:val="16"/>
                <w:szCs w:val="16"/>
              </w:rPr>
              <w:t xml:space="preserve">Validate</w:t>
            </w:r>
          </w:p>
        </w:tc>
        <w:tc>
          <w:tcPr>
            <w:tcW w:type="dxa" w:w="120"/>
            <w:tcBorders>
              <w:top w:val="none" w:color="FFFFFF" w:sz="0"/>
              <w:left w:val="none" w:color="FFFFFF" w:sz="0"/>
              <w:bottom w:val="none" w:color="FFFFFF" w:sz="0"/>
              <w:right w:val="none" w:color="FFFFFF" w:sz="0"/>
            </w:tcBorders>
          </w:tcPr>
          <w:p/>
        </w:tc>
        <w:tc>
          <w:tcPr>
            <w:tcW w:type="dxa" w:w="2166"/>
            <w:tcBorders>
              <w:top w:val="single" w:color="2F5496" w:sz="6"/>
              <w:left w:val="single" w:color="2F5496" w:sz="6"/>
              <w:bottom w:val="single" w:color="2F5496" w:sz="6"/>
              <w:right w:val="single" w:color="2F5496" w:sz="6"/>
            </w:tcBorders>
            <w:shd w:fill="2F5496" w:val="clear"/>
            <w:tcMar>
              <w:top w:type="dxa" w:w="40"/>
              <w:left w:type="dxa" w:w="100"/>
              <w:bottom w:type="dxa" w:w="40"/>
              <w:right w:type="dxa" w:w="100"/>
            </w:tcMar>
            <w:vAlign w:val="center"/>
          </w:tcPr>
          <w:p>
            <w:pPr>
              <w:spacing w:after="20" w:before="30"/>
              <w:jc w:val="center"/>
            </w:pPr>
            <w:r>
              <w:rPr>
                <w:b/>
                <w:bCs/>
                <w:color w:val="FFFFFF"/>
                <w:sz w:val="19"/>
                <w:szCs w:val="19"/>
              </w:rPr>
              <w:t xml:space="preserve">4</w:t>
            </w:r>
          </w:p>
          <w:p>
            <w:pPr>
              <w:spacing w:after="30"/>
              <w:jc w:val="center"/>
            </w:pPr>
            <w:r>
              <w:rPr>
                <w:color w:val="FFFFFF"/>
                <w:sz w:val="16"/>
                <w:szCs w:val="16"/>
              </w:rPr>
              <w:t xml:space="preserve">Match merchants</w:t>
            </w:r>
          </w:p>
        </w:tc>
      </w:tr>
    </w:tbl>
    <w:p>
      <w:pPr>
        <w:spacing w:after="30" w:before="30"/>
        <w:jc w:val="center"/>
      </w:pPr>
      <w:r>
        <w:rPr>
          <w:b/>
          <w:bCs/>
          <w:color w:val="2F5496"/>
          <w:sz w:val="22"/>
          <w:szCs w:val="22"/>
        </w:rPr>
        <w:t xml:space="preserve">▼</w:t>
      </w:r>
    </w:p>
    <w:tbl>
      <w:tblPr>
        <w:tblW w:type="dxa" w:w="9026"/>
        <w:jc w:val="center"/>
        <w:tblBorders>
          <w:top w:val="none" w:color="FFFFFF" w:sz="0"/>
          <w:left w:val="none" w:color="FFFFFF" w:sz="0"/>
          <w:bottom w:val="none" w:color="FFFFFF" w:sz="0"/>
          <w:right w:val="none" w:color="FFFFFF" w:sz="0"/>
          <w:insideH w:val="single" w:color="auto" w:sz="4"/>
          <w:insideV w:val="single" w:color="auto" w:sz="4"/>
        </w:tblBorders>
      </w:tblPr>
      <w:tblGrid>
        <w:gridCol w:w="2166"/>
        <w:gridCol w:w="120"/>
        <w:gridCol w:w="2166"/>
        <w:gridCol w:w="120"/>
        <w:gridCol w:w="2166"/>
        <w:gridCol w:w="120"/>
        <w:gridCol w:w="2166"/>
      </w:tblGrid>
      <w:tr>
        <w:tc>
          <w:tcPr>
            <w:tcW w:type="dxa" w:w="2166"/>
            <w:tcBorders>
              <w:top w:val="single" w:color="1F3864" w:sz="6"/>
              <w:left w:val="single" w:color="1F3864" w:sz="6"/>
              <w:bottom w:val="single" w:color="1F3864" w:sz="6"/>
              <w:right w:val="single" w:color="1F3864" w:sz="6"/>
            </w:tcBorders>
            <w:shd w:fill="1F3864" w:val="clear"/>
            <w:tcMar>
              <w:top w:type="dxa" w:w="40"/>
              <w:left w:type="dxa" w:w="100"/>
              <w:bottom w:type="dxa" w:w="40"/>
              <w:right w:type="dxa" w:w="100"/>
            </w:tcMar>
            <w:vAlign w:val="center"/>
          </w:tcPr>
          <w:p>
            <w:pPr>
              <w:spacing w:after="20" w:before="30"/>
              <w:jc w:val="center"/>
            </w:pPr>
            <w:r>
              <w:rPr>
                <w:b/>
                <w:bCs/>
                <w:color w:val="FFFFFF"/>
                <w:sz w:val="19"/>
                <w:szCs w:val="19"/>
              </w:rPr>
              <w:t xml:space="preserve">5</w:t>
            </w:r>
          </w:p>
          <w:p>
            <w:pPr>
              <w:spacing w:after="30"/>
              <w:jc w:val="center"/>
            </w:pPr>
            <w:r>
              <w:rPr>
                <w:color w:val="FFFFFF"/>
                <w:sz w:val="16"/>
                <w:szCs w:val="16"/>
              </w:rPr>
              <w:t xml:space="preserve">Load facts</w:t>
            </w:r>
          </w:p>
        </w:tc>
        <w:tc>
          <w:tcPr>
            <w:tcW w:type="dxa" w:w="120"/>
            <w:tcBorders>
              <w:top w:val="none" w:color="FFFFFF" w:sz="0"/>
              <w:left w:val="none" w:color="FFFFFF" w:sz="0"/>
              <w:bottom w:val="none" w:color="FFFFFF" w:sz="0"/>
              <w:right w:val="none" w:color="FFFFFF" w:sz="0"/>
            </w:tcBorders>
          </w:tcPr>
          <w:p/>
        </w:tc>
        <w:tc>
          <w:tcPr>
            <w:tcW w:type="dxa" w:w="2166"/>
            <w:tcBorders>
              <w:top w:val="single" w:color="2F5496" w:sz="6"/>
              <w:left w:val="single" w:color="2F5496" w:sz="6"/>
              <w:bottom w:val="single" w:color="2F5496" w:sz="6"/>
              <w:right w:val="single" w:color="2F5496" w:sz="6"/>
            </w:tcBorders>
            <w:shd w:fill="2F5496" w:val="clear"/>
            <w:tcMar>
              <w:top w:type="dxa" w:w="40"/>
              <w:left w:type="dxa" w:w="100"/>
              <w:bottom w:type="dxa" w:w="40"/>
              <w:right w:type="dxa" w:w="100"/>
            </w:tcMar>
            <w:vAlign w:val="center"/>
          </w:tcPr>
          <w:p>
            <w:pPr>
              <w:spacing w:after="20" w:before="30"/>
              <w:jc w:val="center"/>
            </w:pPr>
            <w:r>
              <w:rPr>
                <w:b/>
                <w:bCs/>
                <w:color w:val="FFFFFF"/>
                <w:sz w:val="19"/>
                <w:szCs w:val="19"/>
              </w:rPr>
              <w:t xml:space="preserve">6</w:t>
            </w:r>
          </w:p>
          <w:p>
            <w:pPr>
              <w:spacing w:after="30"/>
              <w:jc w:val="center"/>
            </w:pPr>
            <w:r>
              <w:rPr>
                <w:color w:val="FFFFFF"/>
                <w:sz w:val="16"/>
                <w:szCs w:val="16"/>
              </w:rPr>
              <w:t xml:space="preserve">Compute fees</w:t>
            </w:r>
          </w:p>
        </w:tc>
        <w:tc>
          <w:tcPr>
            <w:tcW w:type="dxa" w:w="120"/>
            <w:tcBorders>
              <w:top w:val="none" w:color="FFFFFF" w:sz="0"/>
              <w:left w:val="none" w:color="FFFFFF" w:sz="0"/>
              <w:bottom w:val="none" w:color="FFFFFF" w:sz="0"/>
              <w:right w:val="none" w:color="FFFFFF" w:sz="0"/>
            </w:tcBorders>
          </w:tcPr>
          <w:p/>
        </w:tc>
        <w:tc>
          <w:tcPr>
            <w:tcW w:type="dxa" w:w="2166"/>
            <w:tcBorders>
              <w:top w:val="single" w:color="4472C4" w:sz="6"/>
              <w:left w:val="single" w:color="4472C4" w:sz="6"/>
              <w:bottom w:val="single" w:color="4472C4" w:sz="6"/>
              <w:right w:val="single" w:color="4472C4" w:sz="6"/>
            </w:tcBorders>
            <w:shd w:fill="4472C4" w:val="clear"/>
            <w:tcMar>
              <w:top w:type="dxa" w:w="40"/>
              <w:left w:type="dxa" w:w="100"/>
              <w:bottom w:type="dxa" w:w="40"/>
              <w:right w:type="dxa" w:w="100"/>
            </w:tcMar>
            <w:vAlign w:val="center"/>
          </w:tcPr>
          <w:p>
            <w:pPr>
              <w:spacing w:after="20" w:before="30"/>
              <w:jc w:val="center"/>
            </w:pPr>
            <w:r>
              <w:rPr>
                <w:b/>
                <w:bCs/>
                <w:color w:val="FFFFFF"/>
                <w:sz w:val="19"/>
                <w:szCs w:val="19"/>
              </w:rPr>
              <w:t xml:space="preserve">7</w:t>
            </w:r>
          </w:p>
          <w:p>
            <w:pPr>
              <w:spacing w:after="30"/>
              <w:jc w:val="center"/>
            </w:pPr>
            <w:r>
              <w:rPr>
                <w:color w:val="FFFFFF"/>
                <w:sz w:val="16"/>
                <w:szCs w:val="16"/>
              </w:rPr>
              <w:t xml:space="preserve">Aggregate daily</w:t>
            </w:r>
          </w:p>
        </w:tc>
        <w:tc>
          <w:tcPr>
            <w:tcW w:type="dxa" w:w="120"/>
            <w:tcBorders>
              <w:top w:val="none" w:color="FFFFFF" w:sz="0"/>
              <w:left w:val="none" w:color="FFFFFF" w:sz="0"/>
              <w:bottom w:val="none" w:color="FFFFFF" w:sz="0"/>
              <w:right w:val="none" w:color="FFFFFF" w:sz="0"/>
            </w:tcBorders>
          </w:tcPr>
          <w:p/>
        </w:tc>
        <w:tc>
          <w:tcPr>
            <w:tcW w:type="dxa" w:w="2166"/>
            <w:tcBorders>
              <w:top w:val="single" w:color="2F5496" w:sz="6"/>
              <w:left w:val="single" w:color="2F5496" w:sz="6"/>
              <w:bottom w:val="single" w:color="2F5496" w:sz="6"/>
              <w:right w:val="single" w:color="2F5496" w:sz="6"/>
            </w:tcBorders>
            <w:shd w:fill="2F5496" w:val="clear"/>
            <w:tcMar>
              <w:top w:type="dxa" w:w="40"/>
              <w:left w:type="dxa" w:w="100"/>
              <w:bottom w:type="dxa" w:w="40"/>
              <w:right w:type="dxa" w:w="100"/>
            </w:tcMar>
            <w:vAlign w:val="center"/>
          </w:tcPr>
          <w:p>
            <w:pPr>
              <w:spacing w:after="20" w:before="30"/>
              <w:jc w:val="center"/>
            </w:pPr>
            <w:r>
              <w:rPr>
                <w:b/>
                <w:bCs/>
                <w:color w:val="FFFFFF"/>
                <w:sz w:val="19"/>
                <w:szCs w:val="19"/>
              </w:rPr>
              <w:t xml:space="preserve">8</w:t>
            </w:r>
          </w:p>
          <w:p>
            <w:pPr>
              <w:spacing w:after="30"/>
              <w:jc w:val="center"/>
            </w:pPr>
            <w:r>
              <w:rPr>
                <w:color w:val="FFFFFF"/>
                <w:sz w:val="16"/>
                <w:szCs w:val="16"/>
              </w:rPr>
              <w:t xml:space="preserve">Roll up monthly</w:t>
            </w:r>
          </w:p>
        </w:tc>
      </w:tr>
    </w:tbl>
    <w:p>
      <w:pPr>
        <w:spacing w:after="30" w:before="30"/>
        <w:jc w:val="center"/>
      </w:pPr>
      <w:r>
        <w:rPr>
          <w:b/>
          <w:bCs/>
          <w:color w:val="2F5496"/>
          <w:sz w:val="22"/>
          <w:szCs w:val="22"/>
        </w:rPr>
        <w:t xml:space="preserve">▼</w:t>
      </w:r>
    </w:p>
    <w:tbl>
      <w:tblPr>
        <w:tblW w:type="dxa" w:w="9026"/>
        <w:jc w:val="center"/>
        <w:tblBorders>
          <w:top w:val="none" w:color="FFFFFF" w:sz="0"/>
          <w:left w:val="none" w:color="FFFFFF" w:sz="0"/>
          <w:bottom w:val="none" w:color="FFFFFF" w:sz="0"/>
          <w:right w:val="none" w:color="FFFFFF" w:sz="0"/>
          <w:insideH w:val="single" w:color="auto" w:sz="4"/>
          <w:insideV w:val="single" w:color="auto" w:sz="4"/>
        </w:tblBorders>
      </w:tblPr>
      <w:tblGrid>
        <w:gridCol w:w="2166"/>
        <w:gridCol w:w="120"/>
        <w:gridCol w:w="2166"/>
        <w:gridCol w:w="120"/>
        <w:gridCol w:w="2166"/>
        <w:gridCol w:w="120"/>
        <w:gridCol w:w="2166"/>
      </w:tblGrid>
      <w:tr>
        <w:tc>
          <w:tcPr>
            <w:tcW w:type="dxa" w:w="2166"/>
            <w:tcBorders>
              <w:top w:val="single" w:color="1F3864" w:sz="6"/>
              <w:left w:val="single" w:color="1F3864" w:sz="6"/>
              <w:bottom w:val="single" w:color="1F3864" w:sz="6"/>
              <w:right w:val="single" w:color="1F3864" w:sz="6"/>
            </w:tcBorders>
            <w:shd w:fill="1F3864" w:val="clear"/>
            <w:tcMar>
              <w:top w:type="dxa" w:w="40"/>
              <w:left w:type="dxa" w:w="100"/>
              <w:bottom w:type="dxa" w:w="40"/>
              <w:right w:type="dxa" w:w="100"/>
            </w:tcMar>
            <w:vAlign w:val="center"/>
          </w:tcPr>
          <w:p>
            <w:pPr>
              <w:spacing w:after="20" w:before="30"/>
              <w:jc w:val="center"/>
            </w:pPr>
            <w:r>
              <w:rPr>
                <w:b/>
                <w:bCs/>
                <w:color w:val="FFFFFF"/>
                <w:sz w:val="19"/>
                <w:szCs w:val="19"/>
              </w:rPr>
              <w:t xml:space="preserve">9</w:t>
            </w:r>
          </w:p>
          <w:p>
            <w:pPr>
              <w:spacing w:after="30"/>
              <w:jc w:val="center"/>
            </w:pPr>
            <w:r>
              <w:rPr>
                <w:color w:val="FFFFFF"/>
                <w:sz w:val="16"/>
                <w:szCs w:val="16"/>
              </w:rPr>
              <w:t xml:space="preserve">Score &amp; segment</w:t>
            </w:r>
          </w:p>
        </w:tc>
        <w:tc>
          <w:tcPr>
            <w:tcW w:type="dxa" w:w="120"/>
            <w:tcBorders>
              <w:top w:val="none" w:color="FFFFFF" w:sz="0"/>
              <w:left w:val="none" w:color="FFFFFF" w:sz="0"/>
              <w:bottom w:val="none" w:color="FFFFFF" w:sz="0"/>
              <w:right w:val="none" w:color="FFFFFF" w:sz="0"/>
            </w:tcBorders>
          </w:tcPr>
          <w:p/>
        </w:tc>
        <w:tc>
          <w:tcPr>
            <w:tcW w:type="dxa" w:w="2166"/>
            <w:tcBorders>
              <w:top w:val="single" w:color="2F5496" w:sz="6"/>
              <w:left w:val="single" w:color="2F5496" w:sz="6"/>
              <w:bottom w:val="single" w:color="2F5496" w:sz="6"/>
              <w:right w:val="single" w:color="2F5496" w:sz="6"/>
            </w:tcBorders>
            <w:shd w:fill="2F5496" w:val="clear"/>
            <w:tcMar>
              <w:top w:type="dxa" w:w="40"/>
              <w:left w:type="dxa" w:w="100"/>
              <w:bottom w:type="dxa" w:w="40"/>
              <w:right w:type="dxa" w:w="100"/>
            </w:tcMar>
            <w:vAlign w:val="center"/>
          </w:tcPr>
          <w:p>
            <w:pPr>
              <w:spacing w:after="20" w:before="30"/>
              <w:jc w:val="center"/>
            </w:pPr>
            <w:r>
              <w:rPr>
                <w:b/>
                <w:bCs/>
                <w:color w:val="FFFFFF"/>
                <w:sz w:val="19"/>
                <w:szCs w:val="19"/>
              </w:rPr>
              <w:t xml:space="preserve">10</w:t>
            </w:r>
          </w:p>
          <w:p>
            <w:pPr>
              <w:spacing w:after="30"/>
              <w:jc w:val="center"/>
            </w:pPr>
            <w:r>
              <w:rPr>
                <w:color w:val="FFFFFF"/>
                <w:sz w:val="16"/>
                <w:szCs w:val="16"/>
              </w:rPr>
              <w:t xml:space="preserve">Refresh dashboards</w:t>
            </w:r>
          </w:p>
        </w:tc>
        <w:tc>
          <w:tcPr>
            <w:tcW w:type="dxa" w:w="120"/>
            <w:tcBorders>
              <w:top w:val="none" w:color="FFFFFF" w:sz="0"/>
              <w:left w:val="none" w:color="FFFFFF" w:sz="0"/>
              <w:bottom w:val="none" w:color="FFFFFF" w:sz="0"/>
              <w:right w:val="none" w:color="FFFFFF" w:sz="0"/>
            </w:tcBorders>
          </w:tcPr>
          <w:p/>
        </w:tc>
        <w:tc>
          <w:tcPr>
            <w:tcW w:type="dxa" w:w="2166"/>
            <w:tcBorders>
              <w:top w:val="single" w:color="4472C4" w:sz="6"/>
              <w:left w:val="single" w:color="4472C4" w:sz="6"/>
              <w:bottom w:val="single" w:color="4472C4" w:sz="6"/>
              <w:right w:val="single" w:color="4472C4" w:sz="6"/>
            </w:tcBorders>
            <w:shd w:fill="4472C4" w:val="clear"/>
            <w:tcMar>
              <w:top w:type="dxa" w:w="40"/>
              <w:left w:type="dxa" w:w="100"/>
              <w:bottom w:type="dxa" w:w="40"/>
              <w:right w:type="dxa" w:w="100"/>
            </w:tcMar>
            <w:vAlign w:val="center"/>
          </w:tcPr>
          <w:p>
            <w:pPr>
              <w:spacing w:after="20" w:before="30"/>
              <w:jc w:val="center"/>
            </w:pPr>
            <w:r>
              <w:rPr>
                <w:b/>
                <w:bCs/>
                <w:color w:val="FFFFFF"/>
                <w:sz w:val="19"/>
                <w:szCs w:val="19"/>
              </w:rPr>
              <w:t xml:space="preserve">11</w:t>
            </w:r>
          </w:p>
          <w:p>
            <w:pPr>
              <w:spacing w:after="30"/>
              <w:jc w:val="center"/>
            </w:pPr>
            <w:r>
              <w:rPr>
                <w:color w:val="FFFFFF"/>
                <w:sz w:val="16"/>
                <w:szCs w:val="16"/>
              </w:rPr>
              <w:t xml:space="preserve">Report &amp; alert</w:t>
            </w:r>
          </w:p>
        </w:tc>
        <w:tc>
          <w:tcPr>
            <w:tcW w:type="dxa" w:w="120"/>
            <w:tcBorders>
              <w:top w:val="none" w:color="FFFFFF" w:sz="0"/>
              <w:left w:val="none" w:color="FFFFFF" w:sz="0"/>
              <w:bottom w:val="none" w:color="FFFFFF" w:sz="0"/>
              <w:right w:val="none" w:color="FFFFFF" w:sz="0"/>
            </w:tcBorders>
          </w:tcPr>
          <w:p/>
        </w:tc>
        <w:tc>
          <w:tcPr>
            <w:tcW w:type="dxa" w:w="2166"/>
            <w:tcBorders>
              <w:top w:val="single" w:color="2F5496" w:sz="6"/>
              <w:left w:val="single" w:color="2F5496" w:sz="6"/>
              <w:bottom w:val="single" w:color="2F5496" w:sz="6"/>
              <w:right w:val="single" w:color="2F5496" w:sz="6"/>
            </w:tcBorders>
            <w:shd w:fill="2F5496" w:val="clear"/>
            <w:tcMar>
              <w:top w:type="dxa" w:w="40"/>
              <w:left w:type="dxa" w:w="100"/>
              <w:bottom w:type="dxa" w:w="40"/>
              <w:right w:type="dxa" w:w="100"/>
            </w:tcMar>
            <w:vAlign w:val="center"/>
          </w:tcPr>
          <w:p>
            <w:pPr>
              <w:spacing w:after="20" w:before="30"/>
              <w:jc w:val="center"/>
            </w:pPr>
            <w:r>
              <w:rPr>
                <w:b/>
                <w:bCs/>
                <w:color w:val="FFFFFF"/>
                <w:sz w:val="19"/>
                <w:szCs w:val="19"/>
              </w:rPr>
              <w:t xml:space="preserve">12</w:t>
            </w:r>
          </w:p>
          <w:p>
            <w:pPr>
              <w:spacing w:after="30"/>
              <w:jc w:val="center"/>
            </w:pPr>
            <w:r>
              <w:rPr>
                <w:color w:val="FFFFFF"/>
                <w:sz w:val="16"/>
                <w:szCs w:val="16"/>
              </w:rPr>
              <w:t xml:space="preserve">Business action</w:t>
            </w:r>
          </w:p>
        </w:tc>
      </w:tr>
    </w:tbl>
    <w:p>
      <w:pPr>
        <w:spacing w:after="160"/>
      </w:pPr>
    </w:p>
    <w:tbl>
      <w:tblPr>
        <w:tblW w:type="dxa" w:w="9026"/>
        <w:tblBorders>
          <w:top w:val="single" w:color="C5D3E8" w:sz="4"/>
          <w:left w:val="single" w:color="C5D3E8" w:sz="4"/>
          <w:bottom w:val="single" w:color="C5D3E8" w:sz="4"/>
          <w:right w:val="single" w:color="C5D3E8" w:sz="4"/>
          <w:insideH w:val="single" w:color="C5D3E8" w:sz="4"/>
          <w:insideV w:val="single" w:color="C5D3E8" w:sz="4"/>
        </w:tblBorders>
      </w:tblPr>
      <w:tblGrid>
        <w:gridCol w:w="1624"/>
        <w:gridCol w:w="1480"/>
        <w:gridCol w:w="1480"/>
        <w:gridCol w:w="1480"/>
        <w:gridCol w:w="1480"/>
        <w:gridCol w:w="1480"/>
      </w:tblGrid>
      <w:tr>
        <w:trPr>
          <w:tblHeader/>
        </w:trPr>
        <w:tc>
          <w:tcPr>
            <w:tcW w:type="dxa" w:w="1624"/>
            <w:shd w:fill="E8EEF7" w:val="clear"/>
            <w:tcMar>
              <w:top w:type="dxa" w:w="60"/>
              <w:left w:type="dxa" w:w="100"/>
              <w:bottom w:type="dxa" w:w="60"/>
              <w:right w:type="dxa" w:w="100"/>
            </w:tcMar>
          </w:tcPr>
          <w:p>
            <w:pPr>
              <w:spacing w:after="20" w:before="20"/>
            </w:pPr>
            <w:r>
              <w:rPr>
                <w:b/>
                <w:bCs/>
                <w:color w:val="1F3864"/>
                <w:sz w:val="18"/>
                <w:szCs w:val="18"/>
              </w:rPr>
              <w:t xml:space="preserve">Stage</w:t>
            </w:r>
          </w:p>
        </w:tc>
        <w:tc>
          <w:tcPr>
            <w:tcW w:type="dxa" w:w="1480"/>
            <w:shd w:fill="E8EEF7" w:val="clear"/>
            <w:tcMar>
              <w:top w:type="dxa" w:w="60"/>
              <w:left w:type="dxa" w:w="100"/>
              <w:bottom w:type="dxa" w:w="60"/>
              <w:right w:type="dxa" w:w="100"/>
            </w:tcMar>
          </w:tcPr>
          <w:p>
            <w:pPr>
              <w:spacing w:after="20" w:before="20"/>
            </w:pPr>
            <w:r>
              <w:rPr>
                <w:b/>
                <w:bCs/>
                <w:color w:val="1F3864"/>
                <w:sz w:val="18"/>
                <w:szCs w:val="18"/>
              </w:rPr>
              <w:t xml:space="preserve">Business purpose</w:t>
            </w:r>
          </w:p>
        </w:tc>
        <w:tc>
          <w:tcPr>
            <w:tcW w:type="dxa" w:w="1480"/>
            <w:shd w:fill="E8EEF7" w:val="clear"/>
            <w:tcMar>
              <w:top w:type="dxa" w:w="60"/>
              <w:left w:type="dxa" w:w="100"/>
              <w:bottom w:type="dxa" w:w="60"/>
              <w:right w:type="dxa" w:w="100"/>
            </w:tcMar>
          </w:tcPr>
          <w:p>
            <w:pPr>
              <w:spacing w:after="20" w:before="20"/>
            </w:pPr>
            <w:r>
              <w:rPr>
                <w:b/>
                <w:bCs/>
                <w:color w:val="1F3864"/>
                <w:sz w:val="18"/>
                <w:szCs w:val="18"/>
              </w:rPr>
              <w:t xml:space="preserve">Input</w:t>
            </w:r>
          </w:p>
        </w:tc>
        <w:tc>
          <w:tcPr>
            <w:tcW w:type="dxa" w:w="1480"/>
            <w:shd w:fill="E8EEF7" w:val="clear"/>
            <w:tcMar>
              <w:top w:type="dxa" w:w="60"/>
              <w:left w:type="dxa" w:w="100"/>
              <w:bottom w:type="dxa" w:w="60"/>
              <w:right w:type="dxa" w:w="100"/>
            </w:tcMar>
          </w:tcPr>
          <w:p>
            <w:pPr>
              <w:spacing w:after="20" w:before="20"/>
            </w:pPr>
            <w:r>
              <w:rPr>
                <w:b/>
                <w:bCs/>
                <w:color w:val="1F3864"/>
                <w:sz w:val="18"/>
                <w:szCs w:val="18"/>
              </w:rPr>
              <w:t xml:space="preserve">Processing</w:t>
            </w:r>
          </w:p>
        </w:tc>
        <w:tc>
          <w:tcPr>
            <w:tcW w:type="dxa" w:w="1480"/>
            <w:shd w:fill="E8EEF7" w:val="clear"/>
            <w:tcMar>
              <w:top w:type="dxa" w:w="60"/>
              <w:left w:type="dxa" w:w="100"/>
              <w:bottom w:type="dxa" w:w="60"/>
              <w:right w:type="dxa" w:w="100"/>
            </w:tcMar>
          </w:tcPr>
          <w:p>
            <w:pPr>
              <w:spacing w:after="20" w:before="20"/>
            </w:pPr>
            <w:r>
              <w:rPr>
                <w:b/>
                <w:bCs/>
                <w:color w:val="1F3864"/>
                <w:sz w:val="18"/>
                <w:szCs w:val="18"/>
              </w:rPr>
              <w:t xml:space="preserve">Output</w:t>
            </w:r>
          </w:p>
        </w:tc>
        <w:tc>
          <w:tcPr>
            <w:tcW w:type="dxa" w:w="1480"/>
            <w:shd w:fill="E8EEF7" w:val="clear"/>
            <w:tcMar>
              <w:top w:type="dxa" w:w="60"/>
              <w:left w:type="dxa" w:w="100"/>
              <w:bottom w:type="dxa" w:w="60"/>
              <w:right w:type="dxa" w:w="100"/>
            </w:tcMar>
          </w:tcPr>
          <w:p>
            <w:pPr>
              <w:spacing w:after="20" w:before="20"/>
            </w:pPr>
            <w:r>
              <w:rPr>
                <w:b/>
                <w:bCs/>
                <w:color w:val="1F3864"/>
                <w:sz w:val="18"/>
                <w:szCs w:val="18"/>
              </w:rPr>
              <w:t xml:space="preserve">Business value</w:t>
            </w:r>
          </w:p>
        </w:tc>
      </w:tr>
      <w:tr>
        <w:trPr>
          <w:tblHeader w:val="false"/>
        </w:trPr>
        <w:tc>
          <w:tcPr>
            <w:tcW w:type="dxa" w:w="1624"/>
            <w:tcMar>
              <w:top w:type="dxa" w:w="60"/>
              <w:left w:type="dxa" w:w="100"/>
              <w:bottom w:type="dxa" w:w="60"/>
              <w:right w:type="dxa" w:w="100"/>
            </w:tcMar>
          </w:tcPr>
          <w:p>
            <w:pPr>
              <w:spacing w:after="20" w:before="20"/>
            </w:pPr>
            <w:r>
              <w:rPr>
                <w:b w:val="false"/>
                <w:bCs w:val="false"/>
                <w:sz w:val="18"/>
                <w:szCs w:val="18"/>
              </w:rPr>
              <w:t xml:space="preserve">1. Receive data</w:t>
            </w:r>
          </w:p>
        </w:tc>
        <w:tc>
          <w:tcPr>
            <w:tcW w:type="dxa" w:w="1480"/>
            <w:tcMar>
              <w:top w:type="dxa" w:w="60"/>
              <w:left w:type="dxa" w:w="100"/>
              <w:bottom w:type="dxa" w:w="60"/>
              <w:right w:type="dxa" w:w="100"/>
            </w:tcMar>
          </w:tcPr>
          <w:p>
            <w:pPr>
              <w:spacing w:after="20" w:before="20"/>
            </w:pPr>
            <w:r>
              <w:rPr>
                <w:b w:val="false"/>
                <w:bCs w:val="false"/>
                <w:sz w:val="18"/>
                <w:szCs w:val="18"/>
              </w:rPr>
              <w:t xml:space="preserve">Get source data into the platform</w:t>
            </w:r>
          </w:p>
        </w:tc>
        <w:tc>
          <w:tcPr>
            <w:tcW w:type="dxa" w:w="1480"/>
            <w:tcMar>
              <w:top w:type="dxa" w:w="60"/>
              <w:left w:type="dxa" w:w="100"/>
              <w:bottom w:type="dxa" w:w="60"/>
              <w:right w:type="dxa" w:w="100"/>
            </w:tcMar>
          </w:tcPr>
          <w:p>
            <w:pPr>
              <w:spacing w:after="20" w:before="20"/>
            </w:pPr>
            <w:r>
              <w:rPr>
                <w:b w:val="false"/>
                <w:bCs w:val="false"/>
                <w:sz w:val="18"/>
                <w:szCs w:val="18"/>
              </w:rPr>
              <w:t xml:space="preserve">Transaction and merchant files; scheduled database pulls</w:t>
            </w:r>
          </w:p>
        </w:tc>
        <w:tc>
          <w:tcPr>
            <w:tcW w:type="dxa" w:w="1480"/>
            <w:tcMar>
              <w:top w:type="dxa" w:w="60"/>
              <w:left w:type="dxa" w:w="100"/>
              <w:bottom w:type="dxa" w:w="60"/>
              <w:right w:type="dxa" w:w="100"/>
            </w:tcMar>
          </w:tcPr>
          <w:p>
            <w:pPr>
              <w:spacing w:after="20" w:before="20"/>
            </w:pPr>
            <w:r>
              <w:rPr>
                <w:b w:val="false"/>
                <w:bCs w:val="false"/>
                <w:sz w:val="18"/>
                <w:szCs w:val="18"/>
              </w:rPr>
              <w:t xml:space="preserve">File type auto-detected; owning bank identified from the file itself; cross-tenant uploads blocked</w:t>
            </w:r>
          </w:p>
        </w:tc>
        <w:tc>
          <w:tcPr>
            <w:tcW w:type="dxa" w:w="1480"/>
            <w:tcMar>
              <w:top w:type="dxa" w:w="60"/>
              <w:left w:type="dxa" w:w="100"/>
              <w:bottom w:type="dxa" w:w="60"/>
              <w:right w:type="dxa" w:w="100"/>
            </w:tcMar>
          </w:tcPr>
          <w:p>
            <w:pPr>
              <w:spacing w:after="20" w:before="20"/>
            </w:pPr>
            <w:r>
              <w:rPr>
                <w:b w:val="false"/>
                <w:bCs w:val="false"/>
                <w:sz w:val="18"/>
                <w:szCs w:val="18"/>
              </w:rPr>
              <w:t xml:space="preserve">An accepted load request</w:t>
            </w:r>
          </w:p>
        </w:tc>
        <w:tc>
          <w:tcPr>
            <w:tcW w:type="dxa" w:w="1480"/>
            <w:tcMar>
              <w:top w:type="dxa" w:w="60"/>
              <w:left w:type="dxa" w:w="100"/>
              <w:bottom w:type="dxa" w:w="60"/>
              <w:right w:type="dxa" w:w="100"/>
            </w:tcMar>
          </w:tcPr>
          <w:p>
            <w:pPr>
              <w:spacing w:after="20" w:before="20"/>
            </w:pPr>
            <w:r>
              <w:rPr>
                <w:b w:val="false"/>
                <w:bCs w:val="false"/>
                <w:sz w:val="18"/>
                <w:szCs w:val="18"/>
              </w:rPr>
              <w:t xml:space="preserve">Controlled, auditable intake</w:t>
            </w:r>
          </w:p>
        </w:tc>
      </w:tr>
      <w:tr>
        <w:trPr>
          <w:tblHeader w:val="false"/>
        </w:trPr>
        <w:tc>
          <w:tcPr>
            <w:tcW w:type="dxa" w:w="1624"/>
            <w:tcMar>
              <w:top w:type="dxa" w:w="60"/>
              <w:left w:type="dxa" w:w="100"/>
              <w:bottom w:type="dxa" w:w="60"/>
              <w:right w:type="dxa" w:w="100"/>
            </w:tcMar>
          </w:tcPr>
          <w:p>
            <w:pPr>
              <w:spacing w:after="20" w:before="20"/>
            </w:pPr>
            <w:r>
              <w:rPr>
                <w:b w:val="false"/>
                <w:bCs w:val="false"/>
                <w:sz w:val="18"/>
                <w:szCs w:val="18"/>
              </w:rPr>
              <w:t xml:space="preserve">2. Stage</w:t>
            </w:r>
          </w:p>
        </w:tc>
        <w:tc>
          <w:tcPr>
            <w:tcW w:type="dxa" w:w="1480"/>
            <w:tcMar>
              <w:top w:type="dxa" w:w="60"/>
              <w:left w:type="dxa" w:w="100"/>
              <w:bottom w:type="dxa" w:w="60"/>
              <w:right w:type="dxa" w:w="100"/>
            </w:tcMar>
          </w:tcPr>
          <w:p>
            <w:pPr>
              <w:spacing w:after="20" w:before="20"/>
            </w:pPr>
            <w:r>
              <w:rPr>
                <w:b w:val="false"/>
                <w:bCs w:val="false"/>
                <w:sz w:val="18"/>
                <w:szCs w:val="18"/>
              </w:rPr>
              <w:t xml:space="preserve">Land raw rows untouched</w:t>
            </w:r>
          </w:p>
        </w:tc>
        <w:tc>
          <w:tcPr>
            <w:tcW w:type="dxa" w:w="1480"/>
            <w:tcMar>
              <w:top w:type="dxa" w:w="60"/>
              <w:left w:type="dxa" w:w="100"/>
              <w:bottom w:type="dxa" w:w="60"/>
              <w:right w:type="dxa" w:w="100"/>
            </w:tcMar>
          </w:tcPr>
          <w:p>
            <w:pPr>
              <w:spacing w:after="20" w:before="20"/>
            </w:pPr>
            <w:r>
              <w:rPr>
                <w:b w:val="false"/>
                <w:bCs w:val="false"/>
                <w:sz w:val="18"/>
                <w:szCs w:val="18"/>
              </w:rPr>
              <w:t xml:space="preserve">Accepted file</w:t>
            </w:r>
          </w:p>
        </w:tc>
        <w:tc>
          <w:tcPr>
            <w:tcW w:type="dxa" w:w="1480"/>
            <w:tcMar>
              <w:top w:type="dxa" w:w="60"/>
              <w:left w:type="dxa" w:w="100"/>
              <w:bottom w:type="dxa" w:w="60"/>
              <w:right w:type="dxa" w:w="100"/>
            </w:tcMar>
          </w:tcPr>
          <w:p>
            <w:pPr>
              <w:spacing w:after="20" w:before="20"/>
            </w:pPr>
            <w:r>
              <w:rPr>
                <w:b w:val="false"/>
                <w:bCs w:val="false"/>
                <w:sz w:val="18"/>
                <w:szCs w:val="18"/>
              </w:rPr>
              <w:t xml:space="preserve">Bulk load into staging, split across parallel workers</w:t>
            </w:r>
          </w:p>
        </w:tc>
        <w:tc>
          <w:tcPr>
            <w:tcW w:type="dxa" w:w="1480"/>
            <w:tcMar>
              <w:top w:type="dxa" w:w="60"/>
              <w:left w:type="dxa" w:w="100"/>
              <w:bottom w:type="dxa" w:w="60"/>
              <w:right w:type="dxa" w:w="100"/>
            </w:tcMar>
          </w:tcPr>
          <w:p>
            <w:pPr>
              <w:spacing w:after="20" w:before="20"/>
            </w:pPr>
            <w:r>
              <w:rPr>
                <w:b w:val="false"/>
                <w:bCs w:val="false"/>
                <w:sz w:val="18"/>
                <w:szCs w:val="18"/>
              </w:rPr>
              <w:t xml:space="preserve">Raw staging rows</w:t>
            </w:r>
          </w:p>
        </w:tc>
        <w:tc>
          <w:tcPr>
            <w:tcW w:type="dxa" w:w="1480"/>
            <w:tcMar>
              <w:top w:type="dxa" w:w="60"/>
              <w:left w:type="dxa" w:w="100"/>
              <w:bottom w:type="dxa" w:w="60"/>
              <w:right w:type="dxa" w:w="100"/>
            </w:tcMar>
          </w:tcPr>
          <w:p>
            <w:pPr>
              <w:spacing w:after="20" w:before="20"/>
            </w:pPr>
            <w:r>
              <w:rPr>
                <w:b w:val="false"/>
                <w:bCs w:val="false"/>
                <w:sz w:val="18"/>
                <w:szCs w:val="18"/>
              </w:rPr>
              <w:t xml:space="preserve">Fast, restartable loading</w:t>
            </w:r>
          </w:p>
        </w:tc>
      </w:tr>
      <w:tr>
        <w:trPr>
          <w:tblHeader w:val="false"/>
        </w:trPr>
        <w:tc>
          <w:tcPr>
            <w:tcW w:type="dxa" w:w="1624"/>
            <w:tcMar>
              <w:top w:type="dxa" w:w="60"/>
              <w:left w:type="dxa" w:w="100"/>
              <w:bottom w:type="dxa" w:w="60"/>
              <w:right w:type="dxa" w:w="100"/>
            </w:tcMar>
          </w:tcPr>
          <w:p>
            <w:pPr>
              <w:spacing w:after="20" w:before="20"/>
            </w:pPr>
            <w:r>
              <w:rPr>
                <w:b w:val="false"/>
                <w:bCs w:val="false"/>
                <w:sz w:val="18"/>
                <w:szCs w:val="18"/>
              </w:rPr>
              <w:t xml:space="preserve">3. Validate</w:t>
            </w:r>
          </w:p>
        </w:tc>
        <w:tc>
          <w:tcPr>
            <w:tcW w:type="dxa" w:w="1480"/>
            <w:tcMar>
              <w:top w:type="dxa" w:w="60"/>
              <w:left w:type="dxa" w:w="100"/>
              <w:bottom w:type="dxa" w:w="60"/>
              <w:right w:type="dxa" w:w="100"/>
            </w:tcMar>
          </w:tcPr>
          <w:p>
            <w:pPr>
              <w:spacing w:after="20" w:before="20"/>
            </w:pPr>
            <w:r>
              <w:rPr>
                <w:b w:val="false"/>
                <w:bCs w:val="false"/>
                <w:sz w:val="18"/>
                <w:szCs w:val="18"/>
              </w:rPr>
              <w:t xml:space="preserve">Stop bad data early</w:t>
            </w:r>
          </w:p>
        </w:tc>
        <w:tc>
          <w:tcPr>
            <w:tcW w:type="dxa" w:w="1480"/>
            <w:tcMar>
              <w:top w:type="dxa" w:w="60"/>
              <w:left w:type="dxa" w:w="100"/>
              <w:bottom w:type="dxa" w:w="60"/>
              <w:right w:type="dxa" w:w="100"/>
            </w:tcMar>
          </w:tcPr>
          <w:p>
            <w:pPr>
              <w:spacing w:after="20" w:before="20"/>
            </w:pPr>
            <w:r>
              <w:rPr>
                <w:b w:val="false"/>
                <w:bCs w:val="false"/>
                <w:sz w:val="18"/>
                <w:szCs w:val="18"/>
              </w:rPr>
              <w:t xml:space="preserve">Staging rows</w:t>
            </w:r>
          </w:p>
        </w:tc>
        <w:tc>
          <w:tcPr>
            <w:tcW w:type="dxa" w:w="1480"/>
            <w:tcMar>
              <w:top w:type="dxa" w:w="60"/>
              <w:left w:type="dxa" w:w="100"/>
              <w:bottom w:type="dxa" w:w="60"/>
              <w:right w:type="dxa" w:w="100"/>
            </w:tcMar>
          </w:tcPr>
          <w:p>
            <w:pPr>
              <w:spacing w:after="20" w:before="20"/>
            </w:pPr>
            <w:r>
              <w:rPr>
                <w:b w:val="false"/>
                <w:bCs w:val="false"/>
                <w:sz w:val="18"/>
                <w:szCs w:val="18"/>
              </w:rPr>
              <w:t xml:space="preserve">Amount conventions applied per feed format; currency divisors applied per country; a hard gate rejects any load where no usable transaction date exists</w:t>
            </w:r>
          </w:p>
        </w:tc>
        <w:tc>
          <w:tcPr>
            <w:tcW w:type="dxa" w:w="1480"/>
            <w:tcMar>
              <w:top w:type="dxa" w:w="60"/>
              <w:left w:type="dxa" w:w="100"/>
              <w:bottom w:type="dxa" w:w="60"/>
              <w:right w:type="dxa" w:w="100"/>
            </w:tcMar>
          </w:tcPr>
          <w:p>
            <w:pPr>
              <w:spacing w:after="20" w:before="20"/>
            </w:pPr>
            <w:r>
              <w:rPr>
                <w:b w:val="false"/>
                <w:bCs w:val="false"/>
                <w:sz w:val="18"/>
                <w:szCs w:val="18"/>
              </w:rPr>
              <w:t xml:space="preserve">Clean staging rows, or a rejected load with a clear reason</w:t>
            </w:r>
          </w:p>
        </w:tc>
        <w:tc>
          <w:tcPr>
            <w:tcW w:type="dxa" w:w="1480"/>
            <w:tcMar>
              <w:top w:type="dxa" w:w="60"/>
              <w:left w:type="dxa" w:w="100"/>
              <w:bottom w:type="dxa" w:w="60"/>
              <w:right w:type="dxa" w:w="100"/>
            </w:tcMar>
          </w:tcPr>
          <w:p>
            <w:pPr>
              <w:spacing w:after="20" w:before="20"/>
            </w:pPr>
            <w:r>
              <w:rPr>
                <w:b w:val="false"/>
                <w:bCs w:val="false"/>
                <w:sz w:val="18"/>
                <w:szCs w:val="18"/>
              </w:rPr>
              <w:t xml:space="preserve">No silently empty or wrong loads</w:t>
            </w:r>
          </w:p>
        </w:tc>
      </w:tr>
      <w:tr>
        <w:trPr>
          <w:tblHeader w:val="false"/>
        </w:trPr>
        <w:tc>
          <w:tcPr>
            <w:tcW w:type="dxa" w:w="1624"/>
            <w:tcMar>
              <w:top w:type="dxa" w:w="60"/>
              <w:left w:type="dxa" w:w="100"/>
              <w:bottom w:type="dxa" w:w="60"/>
              <w:right w:type="dxa" w:w="100"/>
            </w:tcMar>
          </w:tcPr>
          <w:p>
            <w:pPr>
              <w:spacing w:after="20" w:before="20"/>
            </w:pPr>
            <w:r>
              <w:rPr>
                <w:b w:val="false"/>
                <w:bCs w:val="false"/>
                <w:sz w:val="18"/>
                <w:szCs w:val="18"/>
              </w:rPr>
              <w:t xml:space="preserve">4. Match merchants</w:t>
            </w:r>
          </w:p>
        </w:tc>
        <w:tc>
          <w:tcPr>
            <w:tcW w:type="dxa" w:w="1480"/>
            <w:tcMar>
              <w:top w:type="dxa" w:w="60"/>
              <w:left w:type="dxa" w:w="100"/>
              <w:bottom w:type="dxa" w:w="60"/>
              <w:right w:type="dxa" w:w="100"/>
            </w:tcMar>
          </w:tcPr>
          <w:p>
            <w:pPr>
              <w:spacing w:after="20" w:before="20"/>
            </w:pPr>
            <w:r>
              <w:rPr>
                <w:b w:val="false"/>
                <w:bCs w:val="false"/>
                <w:sz w:val="18"/>
                <w:szCs w:val="18"/>
              </w:rPr>
              <w:t xml:space="preserve">Tie every transaction to a merchant, store and terminal</w:t>
            </w:r>
          </w:p>
        </w:tc>
        <w:tc>
          <w:tcPr>
            <w:tcW w:type="dxa" w:w="1480"/>
            <w:tcMar>
              <w:top w:type="dxa" w:w="60"/>
              <w:left w:type="dxa" w:w="100"/>
              <w:bottom w:type="dxa" w:w="60"/>
              <w:right w:type="dxa" w:w="100"/>
            </w:tcMar>
          </w:tcPr>
          <w:p>
            <w:pPr>
              <w:spacing w:after="20" w:before="20"/>
            </w:pPr>
            <w:r>
              <w:rPr>
                <w:b w:val="false"/>
                <w:bCs w:val="false"/>
                <w:sz w:val="18"/>
                <w:szCs w:val="18"/>
              </w:rPr>
              <w:t xml:space="preserve">Staging rows + merchant master</w:t>
            </w:r>
          </w:p>
        </w:tc>
        <w:tc>
          <w:tcPr>
            <w:tcW w:type="dxa" w:w="1480"/>
            <w:tcMar>
              <w:top w:type="dxa" w:w="60"/>
              <w:left w:type="dxa" w:w="100"/>
              <w:bottom w:type="dxa" w:w="60"/>
              <w:right w:type="dxa" w:w="100"/>
            </w:tcMar>
          </w:tcPr>
          <w:p>
            <w:pPr>
              <w:spacing w:after="20" w:before="20"/>
            </w:pPr>
            <w:r>
              <w:rPr>
                <w:b w:val="false"/>
                <w:bCs w:val="false"/>
                <w:sz w:val="18"/>
                <w:szCs w:val="18"/>
              </w:rPr>
              <w:t xml:space="preserve">Matching by store and terminal identifiers; placeholders auto-created when a transaction arrives before its merchant record, self-healing on the next master load</w:t>
            </w:r>
          </w:p>
        </w:tc>
        <w:tc>
          <w:tcPr>
            <w:tcW w:type="dxa" w:w="1480"/>
            <w:tcMar>
              <w:top w:type="dxa" w:w="60"/>
              <w:left w:type="dxa" w:w="100"/>
              <w:bottom w:type="dxa" w:w="60"/>
              <w:right w:type="dxa" w:w="100"/>
            </w:tcMar>
          </w:tcPr>
          <w:p>
            <w:pPr>
              <w:spacing w:after="20" w:before="20"/>
            </w:pPr>
            <w:r>
              <w:rPr>
                <w:b w:val="false"/>
                <w:bCs w:val="false"/>
                <w:sz w:val="18"/>
                <w:szCs w:val="18"/>
              </w:rPr>
              <w:t xml:space="preserve">Fully attributed transactions</w:t>
            </w:r>
          </w:p>
        </w:tc>
        <w:tc>
          <w:tcPr>
            <w:tcW w:type="dxa" w:w="1480"/>
            <w:tcMar>
              <w:top w:type="dxa" w:w="60"/>
              <w:left w:type="dxa" w:w="100"/>
              <w:bottom w:type="dxa" w:w="60"/>
              <w:right w:type="dxa" w:w="100"/>
            </w:tcMar>
          </w:tcPr>
          <w:p>
            <w:pPr>
              <w:spacing w:after="20" w:before="20"/>
            </w:pPr>
            <w:r>
              <w:rPr>
                <w:b w:val="false"/>
                <w:bCs w:val="false"/>
                <w:sz w:val="18"/>
                <w:szCs w:val="18"/>
              </w:rPr>
              <w:t xml:space="preserve">Merchant-level analysis becomes possible</w:t>
            </w:r>
          </w:p>
        </w:tc>
      </w:tr>
      <w:tr>
        <w:trPr>
          <w:tblHeader w:val="false"/>
        </w:trPr>
        <w:tc>
          <w:tcPr>
            <w:tcW w:type="dxa" w:w="1624"/>
            <w:tcMar>
              <w:top w:type="dxa" w:w="60"/>
              <w:left w:type="dxa" w:w="100"/>
              <w:bottom w:type="dxa" w:w="60"/>
              <w:right w:type="dxa" w:w="100"/>
            </w:tcMar>
          </w:tcPr>
          <w:p>
            <w:pPr>
              <w:spacing w:after="20" w:before="20"/>
            </w:pPr>
            <w:r>
              <w:rPr>
                <w:b w:val="false"/>
                <w:bCs w:val="false"/>
                <w:sz w:val="18"/>
                <w:szCs w:val="18"/>
              </w:rPr>
              <w:t xml:space="preserve">5. Load facts</w:t>
            </w:r>
          </w:p>
        </w:tc>
        <w:tc>
          <w:tcPr>
            <w:tcW w:type="dxa" w:w="1480"/>
            <w:tcMar>
              <w:top w:type="dxa" w:w="60"/>
              <w:left w:type="dxa" w:w="100"/>
              <w:bottom w:type="dxa" w:w="60"/>
              <w:right w:type="dxa" w:w="100"/>
            </w:tcMar>
          </w:tcPr>
          <w:p>
            <w:pPr>
              <w:spacing w:after="20" w:before="20"/>
            </w:pPr>
            <w:r>
              <w:rPr>
                <w:b w:val="false"/>
                <w:bCs w:val="false"/>
                <w:sz w:val="18"/>
                <w:szCs w:val="18"/>
              </w:rPr>
              <w:t xml:space="preserve">Build the single source of truth</w:t>
            </w:r>
          </w:p>
        </w:tc>
        <w:tc>
          <w:tcPr>
            <w:tcW w:type="dxa" w:w="1480"/>
            <w:tcMar>
              <w:top w:type="dxa" w:w="60"/>
              <w:left w:type="dxa" w:w="100"/>
              <w:bottom w:type="dxa" w:w="60"/>
              <w:right w:type="dxa" w:w="100"/>
            </w:tcMar>
          </w:tcPr>
          <w:p>
            <w:pPr>
              <w:spacing w:after="20" w:before="20"/>
            </w:pPr>
            <w:r>
              <w:rPr>
                <w:b w:val="false"/>
                <w:bCs w:val="false"/>
                <w:sz w:val="18"/>
                <w:szCs w:val="18"/>
              </w:rPr>
              <w:t xml:space="preserve">Matched rows</w:t>
            </w:r>
          </w:p>
        </w:tc>
        <w:tc>
          <w:tcPr>
            <w:tcW w:type="dxa" w:w="1480"/>
            <w:tcMar>
              <w:top w:type="dxa" w:w="60"/>
              <w:left w:type="dxa" w:w="100"/>
              <w:bottom w:type="dxa" w:w="60"/>
              <w:right w:type="dxa" w:w="100"/>
            </w:tcMar>
          </w:tcPr>
          <w:p>
            <w:pPr>
              <w:spacing w:after="20" w:before="20"/>
            </w:pPr>
            <w:r>
              <w:rPr>
                <w:b w:val="false"/>
                <w:bCs w:val="false"/>
                <w:sz w:val="18"/>
                <w:szCs w:val="18"/>
              </w:rPr>
              <w:t xml:space="preserve">Existing rows for the same dates are replaced, then fresh rows inserted — re-loading a day is safe and repeatable</w:t>
            </w:r>
          </w:p>
        </w:tc>
        <w:tc>
          <w:tcPr>
            <w:tcW w:type="dxa" w:w="1480"/>
            <w:tcMar>
              <w:top w:type="dxa" w:w="60"/>
              <w:left w:type="dxa" w:w="100"/>
              <w:bottom w:type="dxa" w:w="60"/>
              <w:right w:type="dxa" w:w="100"/>
            </w:tcMar>
          </w:tcPr>
          <w:p>
            <w:pPr>
              <w:spacing w:after="20" w:before="20"/>
            </w:pPr>
            <w:r>
              <w:rPr>
                <w:b w:val="false"/>
                <w:bCs w:val="false"/>
                <w:sz w:val="18"/>
                <w:szCs w:val="18"/>
              </w:rPr>
              <w:t xml:space="preserve">The transaction fact store</w:t>
            </w:r>
          </w:p>
        </w:tc>
        <w:tc>
          <w:tcPr>
            <w:tcW w:type="dxa" w:w="1480"/>
            <w:tcMar>
              <w:top w:type="dxa" w:w="60"/>
              <w:left w:type="dxa" w:w="100"/>
              <w:bottom w:type="dxa" w:w="60"/>
              <w:right w:type="dxa" w:w="100"/>
            </w:tcMar>
          </w:tcPr>
          <w:p>
            <w:pPr>
              <w:spacing w:after="20" w:before="20"/>
            </w:pPr>
            <w:r>
              <w:rPr>
                <w:b w:val="false"/>
                <w:bCs w:val="false"/>
                <w:sz w:val="18"/>
                <w:szCs w:val="18"/>
              </w:rPr>
              <w:t xml:space="preserve">Idempotent, correctable history</w:t>
            </w:r>
          </w:p>
        </w:tc>
      </w:tr>
      <w:tr>
        <w:trPr>
          <w:tblHeader w:val="false"/>
        </w:trPr>
        <w:tc>
          <w:tcPr>
            <w:tcW w:type="dxa" w:w="1624"/>
            <w:tcMar>
              <w:top w:type="dxa" w:w="60"/>
              <w:left w:type="dxa" w:w="100"/>
              <w:bottom w:type="dxa" w:w="60"/>
              <w:right w:type="dxa" w:w="100"/>
            </w:tcMar>
          </w:tcPr>
          <w:p>
            <w:pPr>
              <w:spacing w:after="20" w:before="20"/>
            </w:pPr>
            <w:r>
              <w:rPr>
                <w:b w:val="false"/>
                <w:bCs w:val="false"/>
                <w:sz w:val="18"/>
                <w:szCs w:val="18"/>
              </w:rPr>
              <w:t xml:space="preserve">6. Compute fees</w:t>
            </w:r>
          </w:p>
        </w:tc>
        <w:tc>
          <w:tcPr>
            <w:tcW w:type="dxa" w:w="1480"/>
            <w:tcMar>
              <w:top w:type="dxa" w:w="60"/>
              <w:left w:type="dxa" w:w="100"/>
              <w:bottom w:type="dxa" w:w="60"/>
              <w:right w:type="dxa" w:w="100"/>
            </w:tcMar>
          </w:tcPr>
          <w:p>
            <w:pPr>
              <w:spacing w:after="20" w:before="20"/>
            </w:pPr>
            <w:r>
              <w:rPr>
                <w:b w:val="false"/>
                <w:bCs w:val="false"/>
                <w:sz w:val="18"/>
                <w:szCs w:val="18"/>
              </w:rPr>
              <w:t xml:space="preserve">Attach the economics</w:t>
            </w:r>
          </w:p>
        </w:tc>
        <w:tc>
          <w:tcPr>
            <w:tcW w:type="dxa" w:w="1480"/>
            <w:tcMar>
              <w:top w:type="dxa" w:w="60"/>
              <w:left w:type="dxa" w:w="100"/>
              <w:bottom w:type="dxa" w:w="60"/>
              <w:right w:type="dxa" w:w="100"/>
            </w:tcMar>
          </w:tcPr>
          <w:p>
            <w:pPr>
              <w:spacing w:after="20" w:before="20"/>
            </w:pPr>
            <w:r>
              <w:rPr>
                <w:b w:val="false"/>
                <w:bCs w:val="false"/>
                <w:sz w:val="18"/>
                <w:szCs w:val="18"/>
              </w:rPr>
              <w:t xml:space="preserve">Fact rows + rate cards</w:t>
            </w:r>
          </w:p>
        </w:tc>
        <w:tc>
          <w:tcPr>
            <w:tcW w:type="dxa" w:w="1480"/>
            <w:tcMar>
              <w:top w:type="dxa" w:w="60"/>
              <w:left w:type="dxa" w:w="100"/>
              <w:bottom w:type="dxa" w:w="60"/>
              <w:right w:type="dxa" w:w="100"/>
            </w:tcMar>
          </w:tcPr>
          <w:p>
            <w:pPr>
              <w:spacing w:after="20" w:before="20"/>
            </w:pPr>
            <w:r>
              <w:rPr>
                <w:b w:val="false"/>
                <w:bCs w:val="false"/>
                <w:sz w:val="18"/>
                <w:szCs w:val="18"/>
              </w:rPr>
              <w:t xml:space="preserve">Interchange, scheme fee and e-com fee computed per transaction from country/tenant rate rules, with caps, flat components and effective dates; each row records </w:t>
            </w:r>
            <w:r>
              <w:rPr>
                <w:b w:val="false"/>
                <w:bCs w:val="false"/>
                <w:i/>
                <w:iCs/>
                <w:sz w:val="18"/>
                <w:szCs w:val="18"/>
              </w:rPr>
              <w:t xml:space="preserve">which rule</w:t>
            </w:r>
            <w:r>
              <w:rPr>
                <w:b w:val="false"/>
                <w:bCs w:val="false"/>
                <w:sz w:val="18"/>
                <w:szCs w:val="18"/>
              </w:rPr>
              <w:t xml:space="preserve"> priced it</w:t>
            </w:r>
          </w:p>
        </w:tc>
        <w:tc>
          <w:tcPr>
            <w:tcW w:type="dxa" w:w="1480"/>
            <w:tcMar>
              <w:top w:type="dxa" w:w="60"/>
              <w:left w:type="dxa" w:w="100"/>
              <w:bottom w:type="dxa" w:w="60"/>
              <w:right w:type="dxa" w:w="100"/>
            </w:tcMar>
          </w:tcPr>
          <w:p>
            <w:pPr>
              <w:spacing w:after="20" w:before="20"/>
            </w:pPr>
            <w:r>
              <w:rPr>
                <w:b w:val="false"/>
                <w:bCs w:val="false"/>
                <w:sz w:val="18"/>
                <w:szCs w:val="18"/>
              </w:rPr>
              <w:t xml:space="preserve">Priced transactions with fee provenance</w:t>
            </w:r>
          </w:p>
        </w:tc>
        <w:tc>
          <w:tcPr>
            <w:tcW w:type="dxa" w:w="1480"/>
            <w:tcMar>
              <w:top w:type="dxa" w:w="60"/>
              <w:left w:type="dxa" w:w="100"/>
              <w:bottom w:type="dxa" w:w="60"/>
              <w:right w:type="dxa" w:w="100"/>
            </w:tcMar>
          </w:tcPr>
          <w:p>
            <w:pPr>
              <w:spacing w:after="20" w:before="20"/>
            </w:pPr>
            <w:r>
              <w:rPr>
                <w:b w:val="false"/>
                <w:bCs w:val="false"/>
                <w:sz w:val="18"/>
                <w:szCs w:val="18"/>
              </w:rPr>
              <w:t xml:space="preserve">Cost attribution and auditability</w:t>
            </w:r>
          </w:p>
        </w:tc>
      </w:tr>
      <w:tr>
        <w:trPr>
          <w:tblHeader w:val="false"/>
        </w:trPr>
        <w:tc>
          <w:tcPr>
            <w:tcW w:type="dxa" w:w="1624"/>
            <w:tcMar>
              <w:top w:type="dxa" w:w="60"/>
              <w:left w:type="dxa" w:w="100"/>
              <w:bottom w:type="dxa" w:w="60"/>
              <w:right w:type="dxa" w:w="100"/>
            </w:tcMar>
          </w:tcPr>
          <w:p>
            <w:pPr>
              <w:spacing w:after="20" w:before="20"/>
            </w:pPr>
            <w:r>
              <w:rPr>
                <w:b w:val="false"/>
                <w:bCs w:val="false"/>
                <w:sz w:val="18"/>
                <w:szCs w:val="18"/>
              </w:rPr>
              <w:t xml:space="preserve">7. Aggregate daily</w:t>
            </w:r>
          </w:p>
        </w:tc>
        <w:tc>
          <w:tcPr>
            <w:tcW w:type="dxa" w:w="1480"/>
            <w:tcMar>
              <w:top w:type="dxa" w:w="60"/>
              <w:left w:type="dxa" w:w="100"/>
              <w:bottom w:type="dxa" w:w="60"/>
              <w:right w:type="dxa" w:w="100"/>
            </w:tcMar>
          </w:tcPr>
          <w:p>
            <w:pPr>
              <w:spacing w:after="20" w:before="20"/>
            </w:pPr>
            <w:r>
              <w:rPr>
                <w:b w:val="false"/>
                <w:bCs w:val="false"/>
                <w:sz w:val="18"/>
                <w:szCs w:val="18"/>
              </w:rPr>
              <w:t xml:space="preserve">Make analysis fast</w:t>
            </w:r>
          </w:p>
        </w:tc>
        <w:tc>
          <w:tcPr>
            <w:tcW w:type="dxa" w:w="1480"/>
            <w:tcMar>
              <w:top w:type="dxa" w:w="60"/>
              <w:left w:type="dxa" w:w="100"/>
              <w:bottom w:type="dxa" w:w="60"/>
              <w:right w:type="dxa" w:w="100"/>
            </w:tcMar>
          </w:tcPr>
          <w:p>
            <w:pPr>
              <w:spacing w:after="20" w:before="20"/>
            </w:pPr>
            <w:r>
              <w:rPr>
                <w:b w:val="false"/>
                <w:bCs w:val="false"/>
                <w:sz w:val="18"/>
                <w:szCs w:val="18"/>
              </w:rPr>
              <w:t xml:space="preserve">Priced facts</w:t>
            </w:r>
          </w:p>
        </w:tc>
        <w:tc>
          <w:tcPr>
            <w:tcW w:type="dxa" w:w="1480"/>
            <w:tcMar>
              <w:top w:type="dxa" w:w="60"/>
              <w:left w:type="dxa" w:w="100"/>
              <w:bottom w:type="dxa" w:w="60"/>
              <w:right w:type="dxa" w:w="100"/>
            </w:tcMar>
          </w:tcPr>
          <w:p>
            <w:pPr>
              <w:spacing w:after="20" w:before="20"/>
            </w:pPr>
            <w:r>
              <w:rPr>
                <w:b w:val="false"/>
                <w:bCs w:val="false"/>
                <w:sz w:val="18"/>
                <w:szCs w:val="18"/>
              </w:rPr>
              <w:t xml:space="preserve">Thirteen parallel daily summaries: by bank, merchant, terminal, scheme, channel, MCC, destination and more</w:t>
            </w:r>
          </w:p>
        </w:tc>
        <w:tc>
          <w:tcPr>
            <w:tcW w:type="dxa" w:w="1480"/>
            <w:tcMar>
              <w:top w:type="dxa" w:w="60"/>
              <w:left w:type="dxa" w:w="100"/>
              <w:bottom w:type="dxa" w:w="60"/>
              <w:right w:type="dxa" w:w="100"/>
            </w:tcMar>
          </w:tcPr>
          <w:p>
            <w:pPr>
              <w:spacing w:after="20" w:before="20"/>
            </w:pPr>
            <w:r>
              <w:rPr>
                <w:b w:val="false"/>
                <w:bCs w:val="false"/>
                <w:sz w:val="18"/>
                <w:szCs w:val="18"/>
              </w:rPr>
              <w:t xml:space="preserve">Daily aggregate tables</w:t>
            </w:r>
          </w:p>
        </w:tc>
        <w:tc>
          <w:tcPr>
            <w:tcW w:type="dxa" w:w="1480"/>
            <w:tcMar>
              <w:top w:type="dxa" w:w="60"/>
              <w:left w:type="dxa" w:w="100"/>
              <w:bottom w:type="dxa" w:w="60"/>
              <w:right w:type="dxa" w:w="100"/>
            </w:tcMar>
          </w:tcPr>
          <w:p>
            <w:pPr>
              <w:spacing w:after="20" w:before="20"/>
            </w:pPr>
            <w:r>
              <w:rPr>
                <w:b w:val="false"/>
                <w:bCs w:val="false"/>
                <w:sz w:val="18"/>
                <w:szCs w:val="18"/>
              </w:rPr>
              <w:t xml:space="preserve">Second-level dashboard response</w:t>
            </w:r>
          </w:p>
        </w:tc>
      </w:tr>
      <w:tr>
        <w:trPr>
          <w:tblHeader w:val="false"/>
        </w:trPr>
        <w:tc>
          <w:tcPr>
            <w:tcW w:type="dxa" w:w="1624"/>
            <w:tcMar>
              <w:top w:type="dxa" w:w="60"/>
              <w:left w:type="dxa" w:w="100"/>
              <w:bottom w:type="dxa" w:w="60"/>
              <w:right w:type="dxa" w:w="100"/>
            </w:tcMar>
          </w:tcPr>
          <w:p>
            <w:pPr>
              <w:spacing w:after="20" w:before="20"/>
            </w:pPr>
            <w:r>
              <w:rPr>
                <w:b w:val="false"/>
                <w:bCs w:val="false"/>
                <w:sz w:val="18"/>
                <w:szCs w:val="18"/>
              </w:rPr>
              <w:t xml:space="preserve">8. Roll up monthly</w:t>
            </w:r>
          </w:p>
        </w:tc>
        <w:tc>
          <w:tcPr>
            <w:tcW w:type="dxa" w:w="1480"/>
            <w:tcMar>
              <w:top w:type="dxa" w:w="60"/>
              <w:left w:type="dxa" w:w="100"/>
              <w:bottom w:type="dxa" w:w="60"/>
              <w:right w:type="dxa" w:w="100"/>
            </w:tcMar>
          </w:tcPr>
          <w:p>
            <w:pPr>
              <w:spacing w:after="20" w:before="20"/>
            </w:pPr>
            <w:r>
              <w:rPr>
                <w:b w:val="false"/>
                <w:bCs w:val="false"/>
                <w:sz w:val="18"/>
                <w:szCs w:val="18"/>
              </w:rPr>
              <w:t xml:space="preserve">Serve long horizons</w:t>
            </w:r>
          </w:p>
        </w:tc>
        <w:tc>
          <w:tcPr>
            <w:tcW w:type="dxa" w:w="1480"/>
            <w:tcMar>
              <w:top w:type="dxa" w:w="60"/>
              <w:left w:type="dxa" w:w="100"/>
              <w:bottom w:type="dxa" w:w="60"/>
              <w:right w:type="dxa" w:w="100"/>
            </w:tcMar>
          </w:tcPr>
          <w:p>
            <w:pPr>
              <w:spacing w:after="20" w:before="20"/>
            </w:pPr>
            <w:r>
              <w:rPr>
                <w:b w:val="false"/>
                <w:bCs w:val="false"/>
                <w:sz w:val="18"/>
                <w:szCs w:val="18"/>
              </w:rPr>
              <w:t xml:space="preserve">Daily aggregates</w:t>
            </w:r>
          </w:p>
        </w:tc>
        <w:tc>
          <w:tcPr>
            <w:tcW w:type="dxa" w:w="1480"/>
            <w:tcMar>
              <w:top w:type="dxa" w:w="60"/>
              <w:left w:type="dxa" w:w="100"/>
              <w:bottom w:type="dxa" w:w="60"/>
              <w:right w:type="dxa" w:w="100"/>
            </w:tcMar>
          </w:tcPr>
          <w:p>
            <w:pPr>
              <w:spacing w:after="20" w:before="20"/>
            </w:pPr>
            <w:r>
              <w:rPr>
                <w:b w:val="false"/>
                <w:bCs w:val="false"/>
                <w:sz w:val="18"/>
                <w:szCs w:val="18"/>
              </w:rPr>
              <w:t xml:space="preserve">Monthly rollups that reconcile exactly to the daily figures</w:t>
            </w:r>
          </w:p>
        </w:tc>
        <w:tc>
          <w:tcPr>
            <w:tcW w:type="dxa" w:w="1480"/>
            <w:tcMar>
              <w:top w:type="dxa" w:w="60"/>
              <w:left w:type="dxa" w:w="100"/>
              <w:bottom w:type="dxa" w:w="60"/>
              <w:right w:type="dxa" w:w="100"/>
            </w:tcMar>
          </w:tcPr>
          <w:p>
            <w:pPr>
              <w:spacing w:after="20" w:before="20"/>
            </w:pPr>
            <w:r>
              <w:rPr>
                <w:b w:val="false"/>
                <w:bCs w:val="false"/>
                <w:sz w:val="18"/>
                <w:szCs w:val="18"/>
              </w:rPr>
              <w:t xml:space="preserve">Monthly aggregate tables</w:t>
            </w:r>
          </w:p>
        </w:tc>
        <w:tc>
          <w:tcPr>
            <w:tcW w:type="dxa" w:w="1480"/>
            <w:tcMar>
              <w:top w:type="dxa" w:w="60"/>
              <w:left w:type="dxa" w:w="100"/>
              <w:bottom w:type="dxa" w:w="60"/>
              <w:right w:type="dxa" w:w="100"/>
            </w:tcMar>
          </w:tcPr>
          <w:p>
            <w:pPr>
              <w:spacing w:after="20" w:before="20"/>
            </w:pPr>
            <w:r>
              <w:rPr>
                <w:b w:val="false"/>
                <w:bCs w:val="false"/>
                <w:sz w:val="18"/>
                <w:szCs w:val="18"/>
              </w:rPr>
              <w:t xml:space="preserve">Fast year-scale reporting</w:t>
            </w:r>
          </w:p>
        </w:tc>
      </w:tr>
      <w:tr>
        <w:trPr>
          <w:tblHeader w:val="false"/>
        </w:trPr>
        <w:tc>
          <w:tcPr>
            <w:tcW w:type="dxa" w:w="1624"/>
            <w:tcMar>
              <w:top w:type="dxa" w:w="60"/>
              <w:left w:type="dxa" w:w="100"/>
              <w:bottom w:type="dxa" w:w="60"/>
              <w:right w:type="dxa" w:w="100"/>
            </w:tcMar>
          </w:tcPr>
          <w:p>
            <w:pPr>
              <w:spacing w:after="20" w:before="20"/>
            </w:pPr>
            <w:r>
              <w:rPr>
                <w:b w:val="false"/>
                <w:bCs w:val="false"/>
                <w:sz w:val="18"/>
                <w:szCs w:val="18"/>
              </w:rPr>
              <w:t xml:space="preserve">9. Score &amp; segment</w:t>
            </w:r>
          </w:p>
        </w:tc>
        <w:tc>
          <w:tcPr>
            <w:tcW w:type="dxa" w:w="1480"/>
            <w:tcMar>
              <w:top w:type="dxa" w:w="60"/>
              <w:left w:type="dxa" w:w="100"/>
              <w:bottom w:type="dxa" w:w="60"/>
              <w:right w:type="dxa" w:w="100"/>
            </w:tcMar>
          </w:tcPr>
          <w:p>
            <w:pPr>
              <w:spacing w:after="20" w:before="20"/>
            </w:pPr>
            <w:r>
              <w:rPr>
                <w:b w:val="false"/>
                <w:bCs w:val="false"/>
                <w:sz w:val="18"/>
                <w:szCs w:val="18"/>
              </w:rPr>
              <w:t xml:space="preserve">Turn measures into judgement</w:t>
            </w:r>
          </w:p>
        </w:tc>
        <w:tc>
          <w:tcPr>
            <w:tcW w:type="dxa" w:w="1480"/>
            <w:tcMar>
              <w:top w:type="dxa" w:w="60"/>
              <w:left w:type="dxa" w:w="100"/>
              <w:bottom w:type="dxa" w:w="60"/>
              <w:right w:type="dxa" w:w="100"/>
            </w:tcMar>
          </w:tcPr>
          <w:p>
            <w:pPr>
              <w:spacing w:after="20" w:before="20"/>
            </w:pPr>
            <w:r>
              <w:rPr>
                <w:b w:val="false"/>
                <w:bCs w:val="false"/>
                <w:sz w:val="18"/>
                <w:szCs w:val="18"/>
              </w:rPr>
              <w:t xml:space="preserve">Aggregates + history</w:t>
            </w:r>
          </w:p>
        </w:tc>
        <w:tc>
          <w:tcPr>
            <w:tcW w:type="dxa" w:w="1480"/>
            <w:tcMar>
              <w:top w:type="dxa" w:w="60"/>
              <w:left w:type="dxa" w:w="100"/>
              <w:bottom w:type="dxa" w:w="60"/>
              <w:right w:type="dxa" w:w="100"/>
            </w:tcMar>
          </w:tcPr>
          <w:p>
            <w:pPr>
              <w:spacing w:after="20" w:before="20"/>
            </w:pPr>
            <w:r>
              <w:rPr>
                <w:b w:val="false"/>
                <w:bCs w:val="false"/>
                <w:sz w:val="18"/>
                <w:szCs w:val="18"/>
              </w:rPr>
              <w:t xml:space="preserve">Activity summaries, opportunity scores, churn-risk scoring, six-segment classification, revenue-leakage checks</w:t>
            </w:r>
          </w:p>
        </w:tc>
        <w:tc>
          <w:tcPr>
            <w:tcW w:type="dxa" w:w="1480"/>
            <w:tcMar>
              <w:top w:type="dxa" w:w="60"/>
              <w:left w:type="dxa" w:w="100"/>
              <w:bottom w:type="dxa" w:w="60"/>
              <w:right w:type="dxa" w:w="100"/>
            </w:tcMar>
          </w:tcPr>
          <w:p>
            <w:pPr>
              <w:spacing w:after="20" w:before="20"/>
            </w:pPr>
            <w:r>
              <w:rPr>
                <w:b w:val="false"/>
                <w:bCs w:val="false"/>
                <w:sz w:val="18"/>
                <w:szCs w:val="18"/>
              </w:rPr>
              <w:t xml:space="preserve">Merchant scores, segments and flags</w:t>
            </w:r>
          </w:p>
        </w:tc>
        <w:tc>
          <w:tcPr>
            <w:tcW w:type="dxa" w:w="1480"/>
            <w:tcMar>
              <w:top w:type="dxa" w:w="60"/>
              <w:left w:type="dxa" w:w="100"/>
              <w:bottom w:type="dxa" w:w="60"/>
              <w:right w:type="dxa" w:w="100"/>
            </w:tcMar>
          </w:tcPr>
          <w:p>
            <w:pPr>
              <w:spacing w:after="20" w:before="20"/>
            </w:pPr>
            <w:r>
              <w:rPr>
                <w:b w:val="false"/>
                <w:bCs w:val="false"/>
                <w:sz w:val="18"/>
                <w:szCs w:val="18"/>
              </w:rPr>
              <w:t xml:space="preserve">Prioritised portfolio actions</w:t>
            </w:r>
          </w:p>
        </w:tc>
      </w:tr>
      <w:tr>
        <w:trPr>
          <w:tblHeader w:val="false"/>
        </w:trPr>
        <w:tc>
          <w:tcPr>
            <w:tcW w:type="dxa" w:w="1624"/>
            <w:tcMar>
              <w:top w:type="dxa" w:w="60"/>
              <w:left w:type="dxa" w:w="100"/>
              <w:bottom w:type="dxa" w:w="60"/>
              <w:right w:type="dxa" w:w="100"/>
            </w:tcMar>
          </w:tcPr>
          <w:p>
            <w:pPr>
              <w:spacing w:after="20" w:before="20"/>
            </w:pPr>
            <w:r>
              <w:rPr>
                <w:b w:val="false"/>
                <w:bCs w:val="false"/>
                <w:sz w:val="18"/>
                <w:szCs w:val="18"/>
              </w:rPr>
              <w:t xml:space="preserve">10. Refresh dashboards</w:t>
            </w:r>
          </w:p>
        </w:tc>
        <w:tc>
          <w:tcPr>
            <w:tcW w:type="dxa" w:w="1480"/>
            <w:tcMar>
              <w:top w:type="dxa" w:w="60"/>
              <w:left w:type="dxa" w:w="100"/>
              <w:bottom w:type="dxa" w:w="60"/>
              <w:right w:type="dxa" w:w="100"/>
            </w:tcMar>
          </w:tcPr>
          <w:p>
            <w:pPr>
              <w:spacing w:after="20" w:before="20"/>
            </w:pPr>
            <w:r>
              <w:rPr>
                <w:b w:val="false"/>
                <w:bCs w:val="false"/>
                <w:sz w:val="18"/>
                <w:szCs w:val="18"/>
              </w:rPr>
              <w:t xml:space="preserve">Deliver the numbers</w:t>
            </w:r>
          </w:p>
        </w:tc>
        <w:tc>
          <w:tcPr>
            <w:tcW w:type="dxa" w:w="1480"/>
            <w:tcMar>
              <w:top w:type="dxa" w:w="60"/>
              <w:left w:type="dxa" w:w="100"/>
              <w:bottom w:type="dxa" w:w="60"/>
              <w:right w:type="dxa" w:w="100"/>
            </w:tcMar>
          </w:tcPr>
          <w:p>
            <w:pPr>
              <w:spacing w:after="20" w:before="20"/>
            </w:pPr>
            <w:r>
              <w:rPr>
                <w:b w:val="false"/>
                <w:bCs w:val="false"/>
                <w:sz w:val="18"/>
                <w:szCs w:val="18"/>
              </w:rPr>
              <w:t xml:space="preserve">All of the above</w:t>
            </w:r>
          </w:p>
        </w:tc>
        <w:tc>
          <w:tcPr>
            <w:tcW w:type="dxa" w:w="1480"/>
            <w:tcMar>
              <w:top w:type="dxa" w:w="60"/>
              <w:left w:type="dxa" w:w="100"/>
              <w:bottom w:type="dxa" w:w="60"/>
              <w:right w:type="dxa" w:w="100"/>
            </w:tcMar>
          </w:tcPr>
          <w:p>
            <w:pPr>
              <w:spacing w:after="20" w:before="20"/>
            </w:pPr>
            <w:r>
              <w:rPr>
                <w:b w:val="false"/>
                <w:bCs w:val="false"/>
                <w:sz w:val="18"/>
                <w:szCs w:val="18"/>
              </w:rPr>
              <w:t xml:space="preserve">Caches evicted; KPI snapshots computed</w:t>
            </w:r>
          </w:p>
        </w:tc>
        <w:tc>
          <w:tcPr>
            <w:tcW w:type="dxa" w:w="1480"/>
            <w:tcMar>
              <w:top w:type="dxa" w:w="60"/>
              <w:left w:type="dxa" w:w="100"/>
              <w:bottom w:type="dxa" w:w="60"/>
              <w:right w:type="dxa" w:w="100"/>
            </w:tcMar>
          </w:tcPr>
          <w:p>
            <w:pPr>
              <w:spacing w:after="20" w:before="20"/>
            </w:pPr>
            <w:r>
              <w:rPr>
                <w:b w:val="false"/>
                <w:bCs w:val="false"/>
                <w:sz w:val="18"/>
                <w:szCs w:val="18"/>
              </w:rPr>
              <w:t xml:space="preserve">Up-to-date screens</w:t>
            </w:r>
          </w:p>
        </w:tc>
        <w:tc>
          <w:tcPr>
            <w:tcW w:type="dxa" w:w="1480"/>
            <w:tcMar>
              <w:top w:type="dxa" w:w="60"/>
              <w:left w:type="dxa" w:w="100"/>
              <w:bottom w:type="dxa" w:w="60"/>
              <w:right w:type="dxa" w:w="100"/>
            </w:tcMar>
          </w:tcPr>
          <w:p>
            <w:pPr>
              <w:spacing w:after="20" w:before="20"/>
            </w:pPr>
            <w:r>
              <w:rPr>
                <w:b w:val="false"/>
                <w:bCs w:val="false"/>
                <w:sz w:val="18"/>
                <w:szCs w:val="18"/>
              </w:rPr>
              <w:t xml:space="preserve">Everyone sees the same current figures</w:t>
            </w:r>
          </w:p>
        </w:tc>
      </w:tr>
      <w:tr>
        <w:trPr>
          <w:tblHeader w:val="false"/>
        </w:trPr>
        <w:tc>
          <w:tcPr>
            <w:tcW w:type="dxa" w:w="1624"/>
            <w:tcMar>
              <w:top w:type="dxa" w:w="60"/>
              <w:left w:type="dxa" w:w="100"/>
              <w:bottom w:type="dxa" w:w="60"/>
              <w:right w:type="dxa" w:w="100"/>
            </w:tcMar>
          </w:tcPr>
          <w:p>
            <w:pPr>
              <w:spacing w:after="20" w:before="20"/>
            </w:pPr>
            <w:r>
              <w:rPr>
                <w:b w:val="false"/>
                <w:bCs w:val="false"/>
                <w:sz w:val="18"/>
                <w:szCs w:val="18"/>
              </w:rPr>
              <w:t xml:space="preserve">11. Report &amp; alert</w:t>
            </w:r>
          </w:p>
        </w:tc>
        <w:tc>
          <w:tcPr>
            <w:tcW w:type="dxa" w:w="1480"/>
            <w:tcMar>
              <w:top w:type="dxa" w:w="60"/>
              <w:left w:type="dxa" w:w="100"/>
              <w:bottom w:type="dxa" w:w="60"/>
              <w:right w:type="dxa" w:w="100"/>
            </w:tcMar>
          </w:tcPr>
          <w:p>
            <w:pPr>
              <w:spacing w:after="20" w:before="20"/>
            </w:pPr>
            <w:r>
              <w:rPr>
                <w:b w:val="false"/>
                <w:bCs w:val="false"/>
                <w:sz w:val="18"/>
                <w:szCs w:val="18"/>
              </w:rPr>
              <w:t xml:space="preserve">Push, not just pull</w:t>
            </w:r>
          </w:p>
        </w:tc>
        <w:tc>
          <w:tcPr>
            <w:tcW w:type="dxa" w:w="1480"/>
            <w:tcMar>
              <w:top w:type="dxa" w:w="60"/>
              <w:left w:type="dxa" w:w="100"/>
              <w:bottom w:type="dxa" w:w="60"/>
              <w:right w:type="dxa" w:w="100"/>
            </w:tcMar>
          </w:tcPr>
          <w:p>
            <w:pPr>
              <w:spacing w:after="20" w:before="20"/>
            </w:pPr>
            <w:r>
              <w:rPr>
                <w:b w:val="false"/>
                <w:bCs w:val="false"/>
                <w:sz w:val="18"/>
                <w:szCs w:val="18"/>
              </w:rPr>
              <w:t xml:space="preserve">Aggregates</w:t>
            </w:r>
          </w:p>
        </w:tc>
        <w:tc>
          <w:tcPr>
            <w:tcW w:type="dxa" w:w="1480"/>
            <w:tcMar>
              <w:top w:type="dxa" w:w="60"/>
              <w:left w:type="dxa" w:w="100"/>
              <w:bottom w:type="dxa" w:w="60"/>
              <w:right w:type="dxa" w:w="100"/>
            </w:tcMar>
          </w:tcPr>
          <w:p>
            <w:pPr>
              <w:spacing w:after="20" w:before="20"/>
            </w:pPr>
            <w:r>
              <w:rPr>
                <w:b w:val="false"/>
                <w:bCs w:val="false"/>
                <w:sz w:val="18"/>
                <w:szCs w:val="18"/>
              </w:rPr>
              <w:t xml:space="preserve">Scheduled reports, threshold alerts, monthly merchant PDF packs, statement emails</w:t>
            </w:r>
          </w:p>
        </w:tc>
        <w:tc>
          <w:tcPr>
            <w:tcW w:type="dxa" w:w="1480"/>
            <w:tcMar>
              <w:top w:type="dxa" w:w="60"/>
              <w:left w:type="dxa" w:w="100"/>
              <w:bottom w:type="dxa" w:w="60"/>
              <w:right w:type="dxa" w:w="100"/>
            </w:tcMar>
          </w:tcPr>
          <w:p>
            <w:pPr>
              <w:spacing w:after="20" w:before="20"/>
            </w:pPr>
            <w:r>
              <w:rPr>
                <w:b w:val="false"/>
                <w:bCs w:val="false"/>
                <w:sz w:val="18"/>
                <w:szCs w:val="18"/>
              </w:rPr>
              <w:t xml:space="preserve">Delivered outputs</w:t>
            </w:r>
          </w:p>
        </w:tc>
        <w:tc>
          <w:tcPr>
            <w:tcW w:type="dxa" w:w="1480"/>
            <w:tcMar>
              <w:top w:type="dxa" w:w="60"/>
              <w:left w:type="dxa" w:w="100"/>
              <w:bottom w:type="dxa" w:w="60"/>
              <w:right w:type="dxa" w:w="100"/>
            </w:tcMar>
          </w:tcPr>
          <w:p>
            <w:pPr>
              <w:spacing w:after="20" w:before="20"/>
            </w:pPr>
            <w:r>
              <w:rPr>
                <w:b w:val="false"/>
                <w:bCs w:val="false"/>
                <w:sz w:val="18"/>
                <w:szCs w:val="18"/>
              </w:rPr>
              <w:t xml:space="preserve">Insight reaches people who never log in</w:t>
            </w:r>
          </w:p>
        </w:tc>
      </w:tr>
      <w:tr>
        <w:trPr>
          <w:tblHeader w:val="false"/>
        </w:trPr>
        <w:tc>
          <w:tcPr>
            <w:tcW w:type="dxa" w:w="1624"/>
            <w:tcMar>
              <w:top w:type="dxa" w:w="60"/>
              <w:left w:type="dxa" w:w="100"/>
              <w:bottom w:type="dxa" w:w="60"/>
              <w:right w:type="dxa" w:w="100"/>
            </w:tcMar>
          </w:tcPr>
          <w:p>
            <w:pPr>
              <w:spacing w:after="20" w:before="20"/>
            </w:pPr>
            <w:r>
              <w:rPr>
                <w:b w:val="false"/>
                <w:bCs w:val="false"/>
                <w:sz w:val="18"/>
                <w:szCs w:val="18"/>
              </w:rPr>
              <w:t xml:space="preserve">12. Business action</w:t>
            </w:r>
          </w:p>
        </w:tc>
        <w:tc>
          <w:tcPr>
            <w:tcW w:type="dxa" w:w="1480"/>
            <w:tcMar>
              <w:top w:type="dxa" w:w="60"/>
              <w:left w:type="dxa" w:w="100"/>
              <w:bottom w:type="dxa" w:w="60"/>
              <w:right w:type="dxa" w:w="100"/>
            </w:tcMar>
          </w:tcPr>
          <w:p>
            <w:pPr>
              <w:spacing w:after="20" w:before="20"/>
            </w:pPr>
            <w:r>
              <w:rPr>
                <w:b w:val="false"/>
                <w:bCs w:val="false"/>
                <w:sz w:val="18"/>
                <w:szCs w:val="18"/>
              </w:rPr>
              <w:t xml:space="preserve">The point of it all</w:t>
            </w:r>
          </w:p>
        </w:tc>
        <w:tc>
          <w:tcPr>
            <w:tcW w:type="dxa" w:w="1480"/>
            <w:tcMar>
              <w:top w:type="dxa" w:w="60"/>
              <w:left w:type="dxa" w:w="100"/>
              <w:bottom w:type="dxa" w:w="60"/>
              <w:right w:type="dxa" w:w="100"/>
            </w:tcMar>
          </w:tcPr>
          <w:p>
            <w:pPr>
              <w:spacing w:after="20" w:before="20"/>
            </w:pPr>
            <w:r>
              <w:rPr>
                <w:b w:val="false"/>
                <w:bCs w:val="false"/>
                <w:sz w:val="18"/>
                <w:szCs w:val="18"/>
              </w:rPr>
              <w:t xml:space="preserve">Dashboards, reports, alerts</w:t>
            </w:r>
          </w:p>
        </w:tc>
        <w:tc>
          <w:tcPr>
            <w:tcW w:type="dxa" w:w="1480"/>
            <w:tcMar>
              <w:top w:type="dxa" w:w="60"/>
              <w:left w:type="dxa" w:w="100"/>
              <w:bottom w:type="dxa" w:w="60"/>
              <w:right w:type="dxa" w:w="100"/>
            </w:tcMar>
          </w:tcPr>
          <w:p>
            <w:pPr>
              <w:spacing w:after="20" w:before="20"/>
            </w:pPr>
            <w:r>
              <w:rPr>
                <w:b w:val="false"/>
                <w:bCs w:val="false"/>
                <w:sz w:val="18"/>
                <w:szCs w:val="18"/>
              </w:rPr>
              <w:t xml:space="preserve">Repricing, RM engagement, investigation, reconciliation sign-off</w:t>
            </w:r>
          </w:p>
        </w:tc>
        <w:tc>
          <w:tcPr>
            <w:tcW w:type="dxa" w:w="1480"/>
            <w:tcMar>
              <w:top w:type="dxa" w:w="60"/>
              <w:left w:type="dxa" w:w="100"/>
              <w:bottom w:type="dxa" w:w="60"/>
              <w:right w:type="dxa" w:w="100"/>
            </w:tcMar>
          </w:tcPr>
          <w:p>
            <w:pPr>
              <w:spacing w:after="20" w:before="20"/>
            </w:pPr>
            <w:r>
              <w:rPr>
                <w:b w:val="false"/>
                <w:bCs w:val="false"/>
                <w:sz w:val="18"/>
                <w:szCs w:val="18"/>
              </w:rPr>
              <w:t xml:space="preserve">Decisions and follow-up</w:t>
            </w:r>
          </w:p>
        </w:tc>
        <w:tc>
          <w:tcPr>
            <w:tcW w:type="dxa" w:w="1480"/>
            <w:tcMar>
              <w:top w:type="dxa" w:w="60"/>
              <w:left w:type="dxa" w:w="100"/>
              <w:bottom w:type="dxa" w:w="60"/>
              <w:right w:type="dxa" w:w="100"/>
            </w:tcMar>
          </w:tcPr>
          <w:p>
            <w:pPr>
              <w:spacing w:after="20" w:before="20"/>
            </w:pPr>
            <w:r>
              <w:rPr>
                <w:b w:val="false"/>
                <w:bCs w:val="false"/>
                <w:sz w:val="18"/>
                <w:szCs w:val="18"/>
              </w:rPr>
              <w:t xml:space="preserve">Revenue protected, cost controlled</w:t>
            </w:r>
          </w:p>
        </w:tc>
      </w:tr>
    </w:tbl>
    <w:p>
      <w:pPr>
        <w:spacing w:after="80"/>
      </w:pPr>
    </w:p>
    <w:p>
      <w:pPr>
        <w:spacing w:after="140" w:line="276"/>
        <w:jc w:val="both"/>
      </w:pPr>
      <w:r>
        <w:t xml:space="preserve">A typical daily transaction file of tens of megabytes completes the full pipeline in one to two minutes; historical migrations run at roughly a million rows per minute.</w:t>
      </w:r>
    </w:p>
    <w:p>
      <w:pPr>
        <w:pStyle w:val="Heading1"/>
        <w:pageBreakBefore/>
        <w:spacing w:after="120" w:before="360"/>
      </w:pPr>
      <w:r>
        <w:t xml:space="preserve">5. Data Ingestion and Processing</w:t>
      </w:r>
    </w:p>
    <w:p>
      <w:pPr>
        <w:spacing w:after="140" w:line="276"/>
        <w:jc w:val="both"/>
      </w:pPr>
      <w:r>
        <w:t xml:space="preserve">Data enters NEXUS through four routes, all converging on the same pipeline:</w:t>
      </w:r>
    </w:p>
    <w:p>
      <w:pPr>
        <w:pStyle w:val="ListParagraph"/>
        <w:numPr>
          <w:ilvl w:val="0"/>
          <w:numId w:val="2"/>
        </w:numPr>
        <w:spacing w:after="60"/>
      </w:pPr>
      <w:r>
        <w:rPr>
          <w:b/>
          <w:bCs/>
        </w:rPr>
        <w:t xml:space="preserve">Browser upload</w:t>
      </w:r>
      <w:r>
        <w:t xml:space="preserve"> — an administrator drags a merchant master or transaction file (Excel or CSV) onto the upload screen and watches live step-by-step progress.</w:t>
      </w:r>
    </w:p>
    <w:p>
      <w:pPr>
        <w:pStyle w:val="ListParagraph"/>
        <w:numPr>
          <w:ilvl w:val="0"/>
          <w:numId w:val="2"/>
        </w:numPr>
        <w:spacing w:after="60"/>
      </w:pPr>
      <w:r>
        <w:rPr>
          <w:b/>
          <w:bCs/>
        </w:rPr>
        <w:t xml:space="preserve">Server folder processing</w:t>
      </w:r>
      <w:r>
        <w:t xml:space="preserve"> — for bulk loads, files already on the server are processed in a controlled order: all merchant files first, then all transaction files.</w:t>
      </w:r>
    </w:p>
    <w:p>
      <w:pPr>
        <w:pStyle w:val="ListParagraph"/>
        <w:numPr>
          <w:ilvl w:val="0"/>
          <w:numId w:val="2"/>
        </w:numPr>
        <w:spacing w:after="60"/>
      </w:pPr>
      <w:r>
        <w:rPr>
          <w:b/>
          <w:bCs/>
        </w:rPr>
        <w:t xml:space="preserve">Scheduled database pull</w:t>
      </w:r>
      <w:r>
        <w:t xml:space="preserve"> — the Integration Hub connects read-only to external Oracle, PostgreSQL or SQL Server sources and pulls data on a cron schedule, with run history and retry.</w:t>
      </w:r>
    </w:p>
    <w:p>
      <w:pPr>
        <w:pStyle w:val="ListParagraph"/>
        <w:numPr>
          <w:ilvl w:val="0"/>
          <w:numId w:val="2"/>
        </w:numPr>
        <w:spacing w:after="60"/>
      </w:pPr>
      <w:r>
        <w:rPr>
          <w:b/>
          <w:bCs/>
        </w:rPr>
        <w:t xml:space="preserve">Bulk migration and backfill</w:t>
      </w:r>
      <w:r>
        <w:t xml:space="preserve"> — one-off tools for loading years of legacy history, month by month, with dry-run previews.</w:t>
      </w:r>
    </w:p>
    <w:p>
      <w:pPr>
        <w:spacing w:after="140" w:line="276"/>
        <w:jc w:val="both"/>
      </w:pPr>
      <w:r>
        <w:t xml:space="preserve">Two feed conventions are supported: one where amounts arrive as final decimals and one where they arrive in minor units and must be divided using each country's decimal convention (100 for most currencies, 1,000 for three-decimal currencies such as BHD and OMR). The file's owning institution is read from the file itself and verified against the uploader's permissions — a bank administrator cannot load data into another bank's tenant.</w:t>
      </w:r>
    </w:p>
    <w:p>
      <w:pPr>
        <w:pStyle w:val="Heading3"/>
        <w:spacing w:after="120" w:before="240"/>
      </w:pPr>
      <w:r>
        <w:t xml:space="preserve">Raw/staging data vs processed business data</w:t>
      </w:r>
    </w:p>
    <w:p>
      <w:pPr>
        <w:spacing w:after="140" w:line="276"/>
        <w:jc w:val="both"/>
      </w:pPr>
      <w:r>
        <w:t xml:space="preserve">Staging is a scratch area: it holds only the most recent upload, exactly as it arrived, and is cleared on the next load. It exists so that validation and matching can happen without touching trusted data. Processed business data — the transaction fact store and its aggregates — is the permanent, priced, merchant-attributed record that every dashboard and report reads.</w:t>
      </w:r>
    </w:p>
    <w:p>
      <w:pPr>
        <w:spacing w:after="60"/>
      </w:pPr>
    </w:p>
    <w:tbl>
      <w:tblPr>
        <w:tblW w:type="dxa" w:w="6200"/>
        <w:jc w:val="center"/>
        <w:tblBorders>
          <w:top w:val="single" w:color="1F3864" w:sz="6"/>
          <w:left w:val="single" w:color="1F3864" w:sz="6"/>
          <w:bottom w:val="single" w:color="1F3864" w:sz="6"/>
          <w:right w:val="single" w:color="1F3864" w:sz="6"/>
          <w:insideH w:val="single" w:color="auto" w:sz="4"/>
          <w:insideV w:val="single" w:color="auto" w:sz="4"/>
        </w:tblBorders>
      </w:tblPr>
      <w:tblGrid>
        <w:gridCol w:w="6200"/>
      </w:tblGrid>
      <w:tr>
        <w:tc>
          <w:tcPr>
            <w:tcW w:type="dxa" w:w="6200"/>
            <w:shd w:fill="1F3864" w:val="clear"/>
            <w:tcMar>
              <w:top w:type="dxa" w:w="40"/>
              <w:left w:type="dxa" w:w="120"/>
              <w:bottom w:type="dxa" w:w="40"/>
              <w:right w:type="dxa" w:w="120"/>
            </w:tcMar>
          </w:tcPr>
          <w:p>
            <w:pPr>
              <w:spacing w:after="40" w:before="40"/>
              <w:jc w:val="center"/>
            </w:pPr>
            <w:r>
              <w:rPr>
                <w:b/>
                <w:bCs/>
                <w:color w:val="FFFFFF"/>
                <w:sz w:val="20"/>
                <w:szCs w:val="20"/>
              </w:rPr>
              <w:t xml:space="preserve">Transaction file or database pull</w:t>
            </w:r>
          </w:p>
        </w:tc>
      </w:tr>
    </w:tbl>
    <w:p>
      <w:pPr>
        <w:spacing w:after="30" w:before="30"/>
        <w:jc w:val="center"/>
      </w:pPr>
      <w:r>
        <w:rPr>
          <w:b/>
          <w:bCs/>
          <w:color w:val="2F5496"/>
          <w:sz w:val="22"/>
          <w:szCs w:val="22"/>
        </w:rPr>
        <w:t xml:space="preserve">▼</w:t>
      </w:r>
    </w:p>
    <w:tbl>
      <w:tblPr>
        <w:tblW w:type="dxa" w:w="6200"/>
        <w:jc w:val="center"/>
        <w:tblBorders>
          <w:top w:val="single" w:color="E8EEF7" w:sz="6"/>
          <w:left w:val="single" w:color="E8EEF7" w:sz="6"/>
          <w:bottom w:val="single" w:color="E8EEF7" w:sz="6"/>
          <w:right w:val="single" w:color="E8EEF7" w:sz="6"/>
          <w:insideH w:val="single" w:color="auto" w:sz="4"/>
          <w:insideV w:val="single" w:color="auto" w:sz="4"/>
        </w:tblBorders>
      </w:tblPr>
      <w:tblGrid>
        <w:gridCol w:w="6200"/>
      </w:tblGrid>
      <w:tr>
        <w:tc>
          <w:tcPr>
            <w:tcW w:type="dxa" w:w="6200"/>
            <w:shd w:fill="E8EEF7" w:val="clear"/>
            <w:tcMar>
              <w:top w:type="dxa" w:w="40"/>
              <w:left w:type="dxa" w:w="120"/>
              <w:bottom w:type="dxa" w:w="40"/>
              <w:right w:type="dxa" w:w="120"/>
            </w:tcMar>
          </w:tcPr>
          <w:p>
            <w:pPr>
              <w:spacing w:after="20" w:before="40"/>
              <w:jc w:val="center"/>
            </w:pPr>
            <w:r>
              <w:rPr>
                <w:b/>
                <w:bCs/>
                <w:color w:val="1F3864"/>
                <w:sz w:val="20"/>
                <w:szCs w:val="20"/>
              </w:rPr>
              <w:t xml:space="preserve">Staging</w:t>
            </w:r>
          </w:p>
          <w:p>
            <w:pPr>
              <w:spacing w:after="40"/>
              <w:jc w:val="center"/>
            </w:pPr>
            <w:r>
              <w:rPr>
                <w:color w:val="1F3864"/>
                <w:sz w:val="17"/>
                <w:szCs w:val="17"/>
              </w:rPr>
              <w:t xml:space="preserve">raw rows, last load only</w:t>
            </w:r>
          </w:p>
        </w:tc>
      </w:tr>
    </w:tbl>
    <w:p>
      <w:pPr>
        <w:spacing w:after="30" w:before="30"/>
        <w:jc w:val="center"/>
      </w:pPr>
      <w:r>
        <w:rPr>
          <w:b/>
          <w:bCs/>
          <w:color w:val="2F5496"/>
          <w:sz w:val="22"/>
          <w:szCs w:val="22"/>
        </w:rPr>
        <w:t xml:space="preserve">▼</w:t>
      </w:r>
    </w:p>
    <w:tbl>
      <w:tblPr>
        <w:tblW w:type="dxa" w:w="6200"/>
        <w:jc w:val="center"/>
        <w:tblBorders>
          <w:top w:val="single" w:color="E8EEF7" w:sz="6"/>
          <w:left w:val="single" w:color="E8EEF7" w:sz="6"/>
          <w:bottom w:val="single" w:color="E8EEF7" w:sz="6"/>
          <w:right w:val="single" w:color="E8EEF7" w:sz="6"/>
          <w:insideH w:val="single" w:color="auto" w:sz="4"/>
          <w:insideV w:val="single" w:color="auto" w:sz="4"/>
        </w:tblBorders>
      </w:tblPr>
      <w:tblGrid>
        <w:gridCol w:w="6200"/>
      </w:tblGrid>
      <w:tr>
        <w:tc>
          <w:tcPr>
            <w:tcW w:type="dxa" w:w="6200"/>
            <w:shd w:fill="E8EEF7" w:val="clear"/>
            <w:tcMar>
              <w:top w:type="dxa" w:w="40"/>
              <w:left w:type="dxa" w:w="120"/>
              <w:bottom w:type="dxa" w:w="40"/>
              <w:right w:type="dxa" w:w="120"/>
            </w:tcMar>
          </w:tcPr>
          <w:p>
            <w:pPr>
              <w:spacing w:after="20" w:before="40"/>
              <w:jc w:val="center"/>
            </w:pPr>
            <w:r>
              <w:rPr>
                <w:b/>
                <w:bCs/>
                <w:color w:val="1F3864"/>
                <w:sz w:val="20"/>
                <w:szCs w:val="20"/>
              </w:rPr>
              <w:t xml:space="preserve">Validation</w:t>
            </w:r>
          </w:p>
          <w:p>
            <w:pPr>
              <w:spacing w:after="40"/>
              <w:jc w:val="center"/>
            </w:pPr>
            <w:r>
              <w:rPr>
                <w:color w:val="1F3864"/>
                <w:sz w:val="17"/>
                <w:szCs w:val="17"/>
              </w:rPr>
              <w:t xml:space="preserve">amount conventions · currency divisors · date gate</w:t>
            </w:r>
          </w:p>
        </w:tc>
      </w:tr>
    </w:tbl>
    <w:p>
      <w:pPr>
        <w:spacing w:after="30" w:before="30"/>
        <w:jc w:val="center"/>
      </w:pPr>
      <w:r>
        <w:rPr>
          <w:b/>
          <w:bCs/>
          <w:color w:val="2F5496"/>
          <w:sz w:val="22"/>
          <w:szCs w:val="22"/>
        </w:rPr>
        <w:t xml:space="preserve">▼</w:t>
      </w:r>
    </w:p>
    <w:tbl>
      <w:tblPr>
        <w:tblW w:type="dxa" w:w="6200"/>
        <w:jc w:val="center"/>
        <w:tblBorders>
          <w:top w:val="single" w:color="E8EEF7" w:sz="6"/>
          <w:left w:val="single" w:color="E8EEF7" w:sz="6"/>
          <w:bottom w:val="single" w:color="E8EEF7" w:sz="6"/>
          <w:right w:val="single" w:color="E8EEF7" w:sz="6"/>
          <w:insideH w:val="single" w:color="auto" w:sz="4"/>
          <w:insideV w:val="single" w:color="auto" w:sz="4"/>
        </w:tblBorders>
      </w:tblPr>
      <w:tblGrid>
        <w:gridCol w:w="6200"/>
      </w:tblGrid>
      <w:tr>
        <w:tc>
          <w:tcPr>
            <w:tcW w:type="dxa" w:w="6200"/>
            <w:shd w:fill="E8EEF7" w:val="clear"/>
            <w:tcMar>
              <w:top w:type="dxa" w:w="40"/>
              <w:left w:type="dxa" w:w="120"/>
              <w:bottom w:type="dxa" w:w="40"/>
              <w:right w:type="dxa" w:w="120"/>
            </w:tcMar>
          </w:tcPr>
          <w:p>
            <w:pPr>
              <w:spacing w:after="40" w:before="40"/>
              <w:jc w:val="center"/>
            </w:pPr>
            <w:r>
              <w:rPr>
                <w:b/>
                <w:bCs/>
                <w:color w:val="1F3864"/>
                <w:sz w:val="20"/>
                <w:szCs w:val="20"/>
              </w:rPr>
              <w:t xml:space="preserve">Merchant / store / terminal matching</w:t>
            </w:r>
          </w:p>
        </w:tc>
      </w:tr>
    </w:tbl>
    <w:p>
      <w:pPr>
        <w:spacing w:after="30" w:before="30"/>
        <w:jc w:val="center"/>
      </w:pPr>
      <w:r>
        <w:rPr>
          <w:b/>
          <w:bCs/>
          <w:color w:val="2F5496"/>
          <w:sz w:val="22"/>
          <w:szCs w:val="22"/>
        </w:rPr>
        <w:t xml:space="preserve">▼</w:t>
      </w:r>
    </w:p>
    <w:tbl>
      <w:tblPr>
        <w:tblW w:type="dxa" w:w="6200"/>
        <w:jc w:val="center"/>
        <w:tblBorders>
          <w:top w:val="single" w:color="2F5496" w:sz="6"/>
          <w:left w:val="single" w:color="2F5496" w:sz="6"/>
          <w:bottom w:val="single" w:color="2F5496" w:sz="6"/>
          <w:right w:val="single" w:color="2F5496" w:sz="6"/>
          <w:insideH w:val="single" w:color="auto" w:sz="4"/>
          <w:insideV w:val="single" w:color="auto" w:sz="4"/>
        </w:tblBorders>
      </w:tblPr>
      <w:tblGrid>
        <w:gridCol w:w="6200"/>
      </w:tblGrid>
      <w:tr>
        <w:tc>
          <w:tcPr>
            <w:tcW w:type="dxa" w:w="6200"/>
            <w:shd w:fill="2F5496" w:val="clear"/>
            <w:tcMar>
              <w:top w:type="dxa" w:w="40"/>
              <w:left w:type="dxa" w:w="120"/>
              <w:bottom w:type="dxa" w:w="40"/>
              <w:right w:type="dxa" w:w="120"/>
            </w:tcMar>
          </w:tcPr>
          <w:p>
            <w:pPr>
              <w:spacing w:after="20" w:before="40"/>
              <w:jc w:val="center"/>
            </w:pPr>
            <w:r>
              <w:rPr>
                <w:b/>
                <w:bCs/>
                <w:color w:val="FFFFFF"/>
                <w:sz w:val="20"/>
                <w:szCs w:val="20"/>
              </w:rPr>
              <w:t xml:space="preserve">Fee enrichment</w:t>
            </w:r>
          </w:p>
          <w:p>
            <w:pPr>
              <w:spacing w:after="40"/>
              <w:jc w:val="center"/>
            </w:pPr>
            <w:r>
              <w:rPr>
                <w:color w:val="FFFFFF"/>
                <w:sz w:val="17"/>
                <w:szCs w:val="17"/>
              </w:rPr>
              <w:t xml:space="preserve">interchange · scheme fee · e-com fee</w:t>
            </w:r>
          </w:p>
        </w:tc>
      </w:tr>
    </w:tbl>
    <w:p>
      <w:pPr>
        <w:spacing w:after="30" w:before="30"/>
        <w:jc w:val="center"/>
      </w:pPr>
      <w:r>
        <w:rPr>
          <w:b/>
          <w:bCs/>
          <w:color w:val="2F5496"/>
          <w:sz w:val="22"/>
          <w:szCs w:val="22"/>
        </w:rPr>
        <w:t xml:space="preserve">▼</w:t>
      </w:r>
    </w:p>
    <w:tbl>
      <w:tblPr>
        <w:tblW w:type="dxa" w:w="6200"/>
        <w:jc w:val="center"/>
        <w:tblBorders>
          <w:top w:val="single" w:color="4472C4" w:sz="6"/>
          <w:left w:val="single" w:color="4472C4" w:sz="6"/>
          <w:bottom w:val="single" w:color="4472C4" w:sz="6"/>
          <w:right w:val="single" w:color="4472C4" w:sz="6"/>
          <w:insideH w:val="single" w:color="auto" w:sz="4"/>
          <w:insideV w:val="single" w:color="auto" w:sz="4"/>
        </w:tblBorders>
      </w:tblPr>
      <w:tblGrid>
        <w:gridCol w:w="6200"/>
      </w:tblGrid>
      <w:tr>
        <w:tc>
          <w:tcPr>
            <w:tcW w:type="dxa" w:w="6200"/>
            <w:shd w:fill="4472C4" w:val="clear"/>
            <w:tcMar>
              <w:top w:type="dxa" w:w="40"/>
              <w:left w:type="dxa" w:w="120"/>
              <w:bottom w:type="dxa" w:w="40"/>
              <w:right w:type="dxa" w:w="120"/>
            </w:tcMar>
          </w:tcPr>
          <w:p>
            <w:pPr>
              <w:spacing w:after="20" w:before="40"/>
              <w:jc w:val="center"/>
            </w:pPr>
            <w:r>
              <w:rPr>
                <w:b/>
                <w:bCs/>
                <w:color w:val="FFFFFF"/>
                <w:sz w:val="20"/>
                <w:szCs w:val="20"/>
              </w:rPr>
              <w:t xml:space="preserve">Transaction facts</w:t>
            </w:r>
          </w:p>
          <w:p>
            <w:pPr>
              <w:spacing w:after="40"/>
              <w:jc w:val="center"/>
            </w:pPr>
            <w:r>
              <w:rPr>
                <w:color w:val="FFFFFF"/>
                <w:sz w:val="17"/>
                <w:szCs w:val="17"/>
              </w:rPr>
              <w:t xml:space="preserve">settlement currency, date-partitioned</w:t>
            </w:r>
          </w:p>
        </w:tc>
      </w:tr>
    </w:tbl>
    <w:p>
      <w:pPr>
        <w:spacing w:after="30" w:before="30"/>
        <w:jc w:val="center"/>
      </w:pPr>
      <w:r>
        <w:rPr>
          <w:b/>
          <w:bCs/>
          <w:color w:val="2F5496"/>
          <w:sz w:val="22"/>
          <w:szCs w:val="22"/>
        </w:rPr>
        <w:t xml:space="preserve">▼</w:t>
      </w:r>
    </w:p>
    <w:tbl>
      <w:tblPr>
        <w:tblW w:type="dxa" w:w="6200"/>
        <w:jc w:val="center"/>
        <w:tblBorders>
          <w:top w:val="single" w:color="4472C4" w:sz="6"/>
          <w:left w:val="single" w:color="4472C4" w:sz="6"/>
          <w:bottom w:val="single" w:color="4472C4" w:sz="6"/>
          <w:right w:val="single" w:color="4472C4" w:sz="6"/>
          <w:insideH w:val="single" w:color="auto" w:sz="4"/>
          <w:insideV w:val="single" w:color="auto" w:sz="4"/>
        </w:tblBorders>
      </w:tblPr>
      <w:tblGrid>
        <w:gridCol w:w="6200"/>
      </w:tblGrid>
      <w:tr>
        <w:tc>
          <w:tcPr>
            <w:tcW w:type="dxa" w:w="6200"/>
            <w:shd w:fill="4472C4" w:val="clear"/>
            <w:tcMar>
              <w:top w:type="dxa" w:w="40"/>
              <w:left w:type="dxa" w:w="120"/>
              <w:bottom w:type="dxa" w:w="40"/>
              <w:right w:type="dxa" w:w="120"/>
            </w:tcMar>
          </w:tcPr>
          <w:p>
            <w:pPr>
              <w:spacing w:after="40" w:before="40"/>
              <w:jc w:val="center"/>
            </w:pPr>
            <w:r>
              <w:rPr>
                <w:b/>
                <w:bCs/>
                <w:color w:val="FFFFFF"/>
                <w:sz w:val="20"/>
                <w:szCs w:val="20"/>
              </w:rPr>
              <w:t xml:space="preserve">Daily &amp; monthly aggregates</w:t>
            </w:r>
          </w:p>
        </w:tc>
      </w:tr>
    </w:tbl>
    <w:p>
      <w:pPr>
        <w:spacing w:after="30" w:before="30"/>
        <w:jc w:val="center"/>
      </w:pPr>
      <w:r>
        <w:rPr>
          <w:b/>
          <w:bCs/>
          <w:color w:val="2F5496"/>
          <w:sz w:val="22"/>
          <w:szCs w:val="22"/>
        </w:rPr>
        <w:t xml:space="preserve">▼</w:t>
      </w:r>
    </w:p>
    <w:tbl>
      <w:tblPr>
        <w:tblW w:type="dxa" w:w="6200"/>
        <w:jc w:val="center"/>
        <w:tblBorders>
          <w:top w:val="single" w:color="1F3864" w:sz="6"/>
          <w:left w:val="single" w:color="1F3864" w:sz="6"/>
          <w:bottom w:val="single" w:color="1F3864" w:sz="6"/>
          <w:right w:val="single" w:color="1F3864" w:sz="6"/>
          <w:insideH w:val="single" w:color="auto" w:sz="4"/>
          <w:insideV w:val="single" w:color="auto" w:sz="4"/>
        </w:tblBorders>
      </w:tblPr>
      <w:tblGrid>
        <w:gridCol w:w="6200"/>
      </w:tblGrid>
      <w:tr>
        <w:tc>
          <w:tcPr>
            <w:tcW w:type="dxa" w:w="6200"/>
            <w:shd w:fill="1F3864" w:val="clear"/>
            <w:tcMar>
              <w:top w:type="dxa" w:w="40"/>
              <w:left w:type="dxa" w:w="120"/>
              <w:bottom w:type="dxa" w:w="40"/>
              <w:right w:type="dxa" w:w="120"/>
            </w:tcMar>
          </w:tcPr>
          <w:p>
            <w:pPr>
              <w:spacing w:after="40" w:before="40"/>
              <w:jc w:val="center"/>
            </w:pPr>
            <w:r>
              <w:rPr>
                <w:b/>
                <w:bCs/>
                <w:color w:val="FFFFFF"/>
                <w:sz w:val="20"/>
                <w:szCs w:val="20"/>
              </w:rPr>
              <w:t xml:space="preserve">Dashboards · reports · explorer · AI</w:t>
            </w:r>
          </w:p>
        </w:tc>
      </w:tr>
    </w:tbl>
    <w:p>
      <w:pPr>
        <w:spacing w:after="160"/>
      </w:pPr>
    </w:p>
    <w:p>
      <w:pPr>
        <w:spacing w:after="140" w:line="276"/>
        <w:jc w:val="both"/>
      </w:pPr>
      <w:r>
        <w:t xml:space="preserve">Error handling is designed to fail loudly rather than quietly. A load whose rows all lack a usable payment date is rejected outright instead of appearing to succeed with zero rows. Row counts are asserted between staging and facts. Refunds are recognised and treated with their own fee rules. Re-loading a day replaces that day cleanly. When a correction is needed, operations can delete a single tenant-day and rebuild the affected summaries, or re-run the interchange normalisation described in section 9.</w:t>
      </w:r>
    </w:p>
    <w:p>
      <w:pPr>
        <w:pStyle w:val="Heading1"/>
        <w:pageBreakBefore/>
        <w:spacing w:after="120" w:before="360"/>
      </w:pPr>
      <w:r>
        <w:t xml:space="preserve">6. Merchant and Terminal Intelligence</w:t>
      </w:r>
    </w:p>
    <w:p>
      <w:pPr>
        <w:spacing w:after="140" w:line="276"/>
        <w:jc w:val="both"/>
      </w:pPr>
      <w:r>
        <w:t xml:space="preserve">NEXUS models the acquiring portfolio as a hierarchy: </w:t>
      </w:r>
      <w:r>
        <w:rPr>
          <w:b/>
          <w:bCs/>
        </w:rPr>
        <w:t xml:space="preserve">Merchant → Store → Terminal</w:t>
      </w:r>
      <w:r>
        <w:t xml:space="preserve">. The merchant master feed populates this hierarchy along with the attributes analysis depends on: legal and trading names, merchant category (MCC), assigned relationship manager or sales agent, referral partner, onboarding information and settlement configuration.</w:t>
      </w:r>
    </w:p>
    <w:p>
      <w:pPr>
        <w:spacing w:after="140" w:line="276"/>
        <w:jc w:val="both"/>
      </w:pPr>
      <w:r>
        <w:t xml:space="preserve">On top of the hierarchy, NEXUS maintains a </w:t>
      </w:r>
      <w:r>
        <w:rPr>
          <w:b/>
          <w:bCs/>
        </w:rPr>
        <w:t xml:space="preserve">Merchant 360</w:t>
      </w:r>
      <w:r>
        <w:t xml:space="preserve"> view: a single page bringing together a merchant's KPIs, transaction history, settlement summary, stores and terminals, contacts, documents, risk profile and activity timeline. From any dashboard figure, a user can drill to the merchant behind it and see the whole relationship.</w:t>
      </w:r>
    </w:p>
    <w:p>
      <w:pPr>
        <w:spacing w:after="140" w:line="276"/>
        <w:jc w:val="both"/>
      </w:pPr>
      <w:r>
        <w:t xml:space="preserve">The platform also derives what the master file cannot say — behaviour:</w:t>
      </w:r>
    </w:p>
    <w:p>
      <w:pPr>
        <w:pStyle w:val="ListParagraph"/>
        <w:numPr>
          <w:ilvl w:val="0"/>
          <w:numId w:val="2"/>
        </w:numPr>
        <w:spacing w:after="60"/>
      </w:pPr>
      <w:r>
        <w:rPr>
          <w:b/>
          <w:bCs/>
        </w:rPr>
        <w:t xml:space="preserve">Activity status</w:t>
      </w:r>
      <w:r>
        <w:t xml:space="preserve"> — active, new, dormant or zero-transaction, based on actual transacting behaviour rather than onboarding paperwork. "New" is defined by first revenue, not by a record-creation date.</w:t>
      </w:r>
    </w:p>
    <w:p>
      <w:pPr>
        <w:pStyle w:val="ListParagraph"/>
        <w:numPr>
          <w:ilvl w:val="0"/>
          <w:numId w:val="2"/>
        </w:numPr>
        <w:spacing w:after="60"/>
      </w:pPr>
      <w:r>
        <w:rPr>
          <w:b/>
          <w:bCs/>
        </w:rPr>
        <w:t xml:space="preserve">Trend and stability</w:t>
      </w:r>
      <w:r>
        <w:t xml:space="preserve"> — monthly metrics per merchant including volatility, weekday patterns and health indicators.</w:t>
      </w:r>
    </w:p>
    <w:p>
      <w:pPr>
        <w:pStyle w:val="ListParagraph"/>
        <w:numPr>
          <w:ilvl w:val="0"/>
          <w:numId w:val="2"/>
        </w:numPr>
        <w:spacing w:after="60"/>
      </w:pPr>
      <w:r>
        <w:rPr>
          <w:b/>
          <w:bCs/>
        </w:rPr>
        <w:t xml:space="preserve">Opportunity score</w:t>
      </w:r>
      <w:r>
        <w:t xml:space="preserve"> — a 0–100 growth/upsell score with reason tags, recalculated on every load.</w:t>
      </w:r>
    </w:p>
    <w:p>
      <w:pPr>
        <w:pStyle w:val="ListParagraph"/>
        <w:numPr>
          <w:ilvl w:val="0"/>
          <w:numId w:val="2"/>
        </w:numPr>
        <w:spacing w:after="60"/>
      </w:pPr>
      <w:r>
        <w:rPr>
          <w:b/>
          <w:bCs/>
        </w:rPr>
        <w:t xml:space="preserve">Churn risk</w:t>
      </w:r>
      <w:r>
        <w:t xml:space="preserve"> — a predictive score estimating the likelihood of the merchant going dormant in the next 30–60 days (section 14).</w:t>
      </w:r>
    </w:p>
    <w:p>
      <w:pPr>
        <w:pStyle w:val="ListParagraph"/>
        <w:numPr>
          <w:ilvl w:val="0"/>
          <w:numId w:val="2"/>
        </w:numPr>
        <w:spacing w:after="60"/>
      </w:pPr>
      <w:r>
        <w:rPr>
          <w:b/>
          <w:bCs/>
        </w:rPr>
        <w:t xml:space="preserve">Segment</w:t>
      </w:r>
      <w:r>
        <w:t xml:space="preserve"> — one of six data-driven portfolio segments (section 12).</w:t>
      </w:r>
    </w:p>
    <w:p>
      <w:pPr>
        <w:spacing w:after="140" w:line="276"/>
        <w:jc w:val="both"/>
      </w:pPr>
      <w:r>
        <w:t xml:space="preserve">This is the essential move NEXUS makes: from </w:t>
      </w:r>
      <w:r>
        <w:rPr>
          <w:i/>
          <w:iCs/>
        </w:rPr>
        <w:t xml:space="preserve">rows of transactions</w:t>
      </w:r>
      <w:r>
        <w:t xml:space="preserve"> to </w:t>
      </w:r>
      <w:r>
        <w:rPr>
          <w:i/>
          <w:iCs/>
        </w:rPr>
        <w:t xml:space="preserve">a managed portfolio of merchant relationships</w:t>
      </w:r>
      <w:r>
        <w:t xml:space="preserve">, each with a measurable value, direction and risk.</w:t>
      </w:r>
    </w:p>
    <w:p>
      <w:pPr>
        <w:spacing w:after="140" w:line="276"/>
        <w:jc w:val="both"/>
      </w:pPr>
      <w:r>
        <w:t xml:space="preserve">Complementary screens include the merchant growth heatmap (merchant × month), side-by-side merchant comparison (2–10 merchants across KPIs, trends and scheme mix), the zero-transaction report (never transacted / inactive 7–30 days / inactive 30+ days) and assignment history whenever a merchant moves between sales agents.</w:t>
      </w:r>
    </w:p>
    <w:p>
      <w:pPr>
        <w:pStyle w:val="Heading1"/>
        <w:pageBreakBefore/>
        <w:spacing w:after="120" w:before="360"/>
      </w:pPr>
      <w:r>
        <w:t xml:space="preserve">7. Transaction Analytics</w:t>
      </w:r>
    </w:p>
    <w:p>
      <w:pPr>
        <w:spacing w:after="140" w:line="276"/>
        <w:jc w:val="both"/>
      </w:pPr>
      <w:r>
        <w:t xml:space="preserve">Every transaction fact carries the dimensions the business analyses by: date, merchant, store, terminal, card scheme (Visa, Mastercard, JCB, UPI, BENEFIT, Meeza and others), card type (credit / debit / prepaid), card product tier, destination (domestic or international), channel (POS or e-commerce), transaction type (purchase or refund), DCC opt-in flag, MCC, ticket-size band, and amounts in both cardholder and settlement currency together with MSF, interchange, scheme fee and e-com fee.</w:t>
      </w:r>
    </w:p>
    <w:p>
      <w:pPr>
        <w:spacing w:after="140" w:line="276"/>
        <w:jc w:val="both"/>
      </w:pPr>
      <w:r>
        <w:t xml:space="preserve">These dimensions support drill-down from the whole book to a single ticket:</w:t>
      </w:r>
    </w:p>
    <w:p>
      <w:pPr>
        <w:shd w:fill="F2F4F5" w:val="clear"/>
        <w:spacing w:after="160" w:before="120" w:line="240"/>
        <w:ind w:left="240" w:right="240"/>
      </w:pPr>
      <w:r>
        <w:rPr>
          <w:rFonts w:ascii="Consolas" w:cs="Consolas" w:eastAsia="Consolas" w:hAnsi="Consolas"/>
          <w:sz w:val="16"/>
          <w:szCs w:val="16"/>
        </w:rPr>
        <w:t xml:space="preserve">Bank → Portfolio → Relationship Manager → Merchant → Store → Terminal → Transaction</w:t>
      </w:r>
    </w:p>
    <w:p>
      <w:pPr>
        <w:spacing w:after="140" w:line="276"/>
        <w:jc w:val="both"/>
      </w:pPr>
      <w:r>
        <w:t xml:space="preserve">Three analytical surfaces serve different depths of question:</w:t>
      </w:r>
    </w:p>
    <w:p>
      <w:pPr>
        <w:pStyle w:val="ListParagraph"/>
        <w:numPr>
          <w:ilvl w:val="0"/>
          <w:numId w:val="2"/>
        </w:numPr>
        <w:spacing w:after="60"/>
      </w:pPr>
      <w:r>
        <w:rPr>
          <w:b/>
          <w:bCs/>
        </w:rPr>
        <w:t xml:space="preserve">Curated dashboards</w:t>
      </w:r>
      <w:r>
        <w:t xml:space="preserve"> (sections 11 and 13) answer the standing questions — performance, attrition, profitability, sales — with fixed, agreed definitions.</w:t>
      </w:r>
    </w:p>
    <w:p>
      <w:pPr>
        <w:pStyle w:val="ListParagraph"/>
        <w:numPr>
          <w:ilvl w:val="0"/>
          <w:numId w:val="2"/>
        </w:numPr>
        <w:spacing w:after="60"/>
      </w:pPr>
      <w:r>
        <w:rPr>
          <w:b/>
          <w:bCs/>
        </w:rPr>
        <w:t xml:space="preserve">The Analytics Explorer</w:t>
      </w:r>
      <w:r>
        <w:t xml:space="preserve"> is governed self-service. Users drag dimensions and measures, build calculated measures (with safe, whitelisted functions), apply Qlik-style associative filtering (selections in one field immediately show what is possible or excluded elsewhere), assemble multi-widget dashboard sheets, save and share views, promote definitions to governed "master items", and set threshold alerts that the server evaluates on schedule. The engine automatically answers from pre-aggregated summaries when it can and falls back to transaction-level data only when the question requires it.</w:t>
      </w:r>
    </w:p>
    <w:p>
      <w:pPr>
        <w:pStyle w:val="ListParagraph"/>
        <w:numPr>
          <w:ilvl w:val="0"/>
          <w:numId w:val="2"/>
        </w:numPr>
        <w:spacing w:after="60"/>
      </w:pPr>
      <w:r>
        <w:rPr>
          <w:b/>
          <w:bCs/>
        </w:rPr>
        <w:t xml:space="preserve">The AI assistant</w:t>
      </w:r>
      <w:r>
        <w:t xml:space="preserve"> accepts plain-English questions ("top ten merchants by volume last month", "monthly trend of international e-commerce volume") and translates them into safe, read-only, tenant-scoped queries against the warehouse, returning a table, an automatic chart and the generated query for transparency. Relative dates are anchored to the latest loaded data, not the wall clock, so "this month" means the month the data actually covers.</w:t>
      </w:r>
    </w:p>
    <w:p>
      <w:pPr>
        <w:spacing w:after="140" w:line="276"/>
        <w:jc w:val="both"/>
      </w:pPr>
      <w:r>
        <w:t xml:space="preserve">Interactive cross-filtering ties visual exploration together: clicking a bar in one chart re-filters every other widget and the timeline, with removable filter chips.</w:t>
      </w:r>
    </w:p>
    <w:p>
      <w:pPr>
        <w:pStyle w:val="Heading1"/>
        <w:pageBreakBefore/>
        <w:spacing w:after="120" w:before="360"/>
      </w:pPr>
      <w:r>
        <w:t xml:space="preserve">8. Revenue, MSF and Merchant Profitability</w:t>
      </w:r>
    </w:p>
    <w:p>
      <w:pPr>
        <w:spacing w:after="140" w:line="276"/>
        <w:jc w:val="both"/>
      </w:pPr>
      <w:r>
        <w:rPr>
          <w:b/>
          <w:bCs/>
        </w:rPr>
        <w:t xml:space="preserve">Merchant Service Fee (MSF)</w:t>
      </w:r>
      <w:r>
        <w:t xml:space="preserve"> is the acquiring business's revenue line: the fee charged to the merchant on each transaction. In NEXUS, MSF arrives from the source feed as part of each transaction record — the platform reports and analyses it; it does not invoice it.</w:t>
      </w:r>
    </w:p>
    <w:p>
      <w:pPr>
        <w:spacing w:after="140" w:line="276"/>
        <w:jc w:val="both"/>
      </w:pPr>
      <w:r>
        <w:rPr>
          <w:b/>
          <w:bCs/>
        </w:rPr>
        <w:t xml:space="preserve">Acquiring costs</w:t>
      </w:r>
      <w:r>
        <w:t xml:space="preserve"> are computed by NEXUS itself, per transaction, at load time (section 9): interchange paid to the card issuer, scheme fees paid to the card network, and e-commerce gateway flat fees where applicable.</w:t>
      </w:r>
    </w:p>
    <w:p>
      <w:pPr>
        <w:spacing w:after="140" w:line="276"/>
        <w:jc w:val="both"/>
      </w:pPr>
      <w:r>
        <w:rPr>
          <w:b/>
          <w:bCs/>
        </w:rPr>
        <w:t xml:space="preserve">Merchant profitability</w:t>
      </w:r>
      <w:r>
        <w:t xml:space="preserve"> follows directly, exactly as implemented in the platform:</w:t>
      </w:r>
    </w:p>
    <w:p>
      <w:pPr>
        <w:shd w:fill="F2F4F5" w:val="clear"/>
        <w:spacing w:after="160" w:before="120" w:line="240"/>
        <w:ind w:left="240" w:right="240"/>
      </w:pPr>
      <w:r>
        <w:rPr>
          <w:rFonts w:ascii="Consolas" w:cs="Consolas" w:eastAsia="Consolas" w:hAnsi="Consolas"/>
          <w:sz w:val="16"/>
          <w:szCs w:val="16"/>
        </w:rPr>
        <w:t xml:space="preserve">Net revenue (margin) = MSF − Interchange − Scheme fee − E-commerce fee</w:t>
      </w:r>
    </w:p>
    <w:p>
      <w:pPr>
        <w:spacing w:after="140" w:line="276"/>
        <w:jc w:val="both"/>
      </w:pPr>
      <w:r>
        <w:t xml:space="preserve">Margin percentage is expressed over settled volume, and effective rates are shown in basis points so that pricing conversations use the industry's natural units.</w:t>
      </w:r>
    </w:p>
    <w:p>
      <w:pPr>
        <w:spacing w:after="140" w:line="276"/>
        <w:jc w:val="both"/>
      </w:pPr>
      <w:r>
        <w:t xml:space="preserve">This one formula, applied at transaction level and aggregated to every grain, powers a family of standing views:</w:t>
      </w:r>
    </w:p>
    <w:p>
      <w:pPr>
        <w:pStyle w:val="ListParagraph"/>
        <w:numPr>
          <w:ilvl w:val="0"/>
          <w:numId w:val="2"/>
        </w:numPr>
        <w:spacing w:after="60"/>
      </w:pPr>
      <w:r>
        <w:rPr>
          <w:b/>
          <w:bCs/>
        </w:rPr>
        <w:t xml:space="preserve">CEO Volume &amp; Revenue</w:t>
      </w:r>
      <w:r>
        <w:t xml:space="preserve"> — a merchant-level profit and loss table: count, volume, MSF, interchange, scheme fee, e-com fee, net margin and margin %.</w:t>
      </w:r>
    </w:p>
    <w:p>
      <w:pPr>
        <w:pStyle w:val="ListParagraph"/>
        <w:numPr>
          <w:ilvl w:val="0"/>
          <w:numId w:val="2"/>
        </w:numPr>
        <w:spacing w:after="60"/>
      </w:pPr>
      <w:r>
        <w:rPr>
          <w:b/>
          <w:bCs/>
        </w:rPr>
        <w:t xml:space="preserve">Loss-making merchants</w:t>
      </w:r>
      <w:r>
        <w:t xml:space="preserve"> — the same view restricted to merchants whose total margin is negative: the repricing shortlist.</w:t>
      </w:r>
    </w:p>
    <w:p>
      <w:pPr>
        <w:pStyle w:val="ListParagraph"/>
        <w:numPr>
          <w:ilvl w:val="0"/>
          <w:numId w:val="2"/>
        </w:numPr>
        <w:spacing w:after="60"/>
      </w:pPr>
      <w:r>
        <w:rPr>
          <w:b/>
          <w:bCs/>
        </w:rPr>
        <w:t xml:space="preserve">High-volume / low-margin</w:t>
      </w:r>
      <w:r>
        <w:t xml:space="preserve"> — merchants above a volume threshold and below a margin threshold: the highest-value pricing conversations.</w:t>
      </w:r>
    </w:p>
    <w:p>
      <w:pPr>
        <w:pStyle w:val="ListParagraph"/>
        <w:numPr>
          <w:ilvl w:val="0"/>
          <w:numId w:val="2"/>
        </w:numPr>
        <w:spacing w:after="60"/>
      </w:pPr>
      <w:r>
        <w:rPr>
          <w:b/>
          <w:bCs/>
        </w:rPr>
        <w:t xml:space="preserve">Finance dashboard revenue bridge</w:t>
      </w:r>
      <w:r>
        <w:t xml:space="preserve"> — MSF revenue walked down through each cost component to net margin, with a clickable profitability explorer by merchant, MCC, scheme or channel.</w:t>
      </w:r>
    </w:p>
    <w:p>
      <w:pPr>
        <w:pStyle w:val="ListParagraph"/>
        <w:numPr>
          <w:ilvl w:val="0"/>
          <w:numId w:val="2"/>
        </w:numPr>
        <w:spacing w:after="60"/>
      </w:pPr>
      <w:r>
        <w:rPr>
          <w:b/>
          <w:bCs/>
        </w:rPr>
        <w:t xml:space="preserve">Revenue KPIs</w:t>
      </w:r>
      <w:r>
        <w:t xml:space="preserve"> — effective MSF rate (bps), net take rate (bps), average ticket, and DCC opt-in/penetration measures including missed-DCC volume.</w:t>
      </w:r>
    </w:p>
    <w:p>
      <w:pPr>
        <w:pStyle w:val="ListParagraph"/>
        <w:numPr>
          <w:ilvl w:val="0"/>
          <w:numId w:val="2"/>
        </w:numPr>
        <w:spacing w:after="60"/>
      </w:pPr>
      <w:r>
        <w:rPr>
          <w:b/>
          <w:bCs/>
        </w:rPr>
        <w:t xml:space="preserve">What-if pricing simulator</w:t>
      </w:r>
      <w:r>
        <w:t xml:space="preserve"> — pick a cohort (by MCC, scheme, RM, partner or individual merchant), move the MSF rate or mix assumptions, and see the projected margin effect before any repricing decision. It is a modelling tool, deliberately separate from actual rate maintenance.</w:t>
      </w:r>
    </w:p>
    <w:p>
      <w:pPr>
        <w:pStyle w:val="ListParagraph"/>
        <w:numPr>
          <w:ilvl w:val="0"/>
          <w:numId w:val="2"/>
        </w:numPr>
        <w:spacing w:after="60"/>
      </w:pPr>
      <w:r>
        <w:rPr>
          <w:b/>
          <w:bCs/>
        </w:rPr>
        <w:t xml:space="preserve">Revenue leakage detection</w:t>
      </w:r>
      <w:r>
        <w:t xml:space="preserve"> — automated checks comparing each merchant's recent week against its own baseline, flagging volume drops, MSF-rate drops, zero-MSF activity and dormancy-driven revenue loss, with a triage workflow (resolve / ignore / reopen) and estimated monthly impact.</w:t>
      </w:r>
    </w:p>
    <w:p>
      <w:pPr>
        <w:spacing w:after="140" w:line="276"/>
        <w:jc w:val="both"/>
      </w:pPr>
      <w:r>
        <w:t xml:space="preserve">Together these views answer the questions a margin business lives on: who makes us money, who costs us money, where is pricing drifting, and what is it worth to fix.</w:t>
      </w:r>
    </w:p>
    <w:p>
      <w:pPr>
        <w:pStyle w:val="Heading1"/>
        <w:pageBreakBefore/>
        <w:spacing w:after="120" w:before="360"/>
      </w:pPr>
      <w:r>
        <w:t xml:space="preserve">9. Interchange and Fee Normalisation</w:t>
      </w:r>
    </w:p>
    <w:p>
      <w:pPr>
        <w:spacing w:after="140" w:line="276"/>
        <w:jc w:val="both"/>
      </w:pPr>
      <w:r>
        <w:t xml:space="preserve">Interchange is usually the largest single cost in acquiring, and the hardest to see clearly. NEXUS makes it explicit at transaction level.</w:t>
      </w:r>
    </w:p>
    <w:p>
      <w:pPr>
        <w:pStyle w:val="Heading3"/>
        <w:spacing w:after="120" w:before="240"/>
      </w:pPr>
      <w:r>
        <w:t xml:space="preserve">How NEXUS prices a transaction</w:t>
      </w:r>
    </w:p>
    <w:p>
      <w:pPr>
        <w:spacing w:after="140" w:line="276"/>
        <w:jc w:val="both"/>
      </w:pPr>
      <w:r>
        <w:t xml:space="preserve">At load time, each transaction is classified — scheme, card type, product tier, domestic or international destination, POS or e-commerce channel, merchant category — and matched against a rate-card hierarchy: tenant-specific rules override country defaults, and more specific rules (for example, scheme + MCC) take priority over general ones. Rules support percentage rates, caps, flat components and effective dating. Refunds carry their own treatment (interchange and scheme fee are not charged on refunds). Rate cards are seeded per market — UAE, Bahrain, Oman and Egypt — including local schemes.</w:t>
      </w:r>
    </w:p>
    <w:p>
      <w:pPr>
        <w:spacing w:after="140" w:line="276"/>
        <w:jc w:val="both"/>
      </w:pPr>
      <w:r>
        <w:t xml:space="preserve">A worked example from live verification: a BHD 100.000 domestic Visa POS transaction at a supermarket prices at 1.75% interchange (1.7500 BHD) plus 0.11% scheme fee, a total of 1.8600 BHD; a BENEFIT petrol transaction hits its interchange cap and is charged the capped amount rather than the percentage.</w:t>
      </w:r>
    </w:p>
    <w:p>
      <w:pPr>
        <w:spacing w:after="140" w:line="276"/>
        <w:jc w:val="both"/>
      </w:pPr>
      <w:r>
        <w:t xml:space="preserve">Critically, every priced transaction records </w:t>
      </w:r>
      <w:r>
        <w:rPr>
          <w:b/>
          <w:bCs/>
        </w:rPr>
        <w:t xml:space="preserve">provenance</w:t>
      </w:r>
      <w:r>
        <w:t xml:space="preserve">: which rule priced it and with what resolution status (fully resolved, resolved via a wildcard, priced with a placeholder rate, or unpriced because a mapping was missing). Unpriced or placeholder rows are visible per load, so gaps in reference data surface as a work queue instead of a silent error.</w:t>
      </w:r>
    </w:p>
    <w:p>
      <w:pPr>
        <w:spacing w:after="60"/>
      </w:pPr>
    </w:p>
    <w:tbl>
      <w:tblPr>
        <w:tblW w:type="dxa" w:w="6800"/>
        <w:jc w:val="center"/>
        <w:tblBorders>
          <w:top w:val="single" w:color="1F3864" w:sz="6"/>
          <w:left w:val="single" w:color="1F3864" w:sz="6"/>
          <w:bottom w:val="single" w:color="1F3864" w:sz="6"/>
          <w:right w:val="single" w:color="1F3864" w:sz="6"/>
          <w:insideH w:val="single" w:color="auto" w:sz="4"/>
          <w:insideV w:val="single" w:color="auto" w:sz="4"/>
        </w:tblBorders>
      </w:tblPr>
      <w:tblGrid>
        <w:gridCol w:w="6800"/>
      </w:tblGrid>
      <w:tr>
        <w:tc>
          <w:tcPr>
            <w:tcW w:type="dxa" w:w="6800"/>
            <w:shd w:fill="1F3864" w:val="clear"/>
            <w:tcMar>
              <w:top w:type="dxa" w:w="40"/>
              <w:left w:type="dxa" w:w="120"/>
              <w:bottom w:type="dxa" w:w="40"/>
              <w:right w:type="dxa" w:w="120"/>
            </w:tcMar>
          </w:tcPr>
          <w:p>
            <w:pPr>
              <w:spacing w:after="40" w:before="40"/>
              <w:jc w:val="center"/>
            </w:pPr>
            <w:r>
              <w:rPr>
                <w:b/>
                <w:bCs/>
                <w:color w:val="FFFFFF"/>
                <w:sz w:val="20"/>
                <w:szCs w:val="20"/>
              </w:rPr>
              <w:t xml:space="preserve">Transaction</w:t>
            </w:r>
          </w:p>
        </w:tc>
      </w:tr>
    </w:tbl>
    <w:p>
      <w:pPr>
        <w:spacing w:after="30" w:before="30"/>
        <w:jc w:val="center"/>
      </w:pPr>
      <w:r>
        <w:rPr>
          <w:b/>
          <w:bCs/>
          <w:color w:val="2F5496"/>
          <w:sz w:val="22"/>
          <w:szCs w:val="22"/>
        </w:rPr>
        <w:t xml:space="preserve">▼</w:t>
      </w:r>
    </w:p>
    <w:tbl>
      <w:tblPr>
        <w:tblW w:type="dxa" w:w="6800"/>
        <w:jc w:val="center"/>
        <w:tblBorders>
          <w:top w:val="single" w:color="E8EEF7" w:sz="6"/>
          <w:left w:val="single" w:color="E8EEF7" w:sz="6"/>
          <w:bottom w:val="single" w:color="E8EEF7" w:sz="6"/>
          <w:right w:val="single" w:color="E8EEF7" w:sz="6"/>
          <w:insideH w:val="single" w:color="auto" w:sz="4"/>
          <w:insideV w:val="single" w:color="auto" w:sz="4"/>
        </w:tblBorders>
      </w:tblPr>
      <w:tblGrid>
        <w:gridCol w:w="6800"/>
      </w:tblGrid>
      <w:tr>
        <w:tc>
          <w:tcPr>
            <w:tcW w:type="dxa" w:w="6800"/>
            <w:shd w:fill="E8EEF7" w:val="clear"/>
            <w:tcMar>
              <w:top w:type="dxa" w:w="40"/>
              <w:left w:type="dxa" w:w="120"/>
              <w:bottom w:type="dxa" w:w="40"/>
              <w:right w:type="dxa" w:w="120"/>
            </w:tcMar>
          </w:tcPr>
          <w:p>
            <w:pPr>
              <w:spacing w:after="20" w:before="40"/>
              <w:jc w:val="center"/>
            </w:pPr>
            <w:r>
              <w:rPr>
                <w:b/>
                <w:bCs/>
                <w:color w:val="1F3864"/>
                <w:sz w:val="20"/>
                <w:szCs w:val="20"/>
              </w:rPr>
              <w:t xml:space="preserve">Classify</w:t>
            </w:r>
          </w:p>
          <w:p>
            <w:pPr>
              <w:spacing w:after="40"/>
              <w:jc w:val="center"/>
            </w:pPr>
            <w:r>
              <w:rPr>
                <w:color w:val="1F3864"/>
                <w:sz w:val="17"/>
                <w:szCs w:val="17"/>
              </w:rPr>
              <w:t xml:space="preserve">scheme · card type · destination · channel · MCC · ticket band</w:t>
            </w:r>
          </w:p>
        </w:tc>
      </w:tr>
    </w:tbl>
    <w:p>
      <w:pPr>
        <w:spacing w:after="30" w:before="30"/>
        <w:jc w:val="center"/>
      </w:pPr>
      <w:r>
        <w:rPr>
          <w:b/>
          <w:bCs/>
          <w:color w:val="2F5496"/>
          <w:sz w:val="22"/>
          <w:szCs w:val="22"/>
        </w:rPr>
        <w:t xml:space="preserve">▼</w:t>
      </w:r>
    </w:p>
    <w:tbl>
      <w:tblPr>
        <w:tblW w:type="dxa" w:w="6800"/>
        <w:jc w:val="center"/>
        <w:tblBorders>
          <w:top w:val="single" w:color="E8EEF7" w:sz="6"/>
          <w:left w:val="single" w:color="E8EEF7" w:sz="6"/>
          <w:bottom w:val="single" w:color="E8EEF7" w:sz="6"/>
          <w:right w:val="single" w:color="E8EEF7" w:sz="6"/>
          <w:insideH w:val="single" w:color="auto" w:sz="4"/>
          <w:insideV w:val="single" w:color="auto" w:sz="4"/>
        </w:tblBorders>
      </w:tblPr>
      <w:tblGrid>
        <w:gridCol w:w="6800"/>
      </w:tblGrid>
      <w:tr>
        <w:tc>
          <w:tcPr>
            <w:tcW w:type="dxa" w:w="6800"/>
            <w:shd w:fill="E8EEF7" w:val="clear"/>
            <w:tcMar>
              <w:top w:type="dxa" w:w="40"/>
              <w:left w:type="dxa" w:w="120"/>
              <w:bottom w:type="dxa" w:w="40"/>
              <w:right w:type="dxa" w:w="120"/>
            </w:tcMar>
          </w:tcPr>
          <w:p>
            <w:pPr>
              <w:spacing w:after="20" w:before="40"/>
              <w:jc w:val="center"/>
            </w:pPr>
            <w:r>
              <w:rPr>
                <w:b/>
                <w:bCs/>
                <w:color w:val="1F3864"/>
                <w:sz w:val="20"/>
                <w:szCs w:val="20"/>
              </w:rPr>
              <w:t xml:space="preserve">Match rate rule</w:t>
            </w:r>
          </w:p>
          <w:p>
            <w:pPr>
              <w:spacing w:after="40"/>
              <w:jc w:val="center"/>
            </w:pPr>
            <w:r>
              <w:rPr>
                <w:color w:val="1F3864"/>
                <w:sz w:val="17"/>
                <w:szCs w:val="17"/>
              </w:rPr>
              <w:t xml:space="preserve">tenant override beats country default; most specific rule wins</w:t>
            </w:r>
          </w:p>
        </w:tc>
      </w:tr>
    </w:tbl>
    <w:p>
      <w:pPr>
        <w:spacing w:after="30" w:before="30"/>
        <w:jc w:val="center"/>
      </w:pPr>
      <w:r>
        <w:rPr>
          <w:b/>
          <w:bCs/>
          <w:color w:val="2F5496"/>
          <w:sz w:val="22"/>
          <w:szCs w:val="22"/>
        </w:rPr>
        <w:t xml:space="preserve">▼</w:t>
      </w:r>
    </w:p>
    <w:tbl>
      <w:tblPr>
        <w:tblW w:type="dxa" w:w="6800"/>
        <w:jc w:val="center"/>
        <w:tblBorders>
          <w:top w:val="single" w:color="2F5496" w:sz="6"/>
          <w:left w:val="single" w:color="2F5496" w:sz="6"/>
          <w:bottom w:val="single" w:color="2F5496" w:sz="6"/>
          <w:right w:val="single" w:color="2F5496" w:sz="6"/>
          <w:insideH w:val="single" w:color="auto" w:sz="4"/>
          <w:insideV w:val="single" w:color="auto" w:sz="4"/>
        </w:tblBorders>
      </w:tblPr>
      <w:tblGrid>
        <w:gridCol w:w="6800"/>
      </w:tblGrid>
      <w:tr>
        <w:tc>
          <w:tcPr>
            <w:tcW w:type="dxa" w:w="6800"/>
            <w:shd w:fill="2F5496" w:val="clear"/>
            <w:tcMar>
              <w:top w:type="dxa" w:w="40"/>
              <w:left w:type="dxa" w:w="120"/>
              <w:bottom w:type="dxa" w:w="40"/>
              <w:right w:type="dxa" w:w="120"/>
            </w:tcMar>
          </w:tcPr>
          <w:p>
            <w:pPr>
              <w:spacing w:after="20" w:before="40"/>
              <w:jc w:val="center"/>
            </w:pPr>
            <w:r>
              <w:rPr>
                <w:b/>
                <w:bCs/>
                <w:color w:val="FFFFFF"/>
                <w:sz w:val="20"/>
                <w:szCs w:val="20"/>
              </w:rPr>
              <w:t xml:space="preserve">Compute expected fees</w:t>
            </w:r>
          </w:p>
          <w:p>
            <w:pPr>
              <w:spacing w:after="40"/>
              <w:jc w:val="center"/>
            </w:pPr>
            <w:r>
              <w:rPr>
                <w:color w:val="FFFFFF"/>
                <w:sz w:val="17"/>
                <w:szCs w:val="17"/>
              </w:rPr>
              <w:t xml:space="preserve">percentage × amount · caps · flat components · effective dates</w:t>
            </w:r>
          </w:p>
        </w:tc>
      </w:tr>
    </w:tbl>
    <w:p>
      <w:pPr>
        <w:spacing w:after="30" w:before="30"/>
        <w:jc w:val="center"/>
      </w:pPr>
      <w:r>
        <w:rPr>
          <w:b/>
          <w:bCs/>
          <w:color w:val="2F5496"/>
          <w:sz w:val="22"/>
          <w:szCs w:val="22"/>
        </w:rPr>
        <w:t xml:space="preserve">▼</w:t>
      </w:r>
    </w:p>
    <w:tbl>
      <w:tblPr>
        <w:tblW w:type="dxa" w:w="6800"/>
        <w:jc w:val="center"/>
        <w:tblBorders>
          <w:top w:val="single" w:color="4472C4" w:sz="6"/>
          <w:left w:val="single" w:color="4472C4" w:sz="6"/>
          <w:bottom w:val="single" w:color="4472C4" w:sz="6"/>
          <w:right w:val="single" w:color="4472C4" w:sz="6"/>
          <w:insideH w:val="single" w:color="auto" w:sz="4"/>
          <w:insideV w:val="single" w:color="auto" w:sz="4"/>
        </w:tblBorders>
      </w:tblPr>
      <w:tblGrid>
        <w:gridCol w:w="6800"/>
      </w:tblGrid>
      <w:tr>
        <w:tc>
          <w:tcPr>
            <w:tcW w:type="dxa" w:w="6800"/>
            <w:shd w:fill="4472C4" w:val="clear"/>
            <w:tcMar>
              <w:top w:type="dxa" w:w="40"/>
              <w:left w:type="dxa" w:w="120"/>
              <w:bottom w:type="dxa" w:w="40"/>
              <w:right w:type="dxa" w:w="120"/>
            </w:tcMar>
          </w:tcPr>
          <w:p>
            <w:pPr>
              <w:spacing w:after="40" w:before="40"/>
              <w:jc w:val="center"/>
            </w:pPr>
            <w:r>
              <w:rPr>
                <w:b/>
                <w:bCs/>
                <w:color w:val="FFFFFF"/>
                <w:sz w:val="20"/>
                <w:szCs w:val="20"/>
              </w:rPr>
              <w:t xml:space="preserve">Record fee + rule provenance</w:t>
            </w:r>
          </w:p>
        </w:tc>
      </w:tr>
    </w:tbl>
    <w:p>
      <w:pPr>
        <w:spacing w:after="30" w:before="30"/>
        <w:jc w:val="center"/>
      </w:pPr>
      <w:r>
        <w:rPr>
          <w:b/>
          <w:bCs/>
          <w:color w:val="2F5496"/>
          <w:sz w:val="22"/>
          <w:szCs w:val="22"/>
        </w:rPr>
        <w:t xml:space="preserve">▼</w:t>
      </w:r>
    </w:p>
    <w:tbl>
      <w:tblPr>
        <w:tblW w:type="dxa" w:w="6800"/>
        <w:jc w:val="center"/>
        <w:tblBorders>
          <w:top w:val="single" w:color="1F3864" w:sz="6"/>
          <w:left w:val="single" w:color="1F3864" w:sz="6"/>
          <w:bottom w:val="single" w:color="1F3864" w:sz="6"/>
          <w:right w:val="single" w:color="1F3864" w:sz="6"/>
          <w:insideH w:val="single" w:color="auto" w:sz="4"/>
          <w:insideV w:val="single" w:color="auto" w:sz="4"/>
        </w:tblBorders>
      </w:tblPr>
      <w:tblGrid>
        <w:gridCol w:w="6800"/>
      </w:tblGrid>
      <w:tr>
        <w:tc>
          <w:tcPr>
            <w:tcW w:type="dxa" w:w="6800"/>
            <w:shd w:fill="1F3864" w:val="clear"/>
            <w:tcMar>
              <w:top w:type="dxa" w:w="40"/>
              <w:left w:type="dxa" w:w="120"/>
              <w:bottom w:type="dxa" w:w="40"/>
              <w:right w:type="dxa" w:w="120"/>
            </w:tcMar>
          </w:tcPr>
          <w:p>
            <w:pPr>
              <w:spacing w:after="40" w:before="40"/>
              <w:jc w:val="center"/>
            </w:pPr>
            <w:r>
              <w:rPr>
                <w:b/>
                <w:bCs/>
                <w:color w:val="FFFFFF"/>
                <w:sz w:val="20"/>
                <w:szCs w:val="20"/>
              </w:rPr>
              <w:t xml:space="preserve">Compare &amp; normalise vs Finance-confirmed totals</w:t>
            </w:r>
          </w:p>
        </w:tc>
      </w:tr>
    </w:tbl>
    <w:p>
      <w:pPr>
        <w:spacing w:after="160"/>
      </w:pPr>
    </w:p>
    <w:p>
      <w:pPr>
        <w:pStyle w:val="Heading3"/>
        <w:spacing w:after="120" w:before="240"/>
      </w:pPr>
      <w:r>
        <w:t xml:space="preserve">Interchange normalisation</w:t>
      </w:r>
    </w:p>
    <w:p>
      <w:pPr>
        <w:spacing w:after="140" w:line="276"/>
        <w:jc w:val="both"/>
      </w:pPr>
      <w:r>
        <w:t xml:space="preserve">Computed interchange and the scheme-billed reality can drift — rates change mid-month, adjustments arrive late. NEXUS includes a controlled correction tool: Finance supplies the confirmed interchange total for a month; the platform previews how the difference would be allocated across transactions in proportion to volume (using a largest-remainder method so the allocation sums exactly, and never driving any merchant's interchange negative); on approval it applies the correction and rebuilds every affected summary. Each run is versioned, with full detail history and the pre-correction values retained. The tool refuses to apply a run that does not reconcile.</w:t>
      </w:r>
    </w:p>
    <w:p>
      <w:pPr>
        <w:spacing w:after="140" w:line="276"/>
        <w:jc w:val="both"/>
      </w:pPr>
      <w:r>
        <w:t xml:space="preserve">For the business, this closes the loop between analytical interchange and accounting interchange: merchant margins are computed on numbers Finance has confirmed, which is what makes the loss-making and repricing lists credible enough to act on.</w:t>
      </w:r>
    </w:p>
    <w:p>
      <w:pPr>
        <w:spacing w:after="140" w:line="276"/>
        <w:jc w:val="both"/>
      </w:pPr>
      <w:r>
        <w:rPr>
          <w:i/>
          <w:iCs/>
        </w:rPr>
        <w:t xml:space="preserve">In progress:</w:t>
      </w:r>
      <w:r>
        <w:t xml:space="preserve"> BIN-based card typing. NEXUS already holds an extensive BIN reference (including full scheme BIN ranges) and an upload facility for it, but transaction classification currently uses the card-type information in the feed; deriving card type and issuer country from BIN is designed and planned, not yet active.</w:t>
      </w:r>
    </w:p>
    <w:p>
      <w:pPr>
        <w:pStyle w:val="Heading1"/>
        <w:pageBreakBefore/>
        <w:spacing w:after="120" w:before="360"/>
      </w:pPr>
      <w:r>
        <w:t xml:space="preserve">10. Reconciliation and Data Integrity</w:t>
      </w:r>
    </w:p>
    <w:p>
      <w:pPr>
        <w:spacing w:after="140" w:line="276"/>
        <w:jc w:val="both"/>
      </w:pPr>
      <w:r>
        <w:t xml:space="preserve">An analytics platform is only as useful as its numbers are trusted. NEXUS builds reconciliation into the pipeline rather than treating it as an afterthought:</w:t>
      </w:r>
    </w:p>
    <w:p>
      <w:pPr>
        <w:pStyle w:val="ListParagraph"/>
        <w:numPr>
          <w:ilvl w:val="0"/>
          <w:numId w:val="2"/>
        </w:numPr>
        <w:spacing w:after="60"/>
      </w:pPr>
      <w:r>
        <w:rPr>
          <w:b/>
          <w:bCs/>
        </w:rPr>
        <w:t xml:space="preserve">Load-time assertions</w:t>
      </w:r>
      <w:r>
        <w:t xml:space="preserve"> — row counts are checked between staging and the fact store; a load with no usable dates is rejected, not accepted empty.</w:t>
      </w:r>
    </w:p>
    <w:p>
      <w:pPr>
        <w:pStyle w:val="ListParagraph"/>
        <w:numPr>
          <w:ilvl w:val="0"/>
          <w:numId w:val="2"/>
        </w:numPr>
        <w:spacing w:after="60"/>
      </w:pPr>
      <w:r>
        <w:rPr>
          <w:b/>
          <w:bCs/>
        </w:rPr>
        <w:t xml:space="preserve">Grain reconciliation</w:t>
      </w:r>
      <w:r>
        <w:t xml:space="preserve"> — daily aggregates are built from the same fact rows they summarise, and monthly rollups are exact sums of daily rows; live verification confirmed fact-level totals equal to dashboard totals to the last decimal across tenants.</w:t>
      </w:r>
    </w:p>
    <w:p>
      <w:pPr>
        <w:pStyle w:val="ListParagraph"/>
        <w:numPr>
          <w:ilvl w:val="0"/>
          <w:numId w:val="2"/>
        </w:numPr>
        <w:spacing w:after="60"/>
      </w:pPr>
      <w:r>
        <w:rPr>
          <w:b/>
          <w:bCs/>
        </w:rPr>
        <w:t xml:space="preserve">Currency precision end-to-end</w:t>
      </w:r>
      <w:r>
        <w:t xml:space="preserve"> — amounts are carried at full precision from file to fact to API to screen to export, respecting each currency's decimals (three for BHD, two for EGP), so an exported figure matches the on-screen figure and both match source.</w:t>
      </w:r>
    </w:p>
    <w:p>
      <w:pPr>
        <w:pStyle w:val="ListParagraph"/>
        <w:numPr>
          <w:ilvl w:val="0"/>
          <w:numId w:val="2"/>
        </w:numPr>
        <w:spacing w:after="60"/>
      </w:pPr>
      <w:r>
        <w:rPr>
          <w:b/>
          <w:bCs/>
        </w:rPr>
        <w:t xml:space="preserve">Fee resolution reporting</w:t>
      </w:r>
      <w:r>
        <w:t xml:space="preserve"> — every load reports how many transactions were priced fully, priced by wildcard, priced with placeholders or left unpriced, making reference-data gaps measurable.</w:t>
      </w:r>
    </w:p>
    <w:p>
      <w:pPr>
        <w:pStyle w:val="ListParagraph"/>
        <w:numPr>
          <w:ilvl w:val="0"/>
          <w:numId w:val="2"/>
        </w:numPr>
        <w:spacing w:after="60"/>
      </w:pPr>
      <w:r>
        <w:rPr>
          <w:b/>
          <w:bCs/>
        </w:rPr>
        <w:t xml:space="preserve">Refund treatment</w:t>
      </w:r>
      <w:r>
        <w:t xml:space="preserve"> — refunds are signed correctly in volumes and excluded from interchange/scheme costs by rule.</w:t>
      </w:r>
    </w:p>
    <w:p>
      <w:pPr>
        <w:pStyle w:val="ListParagraph"/>
        <w:numPr>
          <w:ilvl w:val="0"/>
          <w:numId w:val="2"/>
        </w:numPr>
        <w:spacing w:after="60"/>
      </w:pPr>
      <w:r>
        <w:rPr>
          <w:b/>
          <w:bCs/>
        </w:rPr>
        <w:t xml:space="preserve">Correction paths</w:t>
      </w:r>
      <w:r>
        <w:t xml:space="preserve"> — re-uploading a day replaces it cleanly; a single tenant-day can be deleted and summaries rebuilt; interchange normalisation aligns computed cost to Finance's confirmed totals.</w:t>
      </w:r>
    </w:p>
    <w:p>
      <w:pPr>
        <w:spacing w:after="60"/>
      </w:pPr>
    </w:p>
    <w:tbl>
      <w:tblPr>
        <w:tblW w:type="dxa" w:w="9026"/>
        <w:jc w:val="center"/>
        <w:tblBorders>
          <w:top w:val="none" w:color="FFFFFF" w:sz="0"/>
          <w:left w:val="none" w:color="FFFFFF" w:sz="0"/>
          <w:bottom w:val="none" w:color="FFFFFF" w:sz="0"/>
          <w:right w:val="none" w:color="FFFFFF" w:sz="0"/>
          <w:insideH w:val="single" w:color="auto" w:sz="4"/>
          <w:insideV w:val="single" w:color="auto" w:sz="4"/>
        </w:tblBorders>
      </w:tblPr>
      <w:tblGrid>
        <w:gridCol w:w="2928"/>
        <w:gridCol w:w="120"/>
        <w:gridCol w:w="2928"/>
        <w:gridCol w:w="120"/>
        <w:gridCol w:w="2928"/>
      </w:tblGrid>
      <w:tr>
        <w:tc>
          <w:tcPr>
            <w:tcW w:type="dxa" w:w="2928"/>
            <w:tcBorders>
              <w:top w:val="single" w:color="1F3864" w:sz="6"/>
              <w:left w:val="single" w:color="1F3864" w:sz="6"/>
              <w:bottom w:val="single" w:color="1F3864" w:sz="6"/>
              <w:right w:val="single" w:color="1F3864" w:sz="6"/>
            </w:tcBorders>
            <w:shd w:fill="1F3864" w:val="clear"/>
            <w:tcMar>
              <w:top w:type="dxa" w:w="40"/>
              <w:left w:type="dxa" w:w="100"/>
              <w:bottom w:type="dxa" w:w="40"/>
              <w:right w:type="dxa" w:w="100"/>
            </w:tcMar>
            <w:vAlign w:val="center"/>
          </w:tcPr>
          <w:p>
            <w:pPr>
              <w:spacing w:after="30" w:before="30"/>
              <w:jc w:val="center"/>
            </w:pPr>
            <w:r>
              <w:rPr>
                <w:b/>
                <w:bCs/>
                <w:color w:val="FFFFFF"/>
                <w:sz w:val="19"/>
                <w:szCs w:val="19"/>
              </w:rPr>
              <w:t xml:space="preserve">Source file totals</w:t>
            </w:r>
          </w:p>
        </w:tc>
        <w:tc>
          <w:tcPr>
            <w:tcW w:type="dxa" w:w="120"/>
            <w:tcBorders>
              <w:top w:val="none" w:color="FFFFFF" w:sz="0"/>
              <w:left w:val="none" w:color="FFFFFF" w:sz="0"/>
              <w:bottom w:val="none" w:color="FFFFFF" w:sz="0"/>
              <w:right w:val="none" w:color="FFFFFF" w:sz="0"/>
            </w:tcBorders>
          </w:tcPr>
          <w:p/>
        </w:tc>
        <w:tc>
          <w:tcPr>
            <w:tcW w:type="dxa" w:w="2928"/>
            <w:tcBorders>
              <w:top w:val="single" w:color="1F3864" w:sz="6"/>
              <w:left w:val="single" w:color="1F3864" w:sz="6"/>
              <w:bottom w:val="single" w:color="1F3864" w:sz="6"/>
              <w:right w:val="single" w:color="1F3864" w:sz="6"/>
            </w:tcBorders>
            <w:shd w:fill="1F3864" w:val="clear"/>
            <w:tcMar>
              <w:top w:type="dxa" w:w="40"/>
              <w:left w:type="dxa" w:w="100"/>
              <w:bottom w:type="dxa" w:w="40"/>
              <w:right w:type="dxa" w:w="100"/>
            </w:tcMar>
            <w:vAlign w:val="center"/>
          </w:tcPr>
          <w:p>
            <w:pPr>
              <w:spacing w:after="30" w:before="30"/>
              <w:jc w:val="center"/>
            </w:pPr>
            <w:r>
              <w:rPr>
                <w:b/>
                <w:bCs/>
                <w:color w:val="FFFFFF"/>
                <w:sz w:val="19"/>
                <w:szCs w:val="19"/>
              </w:rPr>
              <w:t xml:space="preserve">NEXUS fact totals</w:t>
            </w:r>
          </w:p>
        </w:tc>
        <w:tc>
          <w:tcPr>
            <w:tcW w:type="dxa" w:w="120"/>
            <w:tcBorders>
              <w:top w:val="none" w:color="FFFFFF" w:sz="0"/>
              <w:left w:val="none" w:color="FFFFFF" w:sz="0"/>
              <w:bottom w:val="none" w:color="FFFFFF" w:sz="0"/>
              <w:right w:val="none" w:color="FFFFFF" w:sz="0"/>
            </w:tcBorders>
          </w:tcPr>
          <w:p/>
        </w:tc>
        <w:tc>
          <w:tcPr>
            <w:tcW w:type="dxa" w:w="2928"/>
            <w:tcBorders>
              <w:top w:val="single" w:color="1F3864" w:sz="6"/>
              <w:left w:val="single" w:color="1F3864" w:sz="6"/>
              <w:bottom w:val="single" w:color="1F3864" w:sz="6"/>
              <w:right w:val="single" w:color="1F3864" w:sz="6"/>
            </w:tcBorders>
            <w:shd w:fill="1F3864" w:val="clear"/>
            <w:tcMar>
              <w:top w:type="dxa" w:w="40"/>
              <w:left w:type="dxa" w:w="100"/>
              <w:bottom w:type="dxa" w:w="40"/>
              <w:right w:type="dxa" w:w="100"/>
            </w:tcMar>
            <w:vAlign w:val="center"/>
          </w:tcPr>
          <w:p>
            <w:pPr>
              <w:spacing w:after="30" w:before="30"/>
              <w:jc w:val="center"/>
            </w:pPr>
            <w:r>
              <w:rPr>
                <w:b/>
                <w:bCs/>
                <w:color w:val="FFFFFF"/>
                <w:sz w:val="19"/>
                <w:szCs w:val="19"/>
              </w:rPr>
              <w:t xml:space="preserve">Daily / monthly aggregates</w:t>
            </w:r>
          </w:p>
        </w:tc>
      </w:tr>
    </w:tbl>
    <w:p>
      <w:pPr>
        <w:spacing w:after="30" w:before="30"/>
        <w:jc w:val="center"/>
      </w:pPr>
      <w:r>
        <w:rPr>
          <w:b/>
          <w:bCs/>
          <w:color w:val="2F5496"/>
          <w:sz w:val="22"/>
          <w:szCs w:val="22"/>
        </w:rPr>
        <w:t xml:space="preserve">▼</w:t>
      </w:r>
    </w:p>
    <w:tbl>
      <w:tblPr>
        <w:tblW w:type="dxa" w:w="6200"/>
        <w:jc w:val="center"/>
        <w:tblBorders>
          <w:top w:val="single" w:color="2F5496" w:sz="6"/>
          <w:left w:val="single" w:color="2F5496" w:sz="6"/>
          <w:bottom w:val="single" w:color="2F5496" w:sz="6"/>
          <w:right w:val="single" w:color="2F5496" w:sz="6"/>
          <w:insideH w:val="single" w:color="auto" w:sz="4"/>
          <w:insideV w:val="single" w:color="auto" w:sz="4"/>
        </w:tblBorders>
      </w:tblPr>
      <w:tblGrid>
        <w:gridCol w:w="6200"/>
      </w:tblGrid>
      <w:tr>
        <w:tc>
          <w:tcPr>
            <w:tcW w:type="dxa" w:w="6200"/>
            <w:shd w:fill="2F5496" w:val="clear"/>
            <w:tcMar>
              <w:top w:type="dxa" w:w="40"/>
              <w:left w:type="dxa" w:w="120"/>
              <w:bottom w:type="dxa" w:w="40"/>
              <w:right w:type="dxa" w:w="120"/>
            </w:tcMar>
          </w:tcPr>
          <w:p>
            <w:pPr>
              <w:spacing w:after="20" w:before="40"/>
              <w:jc w:val="center"/>
            </w:pPr>
            <w:r>
              <w:rPr>
                <w:b/>
                <w:bCs/>
                <w:color w:val="FFFFFF"/>
                <w:sz w:val="20"/>
                <w:szCs w:val="20"/>
              </w:rPr>
              <w:t xml:space="preserve">COMPARE</w:t>
            </w:r>
          </w:p>
          <w:p>
            <w:pPr>
              <w:spacing w:after="40"/>
              <w:jc w:val="center"/>
            </w:pPr>
            <w:r>
              <w:rPr>
                <w:color w:val="FFFFFF"/>
                <w:sz w:val="17"/>
                <w:szCs w:val="17"/>
              </w:rPr>
              <w:t xml:space="preserve">counts · amounts · MSF · fees — by scheme and date</w:t>
            </w:r>
          </w:p>
        </w:tc>
      </w:tr>
    </w:tbl>
    <w:p>
      <w:pPr>
        <w:spacing w:after="30" w:before="30"/>
        <w:jc w:val="center"/>
      </w:pPr>
      <w:r>
        <w:rPr>
          <w:b/>
          <w:bCs/>
          <w:color w:val="2F5496"/>
          <w:sz w:val="22"/>
          <w:szCs w:val="22"/>
        </w:rPr>
        <w:t xml:space="preserve">▼</w:t>
      </w:r>
    </w:p>
    <w:tbl>
      <w:tblPr>
        <w:tblW w:type="dxa" w:w="7200"/>
        <w:jc w:val="center"/>
        <w:tblBorders>
          <w:top w:val="none" w:color="FFFFFF" w:sz="0"/>
          <w:left w:val="none" w:color="FFFFFF" w:sz="0"/>
          <w:bottom w:val="none" w:color="FFFFFF" w:sz="0"/>
          <w:right w:val="none" w:color="FFFFFF" w:sz="0"/>
          <w:insideH w:val="single" w:color="auto" w:sz="4"/>
          <w:insideV w:val="single" w:color="auto" w:sz="4"/>
        </w:tblBorders>
      </w:tblPr>
      <w:tblGrid>
        <w:gridCol w:w="3540"/>
        <w:gridCol w:w="120"/>
        <w:gridCol w:w="3540"/>
      </w:tblGrid>
      <w:tr>
        <w:tc>
          <w:tcPr>
            <w:tcW w:type="dxa" w:w="3540"/>
            <w:tcBorders>
              <w:top w:val="single" w:color="2E7D32" w:sz="6"/>
              <w:left w:val="single" w:color="2E7D32" w:sz="6"/>
              <w:bottom w:val="single" w:color="2E7D32" w:sz="6"/>
              <w:right w:val="single" w:color="2E7D32" w:sz="6"/>
            </w:tcBorders>
            <w:shd w:fill="2E7D32" w:val="clear"/>
            <w:tcMar>
              <w:top w:type="dxa" w:w="40"/>
              <w:left w:type="dxa" w:w="100"/>
              <w:bottom w:type="dxa" w:w="40"/>
              <w:right w:type="dxa" w:w="100"/>
            </w:tcMar>
            <w:vAlign w:val="center"/>
          </w:tcPr>
          <w:p>
            <w:pPr>
              <w:spacing w:after="20" w:before="30"/>
              <w:jc w:val="center"/>
            </w:pPr>
            <w:r>
              <w:rPr>
                <w:b/>
                <w:bCs/>
                <w:color w:val="FFFFFF"/>
                <w:sz w:val="19"/>
                <w:szCs w:val="19"/>
              </w:rPr>
              <w:t xml:space="preserve">✓ Reconciled</w:t>
            </w:r>
          </w:p>
          <w:p>
            <w:pPr>
              <w:spacing w:after="30"/>
              <w:jc w:val="center"/>
            </w:pPr>
            <w:r>
              <w:rPr>
                <w:color w:val="FFFFFF"/>
                <w:sz w:val="16"/>
                <w:szCs w:val="16"/>
              </w:rPr>
              <w:t xml:space="preserve">month-end pack stands on verified data</w:t>
            </w:r>
          </w:p>
        </w:tc>
        <w:tc>
          <w:tcPr>
            <w:tcW w:type="dxa" w:w="120"/>
            <w:tcBorders>
              <w:top w:val="none" w:color="FFFFFF" w:sz="0"/>
              <w:left w:val="none" w:color="FFFFFF" w:sz="0"/>
              <w:bottom w:val="none" w:color="FFFFFF" w:sz="0"/>
              <w:right w:val="none" w:color="FFFFFF" w:sz="0"/>
            </w:tcBorders>
          </w:tcPr>
          <w:p/>
        </w:tc>
        <w:tc>
          <w:tcPr>
            <w:tcW w:type="dxa" w:w="3540"/>
            <w:tcBorders>
              <w:top w:val="single" w:color="B26A00" w:sz="6"/>
              <w:left w:val="single" w:color="B26A00" w:sz="6"/>
              <w:bottom w:val="single" w:color="B26A00" w:sz="6"/>
              <w:right w:val="single" w:color="B26A00" w:sz="6"/>
            </w:tcBorders>
            <w:shd w:fill="B26A00" w:val="clear"/>
            <w:tcMar>
              <w:top w:type="dxa" w:w="40"/>
              <w:left w:type="dxa" w:w="100"/>
              <w:bottom w:type="dxa" w:w="40"/>
              <w:right w:type="dxa" w:w="100"/>
            </w:tcMar>
            <w:vAlign w:val="center"/>
          </w:tcPr>
          <w:p>
            <w:pPr>
              <w:spacing w:after="20" w:before="30"/>
              <w:jc w:val="center"/>
            </w:pPr>
            <w:r>
              <w:rPr>
                <w:b/>
                <w:bCs/>
                <w:color w:val="FFFFFF"/>
                <w:sz w:val="19"/>
                <w:szCs w:val="19"/>
              </w:rPr>
              <w:t xml:space="preserve">! Exception</w:t>
            </w:r>
          </w:p>
          <w:p>
            <w:pPr>
              <w:spacing w:after="30"/>
              <w:jc w:val="center"/>
            </w:pPr>
            <w:r>
              <w:rPr>
                <w:color w:val="FFFFFF"/>
                <w:sz w:val="16"/>
                <w:szCs w:val="16"/>
              </w:rPr>
              <w:t xml:space="preserve">reload day · fix mapping · normalise interchange</w:t>
            </w:r>
          </w:p>
        </w:tc>
      </w:tr>
    </w:tbl>
    <w:p>
      <w:pPr>
        <w:spacing w:after="160"/>
      </w:pPr>
    </w:p>
    <w:p>
      <w:pPr>
        <w:spacing w:after="140" w:line="276"/>
        <w:jc w:val="both"/>
      </w:pPr>
      <w:r>
        <w:t xml:space="preserve">For Finance this means month-end packs stand on reconciled data; for Operations it means a bad file is caught the day it arrives; for management it means one set of numbers across every screen.</w:t>
      </w:r>
    </w:p>
    <w:p>
      <w:pPr>
        <w:pStyle w:val="Heading1"/>
        <w:pageBreakBefore/>
        <w:spacing w:after="120" w:before="360"/>
      </w:pPr>
      <w:r>
        <w:t xml:space="preserve">11. Executive and Management Dashboards</w:t>
      </w:r>
    </w:p>
    <w:p>
      <w:pPr>
        <w:spacing w:after="140" w:line="276"/>
        <w:jc w:val="both"/>
      </w:pPr>
      <w:r>
        <w:t xml:space="preserve">NEXUS ships a substantial set of purpose-built screens, organised in the navigation by audience: Executive, Business Analytics, Sales, Finance, Merchant Management, Operations and Administration. Each user sees only the menus their access group grants — the same grants are enforced on the server, not just hidden in the interface.</w:t>
      </w:r>
    </w:p>
    <w:p>
      <w:pPr>
        <w:spacing w:after="140" w:line="276"/>
        <w:jc w:val="both"/>
      </w:pPr>
      <w:r>
        <w:rPr>
          <w:b/>
          <w:bCs/>
        </w:rPr>
        <w:t xml:space="preserve">Executive layer.</w:t>
      </w:r>
      <w:r>
        <w:t xml:space="preserve"> The landing dashboard gives month-to-date and year-to-date volume, net margin, margin % and transaction counts with sparklines, plus a secondary rail of effective MSF rate and each fee component as a share of volume, and MSF composition charts — with CSV export of whatever range is on screen. The Executive Sales Pulse reads the whole sales organisation in realised-margin terms.</w:t>
      </w:r>
    </w:p>
    <w:p>
      <w:pPr>
        <w:spacing w:after="140" w:line="276"/>
        <w:jc w:val="both"/>
      </w:pPr>
      <w:r>
        <w:rPr>
          <w:b/>
          <w:bCs/>
        </w:rPr>
        <w:t xml:space="preserve">Business analytics layer.</w:t>
      </w:r>
      <w:r>
        <w:t xml:space="preserve"> The business dashboard covers volume, transactions, merchant counts (active, new, dormant, zero-sales), average ticket, effective MSF rate, net take rate and a full set of DCC measures, each with period-over-period deltas. Around it sit the attrition report (merchants classified churned / declining / stable / performing, with value-at-risk), the retention report (churn rate, revenue-weighted churn, reactivation and win-back), the zero-transaction report, the growth heatmap, the daily merchant dashboard, top performers (including top-10 concentration), group reports (roll-ups by MCC, merchant, sales user or referral partner), merchant comparison, opportunity intelligence and the destination dashboard — the domestic versus international view, splitting volume and share by scheme, card type, channel and MCC, alongside DCC opt-in.</w:t>
      </w:r>
    </w:p>
    <w:p>
      <w:pPr>
        <w:spacing w:after="140" w:line="276"/>
        <w:jc w:val="both"/>
      </w:pPr>
      <w:r>
        <w:rPr>
          <w:b/>
          <w:bCs/>
        </w:rPr>
        <w:t xml:space="preserve">Finance layer.</w:t>
      </w:r>
      <w:r>
        <w:t xml:space="preserve"> The finance dashboard (revenue bridge, profitability explorer, risk watchlist), finance summary with month-to-day drill-down, and the loss-making / high-volume-low-margin lists (section 8).</w:t>
      </w:r>
    </w:p>
    <w:p>
      <w:pPr>
        <w:spacing w:after="140" w:line="276"/>
        <w:jc w:val="both"/>
      </w:pPr>
      <w:r>
        <w:rPr>
          <w:b/>
          <w:bCs/>
        </w:rPr>
        <w:t xml:space="preserve">Merchant layer.</w:t>
      </w:r>
      <w:r>
        <w:t xml:space="preserve"> Merchant Universe (list, Merchant 360, stores, terminals, operations), merchant hierarchy, transaction browser with export, merchant summary, insight hub and transaction trends drill (year → month → day).</w:t>
      </w:r>
    </w:p>
    <w:p>
      <w:pPr>
        <w:spacing w:after="140" w:line="276"/>
        <w:jc w:val="both"/>
      </w:pPr>
      <w:r>
        <w:t xml:space="preserve">A note on KPI hygiene: every figure on these screens traces to the same aggregate tables built at load time, and rankings deliberately use settlement-currency amounts so that a "top merchant" is top in money the bank actually settles, not in mixed cardholder currencies.</w:t>
      </w:r>
    </w:p>
    <w:tbl>
      <w:tblPr>
        <w:tblW w:type="dxa" w:w="9026"/>
        <w:tblBorders>
          <w:top w:val="single" w:color="C5D3E8" w:sz="4"/>
          <w:left w:val="single" w:color="C5D3E8" w:sz="4"/>
          <w:bottom w:val="single" w:color="C5D3E8" w:sz="4"/>
          <w:right w:val="single" w:color="C5D3E8" w:sz="4"/>
          <w:insideH w:val="single" w:color="C5D3E8" w:sz="4"/>
          <w:insideV w:val="single" w:color="C5D3E8" w:sz="4"/>
        </w:tblBorders>
      </w:tblPr>
      <w:tblGrid>
        <w:gridCol w:w="1624"/>
        <w:gridCol w:w="2467"/>
        <w:gridCol w:w="2467"/>
        <w:gridCol w:w="2467"/>
      </w:tblGrid>
      <w:tr>
        <w:trPr>
          <w:tblHeader/>
        </w:trPr>
        <w:tc>
          <w:tcPr>
            <w:tcW w:type="dxa" w:w="1624"/>
            <w:shd w:fill="E8EEF7" w:val="clear"/>
            <w:tcMar>
              <w:top w:type="dxa" w:w="60"/>
              <w:left w:type="dxa" w:w="100"/>
              <w:bottom w:type="dxa" w:w="60"/>
              <w:right w:type="dxa" w:w="100"/>
            </w:tcMar>
          </w:tcPr>
          <w:p>
            <w:pPr>
              <w:spacing w:after="20" w:before="20"/>
            </w:pPr>
            <w:r>
              <w:rPr>
                <w:b/>
                <w:bCs/>
                <w:color w:val="1F3864"/>
                <w:sz w:val="18"/>
                <w:szCs w:val="18"/>
              </w:rPr>
              <w:t xml:space="preserve">Module</w:t>
            </w:r>
          </w:p>
        </w:tc>
        <w:tc>
          <w:tcPr>
            <w:tcW w:type="dxa" w:w="2467"/>
            <w:shd w:fill="E8EEF7" w:val="clear"/>
            <w:tcMar>
              <w:top w:type="dxa" w:w="60"/>
              <w:left w:type="dxa" w:w="100"/>
              <w:bottom w:type="dxa" w:w="60"/>
              <w:right w:type="dxa" w:w="100"/>
            </w:tcMar>
          </w:tcPr>
          <w:p>
            <w:pPr>
              <w:spacing w:after="20" w:before="20"/>
            </w:pPr>
            <w:r>
              <w:rPr>
                <w:b/>
                <w:bCs/>
                <w:color w:val="1F3864"/>
                <w:sz w:val="18"/>
                <w:szCs w:val="18"/>
              </w:rPr>
              <w:t xml:space="preserve">Purpose</w:t>
            </w:r>
          </w:p>
        </w:tc>
        <w:tc>
          <w:tcPr>
            <w:tcW w:type="dxa" w:w="2467"/>
            <w:shd w:fill="E8EEF7" w:val="clear"/>
            <w:tcMar>
              <w:top w:type="dxa" w:w="60"/>
              <w:left w:type="dxa" w:w="100"/>
              <w:bottom w:type="dxa" w:w="60"/>
              <w:right w:type="dxa" w:w="100"/>
            </w:tcMar>
          </w:tcPr>
          <w:p>
            <w:pPr>
              <w:spacing w:after="20" w:before="20"/>
            </w:pPr>
            <w:r>
              <w:rPr>
                <w:b/>
                <w:bCs/>
                <w:color w:val="1F3864"/>
                <w:sz w:val="18"/>
                <w:szCs w:val="18"/>
              </w:rPr>
              <w:t xml:space="preserve">Primary users</w:t>
            </w:r>
          </w:p>
        </w:tc>
        <w:tc>
          <w:tcPr>
            <w:tcW w:type="dxa" w:w="2467"/>
            <w:shd w:fill="E8EEF7" w:val="clear"/>
            <w:tcMar>
              <w:top w:type="dxa" w:w="60"/>
              <w:left w:type="dxa" w:w="100"/>
              <w:bottom w:type="dxa" w:w="60"/>
              <w:right w:type="dxa" w:w="100"/>
            </w:tcMar>
          </w:tcPr>
          <w:p>
            <w:pPr>
              <w:spacing w:after="20" w:before="20"/>
            </w:pPr>
            <w:r>
              <w:rPr>
                <w:b/>
                <w:bCs/>
                <w:color w:val="1F3864"/>
                <w:sz w:val="18"/>
                <w:szCs w:val="18"/>
              </w:rPr>
              <w:t xml:space="preserve">Business outcome</w:t>
            </w:r>
          </w:p>
        </w:tc>
      </w:tr>
      <w:tr>
        <w:trPr>
          <w:tblHeader w:val="false"/>
        </w:trPr>
        <w:tc>
          <w:tcPr>
            <w:tcW w:type="dxa" w:w="1624"/>
            <w:tcMar>
              <w:top w:type="dxa" w:w="60"/>
              <w:left w:type="dxa" w:w="100"/>
              <w:bottom w:type="dxa" w:w="60"/>
              <w:right w:type="dxa" w:w="100"/>
            </w:tcMar>
          </w:tcPr>
          <w:p>
            <w:pPr>
              <w:spacing w:after="20" w:before="20"/>
            </w:pPr>
            <w:r>
              <w:rPr>
                <w:b w:val="false"/>
                <w:bCs w:val="false"/>
                <w:sz w:val="18"/>
                <w:szCs w:val="18"/>
              </w:rPr>
              <w:t xml:space="preserve">Executive dashboard</w:t>
            </w:r>
          </w:p>
        </w:tc>
        <w:tc>
          <w:tcPr>
            <w:tcW w:type="dxa" w:w="2467"/>
            <w:tcMar>
              <w:top w:type="dxa" w:w="60"/>
              <w:left w:type="dxa" w:w="100"/>
              <w:bottom w:type="dxa" w:w="60"/>
              <w:right w:type="dxa" w:w="100"/>
            </w:tcMar>
          </w:tcPr>
          <w:p>
            <w:pPr>
              <w:spacing w:after="20" w:before="20"/>
            </w:pPr>
            <w:r>
              <w:rPr>
                <w:b w:val="false"/>
                <w:bCs w:val="false"/>
                <w:sz w:val="18"/>
                <w:szCs w:val="18"/>
              </w:rPr>
              <w:t xml:space="preserve">Portfolio health at a glance</w:t>
            </w:r>
          </w:p>
        </w:tc>
        <w:tc>
          <w:tcPr>
            <w:tcW w:type="dxa" w:w="2467"/>
            <w:tcMar>
              <w:top w:type="dxa" w:w="60"/>
              <w:left w:type="dxa" w:w="100"/>
              <w:bottom w:type="dxa" w:w="60"/>
              <w:right w:type="dxa" w:w="100"/>
            </w:tcMar>
          </w:tcPr>
          <w:p>
            <w:pPr>
              <w:spacing w:after="20" w:before="20"/>
            </w:pPr>
            <w:r>
              <w:rPr>
                <w:b w:val="false"/>
                <w:bCs w:val="false"/>
                <w:sz w:val="18"/>
                <w:szCs w:val="18"/>
              </w:rPr>
              <w:t xml:space="preserve">C-level</w:t>
            </w:r>
          </w:p>
        </w:tc>
        <w:tc>
          <w:tcPr>
            <w:tcW w:type="dxa" w:w="2467"/>
            <w:tcMar>
              <w:top w:type="dxa" w:w="60"/>
              <w:left w:type="dxa" w:w="100"/>
              <w:bottom w:type="dxa" w:w="60"/>
              <w:right w:type="dxa" w:w="100"/>
            </w:tcMar>
          </w:tcPr>
          <w:p>
            <w:pPr>
              <w:spacing w:after="20" w:before="20"/>
            </w:pPr>
            <w:r>
              <w:rPr>
                <w:b w:val="false"/>
                <w:bCs w:val="false"/>
                <w:sz w:val="18"/>
                <w:szCs w:val="18"/>
              </w:rPr>
              <w:t xml:space="preserve">Direction and early warning</w:t>
            </w:r>
          </w:p>
        </w:tc>
      </w:tr>
      <w:tr>
        <w:trPr>
          <w:tblHeader w:val="false"/>
        </w:trPr>
        <w:tc>
          <w:tcPr>
            <w:tcW w:type="dxa" w:w="1624"/>
            <w:tcMar>
              <w:top w:type="dxa" w:w="60"/>
              <w:left w:type="dxa" w:w="100"/>
              <w:bottom w:type="dxa" w:w="60"/>
              <w:right w:type="dxa" w:w="100"/>
            </w:tcMar>
          </w:tcPr>
          <w:p>
            <w:pPr>
              <w:spacing w:after="20" w:before="20"/>
            </w:pPr>
            <w:r>
              <w:rPr>
                <w:b w:val="false"/>
                <w:bCs w:val="false"/>
                <w:sz w:val="18"/>
                <w:szCs w:val="18"/>
              </w:rPr>
              <w:t xml:space="preserve">Business dashboard &amp; attrition/retention</w:t>
            </w:r>
          </w:p>
        </w:tc>
        <w:tc>
          <w:tcPr>
            <w:tcW w:type="dxa" w:w="2467"/>
            <w:tcMar>
              <w:top w:type="dxa" w:w="60"/>
              <w:left w:type="dxa" w:w="100"/>
              <w:bottom w:type="dxa" w:w="60"/>
              <w:right w:type="dxa" w:w="100"/>
            </w:tcMar>
          </w:tcPr>
          <w:p>
            <w:pPr>
              <w:spacing w:after="20" w:before="20"/>
            </w:pPr>
            <w:r>
              <w:rPr>
                <w:b w:val="false"/>
                <w:bCs w:val="false"/>
                <w:sz w:val="18"/>
                <w:szCs w:val="18"/>
              </w:rPr>
              <w:t xml:space="preserve">Merchant base dynamics</w:t>
            </w:r>
          </w:p>
        </w:tc>
        <w:tc>
          <w:tcPr>
            <w:tcW w:type="dxa" w:w="2467"/>
            <w:tcMar>
              <w:top w:type="dxa" w:w="60"/>
              <w:left w:type="dxa" w:w="100"/>
              <w:bottom w:type="dxa" w:w="60"/>
              <w:right w:type="dxa" w:w="100"/>
            </w:tcMar>
          </w:tcPr>
          <w:p>
            <w:pPr>
              <w:spacing w:after="20" w:before="20"/>
            </w:pPr>
            <w:r>
              <w:rPr>
                <w:b w:val="false"/>
                <w:bCs w:val="false"/>
                <w:sz w:val="18"/>
                <w:szCs w:val="18"/>
              </w:rPr>
              <w:t xml:space="preserve">Head of Acquiring, business teams</w:t>
            </w:r>
          </w:p>
        </w:tc>
        <w:tc>
          <w:tcPr>
            <w:tcW w:type="dxa" w:w="2467"/>
            <w:tcMar>
              <w:top w:type="dxa" w:w="60"/>
              <w:left w:type="dxa" w:w="100"/>
              <w:bottom w:type="dxa" w:w="60"/>
              <w:right w:type="dxa" w:w="100"/>
            </w:tcMar>
          </w:tcPr>
          <w:p>
            <w:pPr>
              <w:spacing w:after="20" w:before="20"/>
            </w:pPr>
            <w:r>
              <w:rPr>
                <w:b w:val="false"/>
                <w:bCs w:val="false"/>
                <w:sz w:val="18"/>
                <w:szCs w:val="18"/>
              </w:rPr>
              <w:t xml:space="preserve">Retention actions before revenue is lost</w:t>
            </w:r>
          </w:p>
        </w:tc>
      </w:tr>
      <w:tr>
        <w:trPr>
          <w:tblHeader w:val="false"/>
        </w:trPr>
        <w:tc>
          <w:tcPr>
            <w:tcW w:type="dxa" w:w="1624"/>
            <w:tcMar>
              <w:top w:type="dxa" w:w="60"/>
              <w:left w:type="dxa" w:w="100"/>
              <w:bottom w:type="dxa" w:w="60"/>
              <w:right w:type="dxa" w:w="100"/>
            </w:tcMar>
          </w:tcPr>
          <w:p>
            <w:pPr>
              <w:spacing w:after="20" w:before="20"/>
            </w:pPr>
            <w:r>
              <w:rPr>
                <w:b w:val="false"/>
                <w:bCs w:val="false"/>
                <w:sz w:val="18"/>
                <w:szCs w:val="18"/>
              </w:rPr>
              <w:t xml:space="preserve">Finance dashboard &amp; profitability lists</w:t>
            </w:r>
          </w:p>
        </w:tc>
        <w:tc>
          <w:tcPr>
            <w:tcW w:type="dxa" w:w="2467"/>
            <w:tcMar>
              <w:top w:type="dxa" w:w="60"/>
              <w:left w:type="dxa" w:w="100"/>
              <w:bottom w:type="dxa" w:w="60"/>
              <w:right w:type="dxa" w:w="100"/>
            </w:tcMar>
          </w:tcPr>
          <w:p>
            <w:pPr>
              <w:spacing w:after="20" w:before="20"/>
            </w:pPr>
            <w:r>
              <w:rPr>
                <w:b w:val="false"/>
                <w:bCs w:val="false"/>
                <w:sz w:val="18"/>
                <w:szCs w:val="18"/>
              </w:rPr>
              <w:t xml:space="preserve">Margin and cost control</w:t>
            </w:r>
          </w:p>
        </w:tc>
        <w:tc>
          <w:tcPr>
            <w:tcW w:type="dxa" w:w="2467"/>
            <w:tcMar>
              <w:top w:type="dxa" w:w="60"/>
              <w:left w:type="dxa" w:w="100"/>
              <w:bottom w:type="dxa" w:w="60"/>
              <w:right w:type="dxa" w:w="100"/>
            </w:tcMar>
          </w:tcPr>
          <w:p>
            <w:pPr>
              <w:spacing w:after="20" w:before="20"/>
            </w:pPr>
            <w:r>
              <w:rPr>
                <w:b w:val="false"/>
                <w:bCs w:val="false"/>
                <w:sz w:val="18"/>
                <w:szCs w:val="18"/>
              </w:rPr>
              <w:t xml:space="preserve">Finance</w:t>
            </w:r>
          </w:p>
        </w:tc>
        <w:tc>
          <w:tcPr>
            <w:tcW w:type="dxa" w:w="2467"/>
            <w:tcMar>
              <w:top w:type="dxa" w:w="60"/>
              <w:left w:type="dxa" w:w="100"/>
              <w:bottom w:type="dxa" w:w="60"/>
              <w:right w:type="dxa" w:w="100"/>
            </w:tcMar>
          </w:tcPr>
          <w:p>
            <w:pPr>
              <w:spacing w:after="20" w:before="20"/>
            </w:pPr>
            <w:r>
              <w:rPr>
                <w:b w:val="false"/>
                <w:bCs w:val="false"/>
                <w:sz w:val="18"/>
                <w:szCs w:val="18"/>
              </w:rPr>
              <w:t xml:space="preserve">Repricing and cost decisions</w:t>
            </w:r>
          </w:p>
        </w:tc>
      </w:tr>
      <w:tr>
        <w:trPr>
          <w:tblHeader w:val="false"/>
        </w:trPr>
        <w:tc>
          <w:tcPr>
            <w:tcW w:type="dxa" w:w="1624"/>
            <w:tcMar>
              <w:top w:type="dxa" w:w="60"/>
              <w:left w:type="dxa" w:w="100"/>
              <w:bottom w:type="dxa" w:w="60"/>
              <w:right w:type="dxa" w:w="100"/>
            </w:tcMar>
          </w:tcPr>
          <w:p>
            <w:pPr>
              <w:spacing w:after="20" w:before="20"/>
            </w:pPr>
            <w:r>
              <w:rPr>
                <w:b w:val="false"/>
                <w:bCs w:val="false"/>
                <w:sz w:val="18"/>
                <w:szCs w:val="18"/>
              </w:rPr>
              <w:t xml:space="preserve">Destination dashboard</w:t>
            </w:r>
          </w:p>
        </w:tc>
        <w:tc>
          <w:tcPr>
            <w:tcW w:type="dxa" w:w="2467"/>
            <w:tcMar>
              <w:top w:type="dxa" w:w="60"/>
              <w:left w:type="dxa" w:w="100"/>
              <w:bottom w:type="dxa" w:w="60"/>
              <w:right w:type="dxa" w:w="100"/>
            </w:tcMar>
          </w:tcPr>
          <w:p>
            <w:pPr>
              <w:spacing w:after="20" w:before="20"/>
            </w:pPr>
            <w:r>
              <w:rPr>
                <w:b w:val="false"/>
                <w:bCs w:val="false"/>
                <w:sz w:val="18"/>
                <w:szCs w:val="18"/>
              </w:rPr>
              <w:t xml:space="preserve">Domestic vs international mix, DCC</w:t>
            </w:r>
          </w:p>
        </w:tc>
        <w:tc>
          <w:tcPr>
            <w:tcW w:type="dxa" w:w="2467"/>
            <w:tcMar>
              <w:top w:type="dxa" w:w="60"/>
              <w:left w:type="dxa" w:w="100"/>
              <w:bottom w:type="dxa" w:w="60"/>
              <w:right w:type="dxa" w:w="100"/>
            </w:tcMar>
          </w:tcPr>
          <w:p>
            <w:pPr>
              <w:spacing w:after="20" w:before="20"/>
            </w:pPr>
            <w:r>
              <w:rPr>
                <w:b w:val="false"/>
                <w:bCs w:val="false"/>
                <w:sz w:val="18"/>
                <w:szCs w:val="18"/>
              </w:rPr>
              <w:t xml:space="preserve">Product, business</w:t>
            </w:r>
          </w:p>
        </w:tc>
        <w:tc>
          <w:tcPr>
            <w:tcW w:type="dxa" w:w="2467"/>
            <w:tcMar>
              <w:top w:type="dxa" w:w="60"/>
              <w:left w:type="dxa" w:w="100"/>
              <w:bottom w:type="dxa" w:w="60"/>
              <w:right w:type="dxa" w:w="100"/>
            </w:tcMar>
          </w:tcPr>
          <w:p>
            <w:pPr>
              <w:spacing w:after="20" w:before="20"/>
            </w:pPr>
            <w:r>
              <w:rPr>
                <w:b w:val="false"/>
                <w:bCs w:val="false"/>
                <w:sz w:val="18"/>
                <w:szCs w:val="18"/>
              </w:rPr>
              <w:t xml:space="preserve">Cross-border and DCC strategy</w:t>
            </w:r>
          </w:p>
        </w:tc>
      </w:tr>
      <w:tr>
        <w:trPr>
          <w:tblHeader w:val="false"/>
        </w:trPr>
        <w:tc>
          <w:tcPr>
            <w:tcW w:type="dxa" w:w="1624"/>
            <w:tcMar>
              <w:top w:type="dxa" w:w="60"/>
              <w:left w:type="dxa" w:w="100"/>
              <w:bottom w:type="dxa" w:w="60"/>
              <w:right w:type="dxa" w:w="100"/>
            </w:tcMar>
          </w:tcPr>
          <w:p>
            <w:pPr>
              <w:spacing w:after="20" w:before="20"/>
            </w:pPr>
            <w:r>
              <w:rPr>
                <w:b w:val="false"/>
                <w:bCs w:val="false"/>
                <w:sz w:val="18"/>
                <w:szCs w:val="18"/>
              </w:rPr>
              <w:t xml:space="preserve">Sales leaderboards &amp; portfolios</w:t>
            </w:r>
          </w:p>
        </w:tc>
        <w:tc>
          <w:tcPr>
            <w:tcW w:type="dxa" w:w="2467"/>
            <w:tcMar>
              <w:top w:type="dxa" w:w="60"/>
              <w:left w:type="dxa" w:w="100"/>
              <w:bottom w:type="dxa" w:w="60"/>
              <w:right w:type="dxa" w:w="100"/>
            </w:tcMar>
          </w:tcPr>
          <w:p>
            <w:pPr>
              <w:spacing w:after="20" w:before="20"/>
            </w:pPr>
            <w:r>
              <w:rPr>
                <w:b w:val="false"/>
                <w:bCs w:val="false"/>
                <w:sz w:val="18"/>
                <w:szCs w:val="18"/>
              </w:rPr>
              <w:t xml:space="preserve">Sales performance</w:t>
            </w:r>
          </w:p>
        </w:tc>
        <w:tc>
          <w:tcPr>
            <w:tcW w:type="dxa" w:w="2467"/>
            <w:tcMar>
              <w:top w:type="dxa" w:w="60"/>
              <w:left w:type="dxa" w:w="100"/>
              <w:bottom w:type="dxa" w:w="60"/>
              <w:right w:type="dxa" w:w="100"/>
            </w:tcMar>
          </w:tcPr>
          <w:p>
            <w:pPr>
              <w:spacing w:after="20" w:before="20"/>
            </w:pPr>
            <w:r>
              <w:rPr>
                <w:b w:val="false"/>
                <w:bCs w:val="false"/>
                <w:sz w:val="18"/>
                <w:szCs w:val="18"/>
              </w:rPr>
              <w:t xml:space="preserve">Sales head, RMs</w:t>
            </w:r>
          </w:p>
        </w:tc>
        <w:tc>
          <w:tcPr>
            <w:tcW w:type="dxa" w:w="2467"/>
            <w:tcMar>
              <w:top w:type="dxa" w:w="60"/>
              <w:left w:type="dxa" w:w="100"/>
              <w:bottom w:type="dxa" w:w="60"/>
              <w:right w:type="dxa" w:w="100"/>
            </w:tcMar>
          </w:tcPr>
          <w:p>
            <w:pPr>
              <w:spacing w:after="20" w:before="20"/>
            </w:pPr>
            <w:r>
              <w:rPr>
                <w:b w:val="false"/>
                <w:bCs w:val="false"/>
                <w:sz w:val="18"/>
                <w:szCs w:val="18"/>
              </w:rPr>
              <w:t xml:space="preserve">Target management, coaching</w:t>
            </w:r>
          </w:p>
        </w:tc>
      </w:tr>
      <w:tr>
        <w:trPr>
          <w:tblHeader w:val="false"/>
        </w:trPr>
        <w:tc>
          <w:tcPr>
            <w:tcW w:type="dxa" w:w="1624"/>
            <w:tcMar>
              <w:top w:type="dxa" w:w="60"/>
              <w:left w:type="dxa" w:w="100"/>
              <w:bottom w:type="dxa" w:w="60"/>
              <w:right w:type="dxa" w:w="100"/>
            </w:tcMar>
          </w:tcPr>
          <w:p>
            <w:pPr>
              <w:spacing w:after="20" w:before="20"/>
            </w:pPr>
            <w:r>
              <w:rPr>
                <w:b w:val="false"/>
                <w:bCs w:val="false"/>
                <w:sz w:val="18"/>
                <w:szCs w:val="18"/>
              </w:rPr>
              <w:t xml:space="preserve">Analytics Explorer &amp; AI assistant</w:t>
            </w:r>
          </w:p>
        </w:tc>
        <w:tc>
          <w:tcPr>
            <w:tcW w:type="dxa" w:w="2467"/>
            <w:tcMar>
              <w:top w:type="dxa" w:w="60"/>
              <w:left w:type="dxa" w:w="100"/>
              <w:bottom w:type="dxa" w:w="60"/>
              <w:right w:type="dxa" w:w="100"/>
            </w:tcMar>
          </w:tcPr>
          <w:p>
            <w:pPr>
              <w:spacing w:after="20" w:before="20"/>
            </w:pPr>
            <w:r>
              <w:rPr>
                <w:b w:val="false"/>
                <w:bCs w:val="false"/>
                <w:sz w:val="18"/>
                <w:szCs w:val="18"/>
              </w:rPr>
              <w:t xml:space="preserve">Ad-hoc questions</w:t>
            </w:r>
          </w:p>
        </w:tc>
        <w:tc>
          <w:tcPr>
            <w:tcW w:type="dxa" w:w="2467"/>
            <w:tcMar>
              <w:top w:type="dxa" w:w="60"/>
              <w:left w:type="dxa" w:w="100"/>
              <w:bottom w:type="dxa" w:w="60"/>
              <w:right w:type="dxa" w:w="100"/>
            </w:tcMar>
          </w:tcPr>
          <w:p>
            <w:pPr>
              <w:spacing w:after="20" w:before="20"/>
            </w:pPr>
            <w:r>
              <w:rPr>
                <w:b w:val="false"/>
                <w:bCs w:val="false"/>
                <w:sz w:val="18"/>
                <w:szCs w:val="18"/>
              </w:rPr>
              <w:t xml:space="preserve">Analysts, all teams</w:t>
            </w:r>
          </w:p>
        </w:tc>
        <w:tc>
          <w:tcPr>
            <w:tcW w:type="dxa" w:w="2467"/>
            <w:tcMar>
              <w:top w:type="dxa" w:w="60"/>
              <w:left w:type="dxa" w:w="100"/>
              <w:bottom w:type="dxa" w:w="60"/>
              <w:right w:type="dxa" w:w="100"/>
            </w:tcMar>
          </w:tcPr>
          <w:p>
            <w:pPr>
              <w:spacing w:after="20" w:before="20"/>
            </w:pPr>
            <w:r>
              <w:rPr>
                <w:b w:val="false"/>
                <w:bCs w:val="false"/>
                <w:sz w:val="18"/>
                <w:szCs w:val="18"/>
              </w:rPr>
              <w:t xml:space="preserve">Answers without IT queues</w:t>
            </w:r>
          </w:p>
        </w:tc>
      </w:tr>
      <w:tr>
        <w:trPr>
          <w:tblHeader w:val="false"/>
        </w:trPr>
        <w:tc>
          <w:tcPr>
            <w:tcW w:type="dxa" w:w="1624"/>
            <w:tcMar>
              <w:top w:type="dxa" w:w="60"/>
              <w:left w:type="dxa" w:w="100"/>
              <w:bottom w:type="dxa" w:w="60"/>
              <w:right w:type="dxa" w:w="100"/>
            </w:tcMar>
          </w:tcPr>
          <w:p>
            <w:pPr>
              <w:spacing w:after="20" w:before="20"/>
            </w:pPr>
            <w:r>
              <w:rPr>
                <w:b w:val="false"/>
                <w:bCs w:val="false"/>
                <w:sz w:val="18"/>
                <w:szCs w:val="18"/>
              </w:rPr>
              <w:t xml:space="preserve">Report manager &amp; PDF packs</w:t>
            </w:r>
          </w:p>
        </w:tc>
        <w:tc>
          <w:tcPr>
            <w:tcW w:type="dxa" w:w="2467"/>
            <w:tcMar>
              <w:top w:type="dxa" w:w="60"/>
              <w:left w:type="dxa" w:w="100"/>
              <w:bottom w:type="dxa" w:w="60"/>
              <w:right w:type="dxa" w:w="100"/>
            </w:tcMar>
          </w:tcPr>
          <w:p>
            <w:pPr>
              <w:spacing w:after="20" w:before="20"/>
            </w:pPr>
            <w:r>
              <w:rPr>
                <w:b w:val="false"/>
                <w:bCs w:val="false"/>
                <w:sz w:val="18"/>
                <w:szCs w:val="18"/>
              </w:rPr>
              <w:t xml:space="preserve">Outbound reporting</w:t>
            </w:r>
          </w:p>
        </w:tc>
        <w:tc>
          <w:tcPr>
            <w:tcW w:type="dxa" w:w="2467"/>
            <w:tcMar>
              <w:top w:type="dxa" w:w="60"/>
              <w:left w:type="dxa" w:w="100"/>
              <w:bottom w:type="dxa" w:w="60"/>
              <w:right w:type="dxa" w:w="100"/>
            </w:tcMar>
          </w:tcPr>
          <w:p>
            <w:pPr>
              <w:spacing w:after="20" w:before="20"/>
            </w:pPr>
            <w:r>
              <w:rPr>
                <w:b w:val="false"/>
                <w:bCs w:val="false"/>
                <w:sz w:val="18"/>
                <w:szCs w:val="18"/>
              </w:rPr>
              <w:t xml:space="preserve">Operations, RMs</w:t>
            </w:r>
          </w:p>
        </w:tc>
        <w:tc>
          <w:tcPr>
            <w:tcW w:type="dxa" w:w="2467"/>
            <w:tcMar>
              <w:top w:type="dxa" w:w="60"/>
              <w:left w:type="dxa" w:w="100"/>
              <w:bottom w:type="dxa" w:w="60"/>
              <w:right w:type="dxa" w:w="100"/>
            </w:tcMar>
          </w:tcPr>
          <w:p>
            <w:pPr>
              <w:spacing w:after="20" w:before="20"/>
            </w:pPr>
            <w:r>
              <w:rPr>
                <w:b w:val="false"/>
                <w:bCs w:val="false"/>
                <w:sz w:val="18"/>
                <w:szCs w:val="18"/>
              </w:rPr>
              <w:t xml:space="preserve">Merchant communication at scale</w:t>
            </w:r>
          </w:p>
        </w:tc>
      </w:tr>
    </w:tbl>
    <w:p>
      <w:pPr>
        <w:spacing w:after="80"/>
      </w:pPr>
    </w:p>
    <w:p>
      <w:pPr>
        <w:pStyle w:val="Heading1"/>
        <w:pageBreakBefore/>
        <w:spacing w:after="120" w:before="360"/>
      </w:pPr>
      <w:r>
        <w:t xml:space="preserve">12. Merchant Segmentation</w:t>
      </w:r>
    </w:p>
    <w:p>
      <w:pPr>
        <w:spacing w:after="140" w:line="276"/>
        <w:jc w:val="both"/>
      </w:pPr>
      <w:r>
        <w:t xml:space="preserve">NEXUS classifies every merchant into one of six segments over a trailing 90-day window, using thresholds computed from each bank's own portfolio (percentiles, not fixed numbers — so "high volume" means high </w:t>
      </w:r>
      <w:r>
        <w:rPr>
          <w:i/>
          <w:iCs/>
        </w:rPr>
        <w:t xml:space="preserve">for that bank</w:t>
      </w:r>
      <w:r>
        <w:t xml:space="preserve">):</w:t>
      </w:r>
    </w:p>
    <w:tbl>
      <w:tblPr>
        <w:tblW w:type="dxa" w:w="9026"/>
        <w:tblBorders>
          <w:top w:val="single" w:color="C5D3E8" w:sz="4"/>
          <w:left w:val="single" w:color="C5D3E8" w:sz="4"/>
          <w:bottom w:val="single" w:color="C5D3E8" w:sz="4"/>
          <w:right w:val="single" w:color="C5D3E8" w:sz="4"/>
          <w:insideH w:val="single" w:color="C5D3E8" w:sz="4"/>
          <w:insideV w:val="single" w:color="C5D3E8" w:sz="4"/>
        </w:tblBorders>
      </w:tblPr>
      <w:tblGrid>
        <w:gridCol w:w="3008"/>
        <w:gridCol w:w="3008"/>
        <w:gridCol w:w="3008"/>
      </w:tblGrid>
      <w:tr>
        <w:trPr>
          <w:tblHeader/>
        </w:trPr>
        <w:tc>
          <w:tcPr>
            <w:tcW w:type="dxa" w:w="3008"/>
            <w:shd w:fill="E8EEF7" w:val="clear"/>
            <w:tcMar>
              <w:top w:type="dxa" w:w="60"/>
              <w:left w:type="dxa" w:w="100"/>
              <w:bottom w:type="dxa" w:w="60"/>
              <w:right w:type="dxa" w:w="100"/>
            </w:tcMar>
          </w:tcPr>
          <w:p>
            <w:pPr>
              <w:spacing w:after="20" w:before="20"/>
            </w:pPr>
            <w:r>
              <w:rPr>
                <w:b/>
                <w:bCs/>
                <w:color w:val="1F3864"/>
                <w:sz w:val="18"/>
                <w:szCs w:val="18"/>
              </w:rPr>
              <w:t xml:space="preserve">Segment</w:t>
            </w:r>
          </w:p>
        </w:tc>
        <w:tc>
          <w:tcPr>
            <w:tcW w:type="dxa" w:w="3008"/>
            <w:shd w:fill="E8EEF7" w:val="clear"/>
            <w:tcMar>
              <w:top w:type="dxa" w:w="60"/>
              <w:left w:type="dxa" w:w="100"/>
              <w:bottom w:type="dxa" w:w="60"/>
              <w:right w:type="dxa" w:w="100"/>
            </w:tcMar>
          </w:tcPr>
          <w:p>
            <w:pPr>
              <w:spacing w:after="20" w:before="20"/>
            </w:pPr>
            <w:r>
              <w:rPr>
                <w:b/>
                <w:bCs/>
                <w:color w:val="1F3864"/>
                <w:sz w:val="18"/>
                <w:szCs w:val="18"/>
              </w:rPr>
              <w:t xml:space="preserve">Meaning</w:t>
            </w:r>
          </w:p>
        </w:tc>
        <w:tc>
          <w:tcPr>
            <w:tcW w:type="dxa" w:w="3008"/>
            <w:shd w:fill="E8EEF7" w:val="clear"/>
            <w:tcMar>
              <w:top w:type="dxa" w:w="60"/>
              <w:left w:type="dxa" w:w="100"/>
              <w:bottom w:type="dxa" w:w="60"/>
              <w:right w:type="dxa" w:w="100"/>
            </w:tcMar>
          </w:tcPr>
          <w:p>
            <w:pPr>
              <w:spacing w:after="20" w:before="20"/>
            </w:pPr>
            <w:r>
              <w:rPr>
                <w:b/>
                <w:bCs/>
                <w:color w:val="1F3864"/>
                <w:sz w:val="18"/>
                <w:szCs w:val="18"/>
              </w:rPr>
              <w:t xml:space="preserve">Typical action</w:t>
            </w:r>
          </w:p>
        </w:tc>
      </w:tr>
      <w:tr>
        <w:trPr>
          <w:tblHeader w:val="false"/>
        </w:trPr>
        <w:tc>
          <w:tcPr>
            <w:tcW w:type="dxa" w:w="3008"/>
            <w:tcMar>
              <w:top w:type="dxa" w:w="60"/>
              <w:left w:type="dxa" w:w="100"/>
              <w:bottom w:type="dxa" w:w="60"/>
              <w:right w:type="dxa" w:w="100"/>
            </w:tcMar>
          </w:tcPr>
          <w:p>
            <w:pPr>
              <w:spacing w:after="20" w:before="20"/>
            </w:pPr>
            <w:r>
              <w:rPr>
                <w:b w:val="false"/>
                <w:bCs w:val="false"/>
                <w:sz w:val="18"/>
                <w:szCs w:val="18"/>
              </w:rPr>
              <w:t xml:space="preserve">At Risk</w:t>
            </w:r>
          </w:p>
        </w:tc>
        <w:tc>
          <w:tcPr>
            <w:tcW w:type="dxa" w:w="3008"/>
            <w:tcMar>
              <w:top w:type="dxa" w:w="60"/>
              <w:left w:type="dxa" w:w="100"/>
              <w:bottom w:type="dxa" w:w="60"/>
              <w:right w:type="dxa" w:w="100"/>
            </w:tcMar>
          </w:tcPr>
          <w:p>
            <w:pPr>
              <w:spacing w:after="20" w:before="20"/>
            </w:pPr>
            <w:r>
              <w:rPr>
                <w:b w:val="false"/>
                <w:bCs w:val="false"/>
                <w:sz w:val="18"/>
                <w:szCs w:val="18"/>
              </w:rPr>
              <w:t xml:space="preserve">Meaningful decline or dormancy signals</w:t>
            </w:r>
          </w:p>
        </w:tc>
        <w:tc>
          <w:tcPr>
            <w:tcW w:type="dxa" w:w="3008"/>
            <w:tcMar>
              <w:top w:type="dxa" w:w="60"/>
              <w:left w:type="dxa" w:w="100"/>
              <w:bottom w:type="dxa" w:w="60"/>
              <w:right w:type="dxa" w:w="100"/>
            </w:tcMar>
          </w:tcPr>
          <w:p>
            <w:pPr>
              <w:spacing w:after="20" w:before="20"/>
            </w:pPr>
            <w:r>
              <w:rPr>
                <w:b w:val="false"/>
                <w:bCs w:val="false"/>
                <w:sz w:val="18"/>
                <w:szCs w:val="18"/>
              </w:rPr>
              <w:t xml:space="preserve">RM engagement now, before churn</w:t>
            </w:r>
          </w:p>
        </w:tc>
      </w:tr>
      <w:tr>
        <w:trPr>
          <w:tblHeader w:val="false"/>
        </w:trPr>
        <w:tc>
          <w:tcPr>
            <w:tcW w:type="dxa" w:w="3008"/>
            <w:tcMar>
              <w:top w:type="dxa" w:w="60"/>
              <w:left w:type="dxa" w:w="100"/>
              <w:bottom w:type="dxa" w:w="60"/>
              <w:right w:type="dxa" w:w="100"/>
            </w:tcMar>
          </w:tcPr>
          <w:p>
            <w:pPr>
              <w:spacing w:after="20" w:before="20"/>
            </w:pPr>
            <w:r>
              <w:rPr>
                <w:b w:val="false"/>
                <w:bCs w:val="false"/>
                <w:sz w:val="18"/>
                <w:szCs w:val="18"/>
              </w:rPr>
              <w:t xml:space="preserve">Strategic</w:t>
            </w:r>
          </w:p>
        </w:tc>
        <w:tc>
          <w:tcPr>
            <w:tcW w:type="dxa" w:w="3008"/>
            <w:tcMar>
              <w:top w:type="dxa" w:w="60"/>
              <w:left w:type="dxa" w:w="100"/>
              <w:bottom w:type="dxa" w:w="60"/>
              <w:right w:type="dxa" w:w="100"/>
            </w:tcMar>
          </w:tcPr>
          <w:p>
            <w:pPr>
              <w:spacing w:after="20" w:before="20"/>
            </w:pPr>
            <w:r>
              <w:rPr>
                <w:b w:val="false"/>
                <w:bCs w:val="false"/>
                <w:sz w:val="18"/>
                <w:szCs w:val="18"/>
              </w:rPr>
              <w:t xml:space="preserve">High volume </w:t>
            </w:r>
            <w:r>
              <w:rPr>
                <w:b w:val="false"/>
                <w:bCs w:val="false"/>
                <w:i/>
                <w:iCs/>
                <w:sz w:val="18"/>
                <w:szCs w:val="18"/>
              </w:rPr>
              <w:t xml:space="preserve">and</w:t>
            </w:r>
            <w:r>
              <w:rPr>
                <w:b w:val="false"/>
                <w:bCs w:val="false"/>
                <w:sz w:val="18"/>
                <w:szCs w:val="18"/>
              </w:rPr>
              <w:t xml:space="preserve"> high margin</w:t>
            </w:r>
          </w:p>
        </w:tc>
        <w:tc>
          <w:tcPr>
            <w:tcW w:type="dxa" w:w="3008"/>
            <w:tcMar>
              <w:top w:type="dxa" w:w="60"/>
              <w:left w:type="dxa" w:w="100"/>
              <w:bottom w:type="dxa" w:w="60"/>
              <w:right w:type="dxa" w:w="100"/>
            </w:tcMar>
          </w:tcPr>
          <w:p>
            <w:pPr>
              <w:spacing w:after="20" w:before="20"/>
            </w:pPr>
            <w:r>
              <w:rPr>
                <w:b w:val="false"/>
                <w:bCs w:val="false"/>
                <w:sz w:val="18"/>
                <w:szCs w:val="18"/>
              </w:rPr>
              <w:t xml:space="preserve">Protect: service quality, senior attention</w:t>
            </w:r>
          </w:p>
        </w:tc>
      </w:tr>
      <w:tr>
        <w:trPr>
          <w:tblHeader w:val="false"/>
        </w:trPr>
        <w:tc>
          <w:tcPr>
            <w:tcW w:type="dxa" w:w="3008"/>
            <w:tcMar>
              <w:top w:type="dxa" w:w="60"/>
              <w:left w:type="dxa" w:w="100"/>
              <w:bottom w:type="dxa" w:w="60"/>
              <w:right w:type="dxa" w:w="100"/>
            </w:tcMar>
          </w:tcPr>
          <w:p>
            <w:pPr>
              <w:spacing w:after="20" w:before="20"/>
            </w:pPr>
            <w:r>
              <w:rPr>
                <w:b w:val="false"/>
                <w:bCs w:val="false"/>
                <w:sz w:val="18"/>
                <w:szCs w:val="18"/>
              </w:rPr>
              <w:t xml:space="preserve">Volume Driver</w:t>
            </w:r>
          </w:p>
        </w:tc>
        <w:tc>
          <w:tcPr>
            <w:tcW w:type="dxa" w:w="3008"/>
            <w:tcMar>
              <w:top w:type="dxa" w:w="60"/>
              <w:left w:type="dxa" w:w="100"/>
              <w:bottom w:type="dxa" w:w="60"/>
              <w:right w:type="dxa" w:w="100"/>
            </w:tcMar>
          </w:tcPr>
          <w:p>
            <w:pPr>
              <w:spacing w:after="20" w:before="20"/>
            </w:pPr>
            <w:r>
              <w:rPr>
                <w:b w:val="false"/>
                <w:bCs w:val="false"/>
                <w:sz w:val="18"/>
                <w:szCs w:val="18"/>
              </w:rPr>
              <w:t xml:space="preserve">High volume, thinner margin</w:t>
            </w:r>
          </w:p>
        </w:tc>
        <w:tc>
          <w:tcPr>
            <w:tcW w:type="dxa" w:w="3008"/>
            <w:tcMar>
              <w:top w:type="dxa" w:w="60"/>
              <w:left w:type="dxa" w:w="100"/>
              <w:bottom w:type="dxa" w:w="60"/>
              <w:right w:type="dxa" w:w="100"/>
            </w:tcMar>
          </w:tcPr>
          <w:p>
            <w:pPr>
              <w:spacing w:after="20" w:before="20"/>
            </w:pPr>
            <w:r>
              <w:rPr>
                <w:b w:val="false"/>
                <w:bCs w:val="false"/>
                <w:sz w:val="18"/>
                <w:szCs w:val="18"/>
              </w:rPr>
              <w:t xml:space="preserve">Repricing or cost review candidates</w:t>
            </w:r>
          </w:p>
        </w:tc>
      </w:tr>
      <w:tr>
        <w:trPr>
          <w:tblHeader w:val="false"/>
        </w:trPr>
        <w:tc>
          <w:tcPr>
            <w:tcW w:type="dxa" w:w="3008"/>
            <w:tcMar>
              <w:top w:type="dxa" w:w="60"/>
              <w:left w:type="dxa" w:w="100"/>
              <w:bottom w:type="dxa" w:w="60"/>
              <w:right w:type="dxa" w:w="100"/>
            </w:tcMar>
          </w:tcPr>
          <w:p>
            <w:pPr>
              <w:spacing w:after="20" w:before="20"/>
            </w:pPr>
            <w:r>
              <w:rPr>
                <w:b w:val="false"/>
                <w:bCs w:val="false"/>
                <w:sz w:val="18"/>
                <w:szCs w:val="18"/>
              </w:rPr>
              <w:t xml:space="preserve">Profit Driver</w:t>
            </w:r>
          </w:p>
        </w:tc>
        <w:tc>
          <w:tcPr>
            <w:tcW w:type="dxa" w:w="3008"/>
            <w:tcMar>
              <w:top w:type="dxa" w:w="60"/>
              <w:left w:type="dxa" w:w="100"/>
              <w:bottom w:type="dxa" w:w="60"/>
              <w:right w:type="dxa" w:w="100"/>
            </w:tcMar>
          </w:tcPr>
          <w:p>
            <w:pPr>
              <w:spacing w:after="20" w:before="20"/>
            </w:pPr>
            <w:r>
              <w:rPr>
                <w:b w:val="false"/>
                <w:bCs w:val="false"/>
                <w:sz w:val="18"/>
                <w:szCs w:val="18"/>
              </w:rPr>
              <w:t xml:space="preserve">Strong margin on moderate volume</w:t>
            </w:r>
          </w:p>
        </w:tc>
        <w:tc>
          <w:tcPr>
            <w:tcW w:type="dxa" w:w="3008"/>
            <w:tcMar>
              <w:top w:type="dxa" w:w="60"/>
              <w:left w:type="dxa" w:w="100"/>
              <w:bottom w:type="dxa" w:w="60"/>
              <w:right w:type="dxa" w:w="100"/>
            </w:tcMar>
          </w:tcPr>
          <w:p>
            <w:pPr>
              <w:spacing w:after="20" w:before="20"/>
            </w:pPr>
            <w:r>
              <w:rPr>
                <w:b w:val="false"/>
                <w:bCs w:val="false"/>
                <w:sz w:val="18"/>
                <w:szCs w:val="18"/>
              </w:rPr>
              <w:t xml:space="preserve">Grow: cross-sell, limits, terminals</w:t>
            </w:r>
          </w:p>
        </w:tc>
      </w:tr>
      <w:tr>
        <w:trPr>
          <w:tblHeader w:val="false"/>
        </w:trPr>
        <w:tc>
          <w:tcPr>
            <w:tcW w:type="dxa" w:w="3008"/>
            <w:tcMar>
              <w:top w:type="dxa" w:w="60"/>
              <w:left w:type="dxa" w:w="100"/>
              <w:bottom w:type="dxa" w:w="60"/>
              <w:right w:type="dxa" w:w="100"/>
            </w:tcMar>
          </w:tcPr>
          <w:p>
            <w:pPr>
              <w:spacing w:after="20" w:before="20"/>
            </w:pPr>
            <w:r>
              <w:rPr>
                <w:b w:val="false"/>
                <w:bCs w:val="false"/>
                <w:sz w:val="18"/>
                <w:szCs w:val="18"/>
              </w:rPr>
              <w:t xml:space="preserve">New</w:t>
            </w:r>
          </w:p>
        </w:tc>
        <w:tc>
          <w:tcPr>
            <w:tcW w:type="dxa" w:w="3008"/>
            <w:tcMar>
              <w:top w:type="dxa" w:w="60"/>
              <w:left w:type="dxa" w:w="100"/>
              <w:bottom w:type="dxa" w:w="60"/>
              <w:right w:type="dxa" w:w="100"/>
            </w:tcMar>
          </w:tcPr>
          <w:p>
            <w:pPr>
              <w:spacing w:after="20" w:before="20"/>
            </w:pPr>
            <w:r>
              <w:rPr>
                <w:b w:val="false"/>
                <w:bCs w:val="false"/>
                <w:sz w:val="18"/>
                <w:szCs w:val="18"/>
              </w:rPr>
              <w:t xml:space="preserve">Recently started transacting</w:t>
            </w:r>
          </w:p>
        </w:tc>
        <w:tc>
          <w:tcPr>
            <w:tcW w:type="dxa" w:w="3008"/>
            <w:tcMar>
              <w:top w:type="dxa" w:w="60"/>
              <w:left w:type="dxa" w:w="100"/>
              <w:bottom w:type="dxa" w:w="60"/>
              <w:right w:type="dxa" w:w="100"/>
            </w:tcMar>
          </w:tcPr>
          <w:p>
            <w:pPr>
              <w:spacing w:after="20" w:before="20"/>
            </w:pPr>
            <w:r>
              <w:rPr>
                <w:b w:val="false"/>
                <w:bCs w:val="false"/>
                <w:sz w:val="18"/>
                <w:szCs w:val="18"/>
              </w:rPr>
              <w:t xml:space="preserve">Activation monitoring, early support</w:t>
            </w:r>
          </w:p>
        </w:tc>
      </w:tr>
      <w:tr>
        <w:trPr>
          <w:tblHeader w:val="false"/>
        </w:trPr>
        <w:tc>
          <w:tcPr>
            <w:tcW w:type="dxa" w:w="3008"/>
            <w:tcMar>
              <w:top w:type="dxa" w:w="60"/>
              <w:left w:type="dxa" w:w="100"/>
              <w:bottom w:type="dxa" w:w="60"/>
              <w:right w:type="dxa" w:w="100"/>
            </w:tcMar>
          </w:tcPr>
          <w:p>
            <w:pPr>
              <w:spacing w:after="20" w:before="20"/>
            </w:pPr>
            <w:r>
              <w:rPr>
                <w:b w:val="false"/>
                <w:bCs w:val="false"/>
                <w:sz w:val="18"/>
                <w:szCs w:val="18"/>
              </w:rPr>
              <w:t xml:space="preserve">Long Tail</w:t>
            </w:r>
          </w:p>
        </w:tc>
        <w:tc>
          <w:tcPr>
            <w:tcW w:type="dxa" w:w="3008"/>
            <w:tcMar>
              <w:top w:type="dxa" w:w="60"/>
              <w:left w:type="dxa" w:w="100"/>
              <w:bottom w:type="dxa" w:w="60"/>
              <w:right w:type="dxa" w:w="100"/>
            </w:tcMar>
          </w:tcPr>
          <w:p>
            <w:pPr>
              <w:spacing w:after="20" w:before="20"/>
            </w:pPr>
            <w:r>
              <w:rPr>
                <w:b w:val="false"/>
                <w:bCs w:val="false"/>
                <w:sz w:val="18"/>
                <w:szCs w:val="18"/>
              </w:rPr>
              <w:t xml:space="preserve">Small, stable remainder</w:t>
            </w:r>
          </w:p>
        </w:tc>
        <w:tc>
          <w:tcPr>
            <w:tcW w:type="dxa" w:w="3008"/>
            <w:tcMar>
              <w:top w:type="dxa" w:w="60"/>
              <w:left w:type="dxa" w:w="100"/>
              <w:bottom w:type="dxa" w:w="60"/>
              <w:right w:type="dxa" w:w="100"/>
            </w:tcMar>
          </w:tcPr>
          <w:p>
            <w:pPr>
              <w:spacing w:after="20" w:before="20"/>
            </w:pPr>
            <w:r>
              <w:rPr>
                <w:b w:val="false"/>
                <w:bCs w:val="false"/>
                <w:sz w:val="18"/>
                <w:szCs w:val="18"/>
              </w:rPr>
              <w:t xml:space="preserve">Efficient, low-touch management</w:t>
            </w:r>
          </w:p>
        </w:tc>
      </w:tr>
    </w:tbl>
    <w:p>
      <w:pPr>
        <w:spacing w:after="80"/>
      </w:pPr>
    </w:p>
    <w:p>
      <w:pPr>
        <w:spacing w:after="140" w:line="276"/>
        <w:jc w:val="both"/>
      </w:pPr>
      <w:r>
        <w:t xml:space="preserve">Segments are assigned in priority order (risk first), carry secondary tags, and are recalculated automatically as part of every data load — so the segmentation is always a reflection of current behaviour, not of a one-off study.</w:t>
      </w:r>
    </w:p>
    <w:p>
      <w:pPr>
        <w:spacing w:after="60"/>
      </w:pPr>
    </w:p>
    <w:tbl>
      <w:tblPr>
        <w:tblW w:type="dxa" w:w="7200"/>
        <w:jc w:val="center"/>
        <w:tblBorders>
          <w:top w:val="single" w:color="E8EEF7" w:sz="6"/>
          <w:left w:val="single" w:color="E8EEF7" w:sz="6"/>
          <w:bottom w:val="single" w:color="E8EEF7" w:sz="6"/>
          <w:right w:val="single" w:color="E8EEF7" w:sz="6"/>
          <w:insideH w:val="single" w:color="auto" w:sz="4"/>
          <w:insideV w:val="single" w:color="auto" w:sz="4"/>
        </w:tblBorders>
      </w:tblPr>
      <w:tblGrid>
        <w:gridCol w:w="7200"/>
      </w:tblGrid>
      <w:tr>
        <w:tc>
          <w:tcPr>
            <w:tcW w:type="dxa" w:w="7200"/>
            <w:shd w:fill="E8EEF7" w:val="clear"/>
            <w:tcMar>
              <w:top w:type="dxa" w:w="40"/>
              <w:left w:type="dxa" w:w="120"/>
              <w:bottom w:type="dxa" w:w="40"/>
              <w:right w:type="dxa" w:w="120"/>
            </w:tcMar>
          </w:tcPr>
          <w:p>
            <w:pPr>
              <w:spacing w:after="20" w:before="40"/>
              <w:jc w:val="center"/>
            </w:pPr>
            <w:r>
              <w:rPr>
                <w:b/>
                <w:bCs/>
                <w:color w:val="1F3864"/>
                <w:sz w:val="20"/>
                <w:szCs w:val="20"/>
              </w:rPr>
              <w:t xml:space="preserve">Inputs</w:t>
            </w:r>
          </w:p>
          <w:p>
            <w:pPr>
              <w:spacing w:after="40"/>
              <w:jc w:val="center"/>
            </w:pPr>
            <w:r>
              <w:rPr>
                <w:color w:val="1F3864"/>
                <w:sz w:val="17"/>
                <w:szCs w:val="17"/>
              </w:rPr>
              <w:t xml:space="preserve">merchant data · 90-day transaction behaviour · revenue &amp; margin · growth trend</w:t>
            </w:r>
          </w:p>
        </w:tc>
      </w:tr>
    </w:tbl>
    <w:p>
      <w:pPr>
        <w:spacing w:after="30" w:before="30"/>
        <w:jc w:val="center"/>
      </w:pPr>
      <w:r>
        <w:rPr>
          <w:b/>
          <w:bCs/>
          <w:color w:val="2F5496"/>
          <w:sz w:val="22"/>
          <w:szCs w:val="22"/>
        </w:rPr>
        <w:t xml:space="preserve">▼</w:t>
      </w:r>
    </w:p>
    <w:tbl>
      <w:tblPr>
        <w:tblW w:type="dxa" w:w="7200"/>
        <w:jc w:val="center"/>
        <w:tblBorders>
          <w:top w:val="single" w:color="2F5496" w:sz="6"/>
          <w:left w:val="single" w:color="2F5496" w:sz="6"/>
          <w:bottom w:val="single" w:color="2F5496" w:sz="6"/>
          <w:right w:val="single" w:color="2F5496" w:sz="6"/>
          <w:insideH w:val="single" w:color="auto" w:sz="4"/>
          <w:insideV w:val="single" w:color="auto" w:sz="4"/>
        </w:tblBorders>
      </w:tblPr>
      <w:tblGrid>
        <w:gridCol w:w="7200"/>
      </w:tblGrid>
      <w:tr>
        <w:tc>
          <w:tcPr>
            <w:tcW w:type="dxa" w:w="7200"/>
            <w:shd w:fill="2F5496" w:val="clear"/>
            <w:tcMar>
              <w:top w:type="dxa" w:w="40"/>
              <w:left w:type="dxa" w:w="120"/>
              <w:bottom w:type="dxa" w:w="40"/>
              <w:right w:type="dxa" w:w="120"/>
            </w:tcMar>
          </w:tcPr>
          <w:p>
            <w:pPr>
              <w:spacing w:after="20" w:before="40"/>
              <w:jc w:val="center"/>
            </w:pPr>
            <w:r>
              <w:rPr>
                <w:b/>
                <w:bCs/>
                <w:color w:val="FFFFFF"/>
                <w:sz w:val="20"/>
                <w:szCs w:val="20"/>
              </w:rPr>
              <w:t xml:space="preserve">Segment engine</w:t>
            </w:r>
          </w:p>
          <w:p>
            <w:pPr>
              <w:spacing w:after="40"/>
              <w:jc w:val="center"/>
            </w:pPr>
            <w:r>
              <w:rPr>
                <w:color w:val="FFFFFF"/>
                <w:sz w:val="17"/>
                <w:szCs w:val="17"/>
              </w:rPr>
              <w:t xml:space="preserve">thresholds from each bank’s own percentiles</w:t>
            </w:r>
          </w:p>
        </w:tc>
      </w:tr>
    </w:tbl>
    <w:p>
      <w:pPr>
        <w:spacing w:after="30" w:before="30"/>
        <w:jc w:val="center"/>
      </w:pPr>
      <w:r>
        <w:rPr>
          <w:b/>
          <w:bCs/>
          <w:color w:val="2F5496"/>
          <w:sz w:val="22"/>
          <w:szCs w:val="22"/>
        </w:rPr>
        <w:t xml:space="preserve">▼</w:t>
      </w:r>
    </w:p>
    <w:tbl>
      <w:tblPr>
        <w:tblW w:type="dxa" w:w="7200"/>
        <w:jc w:val="center"/>
        <w:tblBorders>
          <w:top w:val="single" w:color="4472C4" w:sz="6"/>
          <w:left w:val="single" w:color="4472C4" w:sz="6"/>
          <w:bottom w:val="single" w:color="4472C4" w:sz="6"/>
          <w:right w:val="single" w:color="4472C4" w:sz="6"/>
          <w:insideH w:val="single" w:color="auto" w:sz="4"/>
          <w:insideV w:val="single" w:color="auto" w:sz="4"/>
        </w:tblBorders>
      </w:tblPr>
      <w:tblGrid>
        <w:gridCol w:w="7200"/>
      </w:tblGrid>
      <w:tr>
        <w:tc>
          <w:tcPr>
            <w:tcW w:type="dxa" w:w="7200"/>
            <w:shd w:fill="4472C4" w:val="clear"/>
            <w:tcMar>
              <w:top w:type="dxa" w:w="40"/>
              <w:left w:type="dxa" w:w="120"/>
              <w:bottom w:type="dxa" w:w="40"/>
              <w:right w:type="dxa" w:w="120"/>
            </w:tcMar>
          </w:tcPr>
          <w:p>
            <w:pPr>
              <w:spacing w:after="20" w:before="40"/>
              <w:jc w:val="center"/>
            </w:pPr>
            <w:r>
              <w:rPr>
                <w:b/>
                <w:bCs/>
                <w:color w:val="FFFFFF"/>
                <w:sz w:val="20"/>
                <w:szCs w:val="20"/>
              </w:rPr>
              <w:t xml:space="preserve">Six segments</w:t>
            </w:r>
          </w:p>
          <w:p>
            <w:pPr>
              <w:spacing w:after="40"/>
              <w:jc w:val="center"/>
            </w:pPr>
            <w:r>
              <w:rPr>
                <w:color w:val="FFFFFF"/>
                <w:sz w:val="17"/>
                <w:szCs w:val="17"/>
              </w:rPr>
              <w:t xml:space="preserve">At Risk · Strategic · Volume Driver · Profit Driver · New · Long Tail</w:t>
            </w:r>
          </w:p>
        </w:tc>
      </w:tr>
    </w:tbl>
    <w:p>
      <w:pPr>
        <w:spacing w:after="30" w:before="30"/>
        <w:jc w:val="center"/>
      </w:pPr>
      <w:r>
        <w:rPr>
          <w:b/>
          <w:bCs/>
          <w:color w:val="2F5496"/>
          <w:sz w:val="22"/>
          <w:szCs w:val="22"/>
        </w:rPr>
        <w:t xml:space="preserve">▼</w:t>
      </w:r>
    </w:p>
    <w:tbl>
      <w:tblPr>
        <w:tblW w:type="dxa" w:w="7200"/>
        <w:jc w:val="center"/>
        <w:tblBorders>
          <w:top w:val="single" w:color="1F3864" w:sz="6"/>
          <w:left w:val="single" w:color="1F3864" w:sz="6"/>
          <w:bottom w:val="single" w:color="1F3864" w:sz="6"/>
          <w:right w:val="single" w:color="1F3864" w:sz="6"/>
          <w:insideH w:val="single" w:color="auto" w:sz="4"/>
          <w:insideV w:val="single" w:color="auto" w:sz="4"/>
        </w:tblBorders>
      </w:tblPr>
      <w:tblGrid>
        <w:gridCol w:w="7200"/>
      </w:tblGrid>
      <w:tr>
        <w:tc>
          <w:tcPr>
            <w:tcW w:type="dxa" w:w="7200"/>
            <w:shd w:fill="1F3864" w:val="clear"/>
            <w:tcMar>
              <w:top w:type="dxa" w:w="40"/>
              <w:left w:type="dxa" w:w="120"/>
              <w:bottom w:type="dxa" w:w="40"/>
              <w:right w:type="dxa" w:w="120"/>
            </w:tcMar>
          </w:tcPr>
          <w:p>
            <w:pPr>
              <w:spacing w:after="20" w:before="40"/>
              <w:jc w:val="center"/>
            </w:pPr>
            <w:r>
              <w:rPr>
                <w:b/>
                <w:bCs/>
                <w:color w:val="FFFFFF"/>
                <w:sz w:val="20"/>
                <w:szCs w:val="20"/>
              </w:rPr>
              <w:t xml:space="preserve">Portfolio actions</w:t>
            </w:r>
          </w:p>
          <w:p>
            <w:pPr>
              <w:spacing w:after="40"/>
              <w:jc w:val="center"/>
            </w:pPr>
            <w:r>
              <w:rPr>
                <w:color w:val="FFFFFF"/>
                <w:sz w:val="17"/>
                <w:szCs w:val="17"/>
              </w:rPr>
              <w:t xml:space="preserve">protect · grow · reprice · re-engage · activate</w:t>
            </w:r>
          </w:p>
        </w:tc>
      </w:tr>
    </w:tbl>
    <w:p>
      <w:pPr>
        <w:spacing w:after="160"/>
      </w:pPr>
    </w:p>
    <w:p>
      <w:pPr>
        <w:spacing w:after="140" w:line="276"/>
        <w:jc w:val="both"/>
      </w:pPr>
      <w:r>
        <w:t xml:space="preserve">Segmentation is what turns thousands of merchant rows into a handful of portfolio conversations with clear owners.</w:t>
      </w:r>
    </w:p>
    <w:p>
      <w:pPr>
        <w:pStyle w:val="Heading1"/>
        <w:pageBreakBefore/>
        <w:spacing w:after="120" w:before="360"/>
      </w:pPr>
      <w:r>
        <w:t xml:space="preserve">13. Sales and Relationship Manager Intelligence</w:t>
      </w:r>
    </w:p>
    <w:p>
      <w:pPr>
        <w:spacing w:after="140" w:line="276"/>
        <w:jc w:val="both"/>
      </w:pPr>
      <w:r>
        <w:t xml:space="preserve">NEXUS models the sales organisation as </w:t>
      </w:r>
      <w:r>
        <w:rPr>
          <w:b/>
          <w:bCs/>
        </w:rPr>
        <w:t xml:space="preserve">Country Lead → Team Lead → Sales Agent</w:t>
      </w:r>
      <w:r>
        <w:t xml:space="preserve">, with each merchant attributed to an agent. The suite includes:</w:t>
      </w:r>
    </w:p>
    <w:p>
      <w:pPr>
        <w:pStyle w:val="ListParagraph"/>
        <w:numPr>
          <w:ilvl w:val="0"/>
          <w:numId w:val="2"/>
        </w:numPr>
        <w:spacing w:after="60"/>
      </w:pPr>
      <w:r>
        <w:rPr>
          <w:b/>
          <w:bCs/>
        </w:rPr>
        <w:t xml:space="preserve">Sales Executive Dashboard</w:t>
      </w:r>
      <w:r>
        <w:t xml:space="preserve"> — the whole organisation as a tree, every node carrying the same metrics (volume, margin, merchant counts), each parent the exact sum of its children, with change versus the prior equivalent period and drill-down to an individual agent's merchants.</w:t>
      </w:r>
    </w:p>
    <w:p>
      <w:pPr>
        <w:pStyle w:val="ListParagraph"/>
        <w:numPr>
          <w:ilvl w:val="0"/>
          <w:numId w:val="2"/>
        </w:numPr>
        <w:spacing w:after="60"/>
      </w:pPr>
      <w:r>
        <w:rPr>
          <w:b/>
          <w:bCs/>
        </w:rPr>
        <w:t xml:space="preserve">Leaderboards</w:t>
      </w:r>
      <w:r>
        <w:t xml:space="preserve"> — agents, teams and countries ranked by net margin (the platform deliberately ranks on margin, not raw volume), with onboarding counts, average net rate, period choices anchored to the latest loaded data, and gamified badges (Million Club, Onboarding Star, #1 Team and others) to keep the ranking engaging.</w:t>
      </w:r>
    </w:p>
    <w:p>
      <w:pPr>
        <w:pStyle w:val="ListParagraph"/>
        <w:numPr>
          <w:ilvl w:val="0"/>
          <w:numId w:val="2"/>
        </w:numPr>
        <w:spacing w:after="60"/>
      </w:pPr>
      <w:r>
        <w:rPr>
          <w:b/>
          <w:bCs/>
        </w:rPr>
        <w:t xml:space="preserve">Targets and attainment</w:t>
      </w:r>
      <w:r>
        <w:t xml:space="preserve"> — annual targets phased into twelve monthly figures (hand-adjustable for seasonality), with attainment shown across the sales screens and the forecasting view. Targets are optional; screens display a dash until they are set.</w:t>
      </w:r>
    </w:p>
    <w:p>
      <w:pPr>
        <w:pStyle w:val="ListParagraph"/>
        <w:numPr>
          <w:ilvl w:val="0"/>
          <w:numId w:val="2"/>
        </w:numPr>
        <w:spacing w:after="60"/>
      </w:pPr>
      <w:r>
        <w:rPr>
          <w:b/>
          <w:bCs/>
        </w:rPr>
        <w:t xml:space="preserve">Portfolio views</w:t>
      </w:r>
      <w:r>
        <w:t xml:space="preserve"> — each RM's merchant list with trends, so account priorities come from data.</w:t>
      </w:r>
    </w:p>
    <w:p>
      <w:pPr>
        <w:pStyle w:val="ListParagraph"/>
        <w:numPr>
          <w:ilvl w:val="0"/>
          <w:numId w:val="2"/>
        </w:numPr>
        <w:spacing w:after="60"/>
      </w:pPr>
      <w:r>
        <w:rPr>
          <w:b/>
          <w:bCs/>
        </w:rPr>
        <w:t xml:space="preserve">Hierarchy administration</w:t>
      </w:r>
      <w:r>
        <w:t xml:space="preserve"> — team and country-lead management, agent directory, and a full audit history of merchant reassignments between agents.</w:t>
      </w:r>
    </w:p>
    <w:p>
      <w:pPr>
        <w:spacing w:after="140" w:line="276"/>
        <w:jc w:val="both"/>
      </w:pPr>
      <w:r>
        <w:t xml:space="preserve">A practical scenario: an RM opens their portfolio and sees a merchant flagged "declining" in the attrition view, with volume down sharply versus the prior period and a raised churn-risk score. The RM reviews the merchant's transaction history and margin in Merchant 360, calls the merchant, discovers a terminal issue at their busiest store, and resolves it — weeks before the merchant would have appeared in a quarterly report as churned.</w:t>
      </w:r>
    </w:p>
    <w:p>
      <w:pPr>
        <w:pStyle w:val="Heading1"/>
        <w:pageBreakBefore/>
        <w:spacing w:after="120" w:before="360"/>
      </w:pPr>
      <w:r>
        <w:t xml:space="preserve">14. Risk and Behavioural Monitoring</w:t>
      </w:r>
    </w:p>
    <w:p>
      <w:pPr>
        <w:spacing w:after="140" w:line="276"/>
        <w:jc w:val="both"/>
      </w:pPr>
      <w:r>
        <w:t xml:space="preserve">NEXUS approaches risk as </w:t>
      </w:r>
      <w:r>
        <w:rPr>
          <w:i/>
          <w:iCs/>
        </w:rPr>
        <w:t xml:space="preserve">behavioural visibility</w:t>
      </w:r>
      <w:r>
        <w:t xml:space="preserve"> — surfacing patterns that merit human investigation:</w:t>
      </w:r>
    </w:p>
    <w:p>
      <w:pPr>
        <w:pStyle w:val="ListParagraph"/>
        <w:numPr>
          <w:ilvl w:val="0"/>
          <w:numId w:val="2"/>
        </w:numPr>
        <w:spacing w:after="60"/>
      </w:pPr>
      <w:r>
        <w:rPr>
          <w:b/>
          <w:bCs/>
        </w:rPr>
        <w:t xml:space="preserve">Churn-risk scoring</w:t>
      </w:r>
      <w:r>
        <w:t xml:space="preserve"> — a machine-learning model (a random forest trained separately on each bank's own history, retrained weekly) estimates each merchant's probability of going dormant within 30–60 days, with a risk band and the main contributing reason. The model reads behavioural features such as volume trend, volatility, recency and average-ticket drift. Where a bank's history is too thin to train on, the platform degrades gracefully to simpler statistical scoring, and each score records which method produced it.</w:t>
      </w:r>
    </w:p>
    <w:p>
      <w:pPr>
        <w:pStyle w:val="ListParagraph"/>
        <w:numPr>
          <w:ilvl w:val="0"/>
          <w:numId w:val="2"/>
        </w:numPr>
        <w:spacing w:after="60"/>
      </w:pPr>
      <w:r>
        <w:rPr>
          <w:b/>
          <w:bCs/>
        </w:rPr>
        <w:t xml:space="preserve">Revenue-leakage flags</w:t>
      </w:r>
      <w:r>
        <w:t xml:space="preserve"> — volume drops, MSF-rate drops, zero-MSF activity and dormancy losses against each merchant's own baseline, with severity and a triage workflow.</w:t>
      </w:r>
    </w:p>
    <w:p>
      <w:pPr>
        <w:pStyle w:val="ListParagraph"/>
        <w:numPr>
          <w:ilvl w:val="0"/>
          <w:numId w:val="2"/>
        </w:numPr>
        <w:spacing w:after="60"/>
      </w:pPr>
      <w:r>
        <w:rPr>
          <w:b/>
          <w:bCs/>
        </w:rPr>
        <w:t xml:space="preserve">Merchant risk profile</w:t>
      </w:r>
      <w:r>
        <w:t xml:space="preserve"> — a per-merchant risk record (risk score, compliance/KYC status) within Merchant 360.</w:t>
      </w:r>
    </w:p>
    <w:p>
      <w:pPr>
        <w:pStyle w:val="ListParagraph"/>
        <w:numPr>
          <w:ilvl w:val="0"/>
          <w:numId w:val="2"/>
        </w:numPr>
        <w:spacing w:after="60"/>
      </w:pPr>
      <w:r>
        <w:rPr>
          <w:b/>
          <w:bCs/>
        </w:rPr>
        <w:t xml:space="preserve">Threshold alerts</w:t>
      </w:r>
      <w:r>
        <w:t xml:space="preserve"> — user-defined rules on any governed measure ("alert me if daily international volume for this segment exceeds X"), evaluated server-side on schedule, with alert history.</w:t>
      </w:r>
    </w:p>
    <w:p>
      <w:pPr>
        <w:pStyle w:val="ListParagraph"/>
        <w:numPr>
          <w:ilvl w:val="0"/>
          <w:numId w:val="2"/>
        </w:numPr>
        <w:spacing w:after="60"/>
      </w:pPr>
      <w:r>
        <w:rPr>
          <w:b/>
          <w:bCs/>
        </w:rPr>
        <w:t xml:space="preserve">Behavioural analytics</w:t>
      </w:r>
      <w:r>
        <w:t xml:space="preserve"> — refund patterns, domestic/international mix, channel mix and ticket-size distributions are all first-class dimensions, so unusual shifts are visible in the standard screens.</w:t>
      </w:r>
    </w:p>
    <w:p>
      <w:pPr>
        <w:spacing w:after="140" w:line="276"/>
        <w:jc w:val="both"/>
      </w:pPr>
      <w:r>
        <w:t xml:space="preserve">These indicators assist investigation and prioritisation; they do not, by themselves, imply fraudulent activity, and NEXUS does not take automated action against merchants.</w:t>
      </w:r>
    </w:p>
    <w:p>
      <w:pPr>
        <w:pStyle w:val="Heading1"/>
        <w:pageBreakBefore/>
        <w:spacing w:after="120" w:before="360"/>
      </w:pPr>
      <w:r>
        <w:t xml:space="preserve">15. Forecasting and Benchmarking</w:t>
      </w:r>
    </w:p>
    <w:p>
      <w:pPr>
        <w:spacing w:after="140" w:line="276"/>
        <w:jc w:val="both"/>
      </w:pPr>
      <w:r>
        <w:t xml:space="preserve">The forecasting module projects the current month's end position for volume, transactions, MSF revenue and net margin. Its method is deliberately transparent rather than a black box: a blend of the month's actual run rate (with day-of-week awareness) and the prior year's intra-month seasonal profile, with the weighting shifting toward actuals as the month progresses. The design goal, stated in the platform itself, is that </w:t>
      </w:r>
      <w:r>
        <w:rPr>
          <w:i/>
          <w:iCs/>
        </w:rPr>
        <w:t xml:space="preserve">every number is explainable</w:t>
      </w:r>
      <w:r>
        <w:t xml:space="preserve">.</w:t>
      </w:r>
    </w:p>
    <w:p>
      <w:pPr>
        <w:spacing w:after="140" w:line="276"/>
        <w:jc w:val="both"/>
      </w:pPr>
      <w:r>
        <w:t xml:space="preserve">Projections are compared to targets and expressed as a plain status: On Track, Likely to Exceed, At Risk, Behind, Critical — or No Target where none is set. Benchmarking views compare performance across peers, relationship managers and prior periods.</w:t>
      </w:r>
    </w:p>
    <w:p>
      <w:pPr>
        <w:spacing w:after="140" w:line="276"/>
        <w:jc w:val="both"/>
      </w:pPr>
      <w:r>
        <w:t xml:space="preserve">The four questions, and where NEXUS answers them:</w:t>
      </w:r>
    </w:p>
    <w:p>
      <w:pPr>
        <w:pStyle w:val="ListParagraph"/>
        <w:numPr>
          <w:ilvl w:val="0"/>
          <w:numId w:val="2"/>
        </w:numPr>
        <w:spacing w:after="60"/>
      </w:pPr>
      <w:r>
        <w:rPr>
          <w:b/>
          <w:bCs/>
        </w:rPr>
        <w:t xml:space="preserve">What happened?</w:t>
      </w:r>
      <w:r>
        <w:t xml:space="preserve"> — dashboards and reports over daily/monthly aggregates.</w:t>
      </w:r>
    </w:p>
    <w:p>
      <w:pPr>
        <w:pStyle w:val="ListParagraph"/>
        <w:numPr>
          <w:ilvl w:val="0"/>
          <w:numId w:val="2"/>
        </w:numPr>
        <w:spacing w:after="60"/>
      </w:pPr>
      <w:r>
        <w:rPr>
          <w:b/>
          <w:bCs/>
        </w:rPr>
        <w:t xml:space="preserve">Why did it happen?</w:t>
      </w:r>
      <w:r>
        <w:t xml:space="preserve"> — drill-downs, cross-filtering, explorer, group reports.</w:t>
      </w:r>
    </w:p>
    <w:p>
      <w:pPr>
        <w:pStyle w:val="ListParagraph"/>
        <w:numPr>
          <w:ilvl w:val="0"/>
          <w:numId w:val="2"/>
        </w:numPr>
        <w:spacing w:after="60"/>
      </w:pPr>
      <w:r>
        <w:rPr>
          <w:b/>
          <w:bCs/>
        </w:rPr>
        <w:t xml:space="preserve">What is likely to happen?</w:t>
      </w:r>
      <w:r>
        <w:t xml:space="preserve"> — month-end projections and churn-risk scores.</w:t>
      </w:r>
    </w:p>
    <w:p>
      <w:pPr>
        <w:pStyle w:val="ListParagraph"/>
        <w:numPr>
          <w:ilvl w:val="0"/>
          <w:numId w:val="2"/>
        </w:numPr>
        <w:spacing w:after="60"/>
      </w:pPr>
      <w:r>
        <w:rPr>
          <w:b/>
          <w:bCs/>
        </w:rPr>
        <w:t xml:space="preserve">What should we act on?</w:t>
      </w:r>
      <w:r>
        <w:t xml:space="preserve"> — segments, leakage flags, attrition lists, target-risk statuses and alerts.</w:t>
      </w:r>
    </w:p>
    <w:p>
      <w:pPr>
        <w:spacing w:after="140" w:line="276"/>
        <w:jc w:val="both"/>
      </w:pPr>
      <w:r>
        <w:t xml:space="preserve">(The churn </w:t>
      </w:r>
      <w:r>
        <w:rPr>
          <w:i/>
          <w:iCs/>
        </w:rPr>
        <w:t xml:space="preserve">prediction</w:t>
      </w:r>
      <w:r>
        <w:t xml:space="preserve"> used in attrition views is the machine-learning score of section 14; the month-end </w:t>
      </w:r>
      <w:r>
        <w:rPr>
          <w:i/>
          <w:iCs/>
        </w:rPr>
        <w:t xml:space="preserve">projection</w:t>
      </w:r>
      <w:r>
        <w:t xml:space="preserve"> is the explainable run-rate method. The two are intentionally different tools for different questions.)</w:t>
      </w:r>
    </w:p>
    <w:p>
      <w:pPr>
        <w:pStyle w:val="Heading1"/>
        <w:pageBreakBefore/>
        <w:spacing w:after="120" w:before="360"/>
      </w:pPr>
      <w:r>
        <w:t xml:space="preserve">16. Business Reporting</w:t>
      </w:r>
    </w:p>
    <w:p>
      <w:pPr>
        <w:spacing w:after="140" w:line="276"/>
        <w:jc w:val="both"/>
      </w:pPr>
      <w:r>
        <w:t xml:space="preserve">Beyond the screens, NEXUS produces and distributes reporting:</w:t>
      </w:r>
    </w:p>
    <w:p>
      <w:pPr>
        <w:pStyle w:val="ListParagraph"/>
        <w:numPr>
          <w:ilvl w:val="0"/>
          <w:numId w:val="2"/>
        </w:numPr>
        <w:spacing w:after="60"/>
      </w:pPr>
      <w:r>
        <w:rPr>
          <w:b/>
          <w:bCs/>
        </w:rPr>
        <w:t xml:space="preserve">CSV exports</w:t>
      </w:r>
      <w:r>
        <w:t xml:space="preserve"> throughout — dashboards, profitability tables, transaction lists (with card numbers masked), user and audit lists; exports honour each tenant's currency precision.</w:t>
      </w:r>
    </w:p>
    <w:p>
      <w:pPr>
        <w:pStyle w:val="ListParagraph"/>
        <w:numPr>
          <w:ilvl w:val="0"/>
          <w:numId w:val="2"/>
        </w:numPr>
        <w:spacing w:after="60"/>
      </w:pPr>
      <w:r>
        <w:rPr>
          <w:b/>
          <w:bCs/>
        </w:rPr>
        <w:t xml:space="preserve">Server-side CSV/Excel export</w:t>
      </w:r>
      <w:r>
        <w:t xml:space="preserve"> from the Analytics Explorer, plus a </w:t>
      </w:r>
      <w:r>
        <w:rPr>
          <w:b/>
          <w:bCs/>
        </w:rPr>
        <w:t xml:space="preserve">report builder</w:t>
      </w:r>
      <w:r>
        <w:t xml:space="preserve"> with saved templates and </w:t>
      </w:r>
      <w:r>
        <w:rPr>
          <w:b/>
          <w:bCs/>
        </w:rPr>
        <w:t xml:space="preserve">cron-scheduled reports</w:t>
      </w:r>
      <w:r>
        <w:t xml:space="preserve"> delivered by email.</w:t>
      </w:r>
    </w:p>
    <w:p>
      <w:pPr>
        <w:pStyle w:val="ListParagraph"/>
        <w:numPr>
          <w:ilvl w:val="0"/>
          <w:numId w:val="2"/>
        </w:numPr>
        <w:spacing w:after="60"/>
      </w:pPr>
      <w:r>
        <w:rPr>
          <w:b/>
          <w:bCs/>
        </w:rPr>
        <w:t xml:space="preserve">Merchant Monthly Insight PDF reports</w:t>
      </w:r>
      <w:r>
        <w:t xml:space="preserve"> — a branded, multi-section pack per merchant (executive summary, scorecard, month-on-month comparison, sales trends, peak analysis, store leaderboard, card analytics, customer intelligence, DCC page, glossary and more), generated in bulk for the whole portfolio or a chosen list, and delivered as local files, S3 archive, ZIP download or emailed directly to each merchant with a templated covering email.</w:t>
      </w:r>
    </w:p>
    <w:p>
      <w:pPr>
        <w:pStyle w:val="ListParagraph"/>
        <w:numPr>
          <w:ilvl w:val="0"/>
          <w:numId w:val="2"/>
        </w:numPr>
        <w:spacing w:after="60"/>
      </w:pPr>
      <w:r>
        <w:rPr>
          <w:b/>
          <w:bCs/>
        </w:rPr>
        <w:t xml:space="preserve">Statement and campaign emails</w:t>
      </w:r>
      <w:r>
        <w:t xml:space="preserve"> — template management with merge variables, campaign launch, retry of failures and per-recipient delivery logs.</w:t>
      </w:r>
    </w:p>
    <w:p>
      <w:pPr>
        <w:pStyle w:val="ListParagraph"/>
        <w:numPr>
          <w:ilvl w:val="0"/>
          <w:numId w:val="2"/>
        </w:numPr>
        <w:spacing w:after="60"/>
      </w:pPr>
      <w:r>
        <w:rPr>
          <w:b/>
          <w:bCs/>
        </w:rPr>
        <w:t xml:space="preserve">External API</w:t>
      </w:r>
      <w:r>
        <w:t xml:space="preserve"> — a scoped, key-authenticated read API through which other bank systems can pull merchant, transaction and analytics data, plus programmatic report access.</w:t>
      </w:r>
    </w:p>
    <w:tbl>
      <w:tblPr>
        <w:tblW w:type="dxa" w:w="9026"/>
        <w:tblBorders>
          <w:top w:val="single" w:color="C5D3E8" w:sz="4"/>
          <w:left w:val="single" w:color="C5D3E8" w:sz="4"/>
          <w:bottom w:val="single" w:color="C5D3E8" w:sz="4"/>
          <w:right w:val="single" w:color="C5D3E8" w:sz="4"/>
          <w:insideH w:val="single" w:color="C5D3E8" w:sz="4"/>
          <w:insideV w:val="single" w:color="C5D3E8" w:sz="4"/>
        </w:tblBorders>
      </w:tblPr>
      <w:tblGrid>
        <w:gridCol w:w="4513"/>
        <w:gridCol w:w="4513"/>
      </w:tblGrid>
      <w:tr>
        <w:trPr>
          <w:tblHeader/>
        </w:trPr>
        <w:tc>
          <w:tcPr>
            <w:tcW w:type="dxa" w:w="4513"/>
            <w:shd w:fill="E8EEF7" w:val="clear"/>
            <w:tcMar>
              <w:top w:type="dxa" w:w="60"/>
              <w:left w:type="dxa" w:w="100"/>
              <w:bottom w:type="dxa" w:w="60"/>
              <w:right w:type="dxa" w:w="100"/>
            </w:tcMar>
          </w:tcPr>
          <w:p>
            <w:pPr>
              <w:spacing w:after="20" w:before="20"/>
            </w:pPr>
            <w:r>
              <w:rPr>
                <w:b/>
                <w:bCs/>
                <w:color w:val="1F3864"/>
                <w:sz w:val="18"/>
                <w:szCs w:val="18"/>
              </w:rPr>
              <w:t xml:space="preserve">Audience</w:t>
            </w:r>
          </w:p>
        </w:tc>
        <w:tc>
          <w:tcPr>
            <w:tcW w:type="dxa" w:w="4513"/>
            <w:shd w:fill="E8EEF7" w:val="clear"/>
            <w:tcMar>
              <w:top w:type="dxa" w:w="60"/>
              <w:left w:type="dxa" w:w="100"/>
              <w:bottom w:type="dxa" w:w="60"/>
              <w:right w:type="dxa" w:w="100"/>
            </w:tcMar>
          </w:tcPr>
          <w:p>
            <w:pPr>
              <w:spacing w:after="20" w:before="20"/>
            </w:pPr>
            <w:r>
              <w:rPr>
                <w:b/>
                <w:bCs/>
                <w:color w:val="1F3864"/>
                <w:sz w:val="18"/>
                <w:szCs w:val="18"/>
              </w:rPr>
              <w:t xml:space="preserve">Typical requirement</w:t>
            </w:r>
          </w:p>
        </w:tc>
      </w:tr>
      <w:tr>
        <w:trPr>
          <w:tblHeader w:val="false"/>
        </w:trPr>
        <w:tc>
          <w:tcPr>
            <w:tcW w:type="dxa" w:w="4513"/>
            <w:tcMar>
              <w:top w:type="dxa" w:w="60"/>
              <w:left w:type="dxa" w:w="100"/>
              <w:bottom w:type="dxa" w:w="60"/>
              <w:right w:type="dxa" w:w="100"/>
            </w:tcMar>
          </w:tcPr>
          <w:p>
            <w:pPr>
              <w:spacing w:after="20" w:before="20"/>
            </w:pPr>
            <w:r>
              <w:rPr>
                <w:b w:val="false"/>
                <w:bCs w:val="false"/>
                <w:sz w:val="18"/>
                <w:szCs w:val="18"/>
              </w:rPr>
              <w:t xml:space="preserve">Executive management</w:t>
            </w:r>
          </w:p>
        </w:tc>
        <w:tc>
          <w:tcPr>
            <w:tcW w:type="dxa" w:w="4513"/>
            <w:tcMar>
              <w:top w:type="dxa" w:w="60"/>
              <w:left w:type="dxa" w:w="100"/>
              <w:bottom w:type="dxa" w:w="60"/>
              <w:right w:type="dxa" w:w="100"/>
            </w:tcMar>
          </w:tcPr>
          <w:p>
            <w:pPr>
              <w:spacing w:after="20" w:before="20"/>
            </w:pPr>
            <w:r>
              <w:rPr>
                <w:b w:val="false"/>
                <w:bCs w:val="false"/>
                <w:sz w:val="18"/>
                <w:szCs w:val="18"/>
              </w:rPr>
              <w:t xml:space="preserve">Portfolio KPIs, month-end position, concentration</w:t>
            </w:r>
          </w:p>
        </w:tc>
      </w:tr>
      <w:tr>
        <w:trPr>
          <w:tblHeader w:val="false"/>
        </w:trPr>
        <w:tc>
          <w:tcPr>
            <w:tcW w:type="dxa" w:w="4513"/>
            <w:tcMar>
              <w:top w:type="dxa" w:w="60"/>
              <w:left w:type="dxa" w:w="100"/>
              <w:bottom w:type="dxa" w:w="60"/>
              <w:right w:type="dxa" w:w="100"/>
            </w:tcMar>
          </w:tcPr>
          <w:p>
            <w:pPr>
              <w:spacing w:after="20" w:before="20"/>
            </w:pPr>
            <w:r>
              <w:rPr>
                <w:b w:val="false"/>
                <w:bCs w:val="false"/>
                <w:sz w:val="18"/>
                <w:szCs w:val="18"/>
              </w:rPr>
              <w:t xml:space="preserve">Finance</w:t>
            </w:r>
          </w:p>
        </w:tc>
        <w:tc>
          <w:tcPr>
            <w:tcW w:type="dxa" w:w="4513"/>
            <w:tcMar>
              <w:top w:type="dxa" w:w="60"/>
              <w:left w:type="dxa" w:w="100"/>
              <w:bottom w:type="dxa" w:w="60"/>
              <w:right w:type="dxa" w:w="100"/>
            </w:tcMar>
          </w:tcPr>
          <w:p>
            <w:pPr>
              <w:spacing w:after="20" w:before="20"/>
            </w:pPr>
            <w:r>
              <w:rPr>
                <w:b w:val="false"/>
                <w:bCs w:val="false"/>
                <w:sz w:val="18"/>
                <w:szCs w:val="18"/>
              </w:rPr>
              <w:t xml:space="preserve">Profitability, reconciliation, fee analysis, exports</w:t>
            </w:r>
          </w:p>
        </w:tc>
      </w:tr>
      <w:tr>
        <w:trPr>
          <w:tblHeader w:val="false"/>
        </w:trPr>
        <w:tc>
          <w:tcPr>
            <w:tcW w:type="dxa" w:w="4513"/>
            <w:tcMar>
              <w:top w:type="dxa" w:w="60"/>
              <w:left w:type="dxa" w:w="100"/>
              <w:bottom w:type="dxa" w:w="60"/>
              <w:right w:type="dxa" w:w="100"/>
            </w:tcMar>
          </w:tcPr>
          <w:p>
            <w:pPr>
              <w:spacing w:after="20" w:before="20"/>
            </w:pPr>
            <w:r>
              <w:rPr>
                <w:b w:val="false"/>
                <w:bCs w:val="false"/>
                <w:sz w:val="18"/>
                <w:szCs w:val="18"/>
              </w:rPr>
              <w:t xml:space="preserve">Acquiring business</w:t>
            </w:r>
          </w:p>
        </w:tc>
        <w:tc>
          <w:tcPr>
            <w:tcW w:type="dxa" w:w="4513"/>
            <w:tcMar>
              <w:top w:type="dxa" w:w="60"/>
              <w:left w:type="dxa" w:w="100"/>
              <w:bottom w:type="dxa" w:w="60"/>
              <w:right w:type="dxa" w:w="100"/>
            </w:tcMar>
          </w:tcPr>
          <w:p>
            <w:pPr>
              <w:spacing w:after="20" w:before="20"/>
            </w:pPr>
            <w:r>
              <w:rPr>
                <w:b w:val="false"/>
                <w:bCs w:val="false"/>
                <w:sz w:val="18"/>
                <w:szCs w:val="18"/>
              </w:rPr>
              <w:t xml:space="preserve">Merchant, scheme and channel performance</w:t>
            </w:r>
          </w:p>
        </w:tc>
      </w:tr>
      <w:tr>
        <w:trPr>
          <w:tblHeader w:val="false"/>
        </w:trPr>
        <w:tc>
          <w:tcPr>
            <w:tcW w:type="dxa" w:w="4513"/>
            <w:tcMar>
              <w:top w:type="dxa" w:w="60"/>
              <w:left w:type="dxa" w:w="100"/>
              <w:bottom w:type="dxa" w:w="60"/>
              <w:right w:type="dxa" w:w="100"/>
            </w:tcMar>
          </w:tcPr>
          <w:p>
            <w:pPr>
              <w:spacing w:after="20" w:before="20"/>
            </w:pPr>
            <w:r>
              <w:rPr>
                <w:b w:val="false"/>
                <w:bCs w:val="false"/>
                <w:sz w:val="18"/>
                <w:szCs w:val="18"/>
              </w:rPr>
              <w:t xml:space="preserve">Sales</w:t>
            </w:r>
          </w:p>
        </w:tc>
        <w:tc>
          <w:tcPr>
            <w:tcW w:type="dxa" w:w="4513"/>
            <w:tcMar>
              <w:top w:type="dxa" w:w="60"/>
              <w:left w:type="dxa" w:w="100"/>
              <w:bottom w:type="dxa" w:w="60"/>
              <w:right w:type="dxa" w:w="100"/>
            </w:tcMar>
          </w:tcPr>
          <w:p>
            <w:pPr>
              <w:spacing w:after="20" w:before="20"/>
            </w:pPr>
            <w:r>
              <w:rPr>
                <w:b w:val="false"/>
                <w:bCs w:val="false"/>
                <w:sz w:val="18"/>
                <w:szCs w:val="18"/>
              </w:rPr>
              <w:t xml:space="preserve">Leaderboards, targets, portfolio detail</w:t>
            </w:r>
          </w:p>
        </w:tc>
      </w:tr>
      <w:tr>
        <w:trPr>
          <w:tblHeader w:val="false"/>
        </w:trPr>
        <w:tc>
          <w:tcPr>
            <w:tcW w:type="dxa" w:w="4513"/>
            <w:tcMar>
              <w:top w:type="dxa" w:w="60"/>
              <w:left w:type="dxa" w:w="100"/>
              <w:bottom w:type="dxa" w:w="60"/>
              <w:right w:type="dxa" w:w="100"/>
            </w:tcMar>
          </w:tcPr>
          <w:p>
            <w:pPr>
              <w:spacing w:after="20" w:before="20"/>
            </w:pPr>
            <w:r>
              <w:rPr>
                <w:b w:val="false"/>
                <w:bCs w:val="false"/>
                <w:sz w:val="18"/>
                <w:szCs w:val="18"/>
              </w:rPr>
              <w:t xml:space="preserve">Risk</w:t>
            </w:r>
          </w:p>
        </w:tc>
        <w:tc>
          <w:tcPr>
            <w:tcW w:type="dxa" w:w="4513"/>
            <w:tcMar>
              <w:top w:type="dxa" w:w="60"/>
              <w:left w:type="dxa" w:w="100"/>
              <w:bottom w:type="dxa" w:w="60"/>
              <w:right w:type="dxa" w:w="100"/>
            </w:tcMar>
          </w:tcPr>
          <w:p>
            <w:pPr>
              <w:spacing w:after="20" w:before="20"/>
            </w:pPr>
            <w:r>
              <w:rPr>
                <w:b w:val="false"/>
                <w:bCs w:val="false"/>
                <w:sz w:val="18"/>
                <w:szCs w:val="18"/>
              </w:rPr>
              <w:t xml:space="preserve">Behavioural flags, churn risk, watchlists</w:t>
            </w:r>
          </w:p>
        </w:tc>
      </w:tr>
      <w:tr>
        <w:trPr>
          <w:tblHeader w:val="false"/>
        </w:trPr>
        <w:tc>
          <w:tcPr>
            <w:tcW w:type="dxa" w:w="4513"/>
            <w:tcMar>
              <w:top w:type="dxa" w:w="60"/>
              <w:left w:type="dxa" w:w="100"/>
              <w:bottom w:type="dxa" w:w="60"/>
              <w:right w:type="dxa" w:w="100"/>
            </w:tcMar>
          </w:tcPr>
          <w:p>
            <w:pPr>
              <w:spacing w:after="20" w:before="20"/>
            </w:pPr>
            <w:r>
              <w:rPr>
                <w:b w:val="false"/>
                <w:bCs w:val="false"/>
                <w:sz w:val="18"/>
                <w:szCs w:val="18"/>
              </w:rPr>
              <w:t xml:space="preserve">Operations</w:t>
            </w:r>
          </w:p>
        </w:tc>
        <w:tc>
          <w:tcPr>
            <w:tcW w:type="dxa" w:w="4513"/>
            <w:tcMar>
              <w:top w:type="dxa" w:w="60"/>
              <w:left w:type="dxa" w:w="100"/>
              <w:bottom w:type="dxa" w:w="60"/>
              <w:right w:type="dxa" w:w="100"/>
            </w:tcMar>
          </w:tcPr>
          <w:p>
            <w:pPr>
              <w:spacing w:after="20" w:before="20"/>
            </w:pPr>
            <w:r>
              <w:rPr>
                <w:b w:val="false"/>
                <w:bCs w:val="false"/>
                <w:sz w:val="18"/>
                <w:szCs w:val="18"/>
              </w:rPr>
              <w:t xml:space="preserve">Load status, batch logs, data-quality outcomes</w:t>
            </w:r>
          </w:p>
        </w:tc>
      </w:tr>
      <w:tr>
        <w:trPr>
          <w:tblHeader w:val="false"/>
        </w:trPr>
        <w:tc>
          <w:tcPr>
            <w:tcW w:type="dxa" w:w="4513"/>
            <w:tcMar>
              <w:top w:type="dxa" w:w="60"/>
              <w:left w:type="dxa" w:w="100"/>
              <w:bottom w:type="dxa" w:w="60"/>
              <w:right w:type="dxa" w:w="100"/>
            </w:tcMar>
          </w:tcPr>
          <w:p>
            <w:pPr>
              <w:spacing w:after="20" w:before="20"/>
            </w:pPr>
            <w:r>
              <w:rPr>
                <w:b w:val="false"/>
                <w:bCs w:val="false"/>
                <w:sz w:val="18"/>
                <w:szCs w:val="18"/>
              </w:rPr>
              <w:t xml:space="preserve">Merchants</w:t>
            </w:r>
          </w:p>
        </w:tc>
        <w:tc>
          <w:tcPr>
            <w:tcW w:type="dxa" w:w="4513"/>
            <w:tcMar>
              <w:top w:type="dxa" w:w="60"/>
              <w:left w:type="dxa" w:w="100"/>
              <w:bottom w:type="dxa" w:w="60"/>
              <w:right w:type="dxa" w:w="100"/>
            </w:tcMar>
          </w:tcPr>
          <w:p>
            <w:pPr>
              <w:spacing w:after="20" w:before="20"/>
            </w:pPr>
            <w:r>
              <w:rPr>
                <w:b w:val="false"/>
                <w:bCs w:val="false"/>
                <w:sz w:val="18"/>
                <w:szCs w:val="18"/>
              </w:rPr>
              <w:t xml:space="preserve">Monthly PDF insight report</w:t>
            </w:r>
          </w:p>
        </w:tc>
      </w:tr>
    </w:tbl>
    <w:p>
      <w:pPr>
        <w:spacing w:after="80"/>
      </w:pPr>
    </w:p>
    <w:p>
      <w:pPr>
        <w:pStyle w:val="Heading1"/>
        <w:pageBreakBefore/>
        <w:spacing w:after="120" w:before="360"/>
      </w:pPr>
      <w:r>
        <w:t xml:space="preserve">17. User Journeys</w:t>
      </w:r>
    </w:p>
    <w:p>
      <w:pPr>
        <w:pStyle w:val="Heading3"/>
        <w:spacing w:after="120" w:before="240"/>
      </w:pPr>
      <w:r>
        <w:t xml:space="preserve">Executive</w:t>
      </w:r>
    </w:p>
    <w:p>
      <w:pPr>
        <w:shd w:fill="F2F4F5" w:val="clear"/>
        <w:spacing w:after="0" w:before="120" w:line="240"/>
        <w:ind w:left="240" w:right="240"/>
      </w:pPr>
      <w:r>
        <w:rPr>
          <w:rFonts w:ascii="Consolas" w:cs="Consolas" w:eastAsia="Consolas" w:hAnsi="Consolas"/>
          <w:sz w:val="16"/>
          <w:szCs w:val="16"/>
        </w:rPr>
        <w:t xml:space="preserve">Login → Executive dashboard → MTD margin below trend</w:t>
      </w:r>
    </w:p>
    <w:p>
      <w:pPr>
        <w:shd w:fill="F2F4F5" w:val="clear"/>
        <w:spacing w:after="0" w:before="0" w:line="240"/>
        <w:ind w:left="240" w:right="240"/>
      </w:pPr>
      <w:r>
        <w:rPr>
          <w:rFonts w:ascii="Consolas" w:cs="Consolas" w:eastAsia="Consolas" w:hAnsi="Consolas"/>
          <w:sz w:val="16"/>
          <w:szCs w:val="16"/>
        </w:rPr>
        <w:t xml:space="preserve">→ Switch to attrition report → See value-at-risk concentrated in two segments</w:t>
      </w:r>
    </w:p>
    <w:p>
      <w:pPr>
        <w:shd w:fill="F2F4F5" w:val="clear"/>
        <w:spacing w:after="160" w:before="0" w:line="240"/>
        <w:ind w:left="240" w:right="240"/>
      </w:pPr>
      <w:r>
        <w:rPr>
          <w:rFonts w:ascii="Consolas" w:cs="Consolas" w:eastAsia="Consolas" w:hAnsi="Consolas"/>
          <w:sz w:val="16"/>
          <w:szCs w:val="16"/>
        </w:rPr>
        <w:t xml:space="preserve">→ Drill to steepest-declining merchants → Assign follow-up to sales head</w:t>
      </w:r>
    </w:p>
    <w:p>
      <w:pPr>
        <w:pStyle w:val="Heading3"/>
        <w:spacing w:after="120" w:before="240"/>
      </w:pPr>
      <w:r>
        <w:t xml:space="preserve">Relationship Manager</w:t>
      </w:r>
    </w:p>
    <w:p>
      <w:pPr>
        <w:shd w:fill="F2F4F5" w:val="clear"/>
        <w:spacing w:after="0" w:before="120" w:line="240"/>
        <w:ind w:left="240" w:right="240"/>
      </w:pPr>
      <w:r>
        <w:rPr>
          <w:rFonts w:ascii="Consolas" w:cs="Consolas" w:eastAsia="Consolas" w:hAnsi="Consolas"/>
          <w:sz w:val="16"/>
          <w:szCs w:val="16"/>
        </w:rPr>
        <w:t xml:space="preserve">Login → Sales portfolio → Sort merchants by decline</w:t>
      </w:r>
    </w:p>
    <w:p>
      <w:pPr>
        <w:shd w:fill="F2F4F5" w:val="clear"/>
        <w:spacing w:after="0" w:before="0" w:line="240"/>
        <w:ind w:left="240" w:right="240"/>
      </w:pPr>
      <w:r>
        <w:rPr>
          <w:rFonts w:ascii="Consolas" w:cs="Consolas" w:eastAsia="Consolas" w:hAnsi="Consolas"/>
          <w:sz w:val="16"/>
          <w:szCs w:val="16"/>
        </w:rPr>
        <w:t xml:space="preserve">→ Open Merchant 360 for the worst → Volume down, margin intact, one store gone quiet</w:t>
      </w:r>
    </w:p>
    <w:p>
      <w:pPr>
        <w:shd w:fill="F2F4F5" w:val="clear"/>
        <w:spacing w:after="160" w:before="0" w:line="240"/>
        <w:ind w:left="240" w:right="240"/>
      </w:pPr>
      <w:r>
        <w:rPr>
          <w:rFonts w:ascii="Consolas" w:cs="Consolas" w:eastAsia="Consolas" w:hAnsi="Consolas"/>
          <w:sz w:val="16"/>
          <w:szCs w:val="16"/>
        </w:rPr>
        <w:t xml:space="preserve">→ Contact merchant → Log outcome; watch reactivation in retention report</w:t>
      </w:r>
    </w:p>
    <w:p>
      <w:pPr>
        <w:pStyle w:val="Heading3"/>
        <w:spacing w:after="120" w:before="240"/>
      </w:pPr>
      <w:r>
        <w:t xml:space="preserve">Finance</w:t>
      </w:r>
    </w:p>
    <w:p>
      <w:pPr>
        <w:shd w:fill="F2F4F5" w:val="clear"/>
        <w:spacing w:after="0" w:before="120" w:line="240"/>
        <w:ind w:left="240" w:right="240"/>
      </w:pPr>
      <w:r>
        <w:rPr>
          <w:rFonts w:ascii="Consolas" w:cs="Consolas" w:eastAsia="Consolas" w:hAnsi="Consolas"/>
          <w:sz w:val="16"/>
          <w:szCs w:val="16"/>
        </w:rPr>
        <w:t xml:space="preserve">Month-end → Load period data → Check fee-resolution report (all priced?)</w:t>
      </w:r>
    </w:p>
    <w:p>
      <w:pPr>
        <w:shd w:fill="F2F4F5" w:val="clear"/>
        <w:spacing w:after="0" w:before="0" w:line="240"/>
        <w:ind w:left="240" w:right="240"/>
      </w:pPr>
      <w:r>
        <w:rPr>
          <w:rFonts w:ascii="Consolas" w:cs="Consolas" w:eastAsia="Consolas" w:hAnsi="Consolas"/>
          <w:sz w:val="16"/>
          <w:szCs w:val="16"/>
        </w:rPr>
        <w:t xml:space="preserve">→ Compare NEXUS interchange to scheme billing → Run interchange normalisation preview</w:t>
      </w:r>
    </w:p>
    <w:p>
      <w:pPr>
        <w:shd w:fill="F2F4F5" w:val="clear"/>
        <w:spacing w:after="160" w:before="0" w:line="240"/>
        <w:ind w:left="240" w:right="240"/>
      </w:pPr>
      <w:r>
        <w:rPr>
          <w:rFonts w:ascii="Consolas" w:cs="Consolas" w:eastAsia="Consolas" w:hAnsi="Consolas"/>
          <w:sz w:val="16"/>
          <w:szCs w:val="16"/>
        </w:rPr>
        <w:t xml:space="preserve">→ Apply confirmed total → Export profitability and loss-making lists for review</w:t>
      </w:r>
    </w:p>
    <w:p>
      <w:pPr>
        <w:pStyle w:val="Heading3"/>
        <w:spacing w:after="120" w:before="240"/>
      </w:pPr>
      <w:r>
        <w:t xml:space="preserve">Acquiring product team</w:t>
      </w:r>
    </w:p>
    <w:p>
      <w:pPr>
        <w:shd w:fill="F2F4F5" w:val="clear"/>
        <w:spacing w:after="0" w:before="120" w:line="240"/>
        <w:ind w:left="240" w:right="240"/>
      </w:pPr>
      <w:r>
        <w:rPr>
          <w:rFonts w:ascii="Consolas" w:cs="Consolas" w:eastAsia="Consolas" w:hAnsi="Consolas"/>
          <w:sz w:val="16"/>
          <w:szCs w:val="16"/>
        </w:rPr>
        <w:t xml:space="preserve">Destination dashboard → International share rising on e-commerce</w:t>
      </w:r>
    </w:p>
    <w:p>
      <w:pPr>
        <w:shd w:fill="F2F4F5" w:val="clear"/>
        <w:spacing w:after="0" w:before="0" w:line="240"/>
        <w:ind w:left="240" w:right="240"/>
      </w:pPr>
      <w:r>
        <w:rPr>
          <w:rFonts w:ascii="Consolas" w:cs="Consolas" w:eastAsia="Consolas" w:hAnsi="Consolas"/>
          <w:sz w:val="16"/>
          <w:szCs w:val="16"/>
        </w:rPr>
        <w:t xml:space="preserve">→ Group report by scheme and MCC → Margin thinner on one corridor</w:t>
      </w:r>
    </w:p>
    <w:p>
      <w:pPr>
        <w:shd w:fill="F2F4F5" w:val="clear"/>
        <w:spacing w:after="160" w:before="0" w:line="240"/>
        <w:ind w:left="240" w:right="240"/>
      </w:pPr>
      <w:r>
        <w:rPr>
          <w:rFonts w:ascii="Consolas" w:cs="Consolas" w:eastAsia="Consolas" w:hAnsi="Consolas"/>
          <w:sz w:val="16"/>
          <w:szCs w:val="16"/>
        </w:rPr>
        <w:t xml:space="preserve">→ Pricing simulator on the affected cohort → Model MSF adjustment → Repricing proposal</w:t>
      </w:r>
    </w:p>
    <w:p>
      <w:pPr>
        <w:pStyle w:val="Heading3"/>
        <w:spacing w:after="120" w:before="240"/>
      </w:pPr>
      <w:r>
        <w:t xml:space="preserve">Operations</w:t>
      </w:r>
    </w:p>
    <w:p>
      <w:pPr>
        <w:shd w:fill="F2F4F5" w:val="clear"/>
        <w:spacing w:after="0" w:before="120" w:line="240"/>
        <w:ind w:left="240" w:right="240"/>
      </w:pPr>
      <w:r>
        <w:rPr>
          <w:rFonts w:ascii="Consolas" w:cs="Consolas" w:eastAsia="Consolas" w:hAnsi="Consolas"/>
          <w:sz w:val="16"/>
          <w:szCs w:val="16"/>
        </w:rPr>
        <w:t xml:space="preserve">Morning files arrive → Server-file processing (merchants, then transactions)</w:t>
      </w:r>
    </w:p>
    <w:p>
      <w:pPr>
        <w:shd w:fill="F2F4F5" w:val="clear"/>
        <w:spacing w:after="0" w:before="0" w:line="240"/>
        <w:ind w:left="240" w:right="240"/>
      </w:pPr>
      <w:r>
        <w:rPr>
          <w:rFonts w:ascii="Consolas" w:cs="Consolas" w:eastAsia="Consolas" w:hAnsi="Consolas"/>
          <w:sz w:val="16"/>
          <w:szCs w:val="16"/>
        </w:rPr>
        <w:t xml:space="preserve">→ Batch monitor: all steps green, row counts match</w:t>
      </w:r>
    </w:p>
    <w:p>
      <w:pPr>
        <w:shd w:fill="F2F4F5" w:val="clear"/>
        <w:spacing w:after="160" w:before="0" w:line="240"/>
        <w:ind w:left="240" w:right="240"/>
      </w:pPr>
      <w:r>
        <w:rPr>
          <w:rFonts w:ascii="Consolas" w:cs="Consolas" w:eastAsia="Consolas" w:hAnsi="Consolas"/>
          <w:sz w:val="16"/>
          <w:szCs w:val="16"/>
        </w:rPr>
        <w:t xml:space="preserve">→ One load flags unmapped channels → Fix mapping → Re-run day → Dashboards refresh</w:t>
      </w:r>
    </w:p>
    <w:p>
      <w:pPr>
        <w:pStyle w:val="Heading3"/>
        <w:spacing w:after="120" w:before="240"/>
      </w:pPr>
      <w:r>
        <w:t xml:space="preserve">Analyst</w:t>
      </w:r>
    </w:p>
    <w:p>
      <w:pPr>
        <w:shd w:fill="F2F4F5" w:val="clear"/>
        <w:spacing w:after="0" w:before="120" w:line="240"/>
        <w:ind w:left="240" w:right="240"/>
      </w:pPr>
      <w:r>
        <w:rPr>
          <w:rFonts w:ascii="Consolas" w:cs="Consolas" w:eastAsia="Consolas" w:hAnsi="Consolas"/>
          <w:sz w:val="16"/>
          <w:szCs w:val="16"/>
        </w:rPr>
        <w:t xml:space="preserve">Ad-hoc board question → AI assistant: "monthly volume by scheme this year"</w:t>
      </w:r>
    </w:p>
    <w:p>
      <w:pPr>
        <w:shd w:fill="F2F4F5" w:val="clear"/>
        <w:spacing w:after="0" w:before="0" w:line="240"/>
        <w:ind w:left="240" w:right="240"/>
      </w:pPr>
      <w:r>
        <w:rPr>
          <w:rFonts w:ascii="Consolas" w:cs="Consolas" w:eastAsia="Consolas" w:hAnsi="Consolas"/>
          <w:sz w:val="16"/>
          <w:szCs w:val="16"/>
        </w:rPr>
        <w:t xml:space="preserve">→ Refine in Analytics Explorer → Add calculated margin measure</w:t>
      </w:r>
    </w:p>
    <w:p>
      <w:pPr>
        <w:shd w:fill="F2F4F5" w:val="clear"/>
        <w:spacing w:after="160" w:before="0" w:line="240"/>
        <w:ind w:left="240" w:right="240"/>
      </w:pPr>
      <w:r>
        <w:rPr>
          <w:rFonts w:ascii="Consolas" w:cs="Consolas" w:eastAsia="Consolas" w:hAnsi="Consolas"/>
          <w:sz w:val="16"/>
          <w:szCs w:val="16"/>
        </w:rPr>
        <w:t xml:space="preserve">→ Save view, share it, schedule the export monthly</w:t>
      </w:r>
    </w:p>
    <w:p>
      <w:pPr>
        <w:pStyle w:val="Heading1"/>
        <w:pageBreakBefore/>
        <w:spacing w:after="120" w:before="360"/>
      </w:pPr>
      <w:r>
        <w:t xml:space="preserve">18. Roles and Business Responsibilities</w:t>
      </w:r>
    </w:p>
    <w:p>
      <w:pPr>
        <w:spacing w:after="140" w:line="276"/>
        <w:jc w:val="both"/>
      </w:pPr>
      <w:r>
        <w:t xml:space="preserve">Access in NEXUS is organised around groups whose menu grants determine exactly which screens each person sees — and the server enforces the same grants on the underlying data services.</w:t>
      </w:r>
    </w:p>
    <w:tbl>
      <w:tblPr>
        <w:tblW w:type="dxa" w:w="9026"/>
        <w:tblBorders>
          <w:top w:val="single" w:color="C5D3E8" w:sz="4"/>
          <w:left w:val="single" w:color="C5D3E8" w:sz="4"/>
          <w:bottom w:val="single" w:color="C5D3E8" w:sz="4"/>
          <w:right w:val="single" w:color="C5D3E8" w:sz="4"/>
          <w:insideH w:val="single" w:color="C5D3E8" w:sz="4"/>
          <w:insideV w:val="single" w:color="C5D3E8" w:sz="4"/>
        </w:tblBorders>
      </w:tblPr>
      <w:tblGrid>
        <w:gridCol w:w="4513"/>
        <w:gridCol w:w="4513"/>
      </w:tblGrid>
      <w:tr>
        <w:trPr>
          <w:tblHeader/>
        </w:trPr>
        <w:tc>
          <w:tcPr>
            <w:tcW w:type="dxa" w:w="4513"/>
            <w:shd w:fill="E8EEF7" w:val="clear"/>
            <w:tcMar>
              <w:top w:type="dxa" w:w="60"/>
              <w:left w:type="dxa" w:w="100"/>
              <w:bottom w:type="dxa" w:w="60"/>
              <w:right w:type="dxa" w:w="100"/>
            </w:tcMar>
          </w:tcPr>
          <w:p>
            <w:pPr>
              <w:spacing w:after="20" w:before="20"/>
            </w:pPr>
            <w:r>
              <w:rPr>
                <w:b/>
                <w:bCs/>
                <w:color w:val="1F3864"/>
                <w:sz w:val="18"/>
                <w:szCs w:val="18"/>
              </w:rPr>
              <w:t xml:space="preserve">Business role</w:t>
            </w:r>
          </w:p>
        </w:tc>
        <w:tc>
          <w:tcPr>
            <w:tcW w:type="dxa" w:w="4513"/>
            <w:shd w:fill="E8EEF7" w:val="clear"/>
            <w:tcMar>
              <w:top w:type="dxa" w:w="60"/>
              <w:left w:type="dxa" w:w="100"/>
              <w:bottom w:type="dxa" w:w="60"/>
              <w:right w:type="dxa" w:w="100"/>
            </w:tcMar>
          </w:tcPr>
          <w:p>
            <w:pPr>
              <w:spacing w:after="20" w:before="20"/>
            </w:pPr>
            <w:r>
              <w:rPr>
                <w:b/>
                <w:bCs/>
                <w:color w:val="1F3864"/>
                <w:sz w:val="18"/>
                <w:szCs w:val="18"/>
              </w:rPr>
              <w:t xml:space="preserve">Main NEXUS usage</w:t>
            </w:r>
          </w:p>
        </w:tc>
      </w:tr>
      <w:tr>
        <w:trPr>
          <w:tblHeader w:val="false"/>
        </w:trPr>
        <w:tc>
          <w:tcPr>
            <w:tcW w:type="dxa" w:w="4513"/>
            <w:tcMar>
              <w:top w:type="dxa" w:w="60"/>
              <w:left w:type="dxa" w:w="100"/>
              <w:bottom w:type="dxa" w:w="60"/>
              <w:right w:type="dxa" w:w="100"/>
            </w:tcMar>
          </w:tcPr>
          <w:p>
            <w:pPr>
              <w:spacing w:after="20" w:before="20"/>
            </w:pPr>
            <w:r>
              <w:rPr>
                <w:b w:val="false"/>
                <w:bCs w:val="false"/>
                <w:sz w:val="18"/>
                <w:szCs w:val="18"/>
              </w:rPr>
              <w:t xml:space="preserve">CEO / Executive</w:t>
            </w:r>
          </w:p>
        </w:tc>
        <w:tc>
          <w:tcPr>
            <w:tcW w:type="dxa" w:w="4513"/>
            <w:tcMar>
              <w:top w:type="dxa" w:w="60"/>
              <w:left w:type="dxa" w:w="100"/>
              <w:bottom w:type="dxa" w:w="60"/>
              <w:right w:type="dxa" w:w="100"/>
            </w:tcMar>
          </w:tcPr>
          <w:p>
            <w:pPr>
              <w:spacing w:after="20" w:before="20"/>
            </w:pPr>
            <w:r>
              <w:rPr>
                <w:b w:val="false"/>
                <w:bCs w:val="false"/>
                <w:sz w:val="18"/>
                <w:szCs w:val="18"/>
              </w:rPr>
              <w:t xml:space="preserve">Landing dashboard, sales pulse, top performers, forecasts</w:t>
            </w:r>
          </w:p>
        </w:tc>
      </w:tr>
      <w:tr>
        <w:trPr>
          <w:tblHeader w:val="false"/>
        </w:trPr>
        <w:tc>
          <w:tcPr>
            <w:tcW w:type="dxa" w:w="4513"/>
            <w:tcMar>
              <w:top w:type="dxa" w:w="60"/>
              <w:left w:type="dxa" w:w="100"/>
              <w:bottom w:type="dxa" w:w="60"/>
              <w:right w:type="dxa" w:w="100"/>
            </w:tcMar>
          </w:tcPr>
          <w:p>
            <w:pPr>
              <w:spacing w:after="20" w:before="20"/>
            </w:pPr>
            <w:r>
              <w:rPr>
                <w:b w:val="false"/>
                <w:bCs w:val="false"/>
                <w:sz w:val="18"/>
                <w:szCs w:val="18"/>
              </w:rPr>
              <w:t xml:space="preserve">Head of Acquiring</w:t>
            </w:r>
          </w:p>
        </w:tc>
        <w:tc>
          <w:tcPr>
            <w:tcW w:type="dxa" w:w="4513"/>
            <w:tcMar>
              <w:top w:type="dxa" w:w="60"/>
              <w:left w:type="dxa" w:w="100"/>
              <w:bottom w:type="dxa" w:w="60"/>
              <w:right w:type="dxa" w:w="100"/>
            </w:tcMar>
          </w:tcPr>
          <w:p>
            <w:pPr>
              <w:spacing w:after="20" w:before="20"/>
            </w:pPr>
            <w:r>
              <w:rPr>
                <w:b w:val="false"/>
                <w:bCs w:val="false"/>
                <w:sz w:val="18"/>
                <w:szCs w:val="18"/>
              </w:rPr>
              <w:t xml:space="preserve">Business dashboard, attrition/retention, segments, destination mix</w:t>
            </w:r>
          </w:p>
        </w:tc>
      </w:tr>
      <w:tr>
        <w:trPr>
          <w:tblHeader w:val="false"/>
        </w:trPr>
        <w:tc>
          <w:tcPr>
            <w:tcW w:type="dxa" w:w="4513"/>
            <w:tcMar>
              <w:top w:type="dxa" w:w="60"/>
              <w:left w:type="dxa" w:w="100"/>
              <w:bottom w:type="dxa" w:w="60"/>
              <w:right w:type="dxa" w:w="100"/>
            </w:tcMar>
          </w:tcPr>
          <w:p>
            <w:pPr>
              <w:spacing w:after="20" w:before="20"/>
            </w:pPr>
            <w:r>
              <w:rPr>
                <w:b w:val="false"/>
                <w:bCs w:val="false"/>
                <w:sz w:val="18"/>
                <w:szCs w:val="18"/>
              </w:rPr>
              <w:t xml:space="preserve">Finance</w:t>
            </w:r>
          </w:p>
        </w:tc>
        <w:tc>
          <w:tcPr>
            <w:tcW w:type="dxa" w:w="4513"/>
            <w:tcMar>
              <w:top w:type="dxa" w:w="60"/>
              <w:left w:type="dxa" w:w="100"/>
              <w:bottom w:type="dxa" w:w="60"/>
              <w:right w:type="dxa" w:w="100"/>
            </w:tcMar>
          </w:tcPr>
          <w:p>
            <w:pPr>
              <w:spacing w:after="20" w:before="20"/>
            </w:pPr>
            <w:r>
              <w:rPr>
                <w:b w:val="false"/>
                <w:bCs w:val="false"/>
                <w:sz w:val="18"/>
                <w:szCs w:val="18"/>
              </w:rPr>
              <w:t xml:space="preserve">Finance dashboard, profitability, normalisation, reconciliation, exports</w:t>
            </w:r>
          </w:p>
        </w:tc>
      </w:tr>
      <w:tr>
        <w:trPr>
          <w:tblHeader w:val="false"/>
        </w:trPr>
        <w:tc>
          <w:tcPr>
            <w:tcW w:type="dxa" w:w="4513"/>
            <w:tcMar>
              <w:top w:type="dxa" w:w="60"/>
              <w:left w:type="dxa" w:w="100"/>
              <w:bottom w:type="dxa" w:w="60"/>
              <w:right w:type="dxa" w:w="100"/>
            </w:tcMar>
          </w:tcPr>
          <w:p>
            <w:pPr>
              <w:spacing w:after="20" w:before="20"/>
            </w:pPr>
            <w:r>
              <w:rPr>
                <w:b w:val="false"/>
                <w:bCs w:val="false"/>
                <w:sz w:val="18"/>
                <w:szCs w:val="18"/>
              </w:rPr>
              <w:t xml:space="preserve">Sales Head</w:t>
            </w:r>
          </w:p>
        </w:tc>
        <w:tc>
          <w:tcPr>
            <w:tcW w:type="dxa" w:w="4513"/>
            <w:tcMar>
              <w:top w:type="dxa" w:w="60"/>
              <w:left w:type="dxa" w:w="100"/>
              <w:bottom w:type="dxa" w:w="60"/>
              <w:right w:type="dxa" w:w="100"/>
            </w:tcMar>
          </w:tcPr>
          <w:p>
            <w:pPr>
              <w:spacing w:after="20" w:before="20"/>
            </w:pPr>
            <w:r>
              <w:rPr>
                <w:b w:val="false"/>
                <w:bCs w:val="false"/>
                <w:sz w:val="18"/>
                <w:szCs w:val="18"/>
              </w:rPr>
              <w:t xml:space="preserve">Executive sales dashboard, leaderboards, targets, team management</w:t>
            </w:r>
          </w:p>
        </w:tc>
      </w:tr>
      <w:tr>
        <w:trPr>
          <w:tblHeader w:val="false"/>
        </w:trPr>
        <w:tc>
          <w:tcPr>
            <w:tcW w:type="dxa" w:w="4513"/>
            <w:tcMar>
              <w:top w:type="dxa" w:w="60"/>
              <w:left w:type="dxa" w:w="100"/>
              <w:bottom w:type="dxa" w:w="60"/>
              <w:right w:type="dxa" w:w="100"/>
            </w:tcMar>
          </w:tcPr>
          <w:p>
            <w:pPr>
              <w:spacing w:after="20" w:before="20"/>
            </w:pPr>
            <w:r>
              <w:rPr>
                <w:b w:val="false"/>
                <w:bCs w:val="false"/>
                <w:sz w:val="18"/>
                <w:szCs w:val="18"/>
              </w:rPr>
              <w:t xml:space="preserve">Relationship Manager</w:t>
            </w:r>
          </w:p>
        </w:tc>
        <w:tc>
          <w:tcPr>
            <w:tcW w:type="dxa" w:w="4513"/>
            <w:tcMar>
              <w:top w:type="dxa" w:w="60"/>
              <w:left w:type="dxa" w:w="100"/>
              <w:bottom w:type="dxa" w:w="60"/>
              <w:right w:type="dxa" w:w="100"/>
            </w:tcMar>
          </w:tcPr>
          <w:p>
            <w:pPr>
              <w:spacing w:after="20" w:before="20"/>
            </w:pPr>
            <w:r>
              <w:rPr>
                <w:b w:val="false"/>
                <w:bCs w:val="false"/>
                <w:sz w:val="18"/>
                <w:szCs w:val="18"/>
              </w:rPr>
              <w:t xml:space="preserve">Portfolio views, merchant 360, attrition and churn-risk lists</w:t>
            </w:r>
          </w:p>
        </w:tc>
      </w:tr>
      <w:tr>
        <w:trPr>
          <w:tblHeader w:val="false"/>
        </w:trPr>
        <w:tc>
          <w:tcPr>
            <w:tcW w:type="dxa" w:w="4513"/>
            <w:tcMar>
              <w:top w:type="dxa" w:w="60"/>
              <w:left w:type="dxa" w:w="100"/>
              <w:bottom w:type="dxa" w:w="60"/>
              <w:right w:type="dxa" w:w="100"/>
            </w:tcMar>
          </w:tcPr>
          <w:p>
            <w:pPr>
              <w:spacing w:after="20" w:before="20"/>
            </w:pPr>
            <w:r>
              <w:rPr>
                <w:b w:val="false"/>
                <w:bCs w:val="false"/>
                <w:sz w:val="18"/>
                <w:szCs w:val="18"/>
              </w:rPr>
              <w:t xml:space="preserve">Product</w:t>
            </w:r>
          </w:p>
        </w:tc>
        <w:tc>
          <w:tcPr>
            <w:tcW w:type="dxa" w:w="4513"/>
            <w:tcMar>
              <w:top w:type="dxa" w:w="60"/>
              <w:left w:type="dxa" w:w="100"/>
              <w:bottom w:type="dxa" w:w="60"/>
              <w:right w:type="dxa" w:w="100"/>
            </w:tcMar>
          </w:tcPr>
          <w:p>
            <w:pPr>
              <w:spacing w:after="20" w:before="20"/>
            </w:pPr>
            <w:r>
              <w:rPr>
                <w:b w:val="false"/>
                <w:bCs w:val="false"/>
                <w:sz w:val="18"/>
                <w:szCs w:val="18"/>
              </w:rPr>
              <w:t xml:space="preserve">Scheme/channel/destination analysis, pricing simulator, DCC KPIs</w:t>
            </w:r>
          </w:p>
        </w:tc>
      </w:tr>
      <w:tr>
        <w:trPr>
          <w:tblHeader w:val="false"/>
        </w:trPr>
        <w:tc>
          <w:tcPr>
            <w:tcW w:type="dxa" w:w="4513"/>
            <w:tcMar>
              <w:top w:type="dxa" w:w="60"/>
              <w:left w:type="dxa" w:w="100"/>
              <w:bottom w:type="dxa" w:w="60"/>
              <w:right w:type="dxa" w:w="100"/>
            </w:tcMar>
          </w:tcPr>
          <w:p>
            <w:pPr>
              <w:spacing w:after="20" w:before="20"/>
            </w:pPr>
            <w:r>
              <w:rPr>
                <w:b w:val="false"/>
                <w:bCs w:val="false"/>
                <w:sz w:val="18"/>
                <w:szCs w:val="18"/>
              </w:rPr>
              <w:t xml:space="preserve">Risk</w:t>
            </w:r>
          </w:p>
        </w:tc>
        <w:tc>
          <w:tcPr>
            <w:tcW w:type="dxa" w:w="4513"/>
            <w:tcMar>
              <w:top w:type="dxa" w:w="60"/>
              <w:left w:type="dxa" w:w="100"/>
              <w:bottom w:type="dxa" w:w="60"/>
              <w:right w:type="dxa" w:w="100"/>
            </w:tcMar>
          </w:tcPr>
          <w:p>
            <w:pPr>
              <w:spacing w:after="20" w:before="20"/>
            </w:pPr>
            <w:r>
              <w:rPr>
                <w:b w:val="false"/>
                <w:bCs w:val="false"/>
                <w:sz w:val="18"/>
                <w:szCs w:val="18"/>
              </w:rPr>
              <w:t xml:space="preserve">Leakage flags, churn scores, risk profiles, alerts</w:t>
            </w:r>
          </w:p>
        </w:tc>
      </w:tr>
      <w:tr>
        <w:trPr>
          <w:tblHeader w:val="false"/>
        </w:trPr>
        <w:tc>
          <w:tcPr>
            <w:tcW w:type="dxa" w:w="4513"/>
            <w:tcMar>
              <w:top w:type="dxa" w:w="60"/>
              <w:left w:type="dxa" w:w="100"/>
              <w:bottom w:type="dxa" w:w="60"/>
              <w:right w:type="dxa" w:w="100"/>
            </w:tcMar>
          </w:tcPr>
          <w:p>
            <w:pPr>
              <w:spacing w:after="20" w:before="20"/>
            </w:pPr>
            <w:r>
              <w:rPr>
                <w:b w:val="false"/>
                <w:bCs w:val="false"/>
                <w:sz w:val="18"/>
                <w:szCs w:val="18"/>
              </w:rPr>
              <w:t xml:space="preserve">Operations</w:t>
            </w:r>
          </w:p>
        </w:tc>
        <w:tc>
          <w:tcPr>
            <w:tcW w:type="dxa" w:w="4513"/>
            <w:tcMar>
              <w:top w:type="dxa" w:w="60"/>
              <w:left w:type="dxa" w:w="100"/>
              <w:bottom w:type="dxa" w:w="60"/>
              <w:right w:type="dxa" w:w="100"/>
            </w:tcMar>
          </w:tcPr>
          <w:p>
            <w:pPr>
              <w:spacing w:after="20" w:before="20"/>
            </w:pPr>
            <w:r>
              <w:rPr>
                <w:b w:val="false"/>
                <w:bCs w:val="false"/>
                <w:sz w:val="18"/>
                <w:szCs w:val="18"/>
              </w:rPr>
              <w:t xml:space="preserve">Uploads, server-file processing, batch monitoring, statement emails</w:t>
            </w:r>
          </w:p>
        </w:tc>
      </w:tr>
      <w:tr>
        <w:trPr>
          <w:tblHeader w:val="false"/>
        </w:trPr>
        <w:tc>
          <w:tcPr>
            <w:tcW w:type="dxa" w:w="4513"/>
            <w:tcMar>
              <w:top w:type="dxa" w:w="60"/>
              <w:left w:type="dxa" w:w="100"/>
              <w:bottom w:type="dxa" w:w="60"/>
              <w:right w:type="dxa" w:w="100"/>
            </w:tcMar>
          </w:tcPr>
          <w:p>
            <w:pPr>
              <w:spacing w:after="20" w:before="20"/>
            </w:pPr>
            <w:r>
              <w:rPr>
                <w:b w:val="false"/>
                <w:bCs w:val="false"/>
                <w:sz w:val="18"/>
                <w:szCs w:val="18"/>
              </w:rPr>
              <w:t xml:space="preserve">Bank Administrator</w:t>
            </w:r>
          </w:p>
        </w:tc>
        <w:tc>
          <w:tcPr>
            <w:tcW w:type="dxa" w:w="4513"/>
            <w:tcMar>
              <w:top w:type="dxa" w:w="60"/>
              <w:left w:type="dxa" w:w="100"/>
              <w:bottom w:type="dxa" w:w="60"/>
              <w:right w:type="dxa" w:w="100"/>
            </w:tcMar>
          </w:tcPr>
          <w:p>
            <w:pPr>
              <w:spacing w:after="20" w:before="20"/>
            </w:pPr>
            <w:r>
              <w:rPr>
                <w:b w:val="false"/>
                <w:bCs w:val="false"/>
                <w:sz w:val="18"/>
                <w:szCs w:val="18"/>
              </w:rPr>
              <w:t xml:space="preserve">Users, groups and menus, tenant settings, report manager</w:t>
            </w:r>
          </w:p>
        </w:tc>
      </w:tr>
      <w:tr>
        <w:trPr>
          <w:tblHeader w:val="false"/>
        </w:trPr>
        <w:tc>
          <w:tcPr>
            <w:tcW w:type="dxa" w:w="4513"/>
            <w:tcMar>
              <w:top w:type="dxa" w:w="60"/>
              <w:left w:type="dxa" w:w="100"/>
              <w:bottom w:type="dxa" w:w="60"/>
              <w:right w:type="dxa" w:w="100"/>
            </w:tcMar>
          </w:tcPr>
          <w:p>
            <w:pPr>
              <w:spacing w:after="20" w:before="20"/>
            </w:pPr>
            <w:r>
              <w:rPr>
                <w:b w:val="false"/>
                <w:bCs w:val="false"/>
                <w:sz w:val="18"/>
                <w:szCs w:val="18"/>
              </w:rPr>
              <w:t xml:space="preserve">Platform Administrator</w:t>
            </w:r>
          </w:p>
        </w:tc>
        <w:tc>
          <w:tcPr>
            <w:tcW w:type="dxa" w:w="4513"/>
            <w:tcMar>
              <w:top w:type="dxa" w:w="60"/>
              <w:left w:type="dxa" w:w="100"/>
              <w:bottom w:type="dxa" w:w="60"/>
              <w:right w:type="dxa" w:w="100"/>
            </w:tcMar>
          </w:tcPr>
          <w:p>
            <w:pPr>
              <w:spacing w:after="20" w:before="20"/>
            </w:pPr>
            <w:r>
              <w:rPr>
                <w:b w:val="false"/>
                <w:bCs w:val="false"/>
                <w:sz w:val="18"/>
                <w:szCs w:val="18"/>
              </w:rPr>
              <w:t xml:space="preserve">Tenants, provisioning, migrations, BIN reference, normalisation, backups</w:t>
            </w:r>
          </w:p>
        </w:tc>
      </w:tr>
    </w:tbl>
    <w:p>
      <w:pPr>
        <w:spacing w:after="80"/>
      </w:pPr>
    </w:p>
    <w:p>
      <w:pPr>
        <w:pStyle w:val="Heading1"/>
        <w:pageBreakBefore/>
        <w:spacing w:after="120" w:before="360"/>
      </w:pPr>
      <w:r>
        <w:t xml:space="preserve">19. High-Level Technical Architecture</w:t>
      </w:r>
    </w:p>
    <w:p>
      <w:pPr>
        <w:spacing w:after="140" w:line="276"/>
        <w:jc w:val="both"/>
      </w:pPr>
      <w:r>
        <w:t xml:space="preserve">For technology stakeholders, the platform is a deliberately compact, modern stack:</w:t>
      </w:r>
    </w:p>
    <w:p>
      <w:pPr>
        <w:spacing w:after="60"/>
      </w:pPr>
    </w:p>
    <w:tbl>
      <w:tblPr>
        <w:tblW w:type="dxa" w:w="6200"/>
        <w:jc w:val="center"/>
        <w:tblBorders>
          <w:top w:val="single" w:color="1F3864" w:sz="6"/>
          <w:left w:val="single" w:color="1F3864" w:sz="6"/>
          <w:bottom w:val="single" w:color="1F3864" w:sz="6"/>
          <w:right w:val="single" w:color="1F3864" w:sz="6"/>
          <w:insideH w:val="single" w:color="auto" w:sz="4"/>
          <w:insideV w:val="single" w:color="auto" w:sz="4"/>
        </w:tblBorders>
      </w:tblPr>
      <w:tblGrid>
        <w:gridCol w:w="6200"/>
      </w:tblGrid>
      <w:tr>
        <w:tc>
          <w:tcPr>
            <w:tcW w:type="dxa" w:w="6200"/>
            <w:shd w:fill="1F3864" w:val="clear"/>
            <w:tcMar>
              <w:top w:type="dxa" w:w="40"/>
              <w:left w:type="dxa" w:w="120"/>
              <w:bottom w:type="dxa" w:w="40"/>
              <w:right w:type="dxa" w:w="120"/>
            </w:tcMar>
          </w:tcPr>
          <w:p>
            <w:pPr>
              <w:spacing w:after="20" w:before="40"/>
              <w:jc w:val="center"/>
            </w:pPr>
            <w:r>
              <w:rPr>
                <w:b/>
                <w:bCs/>
                <w:color w:val="FFFFFF"/>
                <w:sz w:val="20"/>
                <w:szCs w:val="20"/>
              </w:rPr>
              <w:t xml:space="preserve">NEXUS Web UI</w:t>
            </w:r>
          </w:p>
          <w:p>
            <w:pPr>
              <w:spacing w:after="40"/>
              <w:jc w:val="center"/>
            </w:pPr>
            <w:r>
              <w:rPr>
                <w:color w:val="FFFFFF"/>
                <w:sz w:val="17"/>
                <w:szCs w:val="17"/>
              </w:rPr>
              <w:t xml:space="preserve">React single-page application</w:t>
            </w:r>
          </w:p>
        </w:tc>
      </w:tr>
    </w:tbl>
    <w:p>
      <w:pPr>
        <w:spacing w:after="30" w:before="30"/>
        <w:jc w:val="center"/>
      </w:pPr>
      <w:r>
        <w:rPr>
          <w:i/>
          <w:iCs/>
          <w:color w:val="595959"/>
          <w:sz w:val="16"/>
          <w:szCs w:val="16"/>
        </w:rPr>
        <w:t xml:space="preserve">REST API  </w:t>
      </w:r>
      <w:r>
        <w:rPr>
          <w:b/>
          <w:bCs/>
          <w:color w:val="2F5496"/>
          <w:sz w:val="22"/>
          <w:szCs w:val="22"/>
        </w:rPr>
        <w:t xml:space="preserve">▼</w:t>
      </w:r>
    </w:p>
    <w:tbl>
      <w:tblPr>
        <w:tblW w:type="dxa" w:w="9026"/>
        <w:jc w:val="center"/>
        <w:tblBorders>
          <w:top w:val="single" w:color="2F5496" w:sz="6"/>
          <w:left w:val="single" w:color="2F5496" w:sz="6"/>
          <w:bottom w:val="single" w:color="2F5496" w:sz="6"/>
          <w:right w:val="single" w:color="2F5496" w:sz="6"/>
          <w:insideH w:val="single" w:color="auto" w:sz="4"/>
          <w:insideV w:val="single" w:color="auto" w:sz="4"/>
        </w:tblBorders>
      </w:tblPr>
      <w:tblGrid>
        <w:gridCol w:w="9026"/>
      </w:tblGrid>
      <w:tr>
        <w:tc>
          <w:tcPr>
            <w:tcW w:type="dxa" w:w="9026"/>
            <w:shd w:fill="2F5496" w:val="clear"/>
            <w:tcMar>
              <w:top w:type="dxa" w:w="40"/>
              <w:left w:type="dxa" w:w="120"/>
              <w:bottom w:type="dxa" w:w="40"/>
              <w:right w:type="dxa" w:w="120"/>
            </w:tcMar>
          </w:tcPr>
          <w:p>
            <w:pPr>
              <w:spacing w:after="20" w:before="40"/>
              <w:jc w:val="center"/>
            </w:pPr>
            <w:r>
              <w:rPr>
                <w:b/>
                <w:bCs/>
                <w:color w:val="FFFFFF"/>
                <w:sz w:val="20"/>
                <w:szCs w:val="20"/>
              </w:rPr>
              <w:t xml:space="preserve">Application layer</w:t>
            </w:r>
          </w:p>
          <w:p>
            <w:pPr>
              <w:spacing w:after="40"/>
              <w:jc w:val="center"/>
            </w:pPr>
            <w:r>
              <w:rPr>
                <w:color w:val="FFFFFF"/>
                <w:sz w:val="17"/>
                <w:szCs w:val="17"/>
              </w:rPr>
              <w:t xml:space="preserve">Java 21 · Spring Boot</w:t>
            </w:r>
          </w:p>
        </w:tc>
      </w:tr>
    </w:tbl>
    <w:p>
      <w:pPr>
        <w:spacing w:after="40"/>
      </w:pPr>
    </w:p>
    <w:tbl>
      <w:tblPr>
        <w:tblW w:type="dxa" w:w="9026"/>
        <w:jc w:val="center"/>
        <w:tblBorders>
          <w:top w:val="none" w:color="FFFFFF" w:sz="0"/>
          <w:left w:val="none" w:color="FFFFFF" w:sz="0"/>
          <w:bottom w:val="none" w:color="FFFFFF" w:sz="0"/>
          <w:right w:val="none" w:color="FFFFFF" w:sz="0"/>
          <w:insideH w:val="single" w:color="auto" w:sz="4"/>
          <w:insideV w:val="single" w:color="auto" w:sz="4"/>
        </w:tblBorders>
      </w:tblPr>
      <w:tblGrid>
        <w:gridCol w:w="2166"/>
        <w:gridCol w:w="120"/>
        <w:gridCol w:w="2166"/>
        <w:gridCol w:w="120"/>
        <w:gridCol w:w="2166"/>
        <w:gridCol w:w="120"/>
        <w:gridCol w:w="2166"/>
      </w:tblGrid>
      <w:tr>
        <w:tc>
          <w:tcPr>
            <w:tcW w:type="dxa" w:w="2166"/>
            <w:tcBorders>
              <w:top w:val="single" w:color="4472C4" w:sz="6"/>
              <w:left w:val="single" w:color="4472C4" w:sz="6"/>
              <w:bottom w:val="single" w:color="4472C4" w:sz="6"/>
              <w:right w:val="single" w:color="4472C4" w:sz="6"/>
            </w:tcBorders>
            <w:shd w:fill="4472C4" w:val="clear"/>
            <w:tcMar>
              <w:top w:type="dxa" w:w="40"/>
              <w:left w:type="dxa" w:w="100"/>
              <w:bottom w:type="dxa" w:w="40"/>
              <w:right w:type="dxa" w:w="100"/>
            </w:tcMar>
            <w:vAlign w:val="center"/>
          </w:tcPr>
          <w:p>
            <w:pPr>
              <w:spacing w:after="20" w:before="30"/>
              <w:jc w:val="center"/>
            </w:pPr>
            <w:r>
              <w:rPr>
                <w:b/>
                <w:bCs/>
                <w:color w:val="FFFFFF"/>
                <w:sz w:val="19"/>
                <w:szCs w:val="19"/>
              </w:rPr>
              <w:t xml:space="preserve">Batch engine</w:t>
            </w:r>
          </w:p>
          <w:p>
            <w:pPr>
              <w:spacing w:after="30"/>
              <w:jc w:val="center"/>
            </w:pPr>
            <w:r>
              <w:rPr>
                <w:color w:val="FFFFFF"/>
                <w:sz w:val="16"/>
                <w:szCs w:val="16"/>
              </w:rPr>
              <w:t xml:space="preserve">Spring Batch ingestion pipeline</w:t>
            </w:r>
          </w:p>
        </w:tc>
        <w:tc>
          <w:tcPr>
            <w:tcW w:type="dxa" w:w="120"/>
            <w:tcBorders>
              <w:top w:val="none" w:color="FFFFFF" w:sz="0"/>
              <w:left w:val="none" w:color="FFFFFF" w:sz="0"/>
              <w:bottom w:val="none" w:color="FFFFFF" w:sz="0"/>
              <w:right w:val="none" w:color="FFFFFF" w:sz="0"/>
            </w:tcBorders>
          </w:tcPr>
          <w:p/>
        </w:tc>
        <w:tc>
          <w:tcPr>
            <w:tcW w:type="dxa" w:w="2166"/>
            <w:tcBorders>
              <w:top w:val="single" w:color="4472C4" w:sz="6"/>
              <w:left w:val="single" w:color="4472C4" w:sz="6"/>
              <w:bottom w:val="single" w:color="4472C4" w:sz="6"/>
              <w:right w:val="single" w:color="4472C4" w:sz="6"/>
            </w:tcBorders>
            <w:shd w:fill="4472C4" w:val="clear"/>
            <w:tcMar>
              <w:top w:type="dxa" w:w="40"/>
              <w:left w:type="dxa" w:w="100"/>
              <w:bottom w:type="dxa" w:w="40"/>
              <w:right w:type="dxa" w:w="100"/>
            </w:tcMar>
            <w:vAlign w:val="center"/>
          </w:tcPr>
          <w:p>
            <w:pPr>
              <w:spacing w:after="20" w:before="30"/>
              <w:jc w:val="center"/>
            </w:pPr>
            <w:r>
              <w:rPr>
                <w:b/>
                <w:bCs/>
                <w:color w:val="FFFFFF"/>
                <w:sz w:val="19"/>
                <w:szCs w:val="19"/>
              </w:rPr>
              <w:t xml:space="preserve">Analytics &amp; business services</w:t>
            </w:r>
          </w:p>
          <w:p>
            <w:pPr>
              <w:spacing w:after="30"/>
              <w:jc w:val="center"/>
            </w:pPr>
            <w:r>
              <w:rPr>
                <w:color w:val="FFFFFF"/>
                <w:sz w:val="16"/>
                <w:szCs w:val="16"/>
              </w:rPr>
              <w:t xml:space="preserve">fee engine · scoring · segmentation</w:t>
            </w:r>
          </w:p>
        </w:tc>
        <w:tc>
          <w:tcPr>
            <w:tcW w:type="dxa" w:w="120"/>
            <w:tcBorders>
              <w:top w:val="none" w:color="FFFFFF" w:sz="0"/>
              <w:left w:val="none" w:color="FFFFFF" w:sz="0"/>
              <w:bottom w:val="none" w:color="FFFFFF" w:sz="0"/>
              <w:right w:val="none" w:color="FFFFFF" w:sz="0"/>
            </w:tcBorders>
          </w:tcPr>
          <w:p/>
        </w:tc>
        <w:tc>
          <w:tcPr>
            <w:tcW w:type="dxa" w:w="2166"/>
            <w:tcBorders>
              <w:top w:val="single" w:color="4472C4" w:sz="6"/>
              <w:left w:val="single" w:color="4472C4" w:sz="6"/>
              <w:bottom w:val="single" w:color="4472C4" w:sz="6"/>
              <w:right w:val="single" w:color="4472C4" w:sz="6"/>
            </w:tcBorders>
            <w:shd w:fill="4472C4" w:val="clear"/>
            <w:tcMar>
              <w:top w:type="dxa" w:w="40"/>
              <w:left w:type="dxa" w:w="100"/>
              <w:bottom w:type="dxa" w:w="40"/>
              <w:right w:type="dxa" w:w="100"/>
            </w:tcMar>
            <w:vAlign w:val="center"/>
          </w:tcPr>
          <w:p>
            <w:pPr>
              <w:spacing w:after="20" w:before="30"/>
              <w:jc w:val="center"/>
            </w:pPr>
            <w:r>
              <w:rPr>
                <w:b/>
                <w:bCs/>
                <w:color w:val="FFFFFF"/>
                <w:sz w:val="19"/>
                <w:szCs w:val="19"/>
              </w:rPr>
              <w:t xml:space="preserve">AI query service</w:t>
            </w:r>
          </w:p>
          <w:p>
            <w:pPr>
              <w:spacing w:after="30"/>
              <w:jc w:val="center"/>
            </w:pPr>
            <w:r>
              <w:rPr>
                <w:color w:val="FFFFFF"/>
                <w:sz w:val="16"/>
                <w:szCs w:val="16"/>
              </w:rPr>
              <w:t xml:space="preserve">plain English → governed SQL</w:t>
            </w:r>
          </w:p>
        </w:tc>
        <w:tc>
          <w:tcPr>
            <w:tcW w:type="dxa" w:w="120"/>
            <w:tcBorders>
              <w:top w:val="none" w:color="FFFFFF" w:sz="0"/>
              <w:left w:val="none" w:color="FFFFFF" w:sz="0"/>
              <w:bottom w:val="none" w:color="FFFFFF" w:sz="0"/>
              <w:right w:val="none" w:color="FFFFFF" w:sz="0"/>
            </w:tcBorders>
          </w:tcPr>
          <w:p/>
        </w:tc>
        <w:tc>
          <w:tcPr>
            <w:tcW w:type="dxa" w:w="2166"/>
            <w:tcBorders>
              <w:top w:val="single" w:color="4472C4" w:sz="6"/>
              <w:left w:val="single" w:color="4472C4" w:sz="6"/>
              <w:bottom w:val="single" w:color="4472C4" w:sz="6"/>
              <w:right w:val="single" w:color="4472C4" w:sz="6"/>
            </w:tcBorders>
            <w:shd w:fill="4472C4" w:val="clear"/>
            <w:tcMar>
              <w:top w:type="dxa" w:w="40"/>
              <w:left w:type="dxa" w:w="100"/>
              <w:bottom w:type="dxa" w:w="40"/>
              <w:right w:type="dxa" w:w="100"/>
            </w:tcMar>
            <w:vAlign w:val="center"/>
          </w:tcPr>
          <w:p>
            <w:pPr>
              <w:spacing w:after="20" w:before="30"/>
              <w:jc w:val="center"/>
            </w:pPr>
            <w:r>
              <w:rPr>
                <w:b/>
                <w:bCs/>
                <w:color w:val="FFFFFF"/>
                <w:sz w:val="19"/>
                <w:szCs w:val="19"/>
              </w:rPr>
              <w:t xml:space="preserve">PDF engine</w:t>
            </w:r>
          </w:p>
          <w:p>
            <w:pPr>
              <w:spacing w:after="30"/>
              <w:jc w:val="center"/>
            </w:pPr>
            <w:r>
              <w:rPr>
                <w:color w:val="FFFFFF"/>
                <w:sz w:val="16"/>
                <w:szCs w:val="16"/>
              </w:rPr>
              <w:t xml:space="preserve">HTML templates → Chromium print</w:t>
            </w:r>
          </w:p>
        </w:tc>
      </w:tr>
    </w:tbl>
    <w:p>
      <w:pPr>
        <w:spacing w:after="30" w:before="30"/>
        <w:jc w:val="center"/>
      </w:pPr>
      <w:r>
        <w:rPr>
          <w:b/>
          <w:bCs/>
          <w:color w:val="2F5496"/>
          <w:sz w:val="22"/>
          <w:szCs w:val="22"/>
        </w:rPr>
        <w:t xml:space="preserve">▼</w:t>
      </w:r>
    </w:p>
    <w:tbl>
      <w:tblPr>
        <w:tblW w:type="dxa" w:w="6200"/>
        <w:jc w:val="center"/>
        <w:tblBorders>
          <w:top w:val="single" w:color="1F3864" w:sz="6"/>
          <w:left w:val="single" w:color="1F3864" w:sz="6"/>
          <w:bottom w:val="single" w:color="1F3864" w:sz="6"/>
          <w:right w:val="single" w:color="1F3864" w:sz="6"/>
          <w:insideH w:val="single" w:color="auto" w:sz="4"/>
          <w:insideV w:val="single" w:color="auto" w:sz="4"/>
        </w:tblBorders>
      </w:tblPr>
      <w:tblGrid>
        <w:gridCol w:w="6200"/>
      </w:tblGrid>
      <w:tr>
        <w:tc>
          <w:tcPr>
            <w:tcW w:type="dxa" w:w="6200"/>
            <w:shd w:fill="1F3864" w:val="clear"/>
            <w:tcMar>
              <w:top w:type="dxa" w:w="40"/>
              <w:left w:type="dxa" w:w="120"/>
              <w:bottom w:type="dxa" w:w="40"/>
              <w:right w:type="dxa" w:w="120"/>
            </w:tcMar>
          </w:tcPr>
          <w:p>
            <w:pPr>
              <w:spacing w:after="20" w:before="40"/>
              <w:jc w:val="center"/>
            </w:pPr>
            <w:r>
              <w:rPr>
                <w:b/>
                <w:bCs/>
                <w:color w:val="FFFFFF"/>
                <w:sz w:val="20"/>
                <w:szCs w:val="20"/>
              </w:rPr>
              <w:t xml:space="preserve">PostgreSQL</w:t>
            </w:r>
          </w:p>
          <w:p>
            <w:pPr>
              <w:spacing w:after="40"/>
              <w:jc w:val="center"/>
            </w:pPr>
            <w:r>
              <w:rPr>
                <w:color w:val="FFFFFF"/>
                <w:sz w:val="17"/>
                <w:szCs w:val="17"/>
              </w:rPr>
              <w:t xml:space="preserve">partitioned transaction facts &amp; aggregates</w:t>
            </w:r>
          </w:p>
        </w:tc>
      </w:tr>
    </w:tbl>
    <w:p>
      <w:pPr>
        <w:spacing w:after="40"/>
      </w:pPr>
    </w:p>
    <w:tbl>
      <w:tblPr>
        <w:tblW w:type="dxa" w:w="7200"/>
        <w:jc w:val="center"/>
        <w:tblBorders>
          <w:top w:val="none" w:color="FFFFFF" w:sz="0"/>
          <w:left w:val="none" w:color="FFFFFF" w:sz="0"/>
          <w:bottom w:val="none" w:color="FFFFFF" w:sz="0"/>
          <w:right w:val="none" w:color="FFFFFF" w:sz="0"/>
          <w:insideH w:val="single" w:color="auto" w:sz="4"/>
          <w:insideV w:val="single" w:color="auto" w:sz="4"/>
        </w:tblBorders>
      </w:tblPr>
      <w:tblGrid>
        <w:gridCol w:w="3540"/>
        <w:gridCol w:w="120"/>
        <w:gridCol w:w="3540"/>
      </w:tblGrid>
      <w:tr>
        <w:tc>
          <w:tcPr>
            <w:tcW w:type="dxa" w:w="3540"/>
            <w:tcBorders>
              <w:top w:val="single" w:color="E8EEF7" w:sz="6"/>
              <w:left w:val="single" w:color="E8EEF7" w:sz="6"/>
              <w:bottom w:val="single" w:color="E8EEF7" w:sz="6"/>
              <w:right w:val="single" w:color="E8EEF7" w:sz="6"/>
            </w:tcBorders>
            <w:shd w:fill="E8EEF7" w:val="clear"/>
            <w:tcMar>
              <w:top w:type="dxa" w:w="40"/>
              <w:left w:type="dxa" w:w="100"/>
              <w:bottom w:type="dxa" w:w="40"/>
              <w:right w:type="dxa" w:w="100"/>
            </w:tcMar>
            <w:vAlign w:val="center"/>
          </w:tcPr>
          <w:p>
            <w:pPr>
              <w:spacing w:after="20" w:before="30"/>
              <w:jc w:val="center"/>
            </w:pPr>
            <w:r>
              <w:rPr>
                <w:b/>
                <w:bCs/>
                <w:color w:val="1F3864"/>
                <w:sz w:val="19"/>
                <w:szCs w:val="19"/>
              </w:rPr>
              <w:t xml:space="preserve">Object storage (S3)</w:t>
            </w:r>
          </w:p>
          <w:p>
            <w:pPr>
              <w:spacing w:after="30"/>
              <w:jc w:val="center"/>
            </w:pPr>
            <w:r>
              <w:rPr>
                <w:color w:val="1F3864"/>
                <w:sz w:val="16"/>
                <w:szCs w:val="16"/>
              </w:rPr>
              <w:t xml:space="preserve">report archive</w:t>
            </w:r>
          </w:p>
        </w:tc>
        <w:tc>
          <w:tcPr>
            <w:tcW w:type="dxa" w:w="120"/>
            <w:tcBorders>
              <w:top w:val="none" w:color="FFFFFF" w:sz="0"/>
              <w:left w:val="none" w:color="FFFFFF" w:sz="0"/>
              <w:bottom w:val="none" w:color="FFFFFF" w:sz="0"/>
              <w:right w:val="none" w:color="FFFFFF" w:sz="0"/>
            </w:tcBorders>
          </w:tcPr>
          <w:p/>
        </w:tc>
        <w:tc>
          <w:tcPr>
            <w:tcW w:type="dxa" w:w="3540"/>
            <w:tcBorders>
              <w:top w:val="single" w:color="E8EEF7" w:sz="6"/>
              <w:left w:val="single" w:color="E8EEF7" w:sz="6"/>
              <w:bottom w:val="single" w:color="E8EEF7" w:sz="6"/>
              <w:right w:val="single" w:color="E8EEF7" w:sz="6"/>
            </w:tcBorders>
            <w:shd w:fill="E8EEF7" w:val="clear"/>
            <w:tcMar>
              <w:top w:type="dxa" w:w="40"/>
              <w:left w:type="dxa" w:w="100"/>
              <w:bottom w:type="dxa" w:w="40"/>
              <w:right w:type="dxa" w:w="100"/>
            </w:tcMar>
            <w:vAlign w:val="center"/>
          </w:tcPr>
          <w:p>
            <w:pPr>
              <w:spacing w:after="20" w:before="30"/>
              <w:jc w:val="center"/>
            </w:pPr>
            <w:r>
              <w:rPr>
                <w:b/>
                <w:bCs/>
                <w:color w:val="1F3864"/>
                <w:sz w:val="19"/>
                <w:szCs w:val="19"/>
              </w:rPr>
              <w:t xml:space="preserve">Email delivery</w:t>
            </w:r>
          </w:p>
          <w:p>
            <w:pPr>
              <w:spacing w:after="30"/>
              <w:jc w:val="center"/>
            </w:pPr>
            <w:r>
              <w:rPr>
                <w:color w:val="1F3864"/>
                <w:sz w:val="16"/>
                <w:szCs w:val="16"/>
              </w:rPr>
              <w:t xml:space="preserve">statements · campaigns · scheduled reports</w:t>
            </w:r>
          </w:p>
        </w:tc>
      </w:tr>
    </w:tbl>
    <w:p>
      <w:pPr>
        <w:spacing w:after="160"/>
      </w:pPr>
    </w:p>
    <w:p>
      <w:pPr>
        <w:spacing w:after="140" w:line="276"/>
        <w:jc w:val="both"/>
      </w:pPr>
      <w:r>
        <w:t xml:space="preserve">In business-friendly terms: a web application (React) talks to a single Java/Spring service that contains the batch ingestion engine, the fee and analytics logic, the AI query service and the PDF generator; everything persists in one PostgreSQL database, partitioned by date (and optionally by tenant) so that queries touch only the slices they need. Reports can be archived to S3 and delivered by email. The platform deploys on Linux behind nginx, with documented paths for both traditional servers and Kubernetes/AWS, and includes built-in database backup/restore and maintenance scheduling. The AI assistant supports multiple model providers — including locally hosted models, so natural-language querying can run without data leaving the bank's environment.</w:t>
      </w:r>
    </w:p>
    <w:p>
      <w:pPr>
        <w:pStyle w:val="Heading1"/>
        <w:pageBreakBefore/>
        <w:spacing w:after="120" w:before="360"/>
      </w:pPr>
      <w:r>
        <w:t xml:space="preserve">20. Data Architecture</w:t>
      </w:r>
    </w:p>
    <w:p>
      <w:pPr>
        <w:spacing w:after="140" w:line="276"/>
        <w:jc w:val="both"/>
      </w:pPr>
      <w:r>
        <w:t xml:space="preserve">The information lifecycle is a straightforward warehouse pattern, kept deliberately legible:</w:t>
      </w:r>
    </w:p>
    <w:p>
      <w:pPr>
        <w:spacing w:after="60"/>
      </w:pPr>
    </w:p>
    <w:tbl>
      <w:tblPr>
        <w:tblW w:type="dxa" w:w="6200"/>
        <w:jc w:val="center"/>
        <w:tblBorders>
          <w:top w:val="single" w:color="1F3864" w:sz="6"/>
          <w:left w:val="single" w:color="1F3864" w:sz="6"/>
          <w:bottom w:val="single" w:color="1F3864" w:sz="6"/>
          <w:right w:val="single" w:color="1F3864" w:sz="6"/>
          <w:insideH w:val="single" w:color="auto" w:sz="4"/>
          <w:insideV w:val="single" w:color="auto" w:sz="4"/>
        </w:tblBorders>
      </w:tblPr>
      <w:tblGrid>
        <w:gridCol w:w="6200"/>
      </w:tblGrid>
      <w:tr>
        <w:tc>
          <w:tcPr>
            <w:tcW w:type="dxa" w:w="6200"/>
            <w:shd w:fill="1F3864" w:val="clear"/>
            <w:tcMar>
              <w:top w:type="dxa" w:w="40"/>
              <w:left w:type="dxa" w:w="120"/>
              <w:bottom w:type="dxa" w:w="40"/>
              <w:right w:type="dxa" w:w="120"/>
            </w:tcMar>
          </w:tcPr>
          <w:p>
            <w:pPr>
              <w:spacing w:after="40" w:before="40"/>
              <w:jc w:val="center"/>
            </w:pPr>
            <w:r>
              <w:rPr>
                <w:b/>
                <w:bCs/>
                <w:color w:val="FFFFFF"/>
                <w:sz w:val="20"/>
                <w:szCs w:val="20"/>
              </w:rPr>
              <w:t xml:space="preserve">Source feed</w:t>
            </w:r>
          </w:p>
        </w:tc>
      </w:tr>
    </w:tbl>
    <w:p>
      <w:pPr>
        <w:spacing w:after="30" w:before="30"/>
        <w:jc w:val="center"/>
      </w:pPr>
      <w:r>
        <w:rPr>
          <w:b/>
          <w:bCs/>
          <w:color w:val="2F5496"/>
          <w:sz w:val="22"/>
          <w:szCs w:val="22"/>
        </w:rPr>
        <w:t xml:space="preserve">▼</w:t>
      </w:r>
    </w:p>
    <w:tbl>
      <w:tblPr>
        <w:tblW w:type="dxa" w:w="6200"/>
        <w:jc w:val="center"/>
        <w:tblBorders>
          <w:top w:val="single" w:color="E8EEF7" w:sz="6"/>
          <w:left w:val="single" w:color="E8EEF7" w:sz="6"/>
          <w:bottom w:val="single" w:color="E8EEF7" w:sz="6"/>
          <w:right w:val="single" w:color="E8EEF7" w:sz="6"/>
          <w:insideH w:val="single" w:color="auto" w:sz="4"/>
          <w:insideV w:val="single" w:color="auto" w:sz="4"/>
        </w:tblBorders>
      </w:tblPr>
      <w:tblGrid>
        <w:gridCol w:w="6200"/>
      </w:tblGrid>
      <w:tr>
        <w:tc>
          <w:tcPr>
            <w:tcW w:type="dxa" w:w="6200"/>
            <w:shd w:fill="E8EEF7" w:val="clear"/>
            <w:tcMar>
              <w:top w:type="dxa" w:w="40"/>
              <w:left w:type="dxa" w:w="120"/>
              <w:bottom w:type="dxa" w:w="40"/>
              <w:right w:type="dxa" w:w="120"/>
            </w:tcMar>
          </w:tcPr>
          <w:p>
            <w:pPr>
              <w:spacing w:after="20" w:before="40"/>
              <w:jc w:val="center"/>
            </w:pPr>
            <w:r>
              <w:rPr>
                <w:b/>
                <w:bCs/>
                <w:color w:val="1F3864"/>
                <w:sz w:val="20"/>
                <w:szCs w:val="20"/>
              </w:rPr>
              <w:t xml:space="preserve">Staging</w:t>
            </w:r>
          </w:p>
          <w:p>
            <w:pPr>
              <w:spacing w:after="40"/>
              <w:jc w:val="center"/>
            </w:pPr>
            <w:r>
              <w:rPr>
                <w:color w:val="1F3864"/>
                <w:sz w:val="17"/>
                <w:szCs w:val="17"/>
              </w:rPr>
              <w:t xml:space="preserve">raw, transient — last load only</w:t>
            </w:r>
          </w:p>
        </w:tc>
      </w:tr>
    </w:tbl>
    <w:p>
      <w:pPr>
        <w:spacing w:after="30" w:before="30"/>
        <w:jc w:val="center"/>
      </w:pPr>
      <w:r>
        <w:rPr>
          <w:b/>
          <w:bCs/>
          <w:color w:val="2F5496"/>
          <w:sz w:val="22"/>
          <w:szCs w:val="22"/>
        </w:rPr>
        <w:t xml:space="preserve">▼</w:t>
      </w:r>
    </w:p>
    <w:tbl>
      <w:tblPr>
        <w:tblW w:type="dxa" w:w="6200"/>
        <w:jc w:val="center"/>
        <w:tblBorders>
          <w:top w:val="single" w:color="E8EEF7" w:sz="6"/>
          <w:left w:val="single" w:color="E8EEF7" w:sz="6"/>
          <w:bottom w:val="single" w:color="E8EEF7" w:sz="6"/>
          <w:right w:val="single" w:color="E8EEF7" w:sz="6"/>
          <w:insideH w:val="single" w:color="auto" w:sz="4"/>
          <w:insideV w:val="single" w:color="auto" w:sz="4"/>
        </w:tblBorders>
      </w:tblPr>
      <w:tblGrid>
        <w:gridCol w:w="6200"/>
      </w:tblGrid>
      <w:tr>
        <w:tc>
          <w:tcPr>
            <w:tcW w:type="dxa" w:w="6200"/>
            <w:shd w:fill="E8EEF7" w:val="clear"/>
            <w:tcMar>
              <w:top w:type="dxa" w:w="40"/>
              <w:left w:type="dxa" w:w="120"/>
              <w:bottom w:type="dxa" w:w="40"/>
              <w:right w:type="dxa" w:w="120"/>
            </w:tcMar>
          </w:tcPr>
          <w:p>
            <w:pPr>
              <w:spacing w:after="40" w:before="40"/>
              <w:jc w:val="center"/>
            </w:pPr>
            <w:r>
              <w:rPr>
                <w:b/>
                <w:bCs/>
                <w:color w:val="1F3864"/>
                <w:sz w:val="20"/>
                <w:szCs w:val="20"/>
              </w:rPr>
              <w:t xml:space="preserve">Validated, merchant-matched transaction</w:t>
            </w:r>
          </w:p>
        </w:tc>
      </w:tr>
    </w:tbl>
    <w:p>
      <w:pPr>
        <w:spacing w:after="30" w:before="30"/>
        <w:jc w:val="center"/>
      </w:pPr>
      <w:r>
        <w:rPr>
          <w:b/>
          <w:bCs/>
          <w:color w:val="2F5496"/>
          <w:sz w:val="22"/>
          <w:szCs w:val="22"/>
        </w:rPr>
        <w:t xml:space="preserve">▼</w:t>
      </w:r>
    </w:p>
    <w:tbl>
      <w:tblPr>
        <w:tblW w:type="dxa" w:w="6200"/>
        <w:jc w:val="center"/>
        <w:tblBorders>
          <w:top w:val="single" w:color="2F5496" w:sz="6"/>
          <w:left w:val="single" w:color="2F5496" w:sz="6"/>
          <w:bottom w:val="single" w:color="2F5496" w:sz="6"/>
          <w:right w:val="single" w:color="2F5496" w:sz="6"/>
          <w:insideH w:val="single" w:color="auto" w:sz="4"/>
          <w:insideV w:val="single" w:color="auto" w:sz="4"/>
        </w:tblBorders>
      </w:tblPr>
      <w:tblGrid>
        <w:gridCol w:w="6200"/>
      </w:tblGrid>
      <w:tr>
        <w:tc>
          <w:tcPr>
            <w:tcW w:type="dxa" w:w="6200"/>
            <w:shd w:fill="2F5496" w:val="clear"/>
            <w:tcMar>
              <w:top w:type="dxa" w:w="40"/>
              <w:left w:type="dxa" w:w="120"/>
              <w:bottom w:type="dxa" w:w="40"/>
              <w:right w:type="dxa" w:w="120"/>
            </w:tcMar>
          </w:tcPr>
          <w:p>
            <w:pPr>
              <w:spacing w:after="20" w:before="40"/>
              <w:jc w:val="center"/>
            </w:pPr>
            <w:r>
              <w:rPr>
                <w:b/>
                <w:bCs/>
                <w:color w:val="FFFFFF"/>
                <w:sz w:val="20"/>
                <w:szCs w:val="20"/>
              </w:rPr>
              <w:t xml:space="preserve">Fee enrichment</w:t>
            </w:r>
          </w:p>
          <w:p>
            <w:pPr>
              <w:spacing w:after="40"/>
              <w:jc w:val="center"/>
            </w:pPr>
            <w:r>
              <w:rPr>
                <w:color w:val="FFFFFF"/>
                <w:sz w:val="17"/>
                <w:szCs w:val="17"/>
              </w:rPr>
              <w:t xml:space="preserve">interchange · scheme · e-com, with rule provenance</w:t>
            </w:r>
          </w:p>
        </w:tc>
      </w:tr>
    </w:tbl>
    <w:p>
      <w:pPr>
        <w:spacing w:after="30" w:before="30"/>
        <w:jc w:val="center"/>
      </w:pPr>
      <w:r>
        <w:rPr>
          <w:b/>
          <w:bCs/>
          <w:color w:val="2F5496"/>
          <w:sz w:val="22"/>
          <w:szCs w:val="22"/>
        </w:rPr>
        <w:t xml:space="preserve">▼</w:t>
      </w:r>
    </w:p>
    <w:tbl>
      <w:tblPr>
        <w:tblW w:type="dxa" w:w="6200"/>
        <w:jc w:val="center"/>
        <w:tblBorders>
          <w:top w:val="single" w:color="4472C4" w:sz="6"/>
          <w:left w:val="single" w:color="4472C4" w:sz="6"/>
          <w:bottom w:val="single" w:color="4472C4" w:sz="6"/>
          <w:right w:val="single" w:color="4472C4" w:sz="6"/>
          <w:insideH w:val="single" w:color="auto" w:sz="4"/>
          <w:insideV w:val="single" w:color="auto" w:sz="4"/>
        </w:tblBorders>
      </w:tblPr>
      <w:tblGrid>
        <w:gridCol w:w="6200"/>
      </w:tblGrid>
      <w:tr>
        <w:tc>
          <w:tcPr>
            <w:tcW w:type="dxa" w:w="6200"/>
            <w:shd w:fill="4472C4" w:val="clear"/>
            <w:tcMar>
              <w:top w:type="dxa" w:w="40"/>
              <w:left w:type="dxa" w:w="120"/>
              <w:bottom w:type="dxa" w:w="40"/>
              <w:right w:type="dxa" w:w="120"/>
            </w:tcMar>
          </w:tcPr>
          <w:p>
            <w:pPr>
              <w:spacing w:after="20" w:before="40"/>
              <w:jc w:val="center"/>
            </w:pPr>
            <w:r>
              <w:rPr>
                <w:b/>
                <w:bCs/>
                <w:color w:val="FFFFFF"/>
                <w:sz w:val="20"/>
                <w:szCs w:val="20"/>
              </w:rPr>
              <w:t xml:space="preserve">Transaction fact store</w:t>
            </w:r>
          </w:p>
          <w:p>
            <w:pPr>
              <w:spacing w:after="40"/>
              <w:jc w:val="center"/>
            </w:pPr>
            <w:r>
              <w:rPr>
                <w:color w:val="FFFFFF"/>
                <w:sz w:val="17"/>
                <w:szCs w:val="17"/>
              </w:rPr>
              <w:t xml:space="preserve">date-partitioned, dual currency</w:t>
            </w:r>
          </w:p>
        </w:tc>
      </w:tr>
    </w:tbl>
    <w:p>
      <w:pPr>
        <w:spacing w:after="30" w:before="30"/>
        <w:jc w:val="center"/>
      </w:pPr>
      <w:r>
        <w:rPr>
          <w:b/>
          <w:bCs/>
          <w:color w:val="2F5496"/>
          <w:sz w:val="22"/>
          <w:szCs w:val="22"/>
        </w:rPr>
        <w:t xml:space="preserve">▼</w:t>
      </w:r>
    </w:p>
    <w:tbl>
      <w:tblPr>
        <w:tblW w:type="dxa" w:w="6200"/>
        <w:jc w:val="center"/>
        <w:tblBorders>
          <w:top w:val="single" w:color="4472C4" w:sz="6"/>
          <w:left w:val="single" w:color="4472C4" w:sz="6"/>
          <w:bottom w:val="single" w:color="4472C4" w:sz="6"/>
          <w:right w:val="single" w:color="4472C4" w:sz="6"/>
          <w:insideH w:val="single" w:color="auto" w:sz="4"/>
          <w:insideV w:val="single" w:color="auto" w:sz="4"/>
        </w:tblBorders>
      </w:tblPr>
      <w:tblGrid>
        <w:gridCol w:w="6200"/>
      </w:tblGrid>
      <w:tr>
        <w:tc>
          <w:tcPr>
            <w:tcW w:type="dxa" w:w="6200"/>
            <w:shd w:fill="4472C4" w:val="clear"/>
            <w:tcMar>
              <w:top w:type="dxa" w:w="40"/>
              <w:left w:type="dxa" w:w="120"/>
              <w:bottom w:type="dxa" w:w="40"/>
              <w:right w:type="dxa" w:w="120"/>
            </w:tcMar>
          </w:tcPr>
          <w:p>
            <w:pPr>
              <w:spacing w:after="20" w:before="40"/>
              <w:jc w:val="center"/>
            </w:pPr>
            <w:r>
              <w:rPr>
                <w:b/>
                <w:bCs/>
                <w:color w:val="FFFFFF"/>
                <w:sz w:val="20"/>
                <w:szCs w:val="20"/>
              </w:rPr>
              <w:t xml:space="preserve">Daily aggregates</w:t>
            </w:r>
          </w:p>
          <w:p>
            <w:pPr>
              <w:spacing w:after="40"/>
              <w:jc w:val="center"/>
            </w:pPr>
            <w:r>
              <w:rPr>
                <w:color w:val="FFFFFF"/>
                <w:sz w:val="17"/>
                <w:szCs w:val="17"/>
              </w:rPr>
              <w:t xml:space="preserve">bank · merchant · terminal · scheme · channel · MCC · destination…</w:t>
            </w:r>
          </w:p>
        </w:tc>
      </w:tr>
    </w:tbl>
    <w:p>
      <w:pPr>
        <w:spacing w:after="30" w:before="30"/>
        <w:jc w:val="center"/>
      </w:pPr>
      <w:r>
        <w:rPr>
          <w:b/>
          <w:bCs/>
          <w:color w:val="2F5496"/>
          <w:sz w:val="22"/>
          <w:szCs w:val="22"/>
        </w:rPr>
        <w:t xml:space="preserve">▼</w:t>
      </w:r>
    </w:p>
    <w:tbl>
      <w:tblPr>
        <w:tblW w:type="dxa" w:w="6200"/>
        <w:jc w:val="center"/>
        <w:tblBorders>
          <w:top w:val="single" w:color="4472C4" w:sz="6"/>
          <w:left w:val="single" w:color="4472C4" w:sz="6"/>
          <w:bottom w:val="single" w:color="4472C4" w:sz="6"/>
          <w:right w:val="single" w:color="4472C4" w:sz="6"/>
          <w:insideH w:val="single" w:color="auto" w:sz="4"/>
          <w:insideV w:val="single" w:color="auto" w:sz="4"/>
        </w:tblBorders>
      </w:tblPr>
      <w:tblGrid>
        <w:gridCol w:w="6200"/>
      </w:tblGrid>
      <w:tr>
        <w:tc>
          <w:tcPr>
            <w:tcW w:type="dxa" w:w="6200"/>
            <w:shd w:fill="4472C4" w:val="clear"/>
            <w:tcMar>
              <w:top w:type="dxa" w:w="40"/>
              <w:left w:type="dxa" w:w="120"/>
              <w:bottom w:type="dxa" w:w="40"/>
              <w:right w:type="dxa" w:w="120"/>
            </w:tcMar>
          </w:tcPr>
          <w:p>
            <w:pPr>
              <w:spacing w:after="20" w:before="40"/>
              <w:jc w:val="center"/>
            </w:pPr>
            <w:r>
              <w:rPr>
                <w:b/>
                <w:bCs/>
                <w:color w:val="FFFFFF"/>
                <w:sz w:val="20"/>
                <w:szCs w:val="20"/>
              </w:rPr>
              <w:t xml:space="preserve">Monthly rollups</w:t>
            </w:r>
          </w:p>
          <w:p>
            <w:pPr>
              <w:spacing w:after="40"/>
              <w:jc w:val="center"/>
            </w:pPr>
            <w:r>
              <w:rPr>
                <w:color w:val="FFFFFF"/>
                <w:sz w:val="17"/>
                <w:szCs w:val="17"/>
              </w:rPr>
              <w:t xml:space="preserve">exact sums of daily</w:t>
            </w:r>
          </w:p>
        </w:tc>
      </w:tr>
    </w:tbl>
    <w:p>
      <w:pPr>
        <w:spacing w:after="30" w:before="30"/>
        <w:jc w:val="center"/>
      </w:pPr>
      <w:r>
        <w:rPr>
          <w:b/>
          <w:bCs/>
          <w:color w:val="2F5496"/>
          <w:sz w:val="22"/>
          <w:szCs w:val="22"/>
        </w:rPr>
        <w:t xml:space="preserve">▼</w:t>
      </w:r>
    </w:p>
    <w:tbl>
      <w:tblPr>
        <w:tblW w:type="dxa" w:w="6200"/>
        <w:jc w:val="center"/>
        <w:tblBorders>
          <w:top w:val="single" w:color="2F5496" w:sz="6"/>
          <w:left w:val="single" w:color="2F5496" w:sz="6"/>
          <w:bottom w:val="single" w:color="2F5496" w:sz="6"/>
          <w:right w:val="single" w:color="2F5496" w:sz="6"/>
          <w:insideH w:val="single" w:color="auto" w:sz="4"/>
          <w:insideV w:val="single" w:color="auto" w:sz="4"/>
        </w:tblBorders>
      </w:tblPr>
      <w:tblGrid>
        <w:gridCol w:w="6200"/>
      </w:tblGrid>
      <w:tr>
        <w:tc>
          <w:tcPr>
            <w:tcW w:type="dxa" w:w="6200"/>
            <w:shd w:fill="2F5496" w:val="clear"/>
            <w:tcMar>
              <w:top w:type="dxa" w:w="40"/>
              <w:left w:type="dxa" w:w="120"/>
              <w:bottom w:type="dxa" w:w="40"/>
              <w:right w:type="dxa" w:w="120"/>
            </w:tcMar>
          </w:tcPr>
          <w:p>
            <w:pPr>
              <w:spacing w:after="20" w:before="40"/>
              <w:jc w:val="center"/>
            </w:pPr>
            <w:r>
              <w:rPr>
                <w:b/>
                <w:bCs/>
                <w:color w:val="FFFFFF"/>
                <w:sz w:val="20"/>
                <w:szCs w:val="20"/>
              </w:rPr>
              <w:t xml:space="preserve">Derived intelligence</w:t>
            </w:r>
          </w:p>
          <w:p>
            <w:pPr>
              <w:spacing w:after="40"/>
              <w:jc w:val="center"/>
            </w:pPr>
            <w:r>
              <w:rPr>
                <w:color w:val="FFFFFF"/>
                <w:sz w:val="17"/>
                <w:szCs w:val="17"/>
              </w:rPr>
              <w:t xml:space="preserve">activity · opportunity · churn · segments · leakage</w:t>
            </w:r>
          </w:p>
        </w:tc>
      </w:tr>
    </w:tbl>
    <w:p>
      <w:pPr>
        <w:spacing w:after="30" w:before="30"/>
        <w:jc w:val="center"/>
      </w:pPr>
      <w:r>
        <w:rPr>
          <w:b/>
          <w:bCs/>
          <w:color w:val="2F5496"/>
          <w:sz w:val="22"/>
          <w:szCs w:val="22"/>
        </w:rPr>
        <w:t xml:space="preserve">▼</w:t>
      </w:r>
    </w:p>
    <w:tbl>
      <w:tblPr>
        <w:tblW w:type="dxa" w:w="6200"/>
        <w:jc w:val="center"/>
        <w:tblBorders>
          <w:top w:val="single" w:color="1F3864" w:sz="6"/>
          <w:left w:val="single" w:color="1F3864" w:sz="6"/>
          <w:bottom w:val="single" w:color="1F3864" w:sz="6"/>
          <w:right w:val="single" w:color="1F3864" w:sz="6"/>
          <w:insideH w:val="single" w:color="auto" w:sz="4"/>
          <w:insideV w:val="single" w:color="auto" w:sz="4"/>
        </w:tblBorders>
      </w:tblPr>
      <w:tblGrid>
        <w:gridCol w:w="6200"/>
      </w:tblGrid>
      <w:tr>
        <w:tc>
          <w:tcPr>
            <w:tcW w:type="dxa" w:w="6200"/>
            <w:shd w:fill="1F3864" w:val="clear"/>
            <w:tcMar>
              <w:top w:type="dxa" w:w="40"/>
              <w:left w:type="dxa" w:w="120"/>
              <w:bottom w:type="dxa" w:w="40"/>
              <w:right w:type="dxa" w:w="120"/>
            </w:tcMar>
          </w:tcPr>
          <w:p>
            <w:pPr>
              <w:spacing w:after="40" w:before="40"/>
              <w:jc w:val="center"/>
            </w:pPr>
            <w:r>
              <w:rPr>
                <w:b/>
                <w:bCs/>
                <w:color w:val="FFFFFF"/>
                <w:sz w:val="20"/>
                <w:szCs w:val="20"/>
              </w:rPr>
              <w:t xml:space="preserve">Dashboards · Explorer · AI · Reports · API</w:t>
            </w:r>
          </w:p>
        </w:tc>
      </w:tr>
    </w:tbl>
    <w:p>
      <w:pPr>
        <w:spacing w:after="160"/>
      </w:pPr>
    </w:p>
    <w:p>
      <w:pPr>
        <w:spacing w:after="140" w:line="276"/>
        <w:jc w:val="both"/>
      </w:pPr>
      <w:r>
        <w:t xml:space="preserve">Two design rules matter to business users. First, </w:t>
      </w:r>
      <w:r>
        <w:rPr>
          <w:b/>
          <w:bCs/>
        </w:rPr>
        <w:t xml:space="preserve">dashboards never scan raw transactions for totals</w:t>
      </w:r>
      <w:r>
        <w:t xml:space="preserve"> — they read pre-computed aggregates, which is why screens are fast and figures are consistent. Second, </w:t>
      </w:r>
      <w:r>
        <w:rPr>
          <w:b/>
          <w:bCs/>
        </w:rPr>
        <w:t xml:space="preserve">monthly figures are exact sums of daily figures</w:t>
      </w:r>
      <w:r>
        <w:t xml:space="preserve">, which is why a monthly report and a daily report can never disagree. Master data (merchants, stores, terminals), reference data (schemes, countries, MCC sectors, rate cards, BIN ranges) and security/administration data are held in their own table families; an appendix-level table inventory exists in the platform's technical documentation for those who need it.</w:t>
      </w:r>
    </w:p>
    <w:p>
      <w:pPr>
        <w:pStyle w:val="Heading1"/>
        <w:pageBreakBefore/>
        <w:spacing w:after="120" w:before="360"/>
      </w:pPr>
      <w:r>
        <w:t xml:space="preserve">21. Data Security and Tenant Separation</w:t>
      </w:r>
    </w:p>
    <w:p>
      <w:pPr>
        <w:spacing w:after="140" w:line="276"/>
        <w:jc w:val="both"/>
      </w:pPr>
      <w:r>
        <w:t xml:space="preserve">Because NEXUS serves multiple banks from one deployment, isolation and access control are foundational:</w:t>
      </w:r>
    </w:p>
    <w:p>
      <w:pPr>
        <w:pStyle w:val="ListParagraph"/>
        <w:numPr>
          <w:ilvl w:val="0"/>
          <w:numId w:val="2"/>
        </w:numPr>
        <w:spacing w:after="60"/>
      </w:pPr>
      <w:r>
        <w:rPr>
          <w:b/>
          <w:bCs/>
        </w:rPr>
        <w:t xml:space="preserve">Authentication</w:t>
      </w:r>
      <w:r>
        <w:t xml:space="preserve"> — username/password with short-lived signed tokens and rotating refresh tokens (re-use of a stolen refresh token revokes all of a user's sessions). Microsoft Entra ID single sign-on is supported, with self-service access requests routed to administrators for approval. Password reset uses a one-time code emailed to the user, hashed at rest, expiring in minutes and attempt-limited.</w:t>
      </w:r>
    </w:p>
    <w:p>
      <w:pPr>
        <w:pStyle w:val="ListParagraph"/>
        <w:numPr>
          <w:ilvl w:val="0"/>
          <w:numId w:val="2"/>
        </w:numPr>
        <w:spacing w:after="60"/>
      </w:pPr>
      <w:r>
        <w:rPr>
          <w:b/>
          <w:bCs/>
        </w:rPr>
        <w:t xml:space="preserve">Account controls</w:t>
      </w:r>
      <w:r>
        <w:t xml:space="preserve"> — configurable password policy (length, complexity, history, expiry), login lockout after repeated failures, login rate limiting, concurrent-session caps, session timeout, forced password change, and account expiry — administered per tenant in the security settings without redeployment.</w:t>
      </w:r>
    </w:p>
    <w:p>
      <w:pPr>
        <w:pStyle w:val="ListParagraph"/>
        <w:numPr>
          <w:ilvl w:val="0"/>
          <w:numId w:val="2"/>
        </w:numPr>
        <w:spacing w:after="60"/>
      </w:pPr>
      <w:r>
        <w:rPr>
          <w:b/>
          <w:bCs/>
        </w:rPr>
        <w:t xml:space="preserve">Authorisation</w:t>
      </w:r>
      <w:r>
        <w:t xml:space="preserve"> — three platform roles (super administrator, bank administrator, user) combined with group-based menu grants; the grants drive both what appears in a user's navigation and what the server will actually serve. Sensitive finance views are restricted to finance-entitled groups.</w:t>
      </w:r>
    </w:p>
    <w:p>
      <w:pPr>
        <w:pStyle w:val="ListParagraph"/>
        <w:numPr>
          <w:ilvl w:val="0"/>
          <w:numId w:val="2"/>
        </w:numPr>
        <w:spacing w:after="60"/>
      </w:pPr>
      <w:r>
        <w:rPr>
          <w:b/>
          <w:bCs/>
        </w:rPr>
        <w:t xml:space="preserve">Tenant separation</w:t>
      </w:r>
      <w:r>
        <w:t xml:space="preserve"> — every request carries the working tenant, which is validated against the user's explicit tenant permissions (a mismatch is refused outright); every business query is scoped to that tenant; and database row-level security policies are defined as an additional backstop, with the application-level scoping serving as the primary, verified enforcement. Independent end-to-end testing across tenants recorded zero data-leak findings. Tenant-wise physical partitioning is available for institutions requiring it.</w:t>
      </w:r>
    </w:p>
    <w:p>
      <w:pPr>
        <w:pStyle w:val="ListParagraph"/>
        <w:numPr>
          <w:ilvl w:val="0"/>
          <w:numId w:val="2"/>
        </w:numPr>
        <w:spacing w:after="60"/>
      </w:pPr>
      <w:r>
        <w:rPr>
          <w:b/>
          <w:bCs/>
        </w:rPr>
        <w:t xml:space="preserve">Data protection</w:t>
      </w:r>
      <w:r>
        <w:t xml:space="preserve"> — card numbers are masked to the last four digits in transaction exports; stored credentials for email, storage and external database connections are encrypted; API keys are stored only as hashes, carry scopes, expiry, per-key rate limits and optional IP allowlists, and every external API call is logged.</w:t>
      </w:r>
    </w:p>
    <w:p>
      <w:pPr>
        <w:pStyle w:val="ListParagraph"/>
        <w:numPr>
          <w:ilvl w:val="0"/>
          <w:numId w:val="2"/>
        </w:numPr>
        <w:spacing w:after="60"/>
      </w:pPr>
      <w:r>
        <w:rPr>
          <w:b/>
          <w:bCs/>
        </w:rPr>
        <w:t xml:space="preserve">Auditability</w:t>
      </w:r>
      <w:r>
        <w:t xml:space="preserve"> — a comprehensive audit log records who did what, when, from where, against which entity, with a searchable, exportable viewer scoped to each bank.</w:t>
      </w:r>
    </w:p>
    <w:p>
      <w:pPr>
        <w:spacing w:after="140" w:line="276"/>
        <w:jc w:val="both"/>
      </w:pPr>
      <w:r>
        <w:t xml:space="preserve">A candid distinction for auditors: the above describes NEXUS's </w:t>
      </w:r>
      <w:r>
        <w:rPr>
          <w:i/>
          <w:iCs/>
        </w:rPr>
        <w:t xml:space="preserve">security design</w:t>
      </w:r>
      <w:r>
        <w:t xml:space="preserve">, as implemented and tested. It is not a claim of formal certification (for example PCI DSS), which is an organisational assessment outside the platform's own scope. Multi-factor authentication appears in the security settings but its enforcement is not yet active.</w:t>
      </w:r>
    </w:p>
    <w:p>
      <w:pPr>
        <w:pStyle w:val="Heading1"/>
        <w:pageBreakBefore/>
        <w:spacing w:after="120" w:before="360"/>
      </w:pPr>
      <w:r>
        <w:t xml:space="preserve">22. Operational Processing</w:t>
      </w:r>
    </w:p>
    <w:p>
      <w:pPr>
        <w:spacing w:after="140" w:line="276"/>
        <w:jc w:val="both"/>
      </w:pPr>
      <w:r>
        <w:t xml:space="preserve">The operational rhythm of NEXUS is file-in, dashboards-out:</w:t>
      </w:r>
    </w:p>
    <w:p>
      <w:pPr>
        <w:spacing w:after="60"/>
      </w:pPr>
    </w:p>
    <w:tbl>
      <w:tblPr>
        <w:tblW w:type="dxa" w:w="6800"/>
        <w:jc w:val="center"/>
        <w:tblBorders>
          <w:top w:val="single" w:color="1F3864" w:sz="6"/>
          <w:left w:val="single" w:color="1F3864" w:sz="6"/>
          <w:bottom w:val="single" w:color="1F3864" w:sz="6"/>
          <w:right w:val="single" w:color="1F3864" w:sz="6"/>
          <w:insideH w:val="single" w:color="auto" w:sz="4"/>
          <w:insideV w:val="single" w:color="auto" w:sz="4"/>
        </w:tblBorders>
      </w:tblPr>
      <w:tblGrid>
        <w:gridCol w:w="6800"/>
      </w:tblGrid>
      <w:tr>
        <w:tc>
          <w:tcPr>
            <w:tcW w:type="dxa" w:w="6800"/>
            <w:shd w:fill="1F3864" w:val="clear"/>
            <w:tcMar>
              <w:top w:type="dxa" w:w="40"/>
              <w:left w:type="dxa" w:w="120"/>
              <w:bottom w:type="dxa" w:w="40"/>
              <w:right w:type="dxa" w:w="120"/>
            </w:tcMar>
          </w:tcPr>
          <w:p>
            <w:pPr>
              <w:spacing w:after="20" w:before="40"/>
              <w:jc w:val="center"/>
            </w:pPr>
            <w:r>
              <w:rPr>
                <w:b/>
                <w:bCs/>
                <w:color w:val="FFFFFF"/>
                <w:sz w:val="20"/>
                <w:szCs w:val="20"/>
              </w:rPr>
              <w:t xml:space="preserve">File received</w:t>
            </w:r>
          </w:p>
          <w:p>
            <w:pPr>
              <w:spacing w:after="40"/>
              <w:jc w:val="center"/>
            </w:pPr>
            <w:r>
              <w:rPr>
                <w:color w:val="FFFFFF"/>
                <w:sz w:val="17"/>
                <w:szCs w:val="17"/>
              </w:rPr>
              <w:t xml:space="preserve">upload · server folder · scheduled pull</w:t>
            </w:r>
          </w:p>
        </w:tc>
      </w:tr>
    </w:tbl>
    <w:p>
      <w:pPr>
        <w:spacing w:after="30" w:before="30"/>
        <w:jc w:val="center"/>
      </w:pPr>
      <w:r>
        <w:rPr>
          <w:b/>
          <w:bCs/>
          <w:color w:val="2F5496"/>
          <w:sz w:val="22"/>
          <w:szCs w:val="22"/>
        </w:rPr>
        <w:t xml:space="preserve">▼</w:t>
      </w:r>
    </w:p>
    <w:tbl>
      <w:tblPr>
        <w:tblW w:type="dxa" w:w="6800"/>
        <w:jc w:val="center"/>
        <w:tblBorders>
          <w:top w:val="single" w:color="E8EEF7" w:sz="6"/>
          <w:left w:val="single" w:color="E8EEF7" w:sz="6"/>
          <w:bottom w:val="single" w:color="E8EEF7" w:sz="6"/>
          <w:right w:val="single" w:color="E8EEF7" w:sz="6"/>
          <w:insideH w:val="single" w:color="auto" w:sz="4"/>
          <w:insideV w:val="single" w:color="auto" w:sz="4"/>
        </w:tblBorders>
      </w:tblPr>
      <w:tblGrid>
        <w:gridCol w:w="6800"/>
      </w:tblGrid>
      <w:tr>
        <w:tc>
          <w:tcPr>
            <w:tcW w:type="dxa" w:w="6800"/>
            <w:shd w:fill="E8EEF7" w:val="clear"/>
            <w:tcMar>
              <w:top w:type="dxa" w:w="40"/>
              <w:left w:type="dxa" w:w="120"/>
              <w:bottom w:type="dxa" w:w="40"/>
              <w:right w:type="dxa" w:w="120"/>
            </w:tcMar>
          </w:tcPr>
          <w:p>
            <w:pPr>
              <w:spacing w:after="20" w:before="40"/>
              <w:jc w:val="center"/>
            </w:pPr>
            <w:r>
              <w:rPr>
                <w:b/>
                <w:bCs/>
                <w:color w:val="1F3864"/>
                <w:sz w:val="20"/>
                <w:szCs w:val="20"/>
              </w:rPr>
              <w:t xml:space="preserve">Batch job started</w:t>
            </w:r>
          </w:p>
          <w:p>
            <w:pPr>
              <w:spacing w:after="40"/>
              <w:jc w:val="center"/>
            </w:pPr>
            <w:r>
              <w:rPr>
                <w:color w:val="1F3864"/>
                <w:sz w:val="17"/>
                <w:szCs w:val="17"/>
              </w:rPr>
              <w:t xml:space="preserve">visible step-by-step progress</w:t>
            </w:r>
          </w:p>
        </w:tc>
      </w:tr>
    </w:tbl>
    <w:p>
      <w:pPr>
        <w:spacing w:after="30" w:before="30"/>
        <w:jc w:val="center"/>
      </w:pPr>
      <w:r>
        <w:rPr>
          <w:b/>
          <w:bCs/>
          <w:color w:val="2F5496"/>
          <w:sz w:val="22"/>
          <w:szCs w:val="22"/>
        </w:rPr>
        <w:t xml:space="preserve">▼</w:t>
      </w:r>
    </w:p>
    <w:tbl>
      <w:tblPr>
        <w:tblW w:type="dxa" w:w="6800"/>
        <w:jc w:val="center"/>
        <w:tblBorders>
          <w:top w:val="single" w:color="E8EEF7" w:sz="6"/>
          <w:left w:val="single" w:color="E8EEF7" w:sz="6"/>
          <w:bottom w:val="single" w:color="E8EEF7" w:sz="6"/>
          <w:right w:val="single" w:color="E8EEF7" w:sz="6"/>
          <w:insideH w:val="single" w:color="auto" w:sz="4"/>
          <w:insideV w:val="single" w:color="auto" w:sz="4"/>
        </w:tblBorders>
      </w:tblPr>
      <w:tblGrid>
        <w:gridCol w:w="6800"/>
      </w:tblGrid>
      <w:tr>
        <w:tc>
          <w:tcPr>
            <w:tcW w:type="dxa" w:w="6800"/>
            <w:shd w:fill="E8EEF7" w:val="clear"/>
            <w:tcMar>
              <w:top w:type="dxa" w:w="40"/>
              <w:left w:type="dxa" w:w="120"/>
              <w:bottom w:type="dxa" w:w="40"/>
              <w:right w:type="dxa" w:w="120"/>
            </w:tcMar>
          </w:tcPr>
          <w:p>
            <w:pPr>
              <w:spacing w:after="20" w:before="40"/>
              <w:jc w:val="center"/>
            </w:pPr>
            <w:r>
              <w:rPr>
                <w:b/>
                <w:bCs/>
                <w:color w:val="1F3864"/>
                <w:sz w:val="20"/>
                <w:szCs w:val="20"/>
              </w:rPr>
              <w:t xml:space="preserve">Validation</w:t>
            </w:r>
          </w:p>
          <w:p>
            <w:pPr>
              <w:spacing w:after="40"/>
              <w:jc w:val="center"/>
            </w:pPr>
            <w:r>
              <w:rPr>
                <w:color w:val="1F3864"/>
                <w:sz w:val="17"/>
                <w:szCs w:val="17"/>
              </w:rPr>
              <w:t xml:space="preserve">or rejection with a stated reason</w:t>
            </w:r>
          </w:p>
        </w:tc>
      </w:tr>
    </w:tbl>
    <w:p>
      <w:pPr>
        <w:spacing w:after="30" w:before="30"/>
        <w:jc w:val="center"/>
      </w:pPr>
      <w:r>
        <w:rPr>
          <w:b/>
          <w:bCs/>
          <w:color w:val="2F5496"/>
          <w:sz w:val="22"/>
          <w:szCs w:val="22"/>
        </w:rPr>
        <w:t xml:space="preserve">▼</w:t>
      </w:r>
    </w:p>
    <w:tbl>
      <w:tblPr>
        <w:tblW w:type="dxa" w:w="6800"/>
        <w:jc w:val="center"/>
        <w:tblBorders>
          <w:top w:val="single" w:color="2F5496" w:sz="6"/>
          <w:left w:val="single" w:color="2F5496" w:sz="6"/>
          <w:bottom w:val="single" w:color="2F5496" w:sz="6"/>
          <w:right w:val="single" w:color="2F5496" w:sz="6"/>
          <w:insideH w:val="single" w:color="auto" w:sz="4"/>
          <w:insideV w:val="single" w:color="auto" w:sz="4"/>
        </w:tblBorders>
      </w:tblPr>
      <w:tblGrid>
        <w:gridCol w:w="6800"/>
      </w:tblGrid>
      <w:tr>
        <w:tc>
          <w:tcPr>
            <w:tcW w:type="dxa" w:w="6800"/>
            <w:shd w:fill="2F5496" w:val="clear"/>
            <w:tcMar>
              <w:top w:type="dxa" w:w="40"/>
              <w:left w:type="dxa" w:w="120"/>
              <w:bottom w:type="dxa" w:w="40"/>
              <w:right w:type="dxa" w:w="120"/>
            </w:tcMar>
          </w:tcPr>
          <w:p>
            <w:pPr>
              <w:spacing w:after="40" w:before="40"/>
              <w:jc w:val="center"/>
            </w:pPr>
            <w:r>
              <w:rPr>
                <w:b/>
                <w:bCs/>
                <w:color w:val="FFFFFF"/>
                <w:sz w:val="20"/>
                <w:szCs w:val="20"/>
              </w:rPr>
              <w:t xml:space="preserve">Facts loaded · fees computed · aggregates updated · scores refreshed</w:t>
            </w:r>
          </w:p>
        </w:tc>
      </w:tr>
    </w:tbl>
    <w:p>
      <w:pPr>
        <w:spacing w:after="30" w:before="30"/>
        <w:jc w:val="center"/>
      </w:pPr>
      <w:r>
        <w:rPr>
          <w:b/>
          <w:bCs/>
          <w:color w:val="2F5496"/>
          <w:sz w:val="22"/>
          <w:szCs w:val="22"/>
        </w:rPr>
        <w:t xml:space="preserve">▼</w:t>
      </w:r>
    </w:p>
    <w:tbl>
      <w:tblPr>
        <w:tblW w:type="dxa" w:w="6800"/>
        <w:jc w:val="center"/>
        <w:tblBorders>
          <w:top w:val="single" w:color="4472C4" w:sz="6"/>
          <w:left w:val="single" w:color="4472C4" w:sz="6"/>
          <w:bottom w:val="single" w:color="4472C4" w:sz="6"/>
          <w:right w:val="single" w:color="4472C4" w:sz="6"/>
          <w:insideH w:val="single" w:color="auto" w:sz="4"/>
          <w:insideV w:val="single" w:color="auto" w:sz="4"/>
        </w:tblBorders>
      </w:tblPr>
      <w:tblGrid>
        <w:gridCol w:w="6800"/>
      </w:tblGrid>
      <w:tr>
        <w:tc>
          <w:tcPr>
            <w:tcW w:type="dxa" w:w="6800"/>
            <w:shd w:fill="4472C4" w:val="clear"/>
            <w:tcMar>
              <w:top w:type="dxa" w:w="40"/>
              <w:left w:type="dxa" w:w="120"/>
              <w:bottom w:type="dxa" w:w="40"/>
              <w:right w:type="dxa" w:w="120"/>
            </w:tcMar>
          </w:tcPr>
          <w:p>
            <w:pPr>
              <w:spacing w:after="20" w:before="40"/>
              <w:jc w:val="center"/>
            </w:pPr>
            <w:r>
              <w:rPr>
                <w:b/>
                <w:bCs/>
                <w:color w:val="FFFFFF"/>
                <w:sz w:val="20"/>
                <w:szCs w:val="20"/>
              </w:rPr>
              <w:t xml:space="preserve">Job completed</w:t>
            </w:r>
          </w:p>
          <w:p>
            <w:pPr>
              <w:spacing w:after="40"/>
              <w:jc w:val="center"/>
            </w:pPr>
            <w:r>
              <w:rPr>
                <w:color w:val="FFFFFF"/>
                <w:sz w:val="17"/>
                <w:szCs w:val="17"/>
              </w:rPr>
              <w:t xml:space="preserve">run recorded in batch logs</w:t>
            </w:r>
          </w:p>
        </w:tc>
      </w:tr>
    </w:tbl>
    <w:p>
      <w:pPr>
        <w:spacing w:after="30" w:before="30"/>
        <w:jc w:val="center"/>
      </w:pPr>
      <w:r>
        <w:rPr>
          <w:b/>
          <w:bCs/>
          <w:color w:val="2F5496"/>
          <w:sz w:val="22"/>
          <w:szCs w:val="22"/>
        </w:rPr>
        <w:t xml:space="preserve">▼</w:t>
      </w:r>
    </w:p>
    <w:tbl>
      <w:tblPr>
        <w:tblW w:type="dxa" w:w="6800"/>
        <w:jc w:val="center"/>
        <w:tblBorders>
          <w:top w:val="single" w:color="1F3864" w:sz="6"/>
          <w:left w:val="single" w:color="1F3864" w:sz="6"/>
          <w:bottom w:val="single" w:color="1F3864" w:sz="6"/>
          <w:right w:val="single" w:color="1F3864" w:sz="6"/>
          <w:insideH w:val="single" w:color="auto" w:sz="4"/>
          <w:insideV w:val="single" w:color="auto" w:sz="4"/>
        </w:tblBorders>
      </w:tblPr>
      <w:tblGrid>
        <w:gridCol w:w="6800"/>
      </w:tblGrid>
      <w:tr>
        <w:tc>
          <w:tcPr>
            <w:tcW w:type="dxa" w:w="6800"/>
            <w:shd w:fill="1F3864" w:val="clear"/>
            <w:tcMar>
              <w:top w:type="dxa" w:w="40"/>
              <w:left w:type="dxa" w:w="120"/>
              <w:bottom w:type="dxa" w:w="40"/>
              <w:right w:type="dxa" w:w="120"/>
            </w:tcMar>
          </w:tcPr>
          <w:p>
            <w:pPr>
              <w:spacing w:after="40" w:before="40"/>
              <w:jc w:val="center"/>
            </w:pPr>
            <w:r>
              <w:rPr>
                <w:b/>
                <w:bCs/>
                <w:color w:val="FFFFFF"/>
                <w:sz w:val="20"/>
                <w:szCs w:val="20"/>
              </w:rPr>
              <w:t xml:space="preserve">Dashboards and caches refreshed</w:t>
            </w:r>
          </w:p>
        </w:tc>
      </w:tr>
    </w:tbl>
    <w:p>
      <w:pPr>
        <w:spacing w:after="160"/>
      </w:pPr>
    </w:p>
    <w:p>
      <w:pPr>
        <w:spacing w:after="140" w:line="276"/>
        <w:jc w:val="both"/>
      </w:pPr>
      <w:r>
        <w:t xml:space="preserve">Operations staff have a dedicated toolkit: live progress with named steps during uploads; a batch monitoring screen with job and step history; a fee-resolution report per load showing anything left unpriced; integration run history with one-click retry for scheduled pulls; and correction tools — replace a day by re-uploading it, delete a single tenant-day with explicit confirmation, rebuild summaries, or run interchange normalisation. Database maintenance (nightly analyze/vacuum in a configured window, aware of running jobs) and backup/restore are built into the administration screens rather than left to ad-hoc scripts. Bulk operations are intentionally sequential — merchant files before transaction files — to keep loads deterministic and self-healing.</w:t>
      </w:r>
    </w:p>
    <w:p>
      <w:pPr>
        <w:pStyle w:val="Heading1"/>
        <w:pageBreakBefore/>
        <w:spacing w:after="120" w:before="360"/>
      </w:pPr>
      <w:r>
        <w:t xml:space="preserve">23. Business Benefits</w:t>
      </w:r>
    </w:p>
    <w:p>
      <w:pPr>
        <w:spacing w:after="140" w:line="276"/>
        <w:jc w:val="both"/>
      </w:pPr>
      <w:r>
        <w:rPr>
          <w:b/>
          <w:bCs/>
        </w:rPr>
        <w:t xml:space="preserve">Revenue.</w:t>
      </w:r>
      <w:r>
        <w:t xml:space="preserve"> Merchant-level margin visibility for the first time; standing loss-making and high-volume/low-margin lists as a repricing pipeline; automated leakage flags catching rate drift and zero-MSF activity against each merchant's own baseline; DCC opportunity quantified.</w:t>
      </w:r>
    </w:p>
    <w:p>
      <w:pPr>
        <w:spacing w:after="140" w:line="276"/>
        <w:jc w:val="both"/>
      </w:pPr>
      <w:r>
        <w:rPr>
          <w:b/>
          <w:bCs/>
        </w:rPr>
        <w:t xml:space="preserve">Merchant management.</w:t>
      </w:r>
      <w:r>
        <w:t xml:space="preserve"> A live portfolio view instead of a static ledger: activity status, six behavioural segments, opportunity scores and churn risk recalculated with every load; dormancy caught in the 7–30 day window rather than at quarter-end.</w:t>
      </w:r>
    </w:p>
    <w:p>
      <w:pPr>
        <w:spacing w:after="140" w:line="276"/>
        <w:jc w:val="both"/>
      </w:pPr>
      <w:r>
        <w:rPr>
          <w:b/>
          <w:bCs/>
        </w:rPr>
        <w:t xml:space="preserve">Cost management.</w:t>
      </w:r>
      <w:r>
        <w:t xml:space="preserve"> Interchange and scheme cost computed per transaction with rule provenance; cost drivers visible by scheme, product, destination and channel; the normalisation tool keeping analytical cost aligned with Finance's confirmed totals.</w:t>
      </w:r>
    </w:p>
    <w:p>
      <w:pPr>
        <w:spacing w:after="140" w:line="276"/>
        <w:jc w:val="both"/>
      </w:pPr>
      <w:r>
        <w:rPr>
          <w:b/>
          <w:bCs/>
        </w:rPr>
        <w:t xml:space="preserve">Sales.</w:t>
      </w:r>
      <w:r>
        <w:t xml:space="preserve"> A margin-ranked (not volume-ranked) view of every agent, team and country; targets phased monthly with live attainment; portfolio drill-downs that make coaching conversations specific.</w:t>
      </w:r>
    </w:p>
    <w:p>
      <w:pPr>
        <w:spacing w:after="140" w:line="276"/>
        <w:jc w:val="both"/>
      </w:pPr>
      <w:r>
        <w:rPr>
          <w:b/>
          <w:bCs/>
        </w:rPr>
        <w:t xml:space="preserve">Operations.</w:t>
      </w:r>
      <w:r>
        <w:t xml:space="preserve"> One controlled ingestion path with validation gates instead of spreadsheet consolidation; repeatable month-end packs; correction tools that make errors recoverable rather than permanent.</w:t>
      </w:r>
    </w:p>
    <w:p>
      <w:pPr>
        <w:spacing w:after="140" w:line="276"/>
        <w:jc w:val="both"/>
      </w:pPr>
      <w:r>
        <w:rPr>
          <w:b/>
          <w:bCs/>
        </w:rPr>
        <w:t xml:space="preserve">Management.</w:t>
      </w:r>
      <w:r>
        <w:t xml:space="preserve"> A single intelligence layer with one set of definitions across every function and market — including multi-currency portfolios — plus self-service and plain-English querying that shortens the distance between a question and its answer.</w:t>
      </w:r>
    </w:p>
    <w:p>
      <w:pPr>
        <w:spacing w:after="140" w:line="276"/>
        <w:jc w:val="both"/>
      </w:pPr>
      <w:r>
        <w:t xml:space="preserve">The platform avoids overstating itself; equally, the categories above are not aspirations — each maps to a shipped screen or engine described in this document.</w:t>
      </w:r>
    </w:p>
    <w:p>
      <w:pPr>
        <w:pStyle w:val="Heading1"/>
        <w:pageBreakBefore/>
        <w:spacing w:after="120" w:before="360"/>
      </w:pPr>
      <w:r>
        <w:t xml:space="preserve">24. Example End-to-End Business Scenario</w:t>
      </w:r>
    </w:p>
    <w:p>
      <w:pPr>
        <w:spacing w:after="140" w:line="276"/>
        <w:jc w:val="both"/>
      </w:pPr>
      <w:r>
        <w:rPr>
          <w:b/>
          <w:bCs/>
        </w:rPr>
        <w:t xml:space="preserve">A mid-sized supermarket merchant's volume falls 25% in a month.</w:t>
      </w:r>
    </w:p>
    <w:p>
      <w:pPr>
        <w:pStyle w:val="ListParagraph"/>
        <w:numPr>
          <w:ilvl w:val="0"/>
          <w:numId w:val="3"/>
        </w:numPr>
        <w:spacing w:after="60"/>
      </w:pPr>
      <w:r>
        <w:t xml:space="preserve">The daily transaction files containing the merchant's (reduced) activity load through the standard pipeline; facts, fees and aggregates update within minutes of each file.</w:t>
      </w:r>
    </w:p>
    <w:p>
      <w:pPr>
        <w:pStyle w:val="ListParagraph"/>
        <w:numPr>
          <w:ilvl w:val="0"/>
          <w:numId w:val="3"/>
        </w:numPr>
        <w:spacing w:after="60"/>
      </w:pPr>
      <w:r>
        <w:t xml:space="preserve">The nightly-refreshed merchant metrics register a sharpening negative trend; the churn model raises the merchant's risk score, citing volume trend and recency.</w:t>
      </w:r>
    </w:p>
    <w:p>
      <w:pPr>
        <w:pStyle w:val="ListParagraph"/>
        <w:numPr>
          <w:ilvl w:val="0"/>
          <w:numId w:val="3"/>
        </w:numPr>
        <w:spacing w:after="60"/>
      </w:pPr>
      <w:r>
        <w:t xml:space="preserve">The attrition report moves the merchant into the "declining" cohort, and its MSF contribution appears in the report's value-at-risk figure. The segment engine re-tags the merchant "At Risk".</w:t>
      </w:r>
    </w:p>
    <w:p>
      <w:pPr>
        <w:pStyle w:val="ListParagraph"/>
        <w:numPr>
          <w:ilvl w:val="0"/>
          <w:numId w:val="3"/>
        </w:numPr>
        <w:spacing w:after="60"/>
      </w:pPr>
      <w:r>
        <w:t xml:space="preserve">The responsible agent sees the merchant near the top of their portfolio's decliners; the sales lead sees the same picture one level up on the executive sales dashboard.</w:t>
      </w:r>
    </w:p>
    <w:p>
      <w:pPr>
        <w:pStyle w:val="ListParagraph"/>
        <w:numPr>
          <w:ilvl w:val="0"/>
          <w:numId w:val="3"/>
        </w:numPr>
        <w:spacing w:after="60"/>
      </w:pPr>
      <w:r>
        <w:t xml:space="preserve">In Merchant 360, the RM notices the decline is confined to one store — the merchant's second location has gone silent while the first is stable. This is a terminal or store problem, not a lost relationship.</w:t>
      </w:r>
    </w:p>
    <w:p>
      <w:pPr>
        <w:pStyle w:val="ListParagraph"/>
        <w:numPr>
          <w:ilvl w:val="0"/>
          <w:numId w:val="3"/>
        </w:numPr>
        <w:spacing w:after="60"/>
      </w:pPr>
      <w:r>
        <w:t xml:space="preserve">The RM contacts the merchant: the store's terminal failed and was never replaced. A replacement is arranged.</w:t>
      </w:r>
    </w:p>
    <w:p>
      <w:pPr>
        <w:pStyle w:val="ListParagraph"/>
        <w:numPr>
          <w:ilvl w:val="0"/>
          <w:numId w:val="3"/>
        </w:numPr>
        <w:spacing w:after="60"/>
      </w:pPr>
      <w:r>
        <w:t xml:space="preserve">Over the following weeks, the retention report shows the merchant reactivating; the churn score decays; the segment returns to Volume Driver.</w:t>
      </w:r>
    </w:p>
    <w:p>
      <w:pPr>
        <w:spacing w:after="140" w:line="276"/>
        <w:jc w:val="both"/>
      </w:pPr>
      <w:r>
        <w:rPr>
          <w:b/>
          <w:bCs/>
        </w:rPr>
        <w:t xml:space="preserve">A companion pricing scenario.</w:t>
      </w:r>
      <w:r>
        <w:t xml:space="preserve"> Finance's monthly review of the fee-resolution report shows a batch of e-commerce transactions priced by wildcard rules on a new international corridor. The product team examines the corridor in the destination dashboard and group reports, finds margins thinner than assumed, models an MSF adjustment for the affected cohort in the pricing simulator, and takes a quantified repricing proposal to committee — with the interchange side of the case standing on normalised, Finance-confirmed cost.</w:t>
      </w:r>
    </w:p>
    <w:p>
      <w:pPr>
        <w:pStyle w:val="Heading1"/>
        <w:pageBreakBefore/>
        <w:spacing w:after="120" w:before="360"/>
      </w:pPr>
      <w:r>
        <w:t xml:space="preserve">25. NEXUS Business Value Chain</w:t>
      </w:r>
    </w:p>
    <w:p>
      <w:pPr>
        <w:spacing w:after="60"/>
      </w:pPr>
    </w:p>
    <w:tbl>
      <w:tblPr>
        <w:tblW w:type="dxa" w:w="5800"/>
        <w:jc w:val="center"/>
        <w:tblBorders>
          <w:top w:val="single" w:color="D9E2F3" w:sz="6"/>
          <w:left w:val="single" w:color="D9E2F3" w:sz="6"/>
          <w:bottom w:val="single" w:color="D9E2F3" w:sz="6"/>
          <w:right w:val="single" w:color="D9E2F3" w:sz="6"/>
          <w:insideH w:val="single" w:color="auto" w:sz="4"/>
          <w:insideV w:val="single" w:color="auto" w:sz="4"/>
        </w:tblBorders>
      </w:tblPr>
      <w:tblGrid>
        <w:gridCol w:w="5800"/>
      </w:tblGrid>
      <w:tr>
        <w:tc>
          <w:tcPr>
            <w:tcW w:type="dxa" w:w="5800"/>
            <w:shd w:fill="D9E2F3" w:val="clear"/>
            <w:tcMar>
              <w:top w:type="dxa" w:w="40"/>
              <w:left w:type="dxa" w:w="120"/>
              <w:bottom w:type="dxa" w:w="40"/>
              <w:right w:type="dxa" w:w="120"/>
            </w:tcMar>
          </w:tcPr>
          <w:p>
            <w:pPr>
              <w:spacing w:after="20" w:before="40"/>
              <w:jc w:val="center"/>
            </w:pPr>
            <w:r>
              <w:rPr>
                <w:b/>
                <w:bCs/>
                <w:color w:val="1F3864"/>
                <w:sz w:val="20"/>
                <w:szCs w:val="20"/>
              </w:rPr>
              <w:t xml:space="preserve">DATA</w:t>
            </w:r>
          </w:p>
          <w:p>
            <w:pPr>
              <w:spacing w:after="40"/>
              <w:jc w:val="center"/>
            </w:pPr>
            <w:r>
              <w:rPr>
                <w:color w:val="1F3864"/>
                <w:sz w:val="17"/>
                <w:szCs w:val="17"/>
              </w:rPr>
              <w:t xml:space="preserve">files &amp; feeds</w:t>
            </w:r>
          </w:p>
        </w:tc>
      </w:tr>
    </w:tbl>
    <w:p>
      <w:pPr>
        <w:spacing w:after="30" w:before="30"/>
        <w:jc w:val="center"/>
      </w:pPr>
      <w:r>
        <w:rPr>
          <w:b/>
          <w:bCs/>
          <w:color w:val="2F5496"/>
          <w:sz w:val="22"/>
          <w:szCs w:val="22"/>
        </w:rPr>
        <w:t xml:space="preserve">▼</w:t>
      </w:r>
    </w:p>
    <w:tbl>
      <w:tblPr>
        <w:tblW w:type="dxa" w:w="5800"/>
        <w:jc w:val="center"/>
        <w:tblBorders>
          <w:top w:val="single" w:color="B4C7E7" w:sz="6"/>
          <w:left w:val="single" w:color="B4C7E7" w:sz="6"/>
          <w:bottom w:val="single" w:color="B4C7E7" w:sz="6"/>
          <w:right w:val="single" w:color="B4C7E7" w:sz="6"/>
          <w:insideH w:val="single" w:color="auto" w:sz="4"/>
          <w:insideV w:val="single" w:color="auto" w:sz="4"/>
        </w:tblBorders>
      </w:tblPr>
      <w:tblGrid>
        <w:gridCol w:w="5800"/>
      </w:tblGrid>
      <w:tr>
        <w:tc>
          <w:tcPr>
            <w:tcW w:type="dxa" w:w="5800"/>
            <w:shd w:fill="B4C7E7" w:val="clear"/>
            <w:tcMar>
              <w:top w:type="dxa" w:w="40"/>
              <w:left w:type="dxa" w:w="120"/>
              <w:bottom w:type="dxa" w:w="40"/>
              <w:right w:type="dxa" w:w="120"/>
            </w:tcMar>
          </w:tcPr>
          <w:p>
            <w:pPr>
              <w:spacing w:after="20" w:before="40"/>
              <w:jc w:val="center"/>
            </w:pPr>
            <w:r>
              <w:rPr>
                <w:b/>
                <w:bCs/>
                <w:color w:val="1F3864"/>
                <w:sz w:val="20"/>
                <w:szCs w:val="20"/>
              </w:rPr>
              <w:t xml:space="preserve">TRANSACTIONS</w:t>
            </w:r>
          </w:p>
          <w:p>
            <w:pPr>
              <w:spacing w:after="40"/>
              <w:jc w:val="center"/>
            </w:pPr>
            <w:r>
              <w:rPr>
                <w:color w:val="1F3864"/>
                <w:sz w:val="17"/>
                <w:szCs w:val="17"/>
              </w:rPr>
              <w:t xml:space="preserve">validated, matched, priced facts</w:t>
            </w:r>
          </w:p>
        </w:tc>
      </w:tr>
    </w:tbl>
    <w:p>
      <w:pPr>
        <w:spacing w:after="30" w:before="30"/>
        <w:jc w:val="center"/>
      </w:pPr>
      <w:r>
        <w:rPr>
          <w:b/>
          <w:bCs/>
          <w:color w:val="2F5496"/>
          <w:sz w:val="22"/>
          <w:szCs w:val="22"/>
        </w:rPr>
        <w:t xml:space="preserve">▼</w:t>
      </w:r>
    </w:p>
    <w:tbl>
      <w:tblPr>
        <w:tblW w:type="dxa" w:w="5800"/>
        <w:jc w:val="center"/>
        <w:tblBorders>
          <w:top w:val="single" w:color="8EAADB" w:sz="6"/>
          <w:left w:val="single" w:color="8EAADB" w:sz="6"/>
          <w:bottom w:val="single" w:color="8EAADB" w:sz="6"/>
          <w:right w:val="single" w:color="8EAADB" w:sz="6"/>
          <w:insideH w:val="single" w:color="auto" w:sz="4"/>
          <w:insideV w:val="single" w:color="auto" w:sz="4"/>
        </w:tblBorders>
      </w:tblPr>
      <w:tblGrid>
        <w:gridCol w:w="5800"/>
      </w:tblGrid>
      <w:tr>
        <w:tc>
          <w:tcPr>
            <w:tcW w:type="dxa" w:w="5800"/>
            <w:shd w:fill="8EAADB" w:val="clear"/>
            <w:tcMar>
              <w:top w:type="dxa" w:w="40"/>
              <w:left w:type="dxa" w:w="120"/>
              <w:bottom w:type="dxa" w:w="40"/>
              <w:right w:type="dxa" w:w="120"/>
            </w:tcMar>
          </w:tcPr>
          <w:p>
            <w:pPr>
              <w:spacing w:after="20" w:before="40"/>
              <w:jc w:val="center"/>
            </w:pPr>
            <w:r>
              <w:rPr>
                <w:b/>
                <w:bCs/>
                <w:color w:val="FFFFFF"/>
                <w:sz w:val="20"/>
                <w:szCs w:val="20"/>
              </w:rPr>
              <w:t xml:space="preserve">INFORMATION</w:t>
            </w:r>
          </w:p>
          <w:p>
            <w:pPr>
              <w:spacing w:after="40"/>
              <w:jc w:val="center"/>
            </w:pPr>
            <w:r>
              <w:rPr>
                <w:color w:val="FFFFFF"/>
                <w:sz w:val="17"/>
                <w:szCs w:val="17"/>
              </w:rPr>
              <w:t xml:space="preserve">daily &amp; monthly aggregates</w:t>
            </w:r>
          </w:p>
        </w:tc>
      </w:tr>
    </w:tbl>
    <w:p>
      <w:pPr>
        <w:spacing w:after="30" w:before="30"/>
        <w:jc w:val="center"/>
      </w:pPr>
      <w:r>
        <w:rPr>
          <w:b/>
          <w:bCs/>
          <w:color w:val="2F5496"/>
          <w:sz w:val="22"/>
          <w:szCs w:val="22"/>
        </w:rPr>
        <w:t xml:space="preserve">▼</w:t>
      </w:r>
    </w:p>
    <w:tbl>
      <w:tblPr>
        <w:tblW w:type="dxa" w:w="5800"/>
        <w:jc w:val="center"/>
        <w:tblBorders>
          <w:top w:val="single" w:color="6C8FD0" w:sz="6"/>
          <w:left w:val="single" w:color="6C8FD0" w:sz="6"/>
          <w:bottom w:val="single" w:color="6C8FD0" w:sz="6"/>
          <w:right w:val="single" w:color="6C8FD0" w:sz="6"/>
          <w:insideH w:val="single" w:color="auto" w:sz="4"/>
          <w:insideV w:val="single" w:color="auto" w:sz="4"/>
        </w:tblBorders>
      </w:tblPr>
      <w:tblGrid>
        <w:gridCol w:w="5800"/>
      </w:tblGrid>
      <w:tr>
        <w:tc>
          <w:tcPr>
            <w:tcW w:type="dxa" w:w="5800"/>
            <w:shd w:fill="6C8FD0" w:val="clear"/>
            <w:tcMar>
              <w:top w:type="dxa" w:w="40"/>
              <w:left w:type="dxa" w:w="120"/>
              <w:bottom w:type="dxa" w:w="40"/>
              <w:right w:type="dxa" w:w="120"/>
            </w:tcMar>
          </w:tcPr>
          <w:p>
            <w:pPr>
              <w:spacing w:after="20" w:before="40"/>
              <w:jc w:val="center"/>
            </w:pPr>
            <w:r>
              <w:rPr>
                <w:b/>
                <w:bCs/>
                <w:color w:val="FFFFFF"/>
                <w:sz w:val="20"/>
                <w:szCs w:val="20"/>
              </w:rPr>
              <w:t xml:space="preserve">ANALYTICS</w:t>
            </w:r>
          </w:p>
          <w:p>
            <w:pPr>
              <w:spacing w:after="40"/>
              <w:jc w:val="center"/>
            </w:pPr>
            <w:r>
              <w:rPr>
                <w:color w:val="FFFFFF"/>
                <w:sz w:val="17"/>
                <w:szCs w:val="17"/>
              </w:rPr>
              <w:t xml:space="preserve">dashboards · explorer · AI · forecasts</w:t>
            </w:r>
          </w:p>
        </w:tc>
      </w:tr>
    </w:tbl>
    <w:p>
      <w:pPr>
        <w:spacing w:after="30" w:before="30"/>
        <w:jc w:val="center"/>
      </w:pPr>
      <w:r>
        <w:rPr>
          <w:b/>
          <w:bCs/>
          <w:color w:val="2F5496"/>
          <w:sz w:val="22"/>
          <w:szCs w:val="22"/>
        </w:rPr>
        <w:t xml:space="preserve">▼</w:t>
      </w:r>
    </w:p>
    <w:tbl>
      <w:tblPr>
        <w:tblW w:type="dxa" w:w="5800"/>
        <w:jc w:val="center"/>
        <w:tblBorders>
          <w:top w:val="single" w:color="2F5496" w:sz="6"/>
          <w:left w:val="single" w:color="2F5496" w:sz="6"/>
          <w:bottom w:val="single" w:color="2F5496" w:sz="6"/>
          <w:right w:val="single" w:color="2F5496" w:sz="6"/>
          <w:insideH w:val="single" w:color="auto" w:sz="4"/>
          <w:insideV w:val="single" w:color="auto" w:sz="4"/>
        </w:tblBorders>
      </w:tblPr>
      <w:tblGrid>
        <w:gridCol w:w="5800"/>
      </w:tblGrid>
      <w:tr>
        <w:tc>
          <w:tcPr>
            <w:tcW w:type="dxa" w:w="5800"/>
            <w:shd w:fill="2F5496" w:val="clear"/>
            <w:tcMar>
              <w:top w:type="dxa" w:w="40"/>
              <w:left w:type="dxa" w:w="120"/>
              <w:bottom w:type="dxa" w:w="40"/>
              <w:right w:type="dxa" w:w="120"/>
            </w:tcMar>
          </w:tcPr>
          <w:p>
            <w:pPr>
              <w:spacing w:after="20" w:before="40"/>
              <w:jc w:val="center"/>
            </w:pPr>
            <w:r>
              <w:rPr>
                <w:b/>
                <w:bCs/>
                <w:color w:val="FFFFFF"/>
                <w:sz w:val="20"/>
                <w:szCs w:val="20"/>
              </w:rPr>
              <w:t xml:space="preserve">INSIGHT</w:t>
            </w:r>
          </w:p>
          <w:p>
            <w:pPr>
              <w:spacing w:after="40"/>
              <w:jc w:val="center"/>
            </w:pPr>
            <w:r>
              <w:rPr>
                <w:color w:val="FFFFFF"/>
                <w:sz w:val="17"/>
                <w:szCs w:val="17"/>
              </w:rPr>
              <w:t xml:space="preserve">segments · churn risk · leakage · attainment</w:t>
            </w:r>
          </w:p>
        </w:tc>
      </w:tr>
    </w:tbl>
    <w:p>
      <w:pPr>
        <w:spacing w:after="30" w:before="30"/>
        <w:jc w:val="center"/>
      </w:pPr>
      <w:r>
        <w:rPr>
          <w:b/>
          <w:bCs/>
          <w:color w:val="2F5496"/>
          <w:sz w:val="22"/>
          <w:szCs w:val="22"/>
        </w:rPr>
        <w:t xml:space="preserve">▼</w:t>
      </w:r>
    </w:p>
    <w:tbl>
      <w:tblPr>
        <w:tblW w:type="dxa" w:w="5800"/>
        <w:jc w:val="center"/>
        <w:tblBorders>
          <w:top w:val="single" w:color="4472C4" w:sz="6"/>
          <w:left w:val="single" w:color="4472C4" w:sz="6"/>
          <w:bottom w:val="single" w:color="4472C4" w:sz="6"/>
          <w:right w:val="single" w:color="4472C4" w:sz="6"/>
          <w:insideH w:val="single" w:color="auto" w:sz="4"/>
          <w:insideV w:val="single" w:color="auto" w:sz="4"/>
        </w:tblBorders>
      </w:tblPr>
      <w:tblGrid>
        <w:gridCol w:w="5800"/>
      </w:tblGrid>
      <w:tr>
        <w:tc>
          <w:tcPr>
            <w:tcW w:type="dxa" w:w="5800"/>
            <w:shd w:fill="4472C4" w:val="clear"/>
            <w:tcMar>
              <w:top w:type="dxa" w:w="40"/>
              <w:left w:type="dxa" w:w="120"/>
              <w:bottom w:type="dxa" w:w="40"/>
              <w:right w:type="dxa" w:w="120"/>
            </w:tcMar>
          </w:tcPr>
          <w:p>
            <w:pPr>
              <w:spacing w:after="20" w:before="40"/>
              <w:jc w:val="center"/>
            </w:pPr>
            <w:r>
              <w:rPr>
                <w:b/>
                <w:bCs/>
                <w:color w:val="FFFFFF"/>
                <w:sz w:val="20"/>
                <w:szCs w:val="20"/>
              </w:rPr>
              <w:t xml:space="preserve">BUSINESS ACTION</w:t>
            </w:r>
          </w:p>
          <w:p>
            <w:pPr>
              <w:spacing w:after="40"/>
              <w:jc w:val="center"/>
            </w:pPr>
            <w:r>
              <w:rPr>
                <w:color w:val="FFFFFF"/>
                <w:sz w:val="17"/>
                <w:szCs w:val="17"/>
              </w:rPr>
              <w:t xml:space="preserve">reprice · retain · reprioritise · reconcile</w:t>
            </w:r>
          </w:p>
        </w:tc>
      </w:tr>
    </w:tbl>
    <w:p>
      <w:pPr>
        <w:spacing w:after="30" w:before="30"/>
        <w:jc w:val="center"/>
      </w:pPr>
      <w:r>
        <w:rPr>
          <w:b/>
          <w:bCs/>
          <w:color w:val="2F5496"/>
          <w:sz w:val="22"/>
          <w:szCs w:val="22"/>
        </w:rPr>
        <w:t xml:space="preserve">▼</w:t>
      </w:r>
    </w:p>
    <w:tbl>
      <w:tblPr>
        <w:tblW w:type="dxa" w:w="5800"/>
        <w:jc w:val="center"/>
        <w:tblBorders>
          <w:top w:val="single" w:color="1F3864" w:sz="6"/>
          <w:left w:val="single" w:color="1F3864" w:sz="6"/>
          <w:bottom w:val="single" w:color="1F3864" w:sz="6"/>
          <w:right w:val="single" w:color="1F3864" w:sz="6"/>
          <w:insideH w:val="single" w:color="auto" w:sz="4"/>
          <w:insideV w:val="single" w:color="auto" w:sz="4"/>
        </w:tblBorders>
      </w:tblPr>
      <w:tblGrid>
        <w:gridCol w:w="5800"/>
      </w:tblGrid>
      <w:tr>
        <w:tc>
          <w:tcPr>
            <w:tcW w:type="dxa" w:w="5800"/>
            <w:shd w:fill="1F3864" w:val="clear"/>
            <w:tcMar>
              <w:top w:type="dxa" w:w="40"/>
              <w:left w:type="dxa" w:w="120"/>
              <w:bottom w:type="dxa" w:w="40"/>
              <w:right w:type="dxa" w:w="120"/>
            </w:tcMar>
          </w:tcPr>
          <w:p>
            <w:pPr>
              <w:spacing w:after="20" w:before="40"/>
              <w:jc w:val="center"/>
            </w:pPr>
            <w:r>
              <w:rPr>
                <w:b/>
                <w:bCs/>
                <w:color w:val="FFFFFF"/>
                <w:sz w:val="20"/>
                <w:szCs w:val="20"/>
              </w:rPr>
              <w:t xml:space="preserve">VALUE</w:t>
            </w:r>
          </w:p>
          <w:p>
            <w:pPr>
              <w:spacing w:after="40"/>
              <w:jc w:val="center"/>
            </w:pPr>
            <w:r>
              <w:rPr>
                <w:color w:val="FFFFFF"/>
                <w:sz w:val="17"/>
                <w:szCs w:val="17"/>
              </w:rPr>
              <w:t xml:space="preserve">margin protected · merchants retained · risk controlled</w:t>
            </w:r>
          </w:p>
        </w:tc>
      </w:tr>
    </w:tbl>
    <w:p>
      <w:pPr>
        <w:spacing w:after="160"/>
      </w:pPr>
    </w:p>
    <w:p>
      <w:pPr>
        <w:spacing w:after="140" w:line="276"/>
        <w:jc w:val="both"/>
      </w:pPr>
      <w:r>
        <w:t xml:space="preserve">Each link is a shipped capability: the pricing of facts (fee engine), the aggregation discipline (exact daily-to-monthly reconciliation), the analytical surfaces (dashboards, explorer, AI), the derived intelligence (segments, scores, flags) and the delivery mechanisms that push insight outward (alerts, scheduled reports, merchant PDFs).</w:t>
      </w:r>
    </w:p>
    <w:p>
      <w:pPr>
        <w:pStyle w:val="Heading1"/>
        <w:pageBreakBefore/>
        <w:spacing w:after="120" w:before="360"/>
      </w:pPr>
      <w:r>
        <w:t xml:space="preserve">26. Conclusion</w:t>
      </w:r>
    </w:p>
    <w:p>
      <w:pPr>
        <w:spacing w:after="140" w:line="276"/>
        <w:jc w:val="both"/>
      </w:pPr>
      <w:r>
        <w:t xml:space="preserve">Most acquiring organisations do not lack data; they lack a shared, trusted, merchant-level reading of it. The practical achievement of NEXUS is that Finance's margin figure, the sales leaderboard's ranking, the executive dashboard's headline and the merchant's own PDF report are all computed once, from the same priced transaction facts, under the same definitions — and reconcile to source.</w:t>
      </w:r>
    </w:p>
    <w:p>
      <w:pPr>
        <w:spacing w:after="140" w:line="276"/>
        <w:jc w:val="both"/>
      </w:pPr>
      <w:r>
        <w:t xml:space="preserve">That single property changes how the functions work together. Acquiring and Product argue about pricing from the same margin table Finance signed off. Sales conversations start from portfolio data both the RM and the sales head can see. Operations knows a load either passed its gates or was rejected with a reason. Risk and business teams triage the same flags. Management asks a question in plain English and gets an answer grounded in the warehouse, not in someone's spreadsheet.</w:t>
      </w:r>
    </w:p>
    <w:p>
      <w:pPr>
        <w:spacing w:after="140" w:line="276"/>
        <w:jc w:val="both"/>
      </w:pPr>
      <w:r>
        <w:t xml:space="preserve">For a multi-market acquirer, the same discipline extends across borders: new institutions are provisioned as tenants with their own currencies, schemes and rate cards, inheriting the entire analytical stack from day one. The platform's near-term roadmap — BIN-driven card classification, a unified settings hub, rate-card administration screens — builds on that foundation rather than changing it.</w:t>
      </w:r>
    </w:p>
    <w:p>
      <w:pPr>
        <w:spacing w:after="140" w:line="276"/>
        <w:jc w:val="both"/>
      </w:pPr>
      <w:r>
        <w:t xml:space="preserve">NEXUS is best understood, then, not as a reporting tool but as the acquiring business's common intelligence layer: the place where transaction data becomes the numbers the organisation runs on.</w:t>
      </w:r>
    </w:p>
    <w:p>
      <w:pPr>
        <w:pStyle w:val="Heading1"/>
        <w:pageBreakBefore/>
        <w:spacing w:after="120" w:before="360"/>
      </w:pPr>
      <w:r>
        <w:t xml:space="preserve">Appendix — Business Glossary</w:t>
      </w:r>
    </w:p>
    <w:tbl>
      <w:tblPr>
        <w:tblW w:type="dxa" w:w="9026"/>
        <w:tblBorders>
          <w:top w:val="single" w:color="C5D3E8" w:sz="4"/>
          <w:left w:val="single" w:color="C5D3E8" w:sz="4"/>
          <w:bottom w:val="single" w:color="C5D3E8" w:sz="4"/>
          <w:right w:val="single" w:color="C5D3E8" w:sz="4"/>
          <w:insideH w:val="single" w:color="C5D3E8" w:sz="4"/>
          <w:insideV w:val="single" w:color="C5D3E8" w:sz="4"/>
        </w:tblBorders>
      </w:tblPr>
      <w:tblGrid>
        <w:gridCol w:w="4513"/>
        <w:gridCol w:w="4513"/>
      </w:tblGrid>
      <w:tr>
        <w:trPr>
          <w:tblHeader/>
        </w:trPr>
        <w:tc>
          <w:tcPr>
            <w:tcW w:type="dxa" w:w="4513"/>
            <w:shd w:fill="E8EEF7" w:val="clear"/>
            <w:tcMar>
              <w:top w:type="dxa" w:w="60"/>
              <w:left w:type="dxa" w:w="100"/>
              <w:bottom w:type="dxa" w:w="60"/>
              <w:right w:type="dxa" w:w="100"/>
            </w:tcMar>
          </w:tcPr>
          <w:p>
            <w:pPr>
              <w:spacing w:after="20" w:before="20"/>
            </w:pPr>
            <w:r>
              <w:rPr>
                <w:b/>
                <w:bCs/>
                <w:color w:val="1F3864"/>
                <w:sz w:val="18"/>
                <w:szCs w:val="18"/>
              </w:rPr>
              <w:t xml:space="preserve">Term</w:t>
            </w:r>
          </w:p>
        </w:tc>
        <w:tc>
          <w:tcPr>
            <w:tcW w:type="dxa" w:w="4513"/>
            <w:shd w:fill="E8EEF7" w:val="clear"/>
            <w:tcMar>
              <w:top w:type="dxa" w:w="60"/>
              <w:left w:type="dxa" w:w="100"/>
              <w:bottom w:type="dxa" w:w="60"/>
              <w:right w:type="dxa" w:w="100"/>
            </w:tcMar>
          </w:tcPr>
          <w:p>
            <w:pPr>
              <w:spacing w:after="20" w:before="20"/>
            </w:pPr>
            <w:r>
              <w:rPr>
                <w:b/>
                <w:bCs/>
                <w:color w:val="1F3864"/>
                <w:sz w:val="18"/>
                <w:szCs w:val="18"/>
              </w:rPr>
              <w:t xml:space="preserve">Meaning</w:t>
            </w:r>
          </w:p>
        </w:tc>
      </w:tr>
      <w:tr>
        <w:trPr>
          <w:tblHeader w:val="false"/>
        </w:trPr>
        <w:tc>
          <w:tcPr>
            <w:tcW w:type="dxa" w:w="4513"/>
            <w:tcMar>
              <w:top w:type="dxa" w:w="60"/>
              <w:left w:type="dxa" w:w="100"/>
              <w:bottom w:type="dxa" w:w="60"/>
              <w:right w:type="dxa" w:w="100"/>
            </w:tcMar>
          </w:tcPr>
          <w:p>
            <w:pPr>
              <w:spacing w:after="20" w:before="20"/>
            </w:pPr>
            <w:r>
              <w:rPr>
                <w:b w:val="false"/>
                <w:bCs w:val="false"/>
                <w:sz w:val="18"/>
                <w:szCs w:val="18"/>
              </w:rPr>
              <w:t xml:space="preserve">MID</w:t>
            </w:r>
          </w:p>
        </w:tc>
        <w:tc>
          <w:tcPr>
            <w:tcW w:type="dxa" w:w="4513"/>
            <w:tcMar>
              <w:top w:type="dxa" w:w="60"/>
              <w:left w:type="dxa" w:w="100"/>
              <w:bottom w:type="dxa" w:w="60"/>
              <w:right w:type="dxa" w:w="100"/>
            </w:tcMar>
          </w:tcPr>
          <w:p>
            <w:pPr>
              <w:spacing w:after="20" w:before="20"/>
            </w:pPr>
            <w:r>
              <w:rPr>
                <w:b w:val="false"/>
                <w:bCs w:val="false"/>
                <w:sz w:val="18"/>
                <w:szCs w:val="18"/>
              </w:rPr>
              <w:t xml:space="preserve">Merchant Identifier — the unique ID of a merchant in the acquiring book</w:t>
            </w:r>
          </w:p>
        </w:tc>
      </w:tr>
      <w:tr>
        <w:trPr>
          <w:tblHeader w:val="false"/>
        </w:trPr>
        <w:tc>
          <w:tcPr>
            <w:tcW w:type="dxa" w:w="4513"/>
            <w:tcMar>
              <w:top w:type="dxa" w:w="60"/>
              <w:left w:type="dxa" w:w="100"/>
              <w:bottom w:type="dxa" w:w="60"/>
              <w:right w:type="dxa" w:w="100"/>
            </w:tcMar>
          </w:tcPr>
          <w:p>
            <w:pPr>
              <w:spacing w:after="20" w:before="20"/>
            </w:pPr>
            <w:r>
              <w:rPr>
                <w:b w:val="false"/>
                <w:bCs w:val="false"/>
                <w:sz w:val="18"/>
                <w:szCs w:val="18"/>
              </w:rPr>
              <w:t xml:space="preserve">SID</w:t>
            </w:r>
          </w:p>
        </w:tc>
        <w:tc>
          <w:tcPr>
            <w:tcW w:type="dxa" w:w="4513"/>
            <w:tcMar>
              <w:top w:type="dxa" w:w="60"/>
              <w:left w:type="dxa" w:w="100"/>
              <w:bottom w:type="dxa" w:w="60"/>
              <w:right w:type="dxa" w:w="100"/>
            </w:tcMar>
          </w:tcPr>
          <w:p>
            <w:pPr>
              <w:spacing w:after="20" w:before="20"/>
            </w:pPr>
            <w:r>
              <w:rPr>
                <w:b w:val="false"/>
                <w:bCs w:val="false"/>
                <w:sz w:val="18"/>
                <w:szCs w:val="18"/>
              </w:rPr>
              <w:t xml:space="preserve">Store Identifier — a merchant's individual outlet/location</w:t>
            </w:r>
          </w:p>
        </w:tc>
      </w:tr>
      <w:tr>
        <w:trPr>
          <w:tblHeader w:val="false"/>
        </w:trPr>
        <w:tc>
          <w:tcPr>
            <w:tcW w:type="dxa" w:w="4513"/>
            <w:tcMar>
              <w:top w:type="dxa" w:w="60"/>
              <w:left w:type="dxa" w:w="100"/>
              <w:bottom w:type="dxa" w:w="60"/>
              <w:right w:type="dxa" w:w="100"/>
            </w:tcMar>
          </w:tcPr>
          <w:p>
            <w:pPr>
              <w:spacing w:after="20" w:before="20"/>
            </w:pPr>
            <w:r>
              <w:rPr>
                <w:b w:val="false"/>
                <w:bCs w:val="false"/>
                <w:sz w:val="18"/>
                <w:szCs w:val="18"/>
              </w:rPr>
              <w:t xml:space="preserve">TID</w:t>
            </w:r>
          </w:p>
        </w:tc>
        <w:tc>
          <w:tcPr>
            <w:tcW w:type="dxa" w:w="4513"/>
            <w:tcMar>
              <w:top w:type="dxa" w:w="60"/>
              <w:left w:type="dxa" w:w="100"/>
              <w:bottom w:type="dxa" w:w="60"/>
              <w:right w:type="dxa" w:w="100"/>
            </w:tcMar>
          </w:tcPr>
          <w:p>
            <w:pPr>
              <w:spacing w:after="20" w:before="20"/>
            </w:pPr>
            <w:r>
              <w:rPr>
                <w:b w:val="false"/>
                <w:bCs w:val="false"/>
                <w:sz w:val="18"/>
                <w:szCs w:val="18"/>
              </w:rPr>
              <w:t xml:space="preserve">Terminal Identifier — an individual acceptance device or gateway endpoint</w:t>
            </w:r>
          </w:p>
        </w:tc>
      </w:tr>
      <w:tr>
        <w:trPr>
          <w:tblHeader w:val="false"/>
        </w:trPr>
        <w:tc>
          <w:tcPr>
            <w:tcW w:type="dxa" w:w="4513"/>
            <w:tcMar>
              <w:top w:type="dxa" w:w="60"/>
              <w:left w:type="dxa" w:w="100"/>
              <w:bottom w:type="dxa" w:w="60"/>
              <w:right w:type="dxa" w:w="100"/>
            </w:tcMar>
          </w:tcPr>
          <w:p>
            <w:pPr>
              <w:spacing w:after="20" w:before="20"/>
            </w:pPr>
            <w:r>
              <w:rPr>
                <w:b w:val="false"/>
                <w:bCs w:val="false"/>
                <w:sz w:val="18"/>
                <w:szCs w:val="18"/>
              </w:rPr>
              <w:t xml:space="preserve">MSF</w:t>
            </w:r>
          </w:p>
        </w:tc>
        <w:tc>
          <w:tcPr>
            <w:tcW w:type="dxa" w:w="4513"/>
            <w:tcMar>
              <w:top w:type="dxa" w:w="60"/>
              <w:left w:type="dxa" w:w="100"/>
              <w:bottom w:type="dxa" w:w="60"/>
              <w:right w:type="dxa" w:w="100"/>
            </w:tcMar>
          </w:tcPr>
          <w:p>
            <w:pPr>
              <w:spacing w:after="20" w:before="20"/>
            </w:pPr>
            <w:r>
              <w:rPr>
                <w:b w:val="false"/>
                <w:bCs w:val="false"/>
                <w:sz w:val="18"/>
                <w:szCs w:val="18"/>
              </w:rPr>
              <w:t xml:space="preserve">Merchant Service Fee — the fee charged to the merchant per transaction; the acquirer's revenue line</w:t>
            </w:r>
          </w:p>
        </w:tc>
      </w:tr>
      <w:tr>
        <w:trPr>
          <w:tblHeader w:val="false"/>
        </w:trPr>
        <w:tc>
          <w:tcPr>
            <w:tcW w:type="dxa" w:w="4513"/>
            <w:tcMar>
              <w:top w:type="dxa" w:w="60"/>
              <w:left w:type="dxa" w:w="100"/>
              <w:bottom w:type="dxa" w:w="60"/>
              <w:right w:type="dxa" w:w="100"/>
            </w:tcMar>
          </w:tcPr>
          <w:p>
            <w:pPr>
              <w:spacing w:after="20" w:before="20"/>
            </w:pPr>
            <w:r>
              <w:rPr>
                <w:b w:val="false"/>
                <w:bCs w:val="false"/>
                <w:sz w:val="18"/>
                <w:szCs w:val="18"/>
              </w:rPr>
              <w:t xml:space="preserve">MCC</w:t>
            </w:r>
          </w:p>
        </w:tc>
        <w:tc>
          <w:tcPr>
            <w:tcW w:type="dxa" w:w="4513"/>
            <w:tcMar>
              <w:top w:type="dxa" w:w="60"/>
              <w:left w:type="dxa" w:w="100"/>
              <w:bottom w:type="dxa" w:w="60"/>
              <w:right w:type="dxa" w:w="100"/>
            </w:tcMar>
          </w:tcPr>
          <w:p>
            <w:pPr>
              <w:spacing w:after="20" w:before="20"/>
            </w:pPr>
            <w:r>
              <w:rPr>
                <w:b w:val="false"/>
                <w:bCs w:val="false"/>
                <w:sz w:val="18"/>
                <w:szCs w:val="18"/>
              </w:rPr>
              <w:t xml:space="preserve">Merchant Category Code — the scheme-defined business-category code (e.g., 5411 supermarkets)</w:t>
            </w:r>
          </w:p>
        </w:tc>
      </w:tr>
      <w:tr>
        <w:trPr>
          <w:tblHeader w:val="false"/>
        </w:trPr>
        <w:tc>
          <w:tcPr>
            <w:tcW w:type="dxa" w:w="4513"/>
            <w:tcMar>
              <w:top w:type="dxa" w:w="60"/>
              <w:left w:type="dxa" w:w="100"/>
              <w:bottom w:type="dxa" w:w="60"/>
              <w:right w:type="dxa" w:w="100"/>
            </w:tcMar>
          </w:tcPr>
          <w:p>
            <w:pPr>
              <w:spacing w:after="20" w:before="20"/>
            </w:pPr>
            <w:r>
              <w:rPr>
                <w:b w:val="false"/>
                <w:bCs w:val="false"/>
                <w:sz w:val="18"/>
                <w:szCs w:val="18"/>
              </w:rPr>
              <w:t xml:space="preserve">Interchange</w:t>
            </w:r>
          </w:p>
        </w:tc>
        <w:tc>
          <w:tcPr>
            <w:tcW w:type="dxa" w:w="4513"/>
            <w:tcMar>
              <w:top w:type="dxa" w:w="60"/>
              <w:left w:type="dxa" w:w="100"/>
              <w:bottom w:type="dxa" w:w="60"/>
              <w:right w:type="dxa" w:w="100"/>
            </w:tcMar>
          </w:tcPr>
          <w:p>
            <w:pPr>
              <w:spacing w:after="20" w:before="20"/>
            </w:pPr>
            <w:r>
              <w:rPr>
                <w:b w:val="false"/>
                <w:bCs w:val="false"/>
                <w:sz w:val="18"/>
                <w:szCs w:val="18"/>
              </w:rPr>
              <w:t xml:space="preserve">The fee paid by the acquirer to the card issuer on each transaction; typically the largest acquiring cost</w:t>
            </w:r>
          </w:p>
        </w:tc>
      </w:tr>
      <w:tr>
        <w:trPr>
          <w:tblHeader w:val="false"/>
        </w:trPr>
        <w:tc>
          <w:tcPr>
            <w:tcW w:type="dxa" w:w="4513"/>
            <w:tcMar>
              <w:top w:type="dxa" w:w="60"/>
              <w:left w:type="dxa" w:w="100"/>
              <w:bottom w:type="dxa" w:w="60"/>
              <w:right w:type="dxa" w:w="100"/>
            </w:tcMar>
          </w:tcPr>
          <w:p>
            <w:pPr>
              <w:spacing w:after="20" w:before="20"/>
            </w:pPr>
            <w:r>
              <w:rPr>
                <w:b w:val="false"/>
                <w:bCs w:val="false"/>
                <w:sz w:val="18"/>
                <w:szCs w:val="18"/>
              </w:rPr>
              <w:t xml:space="preserve">Scheme fee</w:t>
            </w:r>
          </w:p>
        </w:tc>
        <w:tc>
          <w:tcPr>
            <w:tcW w:type="dxa" w:w="4513"/>
            <w:tcMar>
              <w:top w:type="dxa" w:w="60"/>
              <w:left w:type="dxa" w:w="100"/>
              <w:bottom w:type="dxa" w:w="60"/>
              <w:right w:type="dxa" w:w="100"/>
            </w:tcMar>
          </w:tcPr>
          <w:p>
            <w:pPr>
              <w:spacing w:after="20" w:before="20"/>
            </w:pPr>
            <w:r>
              <w:rPr>
                <w:b w:val="false"/>
                <w:bCs w:val="false"/>
                <w:sz w:val="18"/>
                <w:szCs w:val="18"/>
              </w:rPr>
              <w:t xml:space="preserve">Fees paid to the card network (Visa, Mastercard, etc.) for processing across the scheme</w:t>
            </w:r>
          </w:p>
        </w:tc>
      </w:tr>
      <w:tr>
        <w:trPr>
          <w:tblHeader w:val="false"/>
        </w:trPr>
        <w:tc>
          <w:tcPr>
            <w:tcW w:type="dxa" w:w="4513"/>
            <w:tcMar>
              <w:top w:type="dxa" w:w="60"/>
              <w:left w:type="dxa" w:w="100"/>
              <w:bottom w:type="dxa" w:w="60"/>
              <w:right w:type="dxa" w:w="100"/>
            </w:tcMar>
          </w:tcPr>
          <w:p>
            <w:pPr>
              <w:spacing w:after="20" w:before="20"/>
            </w:pPr>
            <w:r>
              <w:rPr>
                <w:b w:val="false"/>
                <w:bCs w:val="false"/>
                <w:sz w:val="18"/>
                <w:szCs w:val="18"/>
              </w:rPr>
              <w:t xml:space="preserve">E-com fee</w:t>
            </w:r>
          </w:p>
        </w:tc>
        <w:tc>
          <w:tcPr>
            <w:tcW w:type="dxa" w:w="4513"/>
            <w:tcMar>
              <w:top w:type="dxa" w:w="60"/>
              <w:left w:type="dxa" w:w="100"/>
              <w:bottom w:type="dxa" w:w="60"/>
              <w:right w:type="dxa" w:w="100"/>
            </w:tcMar>
          </w:tcPr>
          <w:p>
            <w:pPr>
              <w:spacing w:after="20" w:before="20"/>
            </w:pPr>
            <w:r>
              <w:rPr>
                <w:b w:val="false"/>
                <w:bCs w:val="false"/>
                <w:sz w:val="18"/>
                <w:szCs w:val="18"/>
              </w:rPr>
              <w:t xml:space="preserve">Per-transaction flat fee applied to e-commerce/gateway transactions in NEXUS's cost model</w:t>
            </w:r>
          </w:p>
        </w:tc>
      </w:tr>
      <w:tr>
        <w:trPr>
          <w:tblHeader w:val="false"/>
        </w:trPr>
        <w:tc>
          <w:tcPr>
            <w:tcW w:type="dxa" w:w="4513"/>
            <w:tcMar>
              <w:top w:type="dxa" w:w="60"/>
              <w:left w:type="dxa" w:w="100"/>
              <w:bottom w:type="dxa" w:w="60"/>
              <w:right w:type="dxa" w:w="100"/>
            </w:tcMar>
          </w:tcPr>
          <w:p>
            <w:pPr>
              <w:spacing w:after="20" w:before="20"/>
            </w:pPr>
            <w:r>
              <w:rPr>
                <w:b w:val="false"/>
                <w:bCs w:val="false"/>
                <w:sz w:val="18"/>
                <w:szCs w:val="18"/>
              </w:rPr>
              <w:t xml:space="preserve">Net revenue / margin</w:t>
            </w:r>
          </w:p>
        </w:tc>
        <w:tc>
          <w:tcPr>
            <w:tcW w:type="dxa" w:w="4513"/>
            <w:tcMar>
              <w:top w:type="dxa" w:w="60"/>
              <w:left w:type="dxa" w:w="100"/>
              <w:bottom w:type="dxa" w:w="60"/>
              <w:right w:type="dxa" w:w="100"/>
            </w:tcMar>
          </w:tcPr>
          <w:p>
            <w:pPr>
              <w:spacing w:after="20" w:before="20"/>
            </w:pPr>
            <w:r>
              <w:rPr>
                <w:b w:val="false"/>
                <w:bCs w:val="false"/>
                <w:sz w:val="18"/>
                <w:szCs w:val="18"/>
              </w:rPr>
              <w:t xml:space="preserve">MSF minus interchange, scheme fee and e-com fee</w:t>
            </w:r>
          </w:p>
        </w:tc>
      </w:tr>
      <w:tr>
        <w:trPr>
          <w:tblHeader w:val="false"/>
        </w:trPr>
        <w:tc>
          <w:tcPr>
            <w:tcW w:type="dxa" w:w="4513"/>
            <w:tcMar>
              <w:top w:type="dxa" w:w="60"/>
              <w:left w:type="dxa" w:w="100"/>
              <w:bottom w:type="dxa" w:w="60"/>
              <w:right w:type="dxa" w:w="100"/>
            </w:tcMar>
          </w:tcPr>
          <w:p>
            <w:pPr>
              <w:spacing w:after="20" w:before="20"/>
            </w:pPr>
            <w:r>
              <w:rPr>
                <w:b w:val="false"/>
                <w:bCs w:val="false"/>
                <w:sz w:val="18"/>
                <w:szCs w:val="18"/>
              </w:rPr>
              <w:t xml:space="preserve">BIN</w:t>
            </w:r>
          </w:p>
        </w:tc>
        <w:tc>
          <w:tcPr>
            <w:tcW w:type="dxa" w:w="4513"/>
            <w:tcMar>
              <w:top w:type="dxa" w:w="60"/>
              <w:left w:type="dxa" w:w="100"/>
              <w:bottom w:type="dxa" w:w="60"/>
              <w:right w:type="dxa" w:w="100"/>
            </w:tcMar>
          </w:tcPr>
          <w:p>
            <w:pPr>
              <w:spacing w:after="20" w:before="20"/>
            </w:pPr>
            <w:r>
              <w:rPr>
                <w:b w:val="false"/>
                <w:bCs w:val="false"/>
                <w:sz w:val="18"/>
                <w:szCs w:val="18"/>
              </w:rPr>
              <w:t xml:space="preserve">Bank Identification Number — the leading digits of a card number identifying issuer, scheme and product</w:t>
            </w:r>
          </w:p>
        </w:tc>
      </w:tr>
      <w:tr>
        <w:trPr>
          <w:tblHeader w:val="false"/>
        </w:trPr>
        <w:tc>
          <w:tcPr>
            <w:tcW w:type="dxa" w:w="4513"/>
            <w:tcMar>
              <w:top w:type="dxa" w:w="60"/>
              <w:left w:type="dxa" w:w="100"/>
              <w:bottom w:type="dxa" w:w="60"/>
              <w:right w:type="dxa" w:w="100"/>
            </w:tcMar>
          </w:tcPr>
          <w:p>
            <w:pPr>
              <w:spacing w:after="20" w:before="20"/>
            </w:pPr>
            <w:r>
              <w:rPr>
                <w:b w:val="false"/>
                <w:bCs w:val="false"/>
                <w:sz w:val="18"/>
                <w:szCs w:val="18"/>
              </w:rPr>
              <w:t xml:space="preserve">DCC</w:t>
            </w:r>
          </w:p>
        </w:tc>
        <w:tc>
          <w:tcPr>
            <w:tcW w:type="dxa" w:w="4513"/>
            <w:tcMar>
              <w:top w:type="dxa" w:w="60"/>
              <w:left w:type="dxa" w:w="100"/>
              <w:bottom w:type="dxa" w:w="60"/>
              <w:right w:type="dxa" w:w="100"/>
            </w:tcMar>
          </w:tcPr>
          <w:p>
            <w:pPr>
              <w:spacing w:after="20" w:before="20"/>
            </w:pPr>
            <w:r>
              <w:rPr>
                <w:b w:val="false"/>
                <w:bCs w:val="false"/>
                <w:sz w:val="18"/>
                <w:szCs w:val="18"/>
              </w:rPr>
              <w:t xml:space="preserve">Dynamic Currency Conversion — offering international cardholders payment in their home currency; a revenue opportunity for the acquirer</w:t>
            </w:r>
          </w:p>
        </w:tc>
      </w:tr>
      <w:tr>
        <w:trPr>
          <w:tblHeader w:val="false"/>
        </w:trPr>
        <w:tc>
          <w:tcPr>
            <w:tcW w:type="dxa" w:w="4513"/>
            <w:tcMar>
              <w:top w:type="dxa" w:w="60"/>
              <w:left w:type="dxa" w:w="100"/>
              <w:bottom w:type="dxa" w:w="60"/>
              <w:right w:type="dxa" w:w="100"/>
            </w:tcMar>
          </w:tcPr>
          <w:p>
            <w:pPr>
              <w:spacing w:after="20" w:before="20"/>
            </w:pPr>
            <w:r>
              <w:rPr>
                <w:b w:val="false"/>
                <w:bCs w:val="false"/>
                <w:sz w:val="18"/>
                <w:szCs w:val="18"/>
              </w:rPr>
              <w:t xml:space="preserve">RM / Sales agent</w:t>
            </w:r>
          </w:p>
        </w:tc>
        <w:tc>
          <w:tcPr>
            <w:tcW w:type="dxa" w:w="4513"/>
            <w:tcMar>
              <w:top w:type="dxa" w:w="60"/>
              <w:left w:type="dxa" w:w="100"/>
              <w:bottom w:type="dxa" w:w="60"/>
              <w:right w:type="dxa" w:w="100"/>
            </w:tcMar>
          </w:tcPr>
          <w:p>
            <w:pPr>
              <w:spacing w:after="20" w:before="20"/>
            </w:pPr>
            <w:r>
              <w:rPr>
                <w:b w:val="false"/>
                <w:bCs w:val="false"/>
                <w:sz w:val="18"/>
                <w:szCs w:val="18"/>
              </w:rPr>
              <w:t xml:space="preserve">Relationship Manager — the salesperson who owns the merchant relationship</w:t>
            </w:r>
          </w:p>
        </w:tc>
      </w:tr>
      <w:tr>
        <w:trPr>
          <w:tblHeader w:val="false"/>
        </w:trPr>
        <w:tc>
          <w:tcPr>
            <w:tcW w:type="dxa" w:w="4513"/>
            <w:tcMar>
              <w:top w:type="dxa" w:w="60"/>
              <w:left w:type="dxa" w:w="100"/>
              <w:bottom w:type="dxa" w:w="60"/>
              <w:right w:type="dxa" w:w="100"/>
            </w:tcMar>
          </w:tcPr>
          <w:p>
            <w:pPr>
              <w:spacing w:after="20" w:before="20"/>
            </w:pPr>
            <w:r>
              <w:rPr>
                <w:b w:val="false"/>
                <w:bCs w:val="false"/>
                <w:sz w:val="18"/>
                <w:szCs w:val="18"/>
              </w:rPr>
              <w:t xml:space="preserve">POS</w:t>
            </w:r>
          </w:p>
        </w:tc>
        <w:tc>
          <w:tcPr>
            <w:tcW w:type="dxa" w:w="4513"/>
            <w:tcMar>
              <w:top w:type="dxa" w:w="60"/>
              <w:left w:type="dxa" w:w="100"/>
              <w:bottom w:type="dxa" w:w="60"/>
              <w:right w:type="dxa" w:w="100"/>
            </w:tcMar>
          </w:tcPr>
          <w:p>
            <w:pPr>
              <w:spacing w:after="20" w:before="20"/>
            </w:pPr>
            <w:r>
              <w:rPr>
                <w:b w:val="false"/>
                <w:bCs w:val="false"/>
                <w:sz w:val="18"/>
                <w:szCs w:val="18"/>
              </w:rPr>
              <w:t xml:space="preserve">Point of Sale — card-present acceptance at a physical terminal</w:t>
            </w:r>
          </w:p>
        </w:tc>
      </w:tr>
      <w:tr>
        <w:trPr>
          <w:tblHeader w:val="false"/>
        </w:trPr>
        <w:tc>
          <w:tcPr>
            <w:tcW w:type="dxa" w:w="4513"/>
            <w:tcMar>
              <w:top w:type="dxa" w:w="60"/>
              <w:left w:type="dxa" w:w="100"/>
              <w:bottom w:type="dxa" w:w="60"/>
              <w:right w:type="dxa" w:w="100"/>
            </w:tcMar>
          </w:tcPr>
          <w:p>
            <w:pPr>
              <w:spacing w:after="20" w:before="20"/>
            </w:pPr>
            <w:r>
              <w:rPr>
                <w:b w:val="false"/>
                <w:bCs w:val="false"/>
                <w:sz w:val="18"/>
                <w:szCs w:val="18"/>
              </w:rPr>
              <w:t xml:space="preserve">ECOM</w:t>
            </w:r>
          </w:p>
        </w:tc>
        <w:tc>
          <w:tcPr>
            <w:tcW w:type="dxa" w:w="4513"/>
            <w:tcMar>
              <w:top w:type="dxa" w:w="60"/>
              <w:left w:type="dxa" w:w="100"/>
              <w:bottom w:type="dxa" w:w="60"/>
              <w:right w:type="dxa" w:w="100"/>
            </w:tcMar>
          </w:tcPr>
          <w:p>
            <w:pPr>
              <w:spacing w:after="20" w:before="20"/>
            </w:pPr>
            <w:r>
              <w:rPr>
                <w:b w:val="false"/>
                <w:bCs w:val="false"/>
                <w:sz w:val="18"/>
                <w:szCs w:val="18"/>
              </w:rPr>
              <w:t xml:space="preserve">E-commerce — card-not-present acceptance online</w:t>
            </w:r>
          </w:p>
        </w:tc>
      </w:tr>
      <w:tr>
        <w:trPr>
          <w:tblHeader w:val="false"/>
        </w:trPr>
        <w:tc>
          <w:tcPr>
            <w:tcW w:type="dxa" w:w="4513"/>
            <w:tcMar>
              <w:top w:type="dxa" w:w="60"/>
              <w:left w:type="dxa" w:w="100"/>
              <w:bottom w:type="dxa" w:w="60"/>
              <w:right w:type="dxa" w:w="100"/>
            </w:tcMar>
          </w:tcPr>
          <w:p>
            <w:pPr>
              <w:spacing w:after="20" w:before="20"/>
            </w:pPr>
            <w:r>
              <w:rPr>
                <w:b w:val="false"/>
                <w:bCs w:val="false"/>
                <w:sz w:val="18"/>
                <w:szCs w:val="18"/>
              </w:rPr>
              <w:t xml:space="preserve">Domestic / International</w:t>
            </w:r>
          </w:p>
        </w:tc>
        <w:tc>
          <w:tcPr>
            <w:tcW w:type="dxa" w:w="4513"/>
            <w:tcMar>
              <w:top w:type="dxa" w:w="60"/>
              <w:left w:type="dxa" w:w="100"/>
              <w:bottom w:type="dxa" w:w="60"/>
              <w:right w:type="dxa" w:w="100"/>
            </w:tcMar>
          </w:tcPr>
          <w:p>
            <w:pPr>
              <w:spacing w:after="20" w:before="20"/>
            </w:pPr>
            <w:r>
              <w:rPr>
                <w:b w:val="false"/>
                <w:bCs w:val="false"/>
                <w:sz w:val="18"/>
                <w:szCs w:val="18"/>
              </w:rPr>
              <w:t xml:space="preserve">Whether the card was issued in the merchant's home market or abroad; a primary pricing dimension</w:t>
            </w:r>
          </w:p>
        </w:tc>
      </w:tr>
      <w:tr>
        <w:trPr>
          <w:tblHeader w:val="false"/>
        </w:trPr>
        <w:tc>
          <w:tcPr>
            <w:tcW w:type="dxa" w:w="4513"/>
            <w:tcMar>
              <w:top w:type="dxa" w:w="60"/>
              <w:left w:type="dxa" w:w="100"/>
              <w:bottom w:type="dxa" w:w="60"/>
              <w:right w:type="dxa" w:w="100"/>
            </w:tcMar>
          </w:tcPr>
          <w:p>
            <w:pPr>
              <w:spacing w:after="20" w:before="20"/>
            </w:pPr>
            <w:r>
              <w:rPr>
                <w:b w:val="false"/>
                <w:bCs w:val="false"/>
                <w:sz w:val="18"/>
                <w:szCs w:val="18"/>
              </w:rPr>
              <w:t xml:space="preserve">Refund</w:t>
            </w:r>
          </w:p>
        </w:tc>
        <w:tc>
          <w:tcPr>
            <w:tcW w:type="dxa" w:w="4513"/>
            <w:tcMar>
              <w:top w:type="dxa" w:w="60"/>
              <w:left w:type="dxa" w:w="100"/>
              <w:bottom w:type="dxa" w:w="60"/>
              <w:right w:type="dxa" w:w="100"/>
            </w:tcMar>
          </w:tcPr>
          <w:p>
            <w:pPr>
              <w:spacing w:after="20" w:before="20"/>
            </w:pPr>
            <w:r>
              <w:rPr>
                <w:b w:val="false"/>
                <w:bCs w:val="false"/>
                <w:sz w:val="18"/>
                <w:szCs w:val="18"/>
              </w:rPr>
              <w:t xml:space="preserve">A payment returned to the cardholder; signed negatively and exempt from interchange/scheme cost in NEXUS</w:t>
            </w:r>
          </w:p>
        </w:tc>
      </w:tr>
      <w:tr>
        <w:trPr>
          <w:tblHeader w:val="false"/>
        </w:trPr>
        <w:tc>
          <w:tcPr>
            <w:tcW w:type="dxa" w:w="4513"/>
            <w:tcMar>
              <w:top w:type="dxa" w:w="60"/>
              <w:left w:type="dxa" w:w="100"/>
              <w:bottom w:type="dxa" w:w="60"/>
              <w:right w:type="dxa" w:w="100"/>
            </w:tcMar>
          </w:tcPr>
          <w:p>
            <w:pPr>
              <w:spacing w:after="20" w:before="20"/>
            </w:pPr>
            <w:r>
              <w:rPr>
                <w:b w:val="false"/>
                <w:bCs w:val="false"/>
                <w:sz w:val="18"/>
                <w:szCs w:val="18"/>
              </w:rPr>
              <w:t xml:space="preserve">Tenant</w:t>
            </w:r>
          </w:p>
        </w:tc>
        <w:tc>
          <w:tcPr>
            <w:tcW w:type="dxa" w:w="4513"/>
            <w:tcMar>
              <w:top w:type="dxa" w:w="60"/>
              <w:left w:type="dxa" w:w="100"/>
              <w:bottom w:type="dxa" w:w="60"/>
              <w:right w:type="dxa" w:w="100"/>
            </w:tcMar>
          </w:tcPr>
          <w:p>
            <w:pPr>
              <w:spacing w:after="20" w:before="20"/>
            </w:pPr>
            <w:r>
              <w:rPr>
                <w:b w:val="false"/>
                <w:bCs w:val="false"/>
                <w:sz w:val="18"/>
                <w:szCs w:val="18"/>
              </w:rPr>
              <w:t xml:space="preserve">One bank or acquiring institution within the shared NEXUS platform</w:t>
            </w:r>
          </w:p>
        </w:tc>
      </w:tr>
      <w:tr>
        <w:trPr>
          <w:tblHeader w:val="false"/>
        </w:trPr>
        <w:tc>
          <w:tcPr>
            <w:tcW w:type="dxa" w:w="4513"/>
            <w:tcMar>
              <w:top w:type="dxa" w:w="60"/>
              <w:left w:type="dxa" w:w="100"/>
              <w:bottom w:type="dxa" w:w="60"/>
              <w:right w:type="dxa" w:w="100"/>
            </w:tcMar>
          </w:tcPr>
          <w:p>
            <w:pPr>
              <w:spacing w:after="20" w:before="20"/>
            </w:pPr>
            <w:r>
              <w:rPr>
                <w:b w:val="false"/>
                <w:bCs w:val="false"/>
                <w:sz w:val="18"/>
                <w:szCs w:val="18"/>
              </w:rPr>
              <w:t xml:space="preserve">Attrition / churn</w:t>
            </w:r>
          </w:p>
        </w:tc>
        <w:tc>
          <w:tcPr>
            <w:tcW w:type="dxa" w:w="4513"/>
            <w:tcMar>
              <w:top w:type="dxa" w:w="60"/>
              <w:left w:type="dxa" w:w="100"/>
              <w:bottom w:type="dxa" w:w="60"/>
              <w:right w:type="dxa" w:w="100"/>
            </w:tcMar>
          </w:tcPr>
          <w:p>
            <w:pPr>
              <w:spacing w:after="20" w:before="20"/>
            </w:pPr>
            <w:r>
              <w:rPr>
                <w:b w:val="false"/>
                <w:bCs w:val="false"/>
                <w:sz w:val="18"/>
                <w:szCs w:val="18"/>
              </w:rPr>
              <w:t xml:space="preserve">Decline or cessation of a merchant's transacting activity</w:t>
            </w:r>
          </w:p>
        </w:tc>
      </w:tr>
      <w:tr>
        <w:trPr>
          <w:tblHeader w:val="false"/>
        </w:trPr>
        <w:tc>
          <w:tcPr>
            <w:tcW w:type="dxa" w:w="4513"/>
            <w:tcMar>
              <w:top w:type="dxa" w:w="60"/>
              <w:left w:type="dxa" w:w="100"/>
              <w:bottom w:type="dxa" w:w="60"/>
              <w:right w:type="dxa" w:w="100"/>
            </w:tcMar>
          </w:tcPr>
          <w:p>
            <w:pPr>
              <w:spacing w:after="20" w:before="20"/>
            </w:pPr>
            <w:r>
              <w:rPr>
                <w:b w:val="false"/>
                <w:bCs w:val="false"/>
                <w:sz w:val="18"/>
                <w:szCs w:val="18"/>
              </w:rPr>
              <w:t xml:space="preserve">Basis points (bps)</w:t>
            </w:r>
          </w:p>
        </w:tc>
        <w:tc>
          <w:tcPr>
            <w:tcW w:type="dxa" w:w="4513"/>
            <w:tcMar>
              <w:top w:type="dxa" w:w="60"/>
              <w:left w:type="dxa" w:w="100"/>
              <w:bottom w:type="dxa" w:w="60"/>
              <w:right w:type="dxa" w:w="100"/>
            </w:tcMar>
          </w:tcPr>
          <w:p>
            <w:pPr>
              <w:spacing w:after="20" w:before="20"/>
            </w:pPr>
            <w:r>
              <w:rPr>
                <w:b w:val="false"/>
                <w:bCs w:val="false"/>
                <w:sz w:val="18"/>
                <w:szCs w:val="18"/>
              </w:rPr>
              <w:t xml:space="preserve">Hundredths of a percent; the natural unit of acquiring pricing (1.75% = 175 bps)</w:t>
            </w:r>
          </w:p>
        </w:tc>
      </w:tr>
      <w:tr>
        <w:trPr>
          <w:tblHeader w:val="false"/>
        </w:trPr>
        <w:tc>
          <w:tcPr>
            <w:tcW w:type="dxa" w:w="4513"/>
            <w:tcMar>
              <w:top w:type="dxa" w:w="60"/>
              <w:left w:type="dxa" w:w="100"/>
              <w:bottom w:type="dxa" w:w="60"/>
              <w:right w:type="dxa" w:w="100"/>
            </w:tcMar>
          </w:tcPr>
          <w:p>
            <w:pPr>
              <w:spacing w:after="20" w:before="20"/>
            </w:pPr>
            <w:r>
              <w:rPr>
                <w:b w:val="false"/>
                <w:bCs w:val="false"/>
                <w:sz w:val="18"/>
                <w:szCs w:val="18"/>
              </w:rPr>
              <w:t xml:space="preserve">Effective MSF rate</w:t>
            </w:r>
          </w:p>
        </w:tc>
        <w:tc>
          <w:tcPr>
            <w:tcW w:type="dxa" w:w="4513"/>
            <w:tcMar>
              <w:top w:type="dxa" w:w="60"/>
              <w:left w:type="dxa" w:w="100"/>
              <w:bottom w:type="dxa" w:w="60"/>
              <w:right w:type="dxa" w:w="100"/>
            </w:tcMar>
          </w:tcPr>
          <w:p>
            <w:pPr>
              <w:spacing w:after="20" w:before="20"/>
            </w:pPr>
            <w:r>
              <w:rPr>
                <w:b w:val="false"/>
                <w:bCs w:val="false"/>
                <w:sz w:val="18"/>
                <w:szCs w:val="18"/>
              </w:rPr>
              <w:t xml:space="preserve">Total MSF divided by total volume, in bps — the realised average price of the portfolio</w:t>
            </w:r>
          </w:p>
        </w:tc>
      </w:tr>
      <w:tr>
        <w:trPr>
          <w:tblHeader w:val="false"/>
        </w:trPr>
        <w:tc>
          <w:tcPr>
            <w:tcW w:type="dxa" w:w="4513"/>
            <w:tcMar>
              <w:top w:type="dxa" w:w="60"/>
              <w:left w:type="dxa" w:w="100"/>
              <w:bottom w:type="dxa" w:w="60"/>
              <w:right w:type="dxa" w:w="100"/>
            </w:tcMar>
          </w:tcPr>
          <w:p>
            <w:pPr>
              <w:spacing w:after="20" w:before="20"/>
            </w:pPr>
            <w:r>
              <w:rPr>
                <w:b w:val="false"/>
                <w:bCs w:val="false"/>
                <w:sz w:val="18"/>
                <w:szCs w:val="18"/>
              </w:rPr>
              <w:t xml:space="preserve">Average ticket</w:t>
            </w:r>
          </w:p>
        </w:tc>
        <w:tc>
          <w:tcPr>
            <w:tcW w:type="dxa" w:w="4513"/>
            <w:tcMar>
              <w:top w:type="dxa" w:w="60"/>
              <w:left w:type="dxa" w:w="100"/>
              <w:bottom w:type="dxa" w:w="60"/>
              <w:right w:type="dxa" w:w="100"/>
            </w:tcMar>
          </w:tcPr>
          <w:p>
            <w:pPr>
              <w:spacing w:after="20" w:before="20"/>
            </w:pPr>
            <w:r>
              <w:rPr>
                <w:b w:val="false"/>
                <w:bCs w:val="false"/>
                <w:sz w:val="18"/>
                <w:szCs w:val="18"/>
              </w:rPr>
              <w:t xml:space="preserve">Average transaction value</w:t>
            </w:r>
          </w:p>
        </w:tc>
      </w:tr>
    </w:tbl>
    <w:p>
      <w:pPr>
        <w:spacing w:after="80"/>
      </w:pPr>
    </w:p>
    <w:p>
      <w:pPr>
        <w:pStyle w:val="Heading1"/>
        <w:pageBreakBefore/>
        <w:spacing w:after="120" w:before="360"/>
      </w:pPr>
      <w:r>
        <w:t xml:space="preserve">Documentation Sources Reviewed</w:t>
      </w:r>
    </w:p>
    <w:p>
      <w:pPr>
        <w:spacing w:after="140" w:line="276"/>
        <w:jc w:val="both"/>
      </w:pPr>
      <w:r>
        <w:t xml:space="preserve">This document was prepared from the platform's own repository — its written documentation validated against the implemented application code:</w:t>
      </w:r>
    </w:p>
    <w:p>
      <w:pPr>
        <w:shd w:fill="F2F4F5" w:val="clear"/>
        <w:spacing w:after="0" w:before="120" w:line="240"/>
        <w:ind w:left="240" w:right="240"/>
      </w:pPr>
      <w:r>
        <w:rPr>
          <w:rFonts w:ascii="Consolas" w:cs="Consolas" w:eastAsia="Consolas" w:hAnsi="Consolas"/>
          <w:sz w:val="16"/>
          <w:szCs w:val="16"/>
        </w:rPr>
        <w:t xml:space="preserve">Product feature guide and developer guide (root and docs/)</w:t>
      </w:r>
    </w:p>
    <w:p>
      <w:pPr>
        <w:shd w:fill="F2F4F5" w:val="clear"/>
        <w:spacing w:after="0" w:before="0" w:line="240"/>
        <w:ind w:left="240" w:right="240"/>
      </w:pPr>
      <w:r>
        <w:rPr>
          <w:rFonts w:ascii="Consolas" w:cs="Consolas" w:eastAsia="Consolas" w:hAnsi="Consolas"/>
          <w:sz w:val="16"/>
          <w:szCs w:val="16"/>
        </w:rPr>
        <w:t xml:space="preserve">Project instructions and architecture notes</w:t>
      </w:r>
    </w:p>
    <w:p>
      <w:pPr>
        <w:shd w:fill="F2F4F5" w:val="clear"/>
        <w:spacing w:after="0" w:before="0" w:line="240"/>
        <w:ind w:left="240" w:right="240"/>
      </w:pPr>
      <w:r>
        <w:rPr>
          <w:rFonts w:ascii="Consolas" w:cs="Consolas" w:eastAsia="Consolas" w:hAnsi="Consolas"/>
          <w:sz w:val="16"/>
          <w:szCs w:val="16"/>
        </w:rPr>
        <w:t xml:space="preserve">Multi-country fee engine and interchange audit documentation</w:t>
      </w:r>
    </w:p>
    <w:p>
      <w:pPr>
        <w:shd w:fill="F2F4F5" w:val="clear"/>
        <w:spacing w:after="0" w:before="0" w:line="240"/>
        <w:ind w:left="240" w:right="240"/>
      </w:pPr>
      <w:r>
        <w:rPr>
          <w:rFonts w:ascii="Consolas" w:cs="Consolas" w:eastAsia="Consolas" w:hAnsi="Consolas"/>
          <w:sz w:val="16"/>
          <w:szCs w:val="16"/>
        </w:rPr>
        <w:t xml:space="preserve">Tenant, security and API management audit documentation</w:t>
      </w:r>
    </w:p>
    <w:p>
      <w:pPr>
        <w:shd w:fill="F2F4F5" w:val="clear"/>
        <w:spacing w:after="0" w:before="0" w:line="240"/>
        <w:ind w:left="240" w:right="240"/>
      </w:pPr>
      <w:r>
        <w:rPr>
          <w:rFonts w:ascii="Consolas" w:cs="Consolas" w:eastAsia="Consolas" w:hAnsi="Consolas"/>
          <w:sz w:val="16"/>
          <w:szCs w:val="16"/>
        </w:rPr>
        <w:t xml:space="preserve">End-to-end test plans and execution reports (multi-market)</w:t>
      </w:r>
    </w:p>
    <w:p>
      <w:pPr>
        <w:shd w:fill="F2F4F5" w:val="clear"/>
        <w:spacing w:after="0" w:before="0" w:line="240"/>
        <w:ind w:left="240" w:right="240"/>
      </w:pPr>
      <w:r>
        <w:rPr>
          <w:rFonts w:ascii="Consolas" w:cs="Consolas" w:eastAsia="Consolas" w:hAnsi="Consolas"/>
          <w:sz w:val="16"/>
          <w:szCs w:val="16"/>
        </w:rPr>
        <w:t xml:space="preserve">Authentication/OTP security design documentation</w:t>
      </w:r>
    </w:p>
    <w:p>
      <w:pPr>
        <w:shd w:fill="F2F4F5" w:val="clear"/>
        <w:spacing w:after="0" w:before="0" w:line="240"/>
        <w:ind w:left="240" w:right="240"/>
      </w:pPr>
      <w:r>
        <w:rPr>
          <w:rFonts w:ascii="Consolas" w:cs="Consolas" w:eastAsia="Consolas" w:hAnsi="Consolas"/>
          <w:sz w:val="16"/>
          <w:szCs w:val="16"/>
        </w:rPr>
        <w:t xml:space="preserve">Deployment guides (Linux and Kubernetes/AWS)</w:t>
      </w:r>
    </w:p>
    <w:p>
      <w:pPr>
        <w:shd w:fill="F2F4F5" w:val="clear"/>
        <w:spacing w:after="0" w:before="0" w:line="240"/>
        <w:ind w:left="240" w:right="240"/>
      </w:pPr>
      <w:r>
        <w:rPr>
          <w:rFonts w:ascii="Consolas" w:cs="Consolas" w:eastAsia="Consolas" w:hAnsi="Consolas"/>
          <w:sz w:val="16"/>
          <w:szCs w:val="16"/>
        </w:rPr>
        <w:t xml:space="preserve">Database migration scripts and schema documentation</w:t>
      </w:r>
    </w:p>
    <w:p>
      <w:pPr>
        <w:shd w:fill="F2F4F5" w:val="clear"/>
        <w:spacing w:after="0" w:before="0" w:line="240"/>
        <w:ind w:left="240" w:right="240"/>
      </w:pPr>
      <w:r>
        <w:rPr>
          <w:rFonts w:ascii="Consolas" w:cs="Consolas" w:eastAsia="Consolas" w:hAnsi="Consolas"/>
          <w:sz w:val="16"/>
          <w:szCs w:val="16"/>
        </w:rPr>
        <w:t xml:space="preserve">Batch ingestion job configuration and services</w:t>
      </w:r>
    </w:p>
    <w:p>
      <w:pPr>
        <w:shd w:fill="F2F4F5" w:val="clear"/>
        <w:spacing w:after="0" w:before="0" w:line="240"/>
        <w:ind w:left="240" w:right="240"/>
      </w:pPr>
      <w:r>
        <w:rPr>
          <w:rFonts w:ascii="Consolas" w:cs="Consolas" w:eastAsia="Consolas" w:hAnsi="Consolas"/>
          <w:sz w:val="16"/>
          <w:szCs w:val="16"/>
        </w:rPr>
        <w:t xml:space="preserve">Analytics, finance, sales and dashboard service code</w:t>
      </w:r>
    </w:p>
    <w:p>
      <w:pPr>
        <w:shd w:fill="F2F4F5" w:val="clear"/>
        <w:spacing w:after="0" w:before="0" w:line="240"/>
        <w:ind w:left="240" w:right="240"/>
      </w:pPr>
      <w:r>
        <w:rPr>
          <w:rFonts w:ascii="Consolas" w:cs="Consolas" w:eastAsia="Consolas" w:hAnsi="Consolas"/>
          <w:sz w:val="16"/>
          <w:szCs w:val="16"/>
        </w:rPr>
        <w:t xml:space="preserve">Frontend application screens and navigation configuration</w:t>
      </w:r>
    </w:p>
    <w:p>
      <w:pPr>
        <w:shd w:fill="F2F4F5" w:val="clear"/>
        <w:spacing w:after="160" w:before="0" w:line="240"/>
        <w:ind w:left="240" w:right="240"/>
      </w:pPr>
      <w:r>
        <w:rPr>
          <w:rFonts w:ascii="Consolas" w:cs="Consolas" w:eastAsia="Consolas" w:hAnsi="Consolas"/>
          <w:sz w:val="16"/>
          <w:szCs w:val="16"/>
        </w:rPr>
        <w:t xml:space="preserve">PDF report engine and AI query service code</w:t>
      </w:r>
    </w:p>
    <w:p>
      <w:pPr>
        <w:spacing w:after="140" w:line="276"/>
        <w:jc w:val="both"/>
      </w:pPr>
      <w:r>
        <w:t xml:space="preserve">Functionality is described as currently available only where both documentation and implementation support it; capabilities that are designed but not yet active (notably BIN-based card typing, the unified settings hub and rate-card administration screens) are identified as such in the text.</w:t>
      </w:r>
    </w:p>
    <w:sectPr>
      <w:pgSz w:w="11906" w:h="16838" w:orient="portrait"/>
      <w:pgMar w:top="1250" w:right="1440" w:bottom="125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360"/>
    </w:pPr>
    <w:rPr>
      <w:rFonts w:ascii="Calibri Light" w:cs="Calibri Light" w:eastAsia="Calibri Light" w:hAnsi="Calibri Light"/>
      <w:b/>
      <w:bCs/>
      <w:color w:val="1F3864"/>
      <w:sz w:val="34"/>
      <w:szCs w:val="34"/>
    </w:rPr>
  </w:style>
  <w:style w:type="paragraph" w:styleId="Heading2">
    <w:name w:val="Heading 2"/>
    <w:basedOn w:val="Normal"/>
    <w:next w:val="Normal"/>
    <w:qFormat/>
    <w:pPr>
      <w:spacing w:after="100" w:before="240"/>
    </w:pPr>
    <w:rPr>
      <w:rFonts w:ascii="Calibri Light" w:cs="Calibri Light" w:eastAsia="Calibri Light" w:hAnsi="Calibri Light"/>
      <w:b/>
      <w:bCs/>
      <w:color w:val="2F5496"/>
      <w:sz w:val="27"/>
      <w:szCs w:val="27"/>
    </w:rPr>
  </w:style>
  <w:style w:type="paragraph" w:styleId="Heading3">
    <w:name w:val="Heading 3"/>
    <w:basedOn w:val="Normal"/>
    <w:next w:val="Normal"/>
    <w:qFormat/>
    <w:pPr>
      <w:spacing w:after="80" w:before="200"/>
    </w:pPr>
    <w:rPr>
      <w:rFonts w:ascii="Calibri" w:cs="Calibri" w:eastAsia="Calibri" w:hAnsi="Calibri"/>
      <w:b/>
      <w:bCs/>
      <w:color w:val="2E4A70"/>
      <w:sz w:val="23"/>
      <w:szCs w:val="23"/>
    </w:rPr>
  </w:style>
  <w:style w:type="paragraph" w:styleId="Heading4">
    <w:name w:val="Heading 4"/>
    <w:basedOn w:val="Normal"/>
    <w:next w:val="Normal"/>
    <w:qFormat/>
    <w:rPr>
      <w:rFonts w:ascii="Calibri" w:cs="Calibri" w:eastAsia="Calibri" w:hAnsi="Calibri"/>
      <w:b/>
      <w:bCs/>
      <w:i/>
      <w:iCs/>
      <w:color w:val="595959"/>
      <w:sz w:val="21"/>
      <w:szCs w:val="21"/>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NEXUS — Merchant Acquiring Intelligence &amp; Analytics Platform</dc:title>
  <dc:creator>NEXUS</dc:creator>
  <dc:description>End-to-End Business and Functional Overview</dc:description>
  <cp:lastModifiedBy>Un-named</cp:lastModifiedBy>
  <cp:revision>1</cp:revision>
  <dcterms:created xsi:type="dcterms:W3CDTF">2026-08-15T16:53:15.049Z</dcterms:created>
  <dcterms:modified xsi:type="dcterms:W3CDTF">2026-08-15T16:53:15.049Z</dcterms:modified>
</cp:coreProperties>
</file>

<file path=docProps/custom.xml><?xml version="1.0" encoding="utf-8"?>
<Properties xmlns="http://schemas.openxmlformats.org/officeDocument/2006/custom-properties" xmlns:vt="http://schemas.openxmlformats.org/officeDocument/2006/docPropsVTypes"/>
</file>