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Transformer-Based Segmentation of Glioma Subregions in Multi-Parametric Brain MRI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Daniel Okafor</w:t>
      </w:r>
      <w:r>
        <w:rPr>
          <w:rFonts w:ascii="Calibri" w:cs="Calibri" w:eastAsia="Calibri" w:hAnsi="Calibri"/>
        </w:rPr>
        <w:t xml:space="preserve">, University of Toronto, Toronto, Canada (daniel.okafor@utoronto-demo.example)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Mei-Ling Chen</w:t>
      </w:r>
      <w:r>
        <w:rPr>
          <w:rFonts w:ascii="Calibri" w:cs="Calibri" w:eastAsia="Calibri" w:hAnsi="Calibri"/>
        </w:rPr>
        <w:t xml:space="preserve">, National Taiwan University, Taipei, Taiwan (meiling.chen@ntu-demo.example)</w:t>
      </w:r>
    </w:p>
    <w:p>
      <w:pPr>
        <w:spacing w:after="60"/>
      </w:pPr>
      <w:r>
        <w:rPr>
          <w:rFonts w:ascii="Calibri" w:cs="Calibri" w:eastAsia="Calibri" w:hAnsi="Calibri"/>
          <w:b/>
          <w:bCs/>
        </w:rPr>
        <w:t xml:space="preserve">Sofia Marin</w:t>
      </w:r>
      <w:r>
        <w:rPr>
          <w:rFonts w:ascii="Calibri" w:cs="Calibri" w:eastAsia="Calibri" w:hAnsi="Calibri"/>
        </w:rPr>
        <w:t xml:space="preserve">, Universitat Politecnica de Valencia, Valencia, Spain (sofia.marin@upv-demo.example)</w:t>
      </w:r>
    </w:p>
    <w:p>
      <w:pPr>
        <w:pStyle w:val="Heading1"/>
        <w:spacing w:after="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Abstract</w:t>
      </w:r>
    </w:p>
    <w:p>
      <w:pPr>
        <w:spacing w:after="160"/>
      </w:pPr>
      <w:r>
        <w:rPr>
          <w:rFonts w:ascii="Calibri" w:cs="Calibri" w:eastAsia="Calibri" w:hAnsi="Calibri"/>
        </w:rPr>
        <w:t xml:space="preserve">Accurate delineation of glioma subregions on multi-parametric MRI underpins surgical planning and treatment monitoring, yet manual segmentation is slow and varies between raters. We propose a hybrid architecture that couples a 3D convolutional encoder with a shifted-window transformer decoder to capture both local texture and long-range anatomical context across T1, T1-contrast, T2 and FLAIR sequences. A boundary-aware loss and test-time augmentation improve delineation of the enhancing tumour core, the region most affected by inter-rater disagreement. Trained on 1,250 multi-institutional brain tumour cases and evaluated on a held-out cohort of 219, the method achieves mean Dice scores of 0.91, 0.88 and 0.84 for whole tumour, tumour core and enhancing tumour, outperforming a strong U-Net baseline. We further show robustness to missing MRI sequences and to scanner variability. Our findings suggest that transformer-augmented segmentation networks can deliver reliable brain tumour segmentation for clinical radiology workflows.</w:t>
      </w:r>
    </w:p>
    <w:p>
      <w:pPr>
        <w:spacing w:after="280"/>
      </w:pPr>
      <w:r>
        <w:rPr>
          <w:rFonts w:ascii="Calibri" w:cs="Calibri" w:eastAsia="Calibri" w:hAnsi="Calibri"/>
          <w:b/>
          <w:bCs/>
        </w:rPr>
        <w:t xml:space="preserve">Keywords: </w:t>
      </w:r>
      <w:r>
        <w:rPr>
          <w:rFonts w:ascii="Calibri" w:cs="Calibri" w:eastAsia="Calibri" w:hAnsi="Calibri"/>
        </w:rPr>
        <w:t xml:space="preserve">brain tumor segmentation; glioma; vision transformer; U-Net; magnetic resonance imaging; medical image segmentation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Introduction</w:t>
      </w:r>
    </w:p>
    <w:p>
      <w:pPr>
        <w:spacing w:after="160"/>
      </w:pPr>
      <w:r>
        <w:rPr>
          <w:rFonts w:ascii="Calibri" w:cs="Calibri" w:eastAsia="Calibri" w:hAnsi="Calibri"/>
        </w:rPr>
        <w:t xml:space="preserve">Gliomas are heterogeneous tumours whose subregions - necrotic core, enhancing tumour and peritumoural oedema - carry distinct prognostic and surgical significance. Reproducible volumetric measurement of these regions is therefore central to neuro-oncology.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Sample manuscript generated for the PeerOne prototype demo. Authors, e-mail addresses, data and results are fictional.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Transformer-Based Segmentation of Glioma Subregions in Multi-Parametric Brain MRI</dc:title>
  <dc:creator>PeerOne demo</dc:creator>
  <cp:lastModifiedBy>Un-named</cp:lastModifiedBy>
  <cp:revision>1</cp:revision>
  <dcterms:created xsi:type="dcterms:W3CDTF">2026-10-28T20:50:21.971Z</dcterms:created>
  <dcterms:modified xsi:type="dcterms:W3CDTF">2026-10-28T20:50:21.971Z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