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rFonts w:ascii="Calibri" w:cs="Calibri" w:eastAsia="Calibri" w:hAnsi="Calibri"/>
          <w:b/>
          <w:bCs/>
          <w:color w:val="0D3B6E"/>
          <w:sz w:val="28"/>
          <w:szCs w:val="28"/>
        </w:rPr>
        <w:t xml:space="preserve">BUILDING LLMs FROM SCRATCH</w:t>
      </w:r>
    </w:p>
    <w:p>
      <w:pPr>
        <w:spacing w:after="400" w:before="0"/>
        <w:jc w:val="center"/>
      </w:pPr>
      <w:r>
        <w:rPr>
          <w:rFonts w:ascii="Times New Roman" w:cs="Times New Roman" w:eastAsia="Times New Roman" w:hAnsi="Times New Roman"/>
          <w:i/>
          <w:iCs/>
          <w:color w:val="6B7280"/>
          <w:sz w:val="20"/>
          <w:szCs w:val="20"/>
        </w:rPr>
        <w:t xml:space="preserve">Technical Report   ·   Stage 2: The Attention Mechanism</w:t>
      </w:r>
    </w:p>
    <w:p>
      <w:pPr>
        <w:spacing w:after="80" w:before="400"/>
        <w:jc w:val="center"/>
      </w:pPr>
      <w:r>
        <w:rPr>
          <w:rFonts w:ascii="Calibri" w:cs="Calibri" w:eastAsia="Calibri" w:hAnsi="Calibri"/>
          <w:b/>
          <w:bCs/>
          <w:color w:val="2E75B6"/>
          <w:sz w:val="28"/>
          <w:szCs w:val="28"/>
        </w:rPr>
        <w:t xml:space="preserve">Topic 7</w:t>
      </w:r>
    </w:p>
    <w:p>
      <w:pPr>
        <w:spacing w:after="80" w:before="0"/>
        <w:jc w:val="center"/>
      </w:pPr>
      <w:r>
        <w:rPr>
          <w:rFonts w:ascii="Calibri" w:cs="Calibri" w:eastAsia="Calibri" w:hAnsi="Calibri"/>
          <w:b/>
          <w:bCs/>
          <w:color w:val="0D3B6E"/>
          <w:sz w:val="48"/>
          <w:szCs w:val="48"/>
        </w:rPr>
        <w:t xml:space="preserve">Introduction to Attention</w:t>
      </w:r>
    </w:p>
    <w:p>
      <w:pPr>
        <w:spacing w:after="300" w:before="0"/>
        <w:jc w:val="center"/>
      </w:pPr>
      <w:r>
        <w:rPr>
          <w:rFonts w:ascii="Times New Roman" w:cs="Times New Roman" w:eastAsia="Times New Roman" w:hAnsi="Times New Roman"/>
          <w:i/>
          <w:iCs/>
          <w:color w:val="6B7280"/>
          <w:sz w:val="22"/>
          <w:szCs w:val="22"/>
        </w:rPr>
        <w:t xml:space="preserve">Why sequential models fail, and why attention had to be invented</w:t>
      </w:r>
    </w:p>
    <w:p>
      <w:pPr>
        <w:spacing w:after="240" w:before="120"/>
        <w:jc w:val="center"/>
      </w:pPr>
      <w:r>
        <w:rPr>
          <w:color w:val="F59E0B"/>
          <w:sz w:val="24"/>
          <w:szCs w:val="24"/>
        </w:rPr>
        <w:t xml:space="preserve">━━━━━━━━━━━━━━</w:t>
      </w:r>
    </w:p>
    <w:p>
      <w:pPr>
        <w:spacing w:after="40" w:before="0"/>
        <w:jc w:val="center"/>
      </w:pPr>
      <w:r>
        <w:rPr>
          <w:rFonts w:ascii="Times New Roman" w:cs="Times New Roman" w:eastAsia="Times New Roman" w:hAnsi="Times New Roman"/>
          <w:b/>
          <w:bCs/>
          <w:color w:val="1F2937"/>
          <w:sz w:val="24"/>
          <w:szCs w:val="24"/>
        </w:rPr>
        <w:t xml:space="preserve">Shiva Kiran Dadishetty</w:t>
      </w:r>
    </w:p>
    <w:p>
      <w:pPr>
        <w:spacing w:after="40" w:before="0"/>
        <w:jc w:val="center"/>
      </w:pPr>
      <w:r>
        <w:rPr>
          <w:rFonts w:ascii="Times New Roman" w:cs="Times New Roman" w:eastAsia="Times New Roman" w:hAnsi="Times New Roman"/>
          <w:color w:val="6B7280"/>
          <w:sz w:val="20"/>
          <w:szCs w:val="20"/>
        </w:rPr>
        <w:t xml:space="preserve">Independent Research · Texas, USA</w:t>
      </w:r>
    </w:p>
    <w:p>
      <w:pPr>
        <w:spacing w:after="160" w:before="0"/>
        <w:jc w:val="center"/>
      </w:pPr>
      <w:hyperlink w:history="1" r:id="rIdtp85wln1f239ltbeazove">
        <w:r>
          <w:rPr>
            <w:rFonts w:ascii="Times New Roman" w:cs="Times New Roman" w:eastAsia="Times New Roman" w:hAnsi="Times New Roman"/>
            <w:i/>
            <w:iCs/>
            <w:color w:val="1A56A0"/>
            <w:sz w:val="20"/>
            <w:szCs w:val="20"/>
            <w:u w:val="single" w:color="1A56A0"/>
          </w:rPr>
          <w:t xml:space="preserve">github.com/shivakiran-ai/llm-from-scratch</w:t>
        </w:r>
      </w:hyperlink>
    </w:p>
    <w:p>
      <w:pPr>
        <w:spacing w:after="40" w:before="0"/>
        <w:jc w:val="center"/>
      </w:pPr>
      <w:r>
        <w:rPr>
          <w:rFonts w:ascii="Times New Roman" w:cs="Times New Roman" w:eastAsia="Times New Roman" w:hAnsi="Times New Roman"/>
          <w:color w:val="1F2937"/>
          <w:sz w:val="20"/>
          <w:szCs w:val="20"/>
        </w:rPr>
        <w:t xml:space="preserve">April 2026   ·   Version 1.0</w:t>
      </w:r>
    </w:p>
    <w:p>
      <w:pPr>
        <w:spacing w:after="160" w:before="240"/>
        <w:jc w:val="center"/>
      </w:pPr>
      <w:r>
        <w:rPr>
          <w:color w:val="F59E0B"/>
          <w:sz w:val="24"/>
          <w:szCs w:val="24"/>
        </w:rPr>
        <w:t xml:space="preserve">━━━━━━━━━━━━━━</w:t>
      </w:r>
    </w:p>
    <w:p>
      <w:pPr>
        <w:spacing w:after="120" w:before="80"/>
        <w:jc w:val="center"/>
      </w:pPr>
      <w:r>
        <w:rPr>
          <w:rFonts w:ascii="Calibri" w:cs="Calibri" w:eastAsia="Calibri" w:hAnsi="Calibri"/>
          <w:b/>
          <w:bCs/>
          <w:color w:val="0D3B6E"/>
          <w:sz w:val="26"/>
          <w:szCs w:val="26"/>
        </w:rPr>
        <w:t xml:space="preserve">Abstract</w:t>
      </w:r>
    </w:p>
    <w:p>
      <w:pPr>
        <w:spacing w:after="160" w:before="0" w:line="280"/>
        <w:ind w:left="720" w:right="720"/>
        <w:jc w:val="both"/>
      </w:pPr>
      <w:r>
        <w:rPr>
          <w:rFonts w:ascii="Times New Roman" w:cs="Times New Roman" w:eastAsia="Times New Roman" w:hAnsi="Times New Roman"/>
          <w:color w:val="1F2937"/>
          <w:sz w:val="20"/>
          <w:szCs w:val="20"/>
        </w:rPr>
        <w:t xml:space="preserve">This document establishes the conceptual and historical foundation for the attention mechanism — the architectural innovation at the heart of every modern large language model. Beginning with the long-term dependency problem in natural language, the document traces the thirty-seven-year progression of sequence modelling: recurrent neural networks and their information bottleneck, long short-term memory networks and their partial mitigation of vanishing gradients, the Bahdanau attention mechanism as the first direct-access formulation, and the Transformer architecture which eliminates recurrence entirely. A toy hand-computed alignment matrix illustrates Bahdanau attention numerically, and an open question is raised regarding whether the original thesis of self-attention supplanting recurrence holds up under the quadratic-complexity limits of long-context models. The document is a conceptual opener for Stage 2 of the series; implementation of the mechanisms it describes begins in the following topic.</w:t>
      </w:r>
    </w:p>
    <w:p>
      <w:pPr>
        <w:spacing w:after="0" w:before="120"/>
        <w:ind w:left="720" w:right="720"/>
        <w:jc w:val="center"/>
      </w:pPr>
      <w:r>
        <w:rPr>
          <w:rFonts w:ascii="Times New Roman" w:cs="Times New Roman" w:eastAsia="Times New Roman" w:hAnsi="Times New Roman"/>
          <w:b/>
          <w:bCs/>
          <w:color w:val="0D3B6E"/>
          <w:sz w:val="20"/>
          <w:szCs w:val="20"/>
        </w:rPr>
        <w:t xml:space="preserve">Keywords:  </w:t>
      </w:r>
      <w:r>
        <w:rPr>
          <w:rFonts w:ascii="Times New Roman" w:cs="Times New Roman" w:eastAsia="Times New Roman" w:hAnsi="Times New Roman"/>
          <w:i/>
          <w:iCs/>
          <w:color w:val="6B7280"/>
          <w:sz w:val="20"/>
          <w:szCs w:val="20"/>
        </w:rPr>
        <w:t xml:space="preserve">attention · recurrent networks · LSTM · Bahdanau · self-attention · Transformer · long-term dependencies</w:t>
      </w:r>
    </w:p>
    <w:p>
      <w:r>
        <w:br w:type="page"/>
      </w:r>
    </w:p>
    <w:p>
      <w:pPr>
        <w:sectPr>
          <w:pgSz w:w="12240" w:h="15840" w:orient="portrait"/>
          <w:pgMar w:top="1440" w:right="1440" w:bottom="1440" w:left="1440" w:header="708" w:footer="708" w:gutter="0"/>
          <w:pgNumType/>
          <w:docGrid w:linePitch="360"/>
        </w:sectPr>
      </w:pPr>
    </w:p>
    <w:p>
      <w:pPr>
        <w:spacing w:after="240" w:before="200"/>
      </w:pPr>
      <w:r>
        <w:rPr>
          <w:rFonts w:ascii="Calibri" w:cs="Calibri" w:eastAsia="Calibri" w:hAnsi="Calibri"/>
          <w:b/>
          <w:bCs/>
          <w:color w:val="0D3B6E"/>
          <w:sz w:val="36"/>
          <w:szCs w:val="36"/>
        </w:rPr>
        <w:t xml:space="preserve">Contents</w:t>
      </w:r>
    </w:p>
    <w:p>
      <w:pPr>
        <w:pBdr>
          <w:bottom w:val="single" w:color="F59E0B" w:sz="8" w:space="1"/>
        </w:pBdr>
        <w:spacing w:after="360" w:before="0"/>
      </w:pPr>
      <w:r>
        <w:t xml:space="preserve"/>
      </w:r>
    </w:p>
    <w:p>
      <w:pPr>
        <w:tabs>
          <w:tab w:val="right" w:pos="9300" w:leader="dot"/>
        </w:tabs>
        <w:spacing w:after="0" w:before="100" w:line="320"/>
        <w:ind w:left="0"/>
      </w:pPr>
      <w:r>
        <w:rPr>
          <w:rFonts w:ascii="Times New Roman" w:cs="Times New Roman" w:eastAsia="Times New Roman" w:hAnsi="Times New Roman"/>
          <w:b/>
          <w:bCs/>
          <w:color w:val="0D3B6E"/>
          <w:sz w:val="22"/>
          <w:szCs w:val="22"/>
        </w:rPr>
        <w:t xml:space="preserve">1. </w:t>
      </w:r>
      <w:r>
        <w:rPr>
          <w:rFonts w:ascii="Times New Roman" w:cs="Times New Roman" w:eastAsia="Times New Roman" w:hAnsi="Times New Roman"/>
          <w:b/>
          <w:bCs/>
          <w:color w:val="1F2937"/>
          <w:sz w:val="22"/>
          <w:szCs w:val="22"/>
        </w:rPr>
        <w:t xml:space="preserve">The Sentence That Motivates Everything</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6B7280"/>
          <w:sz w:val="22"/>
          <w:szCs w:val="22"/>
        </w:rPr>
        <w:t xml:space="preserve">3</w:t>
      </w:r>
    </w:p>
    <w:p>
      <w:pPr>
        <w:tabs>
          <w:tab w:val="right" w:pos="9300" w:leader="dot"/>
        </w:tabs>
        <w:spacing w:after="0" w:before="100" w:line="320"/>
        <w:ind w:left="0"/>
      </w:pPr>
      <w:r>
        <w:rPr>
          <w:rFonts w:ascii="Times New Roman" w:cs="Times New Roman" w:eastAsia="Times New Roman" w:hAnsi="Times New Roman"/>
          <w:b/>
          <w:bCs/>
          <w:color w:val="0D3B6E"/>
          <w:sz w:val="22"/>
          <w:szCs w:val="22"/>
        </w:rPr>
        <w:t xml:space="preserve">2. </w:t>
      </w:r>
      <w:r>
        <w:rPr>
          <w:rFonts w:ascii="Times New Roman" w:cs="Times New Roman" w:eastAsia="Times New Roman" w:hAnsi="Times New Roman"/>
          <w:b/>
          <w:bCs/>
          <w:color w:val="1F2937"/>
          <w:sz w:val="22"/>
          <w:szCs w:val="22"/>
        </w:rPr>
        <w:t xml:space="preserve">The Four Types of Attention — A Taxonomy</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6B7280"/>
          <w:sz w:val="22"/>
          <w:szCs w:val="22"/>
        </w:rPr>
        <w:t xml:space="preserve">3</w:t>
      </w:r>
    </w:p>
    <w:p>
      <w:pPr>
        <w:tabs>
          <w:tab w:val="right" w:pos="9300" w:leader="dot"/>
        </w:tabs>
        <w:spacing w:after="0" w:before="100" w:line="320"/>
        <w:ind w:left="0"/>
      </w:pPr>
      <w:r>
        <w:rPr>
          <w:rFonts w:ascii="Times New Roman" w:cs="Times New Roman" w:eastAsia="Times New Roman" w:hAnsi="Times New Roman"/>
          <w:b/>
          <w:bCs/>
          <w:color w:val="0D3B6E"/>
          <w:sz w:val="22"/>
          <w:szCs w:val="22"/>
        </w:rPr>
        <w:t xml:space="preserve">3. </w:t>
      </w:r>
      <w:r>
        <w:rPr>
          <w:rFonts w:ascii="Times New Roman" w:cs="Times New Roman" w:eastAsia="Times New Roman" w:hAnsi="Times New Roman"/>
          <w:b/>
          <w:bCs/>
          <w:color w:val="1F2937"/>
          <w:sz w:val="22"/>
          <w:szCs w:val="22"/>
        </w:rPr>
        <w:t xml:space="preserve">The Problem — Why Word-by-Word Processing Fails</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6B7280"/>
          <w:sz w:val="22"/>
          <w:szCs w:val="22"/>
        </w:rPr>
        <w:t xml:space="preserve">4</w:t>
      </w:r>
    </w:p>
    <w:p>
      <w:pPr>
        <w:tabs>
          <w:tab w:val="right" w:pos="9300" w:leader="dot"/>
        </w:tabs>
        <w:spacing w:after="0" w:before="40" w:line="320"/>
        <w:ind w:left="480"/>
      </w:pPr>
      <w:r>
        <w:rPr>
          <w:rFonts w:ascii="Times New Roman" w:cs="Times New Roman" w:eastAsia="Times New Roman" w:hAnsi="Times New Roman"/>
          <w:b w:val="false"/>
          <w:bCs w:val="false"/>
          <w:color w:val="1A56A0"/>
          <w:sz w:val="20"/>
          <w:szCs w:val="20"/>
        </w:rPr>
        <w:t xml:space="preserve">3.1 </w:t>
      </w:r>
      <w:r>
        <w:rPr>
          <w:rFonts w:ascii="Times New Roman" w:cs="Times New Roman" w:eastAsia="Times New Roman" w:hAnsi="Times New Roman"/>
          <w:b w:val="false"/>
          <w:bCs w:val="false"/>
          <w:color w:val="1F2937"/>
          <w:sz w:val="20"/>
          <w:szCs w:val="20"/>
        </w:rPr>
        <w:t xml:space="preserve">Word-by-Word Translation Fails</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6B7280"/>
          <w:sz w:val="20"/>
          <w:szCs w:val="20"/>
        </w:rPr>
        <w:t xml:space="preserve">4</w:t>
      </w:r>
    </w:p>
    <w:p>
      <w:pPr>
        <w:tabs>
          <w:tab w:val="right" w:pos="9300" w:leader="dot"/>
        </w:tabs>
        <w:spacing w:after="0" w:before="100" w:line="320"/>
        <w:ind w:left="0"/>
      </w:pPr>
      <w:r>
        <w:rPr>
          <w:rFonts w:ascii="Times New Roman" w:cs="Times New Roman" w:eastAsia="Times New Roman" w:hAnsi="Times New Roman"/>
          <w:b/>
          <w:bCs/>
          <w:color w:val="0D3B6E"/>
          <w:sz w:val="22"/>
          <w:szCs w:val="22"/>
        </w:rPr>
        <w:t xml:space="preserve">4. </w:t>
      </w:r>
      <w:r>
        <w:rPr>
          <w:rFonts w:ascii="Times New Roman" w:cs="Times New Roman" w:eastAsia="Times New Roman" w:hAnsi="Times New Roman"/>
          <w:b/>
          <w:bCs/>
          <w:color w:val="1F2937"/>
          <w:sz w:val="22"/>
          <w:szCs w:val="22"/>
        </w:rPr>
        <w:t xml:space="preserve">The Encoder–Decoder Architecture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6B7280"/>
          <w:sz w:val="22"/>
          <w:szCs w:val="22"/>
        </w:rPr>
        <w:t xml:space="preserve">5</w:t>
      </w:r>
    </w:p>
    <w:p>
      <w:pPr>
        <w:tabs>
          <w:tab w:val="right" w:pos="9300" w:leader="dot"/>
        </w:tabs>
        <w:spacing w:after="0" w:before="40" w:line="320"/>
        <w:ind w:left="480"/>
      </w:pPr>
      <w:r>
        <w:rPr>
          <w:rFonts w:ascii="Times New Roman" w:cs="Times New Roman" w:eastAsia="Times New Roman" w:hAnsi="Times New Roman"/>
          <w:b w:val="false"/>
          <w:bCs w:val="false"/>
          <w:color w:val="1A56A0"/>
          <w:sz w:val="20"/>
          <w:szCs w:val="20"/>
        </w:rPr>
        <w:t xml:space="preserve">4.1 </w:t>
      </w:r>
      <w:r>
        <w:rPr>
          <w:rFonts w:ascii="Times New Roman" w:cs="Times New Roman" w:eastAsia="Times New Roman" w:hAnsi="Times New Roman"/>
          <w:b w:val="false"/>
          <w:bCs w:val="false"/>
          <w:color w:val="1F2937"/>
          <w:sz w:val="20"/>
          <w:szCs w:val="20"/>
        </w:rPr>
        <w:t xml:space="preserve">Why a Normal Neural Network Cannot Do This</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6B7280"/>
          <w:sz w:val="20"/>
          <w:szCs w:val="20"/>
        </w:rPr>
        <w:t xml:space="preserve">5</w:t>
      </w:r>
    </w:p>
    <w:p>
      <w:pPr>
        <w:tabs>
          <w:tab w:val="right" w:pos="9300" w:leader="dot"/>
        </w:tabs>
        <w:spacing w:after="0" w:before="40" w:line="320"/>
        <w:ind w:left="480"/>
      </w:pPr>
      <w:r>
        <w:rPr>
          <w:rFonts w:ascii="Times New Roman" w:cs="Times New Roman" w:eastAsia="Times New Roman" w:hAnsi="Times New Roman"/>
          <w:b w:val="false"/>
          <w:bCs w:val="false"/>
          <w:color w:val="1A56A0"/>
          <w:sz w:val="20"/>
          <w:szCs w:val="20"/>
        </w:rPr>
        <w:t xml:space="preserve">4.2 </w:t>
      </w:r>
      <w:r>
        <w:rPr>
          <w:rFonts w:ascii="Times New Roman" w:cs="Times New Roman" w:eastAsia="Times New Roman" w:hAnsi="Times New Roman"/>
          <w:b w:val="false"/>
          <w:bCs w:val="false"/>
          <w:color w:val="1F2937"/>
          <w:sz w:val="20"/>
          <w:szCs w:val="20"/>
        </w:rPr>
        <w:t xml:space="preserve">How the Encoder Works</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6B7280"/>
          <w:sz w:val="20"/>
          <w:szCs w:val="20"/>
        </w:rPr>
        <w:t xml:space="preserve">5</w:t>
      </w:r>
    </w:p>
    <w:p>
      <w:pPr>
        <w:tabs>
          <w:tab w:val="right" w:pos="9300" w:leader="dot"/>
        </w:tabs>
        <w:spacing w:after="0" w:before="40" w:line="320"/>
        <w:ind w:left="480"/>
      </w:pPr>
      <w:r>
        <w:rPr>
          <w:rFonts w:ascii="Times New Roman" w:cs="Times New Roman" w:eastAsia="Times New Roman" w:hAnsi="Times New Roman"/>
          <w:b w:val="false"/>
          <w:bCs w:val="false"/>
          <w:color w:val="1A56A0"/>
          <w:sz w:val="20"/>
          <w:szCs w:val="20"/>
        </w:rPr>
        <w:t xml:space="preserve">4.3 </w:t>
      </w:r>
      <w:r>
        <w:rPr>
          <w:rFonts w:ascii="Times New Roman" w:cs="Times New Roman" w:eastAsia="Times New Roman" w:hAnsi="Times New Roman"/>
          <w:b w:val="false"/>
          <w:bCs w:val="false"/>
          <w:color w:val="1F2937"/>
          <w:sz w:val="20"/>
          <w:szCs w:val="20"/>
        </w:rPr>
        <w:t xml:space="preserve">The Decoder</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6B7280"/>
          <w:sz w:val="20"/>
          <w:szCs w:val="20"/>
        </w:rPr>
        <w:t xml:space="preserve">6</w:t>
      </w:r>
    </w:p>
    <w:p>
      <w:pPr>
        <w:tabs>
          <w:tab w:val="right" w:pos="9300" w:leader="dot"/>
        </w:tabs>
        <w:spacing w:after="0" w:before="100" w:line="320"/>
        <w:ind w:left="0"/>
      </w:pPr>
      <w:r>
        <w:rPr>
          <w:rFonts w:ascii="Times New Roman" w:cs="Times New Roman" w:eastAsia="Times New Roman" w:hAnsi="Times New Roman"/>
          <w:b/>
          <w:bCs/>
          <w:color w:val="0D3B6E"/>
          <w:sz w:val="22"/>
          <w:szCs w:val="22"/>
        </w:rPr>
        <w:t xml:space="preserve">5. </w:t>
      </w:r>
      <w:r>
        <w:rPr>
          <w:rFonts w:ascii="Times New Roman" w:cs="Times New Roman" w:eastAsia="Times New Roman" w:hAnsi="Times New Roman"/>
          <w:b/>
          <w:bCs/>
          <w:color w:val="1F2937"/>
          <w:sz w:val="22"/>
          <w:szCs w:val="22"/>
        </w:rPr>
        <w:t xml:space="preserve">The Recurrent Neural Network — Mechanism and Failure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6B7280"/>
          <w:sz w:val="22"/>
          <w:szCs w:val="22"/>
        </w:rPr>
        <w:t xml:space="preserve">6</w:t>
      </w:r>
    </w:p>
    <w:p>
      <w:pPr>
        <w:tabs>
          <w:tab w:val="right" w:pos="9300" w:leader="dot"/>
        </w:tabs>
        <w:spacing w:after="0" w:before="40" w:line="320"/>
        <w:ind w:left="480"/>
      </w:pPr>
      <w:r>
        <w:rPr>
          <w:rFonts w:ascii="Times New Roman" w:cs="Times New Roman" w:eastAsia="Times New Roman" w:hAnsi="Times New Roman"/>
          <w:b w:val="false"/>
          <w:bCs w:val="false"/>
          <w:color w:val="1A56A0"/>
          <w:sz w:val="20"/>
          <w:szCs w:val="20"/>
        </w:rPr>
        <w:t xml:space="preserve">5.1 </w:t>
      </w:r>
      <w:r>
        <w:rPr>
          <w:rFonts w:ascii="Times New Roman" w:cs="Times New Roman" w:eastAsia="Times New Roman" w:hAnsi="Times New Roman"/>
          <w:b w:val="false"/>
          <w:bCs w:val="false"/>
          <w:color w:val="1F2937"/>
          <w:sz w:val="20"/>
          <w:szCs w:val="20"/>
        </w:rPr>
        <w:t xml:space="preserve">How an RNN Step Works</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6B7280"/>
          <w:sz w:val="20"/>
          <w:szCs w:val="20"/>
        </w:rPr>
        <w:t xml:space="preserve">6</w:t>
      </w:r>
    </w:p>
    <w:p>
      <w:pPr>
        <w:tabs>
          <w:tab w:val="right" w:pos="9300" w:leader="dot"/>
        </w:tabs>
        <w:spacing w:after="0" w:before="40" w:line="320"/>
        <w:ind w:left="480"/>
      </w:pPr>
      <w:r>
        <w:rPr>
          <w:rFonts w:ascii="Times New Roman" w:cs="Times New Roman" w:eastAsia="Times New Roman" w:hAnsi="Times New Roman"/>
          <w:b w:val="false"/>
          <w:bCs w:val="false"/>
          <w:color w:val="1A56A0"/>
          <w:sz w:val="20"/>
          <w:szCs w:val="20"/>
        </w:rPr>
        <w:t xml:space="preserve">5.2 </w:t>
      </w:r>
      <w:r>
        <w:rPr>
          <w:rFonts w:ascii="Times New Roman" w:cs="Times New Roman" w:eastAsia="Times New Roman" w:hAnsi="Times New Roman"/>
          <w:b w:val="false"/>
          <w:bCs w:val="false"/>
          <w:color w:val="1F2937"/>
          <w:sz w:val="20"/>
          <w:szCs w:val="20"/>
        </w:rPr>
        <w:t xml:space="preserve">The Critical Failure — The Information Bottleneck</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6B7280"/>
          <w:sz w:val="20"/>
          <w:szCs w:val="20"/>
        </w:rPr>
        <w:t xml:space="preserve">7</w:t>
      </w:r>
    </w:p>
    <w:p>
      <w:pPr>
        <w:tabs>
          <w:tab w:val="right" w:pos="9300" w:leader="dot"/>
        </w:tabs>
        <w:spacing w:after="0" w:before="100" w:line="320"/>
        <w:ind w:left="0"/>
      </w:pPr>
      <w:r>
        <w:rPr>
          <w:rFonts w:ascii="Times New Roman" w:cs="Times New Roman" w:eastAsia="Times New Roman" w:hAnsi="Times New Roman"/>
          <w:b/>
          <w:bCs/>
          <w:color w:val="0D3B6E"/>
          <w:sz w:val="22"/>
          <w:szCs w:val="22"/>
        </w:rPr>
        <w:t xml:space="preserve">6. </w:t>
      </w:r>
      <w:r>
        <w:rPr>
          <w:rFonts w:ascii="Times New Roman" w:cs="Times New Roman" w:eastAsia="Times New Roman" w:hAnsi="Times New Roman"/>
          <w:b/>
          <w:bCs/>
          <w:color w:val="1F2937"/>
          <w:sz w:val="22"/>
          <w:szCs w:val="22"/>
        </w:rPr>
        <w:t xml:space="preserve">LSTMs — A Partial Solution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6B7280"/>
          <w:sz w:val="22"/>
          <w:szCs w:val="22"/>
        </w:rPr>
        <w:t xml:space="preserve">8</w:t>
      </w:r>
    </w:p>
    <w:p>
      <w:pPr>
        <w:tabs>
          <w:tab w:val="right" w:pos="9300" w:leader="dot"/>
        </w:tabs>
        <w:spacing w:after="0" w:before="40" w:line="320"/>
        <w:ind w:left="480"/>
      </w:pPr>
      <w:r>
        <w:rPr>
          <w:rFonts w:ascii="Times New Roman" w:cs="Times New Roman" w:eastAsia="Times New Roman" w:hAnsi="Times New Roman"/>
          <w:b w:val="false"/>
          <w:bCs w:val="false"/>
          <w:color w:val="1A56A0"/>
          <w:sz w:val="20"/>
          <w:szCs w:val="20"/>
        </w:rPr>
        <w:t xml:space="preserve">6.1 </w:t>
      </w:r>
      <w:r>
        <w:rPr>
          <w:rFonts w:ascii="Times New Roman" w:cs="Times New Roman" w:eastAsia="Times New Roman" w:hAnsi="Times New Roman"/>
          <w:b w:val="false"/>
          <w:bCs w:val="false"/>
          <w:color w:val="1F2937"/>
          <w:sz w:val="20"/>
          <w:szCs w:val="20"/>
        </w:rPr>
        <w:t xml:space="preserve">The Internal Architecture — Cell State and Gating</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6B7280"/>
          <w:sz w:val="20"/>
          <w:szCs w:val="20"/>
        </w:rPr>
        <w:t xml:space="preserve">8</w:t>
      </w:r>
    </w:p>
    <w:p>
      <w:pPr>
        <w:tabs>
          <w:tab w:val="right" w:pos="9300" w:leader="dot"/>
        </w:tabs>
        <w:spacing w:after="0" w:before="100" w:line="320"/>
        <w:ind w:left="0"/>
      </w:pPr>
      <w:r>
        <w:rPr>
          <w:rFonts w:ascii="Times New Roman" w:cs="Times New Roman" w:eastAsia="Times New Roman" w:hAnsi="Times New Roman"/>
          <w:b/>
          <w:bCs/>
          <w:color w:val="0D3B6E"/>
          <w:sz w:val="22"/>
          <w:szCs w:val="22"/>
        </w:rPr>
        <w:t xml:space="preserve">7. </w:t>
      </w:r>
      <w:r>
        <w:rPr>
          <w:rFonts w:ascii="Times New Roman" w:cs="Times New Roman" w:eastAsia="Times New Roman" w:hAnsi="Times New Roman"/>
          <w:b/>
          <w:bCs/>
          <w:color w:val="1F2937"/>
          <w:sz w:val="22"/>
          <w:szCs w:val="22"/>
        </w:rPr>
        <w:t xml:space="preserve">The Bahdanau Attention Mechanism — 2014</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6B7280"/>
          <w:sz w:val="22"/>
          <w:szCs w:val="22"/>
        </w:rPr>
        <w:t xml:space="preserve">9</w:t>
      </w:r>
    </w:p>
    <w:p>
      <w:pPr>
        <w:tabs>
          <w:tab w:val="right" w:pos="9300" w:leader="dot"/>
        </w:tabs>
        <w:spacing w:after="0" w:before="40" w:line="320"/>
        <w:ind w:left="480"/>
      </w:pPr>
      <w:r>
        <w:rPr>
          <w:rFonts w:ascii="Times New Roman" w:cs="Times New Roman" w:eastAsia="Times New Roman" w:hAnsi="Times New Roman"/>
          <w:b w:val="false"/>
          <w:bCs w:val="false"/>
          <w:color w:val="1A56A0"/>
          <w:sz w:val="20"/>
          <w:szCs w:val="20"/>
        </w:rPr>
        <w:t xml:space="preserve">7.1 </w:t>
      </w:r>
      <w:r>
        <w:rPr>
          <w:rFonts w:ascii="Times New Roman" w:cs="Times New Roman" w:eastAsia="Times New Roman" w:hAnsi="Times New Roman"/>
          <w:b w:val="false"/>
          <w:bCs w:val="false"/>
          <w:color w:val="1F2937"/>
          <w:sz w:val="20"/>
          <w:szCs w:val="20"/>
        </w:rPr>
        <w:t xml:space="preserve">The Core Mechanism</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6B7280"/>
          <w:sz w:val="20"/>
          <w:szCs w:val="20"/>
        </w:rPr>
        <w:t xml:space="preserve">9</w:t>
      </w:r>
    </w:p>
    <w:p>
      <w:pPr>
        <w:tabs>
          <w:tab w:val="right" w:pos="9300" w:leader="dot"/>
        </w:tabs>
        <w:spacing w:after="0" w:before="40" w:line="320"/>
        <w:ind w:left="480"/>
      </w:pPr>
      <w:r>
        <w:rPr>
          <w:rFonts w:ascii="Times New Roman" w:cs="Times New Roman" w:eastAsia="Times New Roman" w:hAnsi="Times New Roman"/>
          <w:b w:val="false"/>
          <w:bCs w:val="false"/>
          <w:color w:val="1A56A0"/>
          <w:sz w:val="20"/>
          <w:szCs w:val="20"/>
        </w:rPr>
        <w:t xml:space="preserve">7.2 </w:t>
      </w:r>
      <w:r>
        <w:rPr>
          <w:rFonts w:ascii="Times New Roman" w:cs="Times New Roman" w:eastAsia="Times New Roman" w:hAnsi="Times New Roman"/>
          <w:b w:val="false"/>
          <w:bCs w:val="false"/>
          <w:color w:val="1F2937"/>
          <w:sz w:val="20"/>
          <w:szCs w:val="20"/>
        </w:rPr>
        <w:t xml:space="preserve">Attention Weights in Practice — "Je suis étudiant"</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6B7280"/>
          <w:sz w:val="20"/>
          <w:szCs w:val="20"/>
        </w:rPr>
        <w:t xml:space="preserve">9</w:t>
      </w:r>
    </w:p>
    <w:p>
      <w:pPr>
        <w:tabs>
          <w:tab w:val="right" w:pos="9300" w:leader="dot"/>
        </w:tabs>
        <w:spacing w:after="0" w:before="100" w:line="320"/>
        <w:ind w:left="0"/>
      </w:pPr>
      <w:r>
        <w:rPr>
          <w:rFonts w:ascii="Times New Roman" w:cs="Times New Roman" w:eastAsia="Times New Roman" w:hAnsi="Times New Roman"/>
          <w:b/>
          <w:bCs/>
          <w:color w:val="0D3B6E"/>
          <w:sz w:val="22"/>
          <w:szCs w:val="22"/>
        </w:rPr>
        <w:t xml:space="preserve">8. </w:t>
      </w:r>
      <w:r>
        <w:rPr>
          <w:rFonts w:ascii="Times New Roman" w:cs="Times New Roman" w:eastAsia="Times New Roman" w:hAnsi="Times New Roman"/>
          <w:b/>
          <w:bCs/>
          <w:color w:val="1F2937"/>
          <w:sz w:val="22"/>
          <w:szCs w:val="22"/>
        </w:rPr>
        <w:t xml:space="preserve">Self-Attention and the Transformer — 2017</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6B7280"/>
          <w:sz w:val="22"/>
          <w:szCs w:val="22"/>
        </w:rPr>
        <w:t xml:space="preserve">10</w:t>
      </w:r>
    </w:p>
    <w:p>
      <w:pPr>
        <w:tabs>
          <w:tab w:val="right" w:pos="9300" w:leader="dot"/>
        </w:tabs>
        <w:spacing w:after="0" w:before="40" w:line="320"/>
        <w:ind w:left="480"/>
      </w:pPr>
      <w:r>
        <w:rPr>
          <w:rFonts w:ascii="Times New Roman" w:cs="Times New Roman" w:eastAsia="Times New Roman" w:hAnsi="Times New Roman"/>
          <w:b w:val="false"/>
          <w:bCs w:val="false"/>
          <w:color w:val="1A56A0"/>
          <w:sz w:val="20"/>
          <w:szCs w:val="20"/>
        </w:rPr>
        <w:t xml:space="preserve">8.1 </w:t>
      </w:r>
      <w:r>
        <w:rPr>
          <w:rFonts w:ascii="Times New Roman" w:cs="Times New Roman" w:eastAsia="Times New Roman" w:hAnsi="Times New Roman"/>
          <w:b w:val="false"/>
          <w:bCs w:val="false"/>
          <w:color w:val="1F2937"/>
          <w:sz w:val="20"/>
          <w:szCs w:val="20"/>
        </w:rPr>
        <w:t xml:space="preserve">Cross-Attention vs Self-Attention</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6B7280"/>
          <w:sz w:val="20"/>
          <w:szCs w:val="20"/>
        </w:rPr>
        <w:t xml:space="preserve">10</w:t>
      </w:r>
    </w:p>
    <w:p>
      <w:pPr>
        <w:tabs>
          <w:tab w:val="right" w:pos="9300" w:leader="dot"/>
        </w:tabs>
        <w:spacing w:after="0" w:before="40" w:line="320"/>
        <w:ind w:left="480"/>
      </w:pPr>
      <w:r>
        <w:rPr>
          <w:rFonts w:ascii="Times New Roman" w:cs="Times New Roman" w:eastAsia="Times New Roman" w:hAnsi="Times New Roman"/>
          <w:b w:val="false"/>
          <w:bCs w:val="false"/>
          <w:color w:val="1A56A0"/>
          <w:sz w:val="20"/>
          <w:szCs w:val="20"/>
        </w:rPr>
        <w:t xml:space="preserve">8.2 </w:t>
      </w:r>
      <w:r>
        <w:rPr>
          <w:rFonts w:ascii="Times New Roman" w:cs="Times New Roman" w:eastAsia="Times New Roman" w:hAnsi="Times New Roman"/>
          <w:b w:val="false"/>
          <w:bCs w:val="false"/>
          <w:color w:val="1F2937"/>
          <w:sz w:val="20"/>
          <w:szCs w:val="20"/>
        </w:rPr>
        <w:t xml:space="preserve">The Formal Definition of Self-Attention</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6B7280"/>
          <w:sz w:val="20"/>
          <w:szCs w:val="20"/>
        </w:rPr>
        <w:t xml:space="preserve">11</w:t>
      </w:r>
    </w:p>
    <w:p>
      <w:pPr>
        <w:tabs>
          <w:tab w:val="right" w:pos="9300" w:leader="dot"/>
        </w:tabs>
        <w:spacing w:after="0" w:before="40" w:line="320"/>
        <w:ind w:left="480"/>
      </w:pPr>
      <w:r>
        <w:rPr>
          <w:rFonts w:ascii="Times New Roman" w:cs="Times New Roman" w:eastAsia="Times New Roman" w:hAnsi="Times New Roman"/>
          <w:b w:val="false"/>
          <w:bCs w:val="false"/>
          <w:color w:val="1A56A0"/>
          <w:sz w:val="20"/>
          <w:szCs w:val="20"/>
        </w:rPr>
        <w:t xml:space="preserve">8.3 </w:t>
      </w:r>
      <w:r>
        <w:rPr>
          <w:rFonts w:ascii="Times New Roman" w:cs="Times New Roman" w:eastAsia="Times New Roman" w:hAnsi="Times New Roman"/>
          <w:b w:val="false"/>
          <w:bCs w:val="false"/>
          <w:color w:val="1F2937"/>
          <w:sz w:val="20"/>
          <w:szCs w:val="20"/>
        </w:rPr>
        <w:t xml:space="preserve">Why Self-Attention Solves the Long-Term Dependency Problem</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6B7280"/>
          <w:sz w:val="20"/>
          <w:szCs w:val="20"/>
        </w:rPr>
        <w:t xml:space="preserve">11</w:t>
      </w:r>
    </w:p>
    <w:p>
      <w:pPr>
        <w:tabs>
          <w:tab w:val="right" w:pos="9300" w:leader="dot"/>
        </w:tabs>
        <w:spacing w:after="0" w:before="100" w:line="320"/>
        <w:ind w:left="0"/>
      </w:pPr>
      <w:r>
        <w:rPr>
          <w:rFonts w:ascii="Times New Roman" w:cs="Times New Roman" w:eastAsia="Times New Roman" w:hAnsi="Times New Roman"/>
          <w:b/>
          <w:bCs/>
          <w:color w:val="0D3B6E"/>
          <w:sz w:val="22"/>
          <w:szCs w:val="22"/>
        </w:rPr>
        <w:t xml:space="preserve">9. </w:t>
      </w:r>
      <w:r>
        <w:rPr>
          <w:rFonts w:ascii="Times New Roman" w:cs="Times New Roman" w:eastAsia="Times New Roman" w:hAnsi="Times New Roman"/>
          <w:b/>
          <w:bCs/>
          <w:color w:val="1F2937"/>
          <w:sz w:val="22"/>
          <w:szCs w:val="22"/>
        </w:rPr>
        <w:t xml:space="preserve">The Historical Timeline — Thirty-Seven Years to Attention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6B7280"/>
          <w:sz w:val="22"/>
          <w:szCs w:val="22"/>
        </w:rPr>
        <w:t xml:space="preserve">11</w:t>
      </w:r>
    </w:p>
    <w:p>
      <w:pPr>
        <w:tabs>
          <w:tab w:val="right" w:pos="9300" w:leader="dot"/>
        </w:tabs>
        <w:spacing w:after="0" w:before="100" w:line="320"/>
        <w:ind w:left="0"/>
      </w:pPr>
      <w:r>
        <w:rPr>
          <w:rFonts w:ascii="Times New Roman" w:cs="Times New Roman" w:eastAsia="Times New Roman" w:hAnsi="Times New Roman"/>
          <w:b/>
          <w:bCs/>
          <w:color w:val="0D3B6E"/>
          <w:sz w:val="22"/>
          <w:szCs w:val="22"/>
        </w:rPr>
        <w:t xml:space="preserve">10. </w:t>
      </w:r>
      <w:r>
        <w:rPr>
          <w:rFonts w:ascii="Times New Roman" w:cs="Times New Roman" w:eastAsia="Times New Roman" w:hAnsi="Times New Roman"/>
          <w:b/>
          <w:bCs/>
          <w:color w:val="1F2937"/>
          <w:sz w:val="22"/>
          <w:szCs w:val="22"/>
        </w:rPr>
        <w:t xml:space="preserve">Key Observations</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6B7280"/>
          <w:sz w:val="22"/>
          <w:szCs w:val="22"/>
        </w:rPr>
        <w:t xml:space="preserve">12</w:t>
      </w:r>
    </w:p>
    <w:p>
      <w:pPr>
        <w:tabs>
          <w:tab w:val="right" w:pos="9300" w:leader="dot"/>
        </w:tabs>
        <w:spacing w:after="0" w:before="100" w:line="320"/>
        <w:ind w:left="0"/>
      </w:pPr>
      <w:r>
        <w:rPr>
          <w:rFonts w:ascii="Times New Roman" w:cs="Times New Roman" w:eastAsia="Times New Roman" w:hAnsi="Times New Roman"/>
          <w:b/>
          <w:bCs/>
          <w:color w:val="0D3B6E"/>
          <w:sz w:val="22"/>
          <w:szCs w:val="22"/>
        </w:rPr>
        <w:t xml:space="preserve">11. </w:t>
      </w:r>
      <w:r>
        <w:rPr>
          <w:rFonts w:ascii="Times New Roman" w:cs="Times New Roman" w:eastAsia="Times New Roman" w:hAnsi="Times New Roman"/>
          <w:b/>
          <w:bCs/>
          <w:color w:val="1F2937"/>
          <w:sz w:val="22"/>
          <w:szCs w:val="22"/>
        </w:rPr>
        <w:t xml:space="preserve">Experiments &amp; Open Questions</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6B7280"/>
          <w:sz w:val="22"/>
          <w:szCs w:val="22"/>
        </w:rPr>
        <w:t xml:space="preserve">13</w:t>
      </w:r>
    </w:p>
    <w:p>
      <w:pPr>
        <w:tabs>
          <w:tab w:val="right" w:pos="9300" w:leader="dot"/>
        </w:tabs>
        <w:spacing w:after="0" w:before="40" w:line="320"/>
        <w:ind w:left="480"/>
      </w:pPr>
      <w:r>
        <w:rPr>
          <w:rFonts w:ascii="Times New Roman" w:cs="Times New Roman" w:eastAsia="Times New Roman" w:hAnsi="Times New Roman"/>
          <w:b w:val="false"/>
          <w:bCs w:val="false"/>
          <w:color w:val="1A56A0"/>
          <w:sz w:val="20"/>
          <w:szCs w:val="20"/>
        </w:rPr>
        <w:t xml:space="preserve">11.1 </w:t>
      </w:r>
      <w:r>
        <w:rPr>
          <w:rFonts w:ascii="Times New Roman" w:cs="Times New Roman" w:eastAsia="Times New Roman" w:hAnsi="Times New Roman"/>
          <w:b w:val="false"/>
          <w:bCs w:val="false"/>
          <w:color w:val="1F2937"/>
          <w:sz w:val="20"/>
          <w:szCs w:val="20"/>
        </w:rPr>
        <w:t xml:space="preserve">Toy Bahdanau Alignment Matrix — A Hand-Computed Example</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6B7280"/>
          <w:sz w:val="20"/>
          <w:szCs w:val="20"/>
        </w:rPr>
        <w:t xml:space="preserve">13</w:t>
      </w:r>
    </w:p>
    <w:p>
      <w:pPr>
        <w:tabs>
          <w:tab w:val="right" w:pos="9300" w:leader="dot"/>
        </w:tabs>
        <w:spacing w:after="0" w:before="40" w:line="320"/>
        <w:ind w:left="480"/>
      </w:pPr>
      <w:r>
        <w:rPr>
          <w:rFonts w:ascii="Times New Roman" w:cs="Times New Roman" w:eastAsia="Times New Roman" w:hAnsi="Times New Roman"/>
          <w:b w:val="false"/>
          <w:bCs w:val="false"/>
          <w:color w:val="1A56A0"/>
          <w:sz w:val="20"/>
          <w:szCs w:val="20"/>
        </w:rPr>
        <w:t xml:space="preserve">11.2 </w:t>
      </w:r>
      <w:r>
        <w:rPr>
          <w:rFonts w:ascii="Times New Roman" w:cs="Times New Roman" w:eastAsia="Times New Roman" w:hAnsi="Times New Roman"/>
          <w:b w:val="false"/>
          <w:bCs w:val="false"/>
          <w:color w:val="1F2937"/>
          <w:sz w:val="20"/>
          <w:szCs w:val="20"/>
        </w:rPr>
        <w:t xml:space="preserve">Open Question — Does "Attention Is All You Need" Still Hold Up?</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6B7280"/>
          <w:sz w:val="20"/>
          <w:szCs w:val="20"/>
        </w:rPr>
        <w:t xml:space="preserve">14</w:t>
      </w:r>
    </w:p>
    <w:p>
      <w:pPr>
        <w:tabs>
          <w:tab w:val="right" w:pos="9300" w:leader="dot"/>
        </w:tabs>
        <w:spacing w:after="0" w:before="40" w:line="320"/>
        <w:ind w:left="480"/>
      </w:pPr>
      <w:r>
        <w:rPr>
          <w:rFonts w:ascii="Times New Roman" w:cs="Times New Roman" w:eastAsia="Times New Roman" w:hAnsi="Times New Roman"/>
          <w:b w:val="false"/>
          <w:bCs w:val="false"/>
          <w:color w:val="1A56A0"/>
          <w:sz w:val="20"/>
          <w:szCs w:val="20"/>
        </w:rPr>
        <w:t xml:space="preserve">11.3 </w:t>
      </w:r>
      <w:r>
        <w:rPr>
          <w:rFonts w:ascii="Times New Roman" w:cs="Times New Roman" w:eastAsia="Times New Roman" w:hAnsi="Times New Roman"/>
          <w:b w:val="false"/>
          <w:bCs w:val="false"/>
          <w:color w:val="1F2937"/>
          <w:sz w:val="20"/>
          <w:szCs w:val="20"/>
        </w:rPr>
        <w:t xml:space="preserve">Proposed Future Work</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6B7280"/>
          <w:sz w:val="20"/>
          <w:szCs w:val="20"/>
        </w:rPr>
        <w:t xml:space="preserve">14</w:t>
      </w:r>
    </w:p>
    <w:p>
      <w:pPr>
        <w:tabs>
          <w:tab w:val="right" w:pos="9300" w:leader="dot"/>
        </w:tabs>
        <w:spacing w:after="0" w:before="100" w:line="320"/>
        <w:ind w:left="0"/>
      </w:pPr>
      <w:r>
        <w:rPr>
          <w:rFonts w:ascii="Times New Roman" w:cs="Times New Roman" w:eastAsia="Times New Roman" w:hAnsi="Times New Roman"/>
          <w:b/>
          <w:bCs/>
          <w:color w:val="0D3B6E"/>
          <w:sz w:val="22"/>
          <w:szCs w:val="22"/>
        </w:rPr>
        <w:t xml:space="preserve">12. </w:t>
      </w:r>
      <w:r>
        <w:rPr>
          <w:rFonts w:ascii="Times New Roman" w:cs="Times New Roman" w:eastAsia="Times New Roman" w:hAnsi="Times New Roman"/>
          <w:b/>
          <w:bCs/>
          <w:color w:val="1F2937"/>
          <w:sz w:val="22"/>
          <w:szCs w:val="22"/>
        </w:rPr>
        <w:t xml:space="preserve">Discussion — Relationship to Prior 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6B7280"/>
          <w:sz w:val="22"/>
          <w:szCs w:val="22"/>
        </w:rPr>
        <w:t xml:space="preserve">15</w:t>
      </w:r>
    </w:p>
    <w:p>
      <w:pPr>
        <w:tabs>
          <w:tab w:val="right" w:pos="9300" w:leader="dot"/>
        </w:tabs>
        <w:spacing w:after="0" w:before="100" w:line="320"/>
        <w:ind w:left="0"/>
      </w:pPr>
      <w:r>
        <w:rPr>
          <w:rFonts w:ascii="Times New Roman" w:cs="Times New Roman" w:eastAsia="Times New Roman" w:hAnsi="Times New Roman"/>
          <w:b/>
          <w:bCs/>
          <w:color w:val="0D3B6E"/>
          <w:sz w:val="22"/>
          <w:szCs w:val="22"/>
        </w:rPr>
        <w:t xml:space="preserve">13. </w:t>
      </w:r>
      <w:r>
        <w:rPr>
          <w:rFonts w:ascii="Times New Roman" w:cs="Times New Roman" w:eastAsia="Times New Roman" w:hAnsi="Times New Roman"/>
          <w:b/>
          <w:bCs/>
          <w:color w:val="1F2937"/>
          <w:sz w:val="22"/>
          <w:szCs w:val="22"/>
        </w:rPr>
        <w:t xml:space="preserve">What Comes Next</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6B7280"/>
          <w:sz w:val="22"/>
          <w:szCs w:val="22"/>
        </w:rPr>
        <w:t xml:space="preserve">16</w:t>
      </w:r>
    </w:p>
    <w:p>
      <w:pPr>
        <w:tabs>
          <w:tab w:val="right" w:pos="9300" w:leader="dot"/>
        </w:tabs>
        <w:spacing w:after="0" w:before="100" w:line="320"/>
        <w:ind w:left="0"/>
      </w:pPr>
      <w:r>
        <w:rPr>
          <w:rFonts w:ascii="Times New Roman" w:cs="Times New Roman" w:eastAsia="Times New Roman" w:hAnsi="Times New Roman"/>
          <w:b/>
          <w:bCs/>
          <w:color w:val="0D3B6E"/>
          <w:sz w:val="22"/>
          <w:szCs w:val="22"/>
        </w:rPr>
        <w:t xml:space="preserve"> </w:t>
      </w:r>
      <w:r>
        <w:rPr>
          <w:rFonts w:ascii="Times New Roman" w:cs="Times New Roman" w:eastAsia="Times New Roman" w:hAnsi="Times New Roman"/>
          <w:b/>
          <w:bCs/>
          <w:color w:val="1F2937"/>
          <w:sz w:val="22"/>
          <w:szCs w:val="22"/>
        </w:rPr>
        <w:t xml:space="preserve">References</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6B7280"/>
          <w:sz w:val="22"/>
          <w:szCs w:val="22"/>
        </w:rPr>
        <w:t xml:space="preserve">17</w:t>
      </w:r>
    </w:p>
    <w:p>
      <w:r>
        <w:br w:type="page"/>
      </w:r>
    </w:p>
    <w:p>
      <w:pPr>
        <w:sectPr>
          <w:pgSz w:w="12240" w:h="15840" w:orient="portrait"/>
          <w:pgMar w:top="1440" w:right="1440" w:bottom="1440" w:left="1440" w:header="708" w:footer="708" w:gutter="0"/>
          <w:pgNumType/>
          <w:docGrid w:linePitch="360"/>
        </w:sectPr>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bCs/>
                <w:i w:val="false"/>
                <w:iCs w:val="false"/>
                <w:color w:val="1F2937"/>
                <w:sz w:val="22"/>
                <w:szCs w:val="22"/>
              </w:rPr>
              <w:t xml:space="preserve">Author</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Shiva Kiran Dadishetty</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bCs/>
                <w:i w:val="false"/>
                <w:iCs w:val="false"/>
                <w:color w:val="1F2937"/>
                <w:sz w:val="22"/>
                <w:szCs w:val="22"/>
              </w:rPr>
              <w:t xml:space="preserve">Series</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Building LLMs from Scratch</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bCs/>
                <w:i w:val="false"/>
                <w:iCs w:val="false"/>
                <w:color w:val="1F2937"/>
                <w:sz w:val="22"/>
                <w:szCs w:val="22"/>
              </w:rPr>
              <w:t xml:space="preserve">Topic</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7 of 36  —  Stage 2: The Attention Mechanism</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bCs/>
                <w:i w:val="false"/>
                <w:iCs w:val="false"/>
                <w:color w:val="1F2937"/>
                <w:sz w:val="22"/>
                <w:szCs w:val="22"/>
              </w:rPr>
              <w:t xml:space="preserve">Document Type</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Conceptual &amp; Historical — Stage 2 Opening</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bCs/>
                <w:i w:val="false"/>
                <w:iCs w:val="false"/>
                <w:color w:val="1F2937"/>
                <w:sz w:val="22"/>
                <w:szCs w:val="22"/>
              </w:rPr>
              <w:t xml:space="preserve">Core Question</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Why does attention exist? What architectural failure did it solve?</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bCs/>
                <w:i w:val="false"/>
                <w:iCs w:val="false"/>
                <w:color w:val="1F2937"/>
                <w:sz w:val="22"/>
                <w:szCs w:val="22"/>
              </w:rPr>
              <w:t xml:space="preserve">Historical Arc</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RNNs (1980) → LSTMs (1997) → Bahdanau (2014) → Transformers (2017)</w:t>
            </w:r>
          </w:p>
        </w:tc>
      </w:tr>
      <w:tr>
        <w:trPr>
          <w:cantSplit/>
        </w:trPr>
        <w:tc>
          <w:tcPr>
            <w:tcW w:type="dxa" w:w="30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bCs/>
                <w:i w:val="false"/>
                <w:iCs w:val="false"/>
                <w:color w:val="1F2937"/>
                <w:sz w:val="22"/>
                <w:szCs w:val="22"/>
              </w:rPr>
              <w:t xml:space="preserve">Version / Date</w:t>
            </w:r>
          </w:p>
        </w:tc>
        <w:tc>
          <w:tcPr>
            <w:tcW w:type="dxa" w:w="63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Version 1.0  ·  April 2026</w:t>
            </w:r>
          </w:p>
        </w:tc>
      </w:tr>
    </w:tbl>
    <w:p>
      <w:pPr>
        <w:spacing w:after="240" w:before="240"/>
      </w:pPr>
      <w:r>
        <w:t xml:space="preserve"/>
      </w:r>
    </w:p>
    <w:p>
      <w:pPr>
        <w:pStyle w:val="Heading1"/>
        <w:keepNext/>
        <w:keepLines/>
        <w:spacing w:after="180" w:before="360"/>
      </w:pPr>
      <w:r>
        <w:rPr>
          <w:rFonts w:ascii="Calibri" w:cs="Calibri" w:eastAsia="Calibri" w:hAnsi="Calibri"/>
          <w:b/>
          <w:bCs/>
          <w:color w:val="0D3B6E"/>
          <w:sz w:val="32"/>
          <w:szCs w:val="32"/>
        </w:rPr>
        <w:t xml:space="preserve">1.  The Sentence That Motivates Everything</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Before any equation or algorithm, it is essential to understand the precise problem that attention was designed to solve. Consider the following sentence:</w:t>
      </w:r>
    </w:p>
    <w:p>
      <w:pPr>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"The cat that was sitting on the mat, which was next to the dog, jumped."</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subject                                                          verb</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When the model processes 'cat', it must pay maximum attention to 'jumped'.</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These two semantically connected words are separated by an 8-word relative</w:t>
      </w:r>
    </w:p>
    <w:p>
      <w:pPr>
        <w:pBdr>
          <w:left w:val="single" w:color="2E75B6" w:sz="16" w:space="8"/>
        </w:pBdr>
        <w:shd w:fill="F3F4F6" w:val="clear"/>
        <w:spacing w:after="140" w:before="0" w:line="260"/>
        <w:ind w:left="120" w:right="120"/>
      </w:pPr>
      <w:r>
        <w:rPr>
          <w:rFonts w:ascii="Consolas" w:cs="Consolas" w:eastAsia="Consolas" w:hAnsi="Consolas"/>
          <w:color w:val="1F2937"/>
          <w:sz w:val="19"/>
          <w:szCs w:val="19"/>
        </w:rPr>
        <w:t xml:space="preserve">clause. This is a LONG-TERM DEPENDENCY. Sequential models break here.</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Long-term dependencies are not edge cases — they are the norm in natural language. Subjects and verbs separated by clauses. Pronouns and their antecedents separated by paragraphs. Questions and their answers separated by entire documents. Any architecture that fails on long-term dependencies fails on natural language itself.</w:t>
      </w:r>
    </w:p>
    <w:p>
      <w:pPr>
        <w:pStyle w:val="Heading1"/>
        <w:keepNext/>
        <w:keepLines/>
        <w:spacing w:after="180" w:before="360"/>
      </w:pPr>
      <w:r>
        <w:rPr>
          <w:rFonts w:ascii="Calibri" w:cs="Calibri" w:eastAsia="Calibri" w:hAnsi="Calibri"/>
          <w:b/>
          <w:bCs/>
          <w:color w:val="0D3B6E"/>
          <w:sz w:val="32"/>
          <w:szCs w:val="32"/>
        </w:rPr>
        <w:t xml:space="preserve">2.  The Four Types of Attention — A Taxonomy</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There are four types of attention mechanism, each building on the previous. Understanding the full taxonomy before diving into implementation provides essential context for every design decision in the Transformer. Table 1 summarises the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460"/>
        <w:gridCol w:w="2100"/>
      </w:tblGrid>
      <w:tr>
        <w:trPr>
          <w:cantSplit/>
          <w:tblHeader/>
        </w:trPr>
        <w:tc>
          <w:tcPr>
            <w:tcW w:type="dxa" w:w="2800"/>
            <w:tcBorders>
              <w:top w:val="single" w:color="CCCCCC" w:sz="2"/>
              <w:left w:val="single" w:color="CCCCCC" w:sz="2"/>
              <w:bottom w:val="single" w:color="CCCCCC" w:sz="2"/>
              <w:right w:val="single" w:color="CCCCCC" w:sz="2"/>
            </w:tcBorders>
            <w:shd w:fill="0D3B6E" w:val="clear"/>
            <w:tcMar>
              <w:top w:type="dxa" w:w="100"/>
              <w:left w:type="dxa" w:w="150"/>
              <w:bottom w:type="dxa" w:w="100"/>
              <w:right w:type="dxa" w:w="150"/>
            </w:tcMar>
          </w:tcPr>
          <w:p>
            <w:pPr>
              <w:spacing w:after="0" w:before="0" w:line="280"/>
              <w:jc w:val="center"/>
            </w:pPr>
            <w:r>
              <w:rPr>
                <w:rFonts w:ascii="Times New Roman" w:cs="Times New Roman" w:eastAsia="Times New Roman" w:hAnsi="Times New Roman"/>
                <w:b/>
                <w:bCs/>
                <w:i w:val="false"/>
                <w:iCs w:val="false"/>
                <w:color w:val="FFFFFF"/>
                <w:sz w:val="22"/>
                <w:szCs w:val="22"/>
              </w:rPr>
              <w:t xml:space="preserve">Type</w:t>
            </w:r>
          </w:p>
        </w:tc>
        <w:tc>
          <w:tcPr>
            <w:tcW w:type="dxa" w:w="4460"/>
            <w:tcBorders>
              <w:top w:val="single" w:color="CCCCCC" w:sz="2"/>
              <w:left w:val="single" w:color="CCCCCC" w:sz="2"/>
              <w:bottom w:val="single" w:color="CCCCCC" w:sz="2"/>
              <w:right w:val="single" w:color="CCCCCC" w:sz="2"/>
            </w:tcBorders>
            <w:shd w:fill="0D3B6E" w:val="clear"/>
            <w:tcMar>
              <w:top w:type="dxa" w:w="100"/>
              <w:left w:type="dxa" w:w="150"/>
              <w:bottom w:type="dxa" w:w="100"/>
              <w:right w:type="dxa" w:w="150"/>
            </w:tcMar>
          </w:tcPr>
          <w:p>
            <w:pPr>
              <w:spacing w:after="0" w:before="0" w:line="280"/>
              <w:jc w:val="center"/>
            </w:pPr>
            <w:r>
              <w:rPr>
                <w:rFonts w:ascii="Times New Roman" w:cs="Times New Roman" w:eastAsia="Times New Roman" w:hAnsi="Times New Roman"/>
                <w:b/>
                <w:bCs/>
                <w:i w:val="false"/>
                <w:iCs w:val="false"/>
                <w:color w:val="FFFFFF"/>
                <w:sz w:val="22"/>
                <w:szCs w:val="22"/>
              </w:rPr>
              <w:t xml:space="preserve">What It Is</w:t>
            </w:r>
          </w:p>
        </w:tc>
        <w:tc>
          <w:tcPr>
            <w:tcW w:type="dxa" w:w="2100"/>
            <w:tcBorders>
              <w:top w:val="single" w:color="CCCCCC" w:sz="2"/>
              <w:left w:val="single" w:color="CCCCCC" w:sz="2"/>
              <w:bottom w:val="single" w:color="CCCCCC" w:sz="2"/>
              <w:right w:val="single" w:color="CCCCCC" w:sz="2"/>
            </w:tcBorders>
            <w:shd w:fill="0D3B6E" w:val="clear"/>
            <w:tcMar>
              <w:top w:type="dxa" w:w="100"/>
              <w:left w:type="dxa" w:w="150"/>
              <w:bottom w:type="dxa" w:w="100"/>
              <w:right w:type="dxa" w:w="150"/>
            </w:tcMar>
          </w:tcPr>
          <w:p>
            <w:pPr>
              <w:spacing w:after="0" w:before="0" w:line="280"/>
              <w:jc w:val="center"/>
            </w:pPr>
            <w:r>
              <w:rPr>
                <w:rFonts w:ascii="Times New Roman" w:cs="Times New Roman" w:eastAsia="Times New Roman" w:hAnsi="Times New Roman"/>
                <w:b/>
                <w:bCs/>
                <w:i w:val="false"/>
                <w:iCs w:val="false"/>
                <w:color w:val="FFFFFF"/>
                <w:sz w:val="22"/>
                <w:szCs w:val="22"/>
              </w:rPr>
              <w:t xml:space="preserve">Covered In</w:t>
            </w:r>
          </w:p>
        </w:tc>
      </w:tr>
      <w:tr>
        <w:trPr>
          <w:cantSplit/>
        </w:trPr>
        <w:tc>
          <w:tcPr>
            <w:tcW w:type="dxa" w:w="28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bCs/>
                <w:i w:val="false"/>
                <w:iCs w:val="false"/>
                <w:color w:val="1F2937"/>
                <w:sz w:val="22"/>
                <w:szCs w:val="22"/>
              </w:rPr>
              <w:t xml:space="preserve">Simplified Self-Attention</w:t>
            </w:r>
          </w:p>
        </w:tc>
        <w:tc>
          <w:tcPr>
            <w:tcW w:type="dxa" w:w="44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Self-attention with no trainable weights — introduces the broad idea</w:t>
            </w:r>
          </w:p>
        </w:tc>
        <w:tc>
          <w:tcPr>
            <w:tcW w:type="dxa" w:w="21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Topic 8</w:t>
            </w:r>
          </w:p>
        </w:tc>
      </w:tr>
      <w:tr>
        <w:trPr>
          <w:cantSplit/>
        </w:trPr>
        <w:tc>
          <w:tcPr>
            <w:tcW w:type="dxa" w:w="28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bCs/>
                <w:i w:val="false"/>
                <w:iCs w:val="false"/>
                <w:color w:val="1F2937"/>
                <w:sz w:val="22"/>
                <w:szCs w:val="22"/>
              </w:rPr>
              <w:t xml:space="preserve">Self-Attention with Q/K/V</w:t>
            </w:r>
          </w:p>
        </w:tc>
        <w:tc>
          <w:tcPr>
            <w:tcW w:type="dxa" w:w="44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Self-attention with trainable weight matrices W_Q, W_K, W_V</w:t>
            </w:r>
          </w:p>
        </w:tc>
        <w:tc>
          <w:tcPr>
            <w:tcW w:type="dxa" w:w="21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Topic 9</w:t>
            </w:r>
          </w:p>
        </w:tc>
      </w:tr>
      <w:tr>
        <w:trPr>
          <w:cantSplit/>
        </w:trPr>
        <w:tc>
          <w:tcPr>
            <w:tcW w:type="dxa" w:w="28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bCs/>
                <w:i w:val="false"/>
                <w:iCs w:val="false"/>
                <w:color w:val="1F2937"/>
                <w:sz w:val="22"/>
                <w:szCs w:val="22"/>
              </w:rPr>
              <w:t xml:space="preserve">Causal Self-Attention</w:t>
            </w:r>
          </w:p>
        </w:tc>
        <w:tc>
          <w:tcPr>
            <w:tcW w:type="dxa" w:w="44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Self-attention restricted to previous and current tokens only</w:t>
            </w:r>
          </w:p>
        </w:tc>
        <w:tc>
          <w:tcPr>
            <w:tcW w:type="dxa" w:w="21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Topic 10</w:t>
            </w:r>
          </w:p>
        </w:tc>
      </w:tr>
      <w:tr>
        <w:trPr>
          <w:cantSplit/>
        </w:trPr>
        <w:tc>
          <w:tcPr>
            <w:tcW w:type="dxa" w:w="28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bCs/>
                <w:i w:val="false"/>
                <w:iCs w:val="false"/>
                <w:color w:val="1F2937"/>
                <w:sz w:val="22"/>
                <w:szCs w:val="22"/>
              </w:rPr>
              <w:t xml:space="preserve">Multi-Head Attention</w:t>
            </w:r>
          </w:p>
        </w:tc>
        <w:tc>
          <w:tcPr>
            <w:tcW w:type="dxa" w:w="44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Multiple parallel attention heads — extension of the above</w:t>
            </w:r>
          </w:p>
        </w:tc>
        <w:tc>
          <w:tcPr>
            <w:tcW w:type="dxa" w:w="21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Topics 11–12</w:t>
            </w:r>
          </w:p>
        </w:tc>
      </w:tr>
    </w:tbl>
    <w:p>
      <w:pPr>
        <w:spacing w:after="240" w:before="80" w:line="280"/>
        <w:jc w:val="center"/>
      </w:pPr>
      <w:r>
        <w:rPr>
          <w:rFonts w:ascii="Times New Roman" w:cs="Times New Roman" w:eastAsia="Times New Roman" w:hAnsi="Times New Roman"/>
          <w:i/>
          <w:iCs/>
          <w:color w:val="6B7280"/>
          <w:sz w:val="20"/>
          <w:szCs w:val="20"/>
        </w:rPr>
        <w:t xml:space="preserve">Table 1: The four attention types covered across Stage 2. Each topic builds on the previous one.</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These four types form a progression, not a set of alternatives. The simplified version introduces the concept; the trainable version makes it learn from data; causal masking makes it suitable for autoregressive generation; multi-head attention parallelises it into specialised subspaces.</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One further architectural advantage is worth surfacing now: an attention-based model processes all tokens in parallel, because each token's representation depends on all others simultaneously rather than on a single preceding hidden state. RNNs process tokens strictly sequentially — token t must wait for token t−1's hidden state before it can be computed. Transformers process all tokens at once. This is the key computational advantage of attention over recurrence and is the reason Transformers train orders of magnitude faster than RNNs on modern GPU hardware.</w:t>
      </w:r>
    </w:p>
    <w:p>
      <w:pPr>
        <w:pStyle w:val="Heading1"/>
        <w:keepNext/>
        <w:keepLines/>
        <w:spacing w:after="180" w:before="360"/>
      </w:pPr>
      <w:r>
        <w:rPr>
          <w:rFonts w:ascii="Calibri" w:cs="Calibri" w:eastAsia="Calibri" w:hAnsi="Calibri"/>
          <w:b/>
          <w:bCs/>
          <w:color w:val="0D3B6E"/>
          <w:sz w:val="32"/>
          <w:szCs w:val="32"/>
        </w:rPr>
        <w:t xml:space="preserve">3.  The Problem — Why Word-by-Word Processing Fails</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To fully appreciate the attention mechanism, it is necessary to understand what came before it, and precisely why those approaches were insufficient. The failure is architectural, not a matter of insufficient data or compute.</w:t>
      </w:r>
    </w:p>
    <w:p>
      <w:pPr>
        <w:pStyle w:val="Heading2"/>
        <w:keepNext/>
        <w:keepLines/>
        <w:spacing w:after="140" w:before="240"/>
      </w:pPr>
      <w:r>
        <w:rPr>
          <w:rFonts w:ascii="Calibri" w:cs="Calibri" w:eastAsia="Calibri" w:hAnsi="Calibri"/>
          <w:b/>
          <w:bCs/>
          <w:color w:val="1A56A0"/>
          <w:sz w:val="26"/>
          <w:szCs w:val="26"/>
        </w:rPr>
        <w:t xml:space="preserve">3.1  Word-by-Word Translation Fails</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Consider translating a German sentence to English. A naive word-by-word translation produces grammatically incorrect output because word order differs between languages, and because certain output words depend on multiple input tokens that may be far apart.</w:t>
      </w:r>
    </w:p>
    <w:p>
      <w:pPr>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German input sentence:</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Kannst | du  | mir | helfen | diesen | Satz       | zu | uebersetzen</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Can    | you | me  | help   | this   | sentence   | to | translate</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Naive word-by-word output:</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"Can you me help this sentence to translate"   &lt;- grammatically wrong</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Correct English:</w:t>
      </w:r>
    </w:p>
    <w:p>
      <w:pPr>
        <w:pBdr>
          <w:left w:val="single" w:color="2E75B6" w:sz="16" w:space="8"/>
        </w:pBdr>
        <w:shd w:fill="F3F4F6" w:val="clear"/>
        <w:spacing w:after="140" w:before="0" w:line="260"/>
        <w:ind w:left="120" w:right="120"/>
      </w:pPr>
      <w:r>
        <w:rPr>
          <w:rFonts w:ascii="Consolas" w:cs="Consolas" w:eastAsia="Consolas" w:hAnsi="Consolas"/>
          <w:color w:val="1F2937"/>
          <w:sz w:val="19"/>
          <w:szCs w:val="19"/>
        </w:rPr>
        <w:t xml:space="preserve"># "Can you help me translate this sentence"      &lt;- requires reordering</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Word-by-word processing cannot solve this because it has no mechanism to look ahead, reorder, or hold multiple words in memory while deciding what to output next. A real translator must read the whole sentence, understand its structure, and then generate output that reflects the global meaning, not the local tokens.</w:t>
      </w:r>
    </w:p>
    <w:p>
      <w:pPr>
        <w:pStyle w:val="Heading1"/>
        <w:keepNext/>
        <w:keepLines/>
        <w:spacing w:after="180" w:before="360"/>
      </w:pPr>
      <w:r>
        <w:rPr>
          <w:rFonts w:ascii="Calibri" w:cs="Calibri" w:eastAsia="Calibri" w:hAnsi="Calibri"/>
          <w:b/>
          <w:bCs/>
          <w:color w:val="0D3B6E"/>
          <w:sz w:val="32"/>
          <w:szCs w:val="32"/>
        </w:rPr>
        <w:t xml:space="preserve">4.  The Encoder–Decoder Architecture — The First Solution</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To address the word-by-word failure, researchers built encoder–decoder neural networks</w:t>
      </w:r>
      <w:r>
        <w:rPr>
          <w:rFonts w:ascii="Times New Roman" w:cs="Times New Roman" w:eastAsia="Times New Roman" w:hAnsi="Times New Roman"/>
          <w:b/>
          <w:bCs/>
          <w:i w:val="false"/>
          <w:iCs w:val="false"/>
          <w:color w:val="1A56A0"/>
          <w:sz w:val="20"/>
          <w:szCs w:val="20"/>
        </w:rPr>
        <w:t xml:space="preserve"> [7]</w:t>
      </w:r>
      <w:r>
        <w:rPr>
          <w:rFonts w:ascii="Times New Roman" w:cs="Times New Roman" w:eastAsia="Times New Roman" w:hAnsi="Times New Roman"/>
          <w:b w:val="false"/>
          <w:bCs w:val="false"/>
          <w:i w:val="false"/>
          <w:iCs w:val="false"/>
          <w:color w:val="1F2937"/>
          <w:sz w:val="22"/>
          <w:szCs w:val="22"/>
        </w:rPr>
        <w:t xml:space="preserve"> — two-module systems where one component reads and encodes the input, and another generates the output. This architecture, used in the first neural machine translation systems, is the direct ancestor of every modern sequence-to-sequence model.</w:t>
      </w:r>
    </w:p>
    <w:p>
      <w:pPr>
        <w:pStyle w:val="Heading2"/>
        <w:keepNext/>
        <w:keepLines/>
        <w:spacing w:after="140" w:before="240"/>
      </w:pPr>
      <w:r>
        <w:rPr>
          <w:rFonts w:ascii="Calibri" w:cs="Calibri" w:eastAsia="Calibri" w:hAnsi="Calibri"/>
          <w:b/>
          <w:bCs/>
          <w:color w:val="1A56A0"/>
          <w:sz w:val="26"/>
          <w:szCs w:val="26"/>
        </w:rPr>
        <w:t xml:space="preserve">4.1  Why a Normal Neural Network Cannot Do This</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A standard feedforward neural network cannot perform sequence-to-sequence translation because it has no memory. Each input is processed independently; there is no mechanism to carry information from one token to the next. Language, however, is inherently sequential — the meaning of each word depends on the words that came before and after it.</w:t>
      </w:r>
    </w:p>
    <w:p>
      <w:pPr>
        <w:pStyle w:val="Heading2"/>
        <w:keepNext/>
        <w:keepLines/>
        <w:spacing w:after="140" w:before="240"/>
      </w:pPr>
      <w:r>
        <w:rPr>
          <w:rFonts w:ascii="Calibri" w:cs="Calibri" w:eastAsia="Calibri" w:hAnsi="Calibri"/>
          <w:b/>
          <w:bCs/>
          <w:color w:val="1A56A0"/>
          <w:sz w:val="26"/>
          <w:szCs w:val="26"/>
        </w:rPr>
        <w:t xml:space="preserve">4.2  How the Encoder Works</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The encoder processes each token in the input sequence one at a time, updating an internal hidden state at each step. This hidden state serves as the memory of the network — it accumulates information about everything the encoder has seen so far. After processing the entire input, the final hidden state is passed to the decoder as a single context vector.</w:t>
      </w:r>
    </w:p>
    <w:p>
      <w:pPr>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Encoder processes German sentence: [Kannst][du][mir][helfen]...</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 each time step t:</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Input:   current_word_embedding  +  previous_hidden_state</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Output:  new_hidden_state  (updated memory)</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Step 1: 'Kannst' arrives</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hidden_state_0 (zeros) + embedding('Kannst') -&gt; hidden_state_1</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Encoder updates hidden state: now contains memory of the first word.</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Step 2: 'du' arrives</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hidden_state_1 + embedding('du') -&gt; hidden_state_2</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Hidden state gets updated: now contains memory of the first two words.</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Step 3: 'mir' arrives</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hidden_state_2 + embedding('mir') -&gt; hidden_state_3</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continues for all input words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After processing all words:</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FINAL HIDDEN STATE = CONTEXT VECTOR</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This single vector is supposed to encode the complete meaning of the input.</w:t>
      </w:r>
    </w:p>
    <w:p>
      <w:pPr>
        <w:pBdr>
          <w:left w:val="single" w:color="2E75B6" w:sz="16" w:space="8"/>
        </w:pBdr>
        <w:shd w:fill="F3F4F6" w:val="clear"/>
        <w:spacing w:after="140" w:before="0" w:line="260"/>
        <w:ind w:left="120" w:right="120"/>
      </w:pPr>
      <w:r>
        <w:rPr>
          <w:rFonts w:ascii="Consolas" w:cs="Consolas" w:eastAsia="Consolas" w:hAnsi="Consolas"/>
          <w:color w:val="1F2937"/>
          <w:sz w:val="19"/>
          <w:szCs w:val="19"/>
        </w:rPr>
        <w:t xml:space="preserve"># It is then passed to the decoder to generate the translation.</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Expressed as a recurrence, the encoder's per-step computation is h_t = RNN(h_{t-1}, x_t), and the final context vector is the hidden state at the last time step: context_vector = h_final.</w:t>
      </w:r>
    </w:p>
    <w:p>
      <w:pPr>
        <w:pStyle w:val="Heading2"/>
        <w:keepNext/>
        <w:keepLines/>
        <w:spacing w:after="140" w:before="240"/>
      </w:pPr>
      <w:r>
        <w:rPr>
          <w:rFonts w:ascii="Calibri" w:cs="Calibri" w:eastAsia="Calibri" w:hAnsi="Calibri"/>
          <w:b/>
          <w:bCs/>
          <w:color w:val="1A56A0"/>
          <w:sz w:val="26"/>
          <w:szCs w:val="26"/>
        </w:rPr>
        <w:t xml:space="preserve">4.3  The Decoder</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The decoder receives the context vector (the final hidden state of the encoder) and generates the output sequence one token at a time. At each decoding step, the decoder takes the context vector and its own previously generated tokens, and produces the next output token.</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The complete encoder–decoder data flow can be summarised in five steps:</w:t>
      </w:r>
    </w:p>
    <w:p>
      <w:pPr>
        <w:pStyle w:val="ListParagraph"/>
        <w:numPr>
          <w:ilvl w:val="0"/>
          <w:numId w:val="2"/>
        </w:numPr>
        <w:spacing w:after="80" w:before="40" w:line="320"/>
      </w:pPr>
      <w:r>
        <w:rPr>
          <w:rFonts w:ascii="Times New Roman" w:cs="Times New Roman" w:eastAsia="Times New Roman" w:hAnsi="Times New Roman"/>
          <w:b w:val="false"/>
          <w:bCs w:val="false"/>
          <w:color w:val="1F2937"/>
          <w:sz w:val="22"/>
          <w:szCs w:val="22"/>
        </w:rPr>
        <w:t xml:space="preserve">The encoder reads the entire source-language sentence sequentially, one token at a time.</w:t>
      </w:r>
    </w:p>
    <w:p>
      <w:pPr>
        <w:pStyle w:val="ListParagraph"/>
        <w:numPr>
          <w:ilvl w:val="0"/>
          <w:numId w:val="2"/>
        </w:numPr>
        <w:spacing w:after="80" w:before="40" w:line="320"/>
      </w:pPr>
      <w:r>
        <w:rPr>
          <w:rFonts w:ascii="Times New Roman" w:cs="Times New Roman" w:eastAsia="Times New Roman" w:hAnsi="Times New Roman"/>
          <w:b w:val="false"/>
          <w:bCs w:val="false"/>
          <w:color w:val="1F2937"/>
          <w:sz w:val="22"/>
          <w:szCs w:val="22"/>
        </w:rPr>
        <w:t xml:space="preserve">The encoder produces a final hidden state, which serves as the context vector. This vector carries accumulated memory across the sequence, unlike a simple feedforward network output.</w:t>
      </w:r>
    </w:p>
    <w:p>
      <w:pPr>
        <w:pStyle w:val="ListParagraph"/>
        <w:numPr>
          <w:ilvl w:val="0"/>
          <w:numId w:val="2"/>
        </w:numPr>
        <w:spacing w:after="80" w:before="40" w:line="320"/>
      </w:pPr>
      <w:r>
        <w:rPr>
          <w:rFonts w:ascii="Times New Roman" w:cs="Times New Roman" w:eastAsia="Times New Roman" w:hAnsi="Times New Roman"/>
          <w:b w:val="false"/>
          <w:bCs w:val="false"/>
          <w:color w:val="1F2937"/>
          <w:sz w:val="22"/>
          <w:szCs w:val="22"/>
        </w:rPr>
        <w:t xml:space="preserve">The context vector is passed to the decoder as its sole input summary of the source sentence.</w:t>
      </w:r>
    </w:p>
    <w:p>
      <w:pPr>
        <w:pStyle w:val="ListParagraph"/>
        <w:numPr>
          <w:ilvl w:val="0"/>
          <w:numId w:val="2"/>
        </w:numPr>
        <w:spacing w:after="80" w:before="40" w:line="320"/>
      </w:pPr>
      <w:r>
        <w:rPr>
          <w:rFonts w:ascii="Times New Roman" w:cs="Times New Roman" w:eastAsia="Times New Roman" w:hAnsi="Times New Roman"/>
          <w:b w:val="false"/>
          <w:bCs w:val="false"/>
          <w:color w:val="1F2937"/>
          <w:sz w:val="22"/>
          <w:szCs w:val="22"/>
        </w:rPr>
        <w:t xml:space="preserve">The decoder uses the context vector and its own previously-generated tokens to generate the translation one word at a time.</w:t>
      </w:r>
    </w:p>
    <w:p>
      <w:pPr>
        <w:pStyle w:val="ListParagraph"/>
        <w:numPr>
          <w:ilvl w:val="0"/>
          <w:numId w:val="2"/>
        </w:numPr>
        <w:spacing w:after="80" w:before="40" w:line="320"/>
      </w:pPr>
      <w:r>
        <w:rPr>
          <w:rFonts w:ascii="Times New Roman" w:cs="Times New Roman" w:eastAsia="Times New Roman" w:hAnsi="Times New Roman"/>
          <w:b w:val="false"/>
          <w:bCs w:val="false"/>
          <w:color w:val="1F2937"/>
          <w:sz w:val="22"/>
          <w:szCs w:val="22"/>
        </w:rPr>
        <w:t xml:space="preserve">The decoder also maintains its own hidden state, which it updates at each generation step to track what it has already produced.</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This architecture is the direct ancestor of every modern sequence-to-sequence system. Its specific failure mode — the fact that the decoder has access only to the single final hidden state of the encoder — is what attention was later designed to fix.</w:t>
      </w:r>
    </w:p>
    <w:p>
      <w:pPr>
        <w:pStyle w:val="Heading1"/>
        <w:keepNext/>
        <w:keepLines/>
        <w:spacing w:after="180" w:before="360"/>
      </w:pPr>
      <w:r>
        <w:rPr>
          <w:rFonts w:ascii="Calibri" w:cs="Calibri" w:eastAsia="Calibri" w:hAnsi="Calibri"/>
          <w:b/>
          <w:bCs/>
          <w:color w:val="0D3B6E"/>
          <w:sz w:val="32"/>
          <w:szCs w:val="32"/>
        </w:rPr>
        <w:t xml:space="preserve">5.  The Recurrent Neural Network — Mechanism and Failure</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Before Transformers, Recurrent Neural Networks</w:t>
      </w:r>
      <w:r>
        <w:rPr>
          <w:rFonts w:ascii="Times New Roman" w:cs="Times New Roman" w:eastAsia="Times New Roman" w:hAnsi="Times New Roman"/>
          <w:b/>
          <w:bCs/>
          <w:i w:val="false"/>
          <w:iCs w:val="false"/>
          <w:color w:val="1A56A0"/>
          <w:sz w:val="20"/>
          <w:szCs w:val="20"/>
        </w:rPr>
        <w:t xml:space="preserve"> [5]</w:t>
      </w:r>
      <w:r>
        <w:rPr>
          <w:rFonts w:ascii="Times New Roman" w:cs="Times New Roman" w:eastAsia="Times New Roman" w:hAnsi="Times New Roman"/>
          <w:b w:val="false"/>
          <w:bCs w:val="false"/>
          <w:i w:val="false"/>
          <w:iCs w:val="false"/>
          <w:color w:val="1F2937"/>
          <w:sz w:val="22"/>
          <w:szCs w:val="22"/>
        </w:rPr>
        <w:t xml:space="preserve"> were the most popular encoder–decoder architecture for language translation. Understanding both how they work and precisely where they fail is essential for understanding why attention had to be invented. The limitations documented in this section are not specific to RNNs; they apply to any architecture that collapses the input into a single summary vector.</w:t>
      </w:r>
    </w:p>
    <w:p>
      <w:pPr>
        <w:pStyle w:val="Heading2"/>
        <w:keepNext/>
        <w:keepLines/>
        <w:spacing w:after="140" w:before="240"/>
      </w:pPr>
      <w:r>
        <w:rPr>
          <w:rFonts w:ascii="Calibri" w:cs="Calibri" w:eastAsia="Calibri" w:hAnsi="Calibri"/>
          <w:b/>
          <w:bCs/>
          <w:color w:val="1A56A0"/>
          <w:sz w:val="26"/>
          <w:szCs w:val="26"/>
        </w:rPr>
        <w:t xml:space="preserve">5.1  How an RNN Step Works</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An RNN takes two input vectors at each time step and produces two output vectors. This recurrent structure is what gives the RNN its memory.</w:t>
      </w:r>
    </w:p>
    <w:p>
      <w:pPr>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At each time step t, an RNN takes:</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Input 1:  input_vector[t]      (current token embedding)</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Input 2:  hidden_state[t-1]    (accumulated memory from previous steps)</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And produces:</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Output 1: hidden_state[t]      (updated memory for next step)</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Output 2: output_vector[t]     (optional per-step prediction)</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Mathematically:</w:t>
      </w:r>
    </w:p>
    <w:p>
      <w:pPr>
        <w:pBdr>
          <w:left w:val="single" w:color="2E75B6" w:sz="16" w:space="8"/>
        </w:pBdr>
        <w:shd w:fill="F3F4F6" w:val="clear"/>
        <w:spacing w:after="140" w:before="0" w:line="260"/>
        <w:ind w:left="120" w:right="120"/>
      </w:pPr>
      <w:r>
        <w:rPr>
          <w:rFonts w:ascii="Consolas" w:cs="Consolas" w:eastAsia="Consolas" w:hAnsi="Consolas"/>
          <w:color w:val="1F2937"/>
          <w:sz w:val="19"/>
          <w:szCs w:val="19"/>
        </w:rPr>
        <w:t xml:space="preserve">#   h_t = tanh(W_hh * h_{t-1} + W_xh * x_t + b_h)</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A concrete trace on a complete translation example makes the encoding and decoding phases explicit. Using the same French-to-English example introduced earlier:</w:t>
      </w:r>
    </w:p>
    <w:p>
      <w:pPr>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Example: French 'Je suis etudiant' -&gt; English 'I am a student'</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ENCODING PHASE:</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t=1:  embedding('Je')       + hidden_state[0] -&gt; hidden_state[1]</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t=2:  embedding('suis')     + hidden_state[1] -&gt; hidden_state[2]</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t=3:  embedding('etudiant') + hidden_state[2] -&gt; hidden_state[3]</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hidden_state[3] = FINAL HIDDEN STATE = CONTEXT VECTOR</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Contains accumulated information about the entire French sentence.</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This is the only thing passed to the decoder.</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DECODING PHASE (one word at a time):</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context_vector   + &lt;start&gt;   -&gt; 'I'        + decoder_hidden[1]</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decoder_hidden[1] + 'I'      -&gt; 'am'       + decoder_hidden[2]</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decoder_hidden[2] + 'am'     -&gt; 'a'        + decoder_hidden[3]</w:t>
      </w:r>
    </w:p>
    <w:p>
      <w:pPr>
        <w:pBdr>
          <w:left w:val="single" w:color="2E75B6" w:sz="16" w:space="8"/>
        </w:pBdr>
        <w:shd w:fill="F3F4F6" w:val="clear"/>
        <w:spacing w:after="140" w:before="0" w:line="260"/>
        <w:ind w:left="120" w:right="120"/>
      </w:pPr>
      <w:r>
        <w:rPr>
          <w:rFonts w:ascii="Consolas" w:cs="Consolas" w:eastAsia="Consolas" w:hAnsi="Consolas"/>
          <w:color w:val="1F2937"/>
          <w:sz w:val="19"/>
          <w:szCs w:val="19"/>
        </w:rPr>
        <w:t xml:space="preserve">#   decoder_hidden[3] + 'a'      -&gt; 'student'</w:t>
      </w:r>
    </w:p>
    <w:p>
      <w:pPr>
        <w:pStyle w:val="Heading2"/>
        <w:keepNext/>
        <w:keepLines/>
        <w:spacing w:after="140" w:before="240"/>
      </w:pPr>
      <w:r>
        <w:rPr>
          <w:rFonts w:ascii="Calibri" w:cs="Calibri" w:eastAsia="Calibri" w:hAnsi="Calibri"/>
          <w:b/>
          <w:bCs/>
          <w:color w:val="1A56A0"/>
          <w:sz w:val="26"/>
          <w:szCs w:val="26"/>
        </w:rPr>
        <w:t xml:space="preserve">5.2  The Critical Failure — The Information Bottleneck</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The fundamental problem with the RNN encoder–decoder architecture is that the decoder has access to only the final hidden state of the encoder. All intermediate hidden states — the memory accumulated while reading earlier tokens — are discarded. For long sequences, no fixed-size vector can adequately summarise all the information needed to generate accurate output.</w:t>
      </w:r>
    </w:p>
    <w:p>
      <w:pPr>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Illustration of the bottleneck:</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Input: 'The cat that was sitting on the mat, which was next to the dog, jumped.'</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Encoder: h1 -&gt; h2 -&gt; h3 -&gt; ... -&gt; h15   (15 hidden states, one per token)</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SINGLE CONTEXT VECTOR (h15)</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(h1 through h14 DISCARDED)</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Decoder only receives h15</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Problem: h15 must somehow encode the subject 'cat' (position 2),</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the verb 'jumped' (position 15), and every relationship</w:t>
      </w:r>
    </w:p>
    <w:p>
      <w:pPr>
        <w:pBdr>
          <w:left w:val="single" w:color="2E75B6" w:sz="16" w:space="8"/>
        </w:pBdr>
        <w:shd w:fill="F3F4F6" w:val="clear"/>
        <w:spacing w:after="140" w:before="0" w:line="260"/>
        <w:ind w:left="120" w:right="120"/>
      </w:pPr>
      <w:r>
        <w:rPr>
          <w:rFonts w:ascii="Consolas" w:cs="Consolas" w:eastAsia="Consolas" w:hAnsi="Consolas"/>
          <w:color w:val="1F2937"/>
          <w:sz w:val="19"/>
          <w:szCs w:val="19"/>
        </w:rPr>
        <w:t xml:space="preserve">#          between them — using only 512 or 1024 dimensions.</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When processing long sequences, if the decoder relies solely on the final hidden state, there is enormous pressure on that single vector to encode the complete information of the entire input. For long sentences this is architecturally impossible: any fixed-size vector has a bounded information capacity, and beyond some sequence length this capacity is exceeded.</w:t>
      </w:r>
    </w:p>
    <w:p>
      <w:pPr>
        <w:pStyle w:val="Heading1"/>
        <w:keepNext/>
        <w:keepLines/>
        <w:spacing w:after="180" w:before="360"/>
      </w:pPr>
      <w:r>
        <w:rPr>
          <w:rFonts w:ascii="Calibri" w:cs="Calibri" w:eastAsia="Calibri" w:hAnsi="Calibri"/>
          <w:b/>
          <w:bCs/>
          <w:color w:val="0D3B6E"/>
          <w:sz w:val="32"/>
          <w:szCs w:val="32"/>
        </w:rPr>
        <w:t xml:space="preserve">6.  LSTMs — A Partial Solution</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Long Short-Term Memory networks, introduced in 1997</w:t>
      </w:r>
      <w:r>
        <w:rPr>
          <w:rFonts w:ascii="Times New Roman" w:cs="Times New Roman" w:eastAsia="Times New Roman" w:hAnsi="Times New Roman"/>
          <w:b/>
          <w:bCs/>
          <w:i w:val="false"/>
          <w:iCs w:val="false"/>
          <w:color w:val="1A56A0"/>
          <w:sz w:val="20"/>
          <w:szCs w:val="20"/>
        </w:rPr>
        <w:t xml:space="preserve"> [1]</w:t>
      </w:r>
      <w:r>
        <w:rPr>
          <w:rFonts w:ascii="Times New Roman" w:cs="Times New Roman" w:eastAsia="Times New Roman" w:hAnsi="Times New Roman"/>
          <w:b w:val="false"/>
          <w:bCs w:val="false"/>
          <w:i w:val="false"/>
          <w:iCs w:val="false"/>
          <w:color w:val="1F2937"/>
          <w:sz w:val="22"/>
          <w:szCs w:val="22"/>
        </w:rPr>
        <w:t xml:space="preserve">, were designed to address one specific problem with RNNs: the vanishing gradient problem that occurs when training on long sequences, formally characterised by Bengio, Simard, and Frasconi</w:t>
      </w:r>
      <w:r>
        <w:rPr>
          <w:rFonts w:ascii="Times New Roman" w:cs="Times New Roman" w:eastAsia="Times New Roman" w:hAnsi="Times New Roman"/>
          <w:b/>
          <w:bCs/>
          <w:i w:val="false"/>
          <w:iCs w:val="false"/>
          <w:color w:val="1A56A0"/>
          <w:sz w:val="20"/>
          <w:szCs w:val="20"/>
        </w:rPr>
        <w:t xml:space="preserve"> [6]</w:t>
      </w:r>
      <w:r>
        <w:rPr>
          <w:rFonts w:ascii="Times New Roman" w:cs="Times New Roman" w:eastAsia="Times New Roman" w:hAnsi="Times New Roman"/>
          <w:b w:val="false"/>
          <w:bCs w:val="false"/>
          <w:i w:val="false"/>
          <w:iCs w:val="false"/>
          <w:color w:val="1F2937"/>
          <w:sz w:val="22"/>
          <w:szCs w:val="22"/>
        </w:rPr>
        <w:t xml:space="preserve">. However, LSTMs do not solve the architectural bottleneck — they only mitigate one of its symptoms.</w:t>
      </w:r>
    </w:p>
    <w:p>
      <w:pPr>
        <w:pStyle w:val="Heading2"/>
        <w:keepNext/>
        <w:keepLines/>
        <w:spacing w:after="140" w:before="240"/>
      </w:pPr>
      <w:r>
        <w:rPr>
          <w:rFonts w:ascii="Calibri" w:cs="Calibri" w:eastAsia="Calibri" w:hAnsi="Calibri"/>
          <w:b/>
          <w:bCs/>
          <w:color w:val="1A56A0"/>
          <w:sz w:val="26"/>
          <w:szCs w:val="26"/>
        </w:rPr>
        <w:t xml:space="preserve">6.1  The Internal Architecture — Cell State and Gating</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LSTMs are a specialised type of RNN that introduce a cell state — a separate memory channel running alongside the hidden state — and three gating mechanisms that control what information flows in and out at each step.</w:t>
      </w:r>
    </w:p>
    <w:p>
      <w:pPr>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At each time step t, an LSTM maintains TWO states:</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h_t  = hidden state  (short-term memory)</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c_t  = cell state    (long-term memory)</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Three gating mechanisms control the flow:</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Forget gate:  f_t = sigmoid(W_f * [h_{t-1}, x_t])   (what to erase)</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Input gate:   i_t = sigmoid(W_i * [h_{t-1}, x_t])   (what to write)</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Output gate:  o_t = sigmoid(W_o * [h_{t-1}, x_t])   (what to output)</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Cell state update:</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c_t = f_t * c_{t-1}  +  i_t * tanh(W_c * [h_{t-1}, x_t])</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(forget old)       (write new)</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The ADDITIVE update is what solves vanishing gradients:</w:t>
      </w:r>
    </w:p>
    <w:p>
      <w:pPr>
        <w:pBdr>
          <w:left w:val="single" w:color="2E75B6" w:sz="16" w:space="8"/>
        </w:pBdr>
        <w:shd w:fill="F3F4F6" w:val="clear"/>
        <w:spacing w:after="140" w:before="0" w:line="260"/>
        <w:ind w:left="120" w:right="120"/>
      </w:pPr>
      <w:r>
        <w:rPr>
          <w:rFonts w:ascii="Consolas" w:cs="Consolas" w:eastAsia="Consolas" w:hAnsi="Consolas"/>
          <w:color w:val="1F2937"/>
          <w:sz w:val="19"/>
          <w:szCs w:val="19"/>
        </w:rPr>
        <w:t xml:space="preserve"># gradients flow back through c_t without diminishing.</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Each of the three gates plays a specific role in deciding what information the cell state retains, modifies, or exposes:</w:t>
      </w:r>
    </w:p>
    <w:p>
      <w:pPr>
        <w:pStyle w:val="ListParagraph"/>
        <w:numPr>
          <w:ilvl w:val="0"/>
          <w:numId w:val="2"/>
        </w:numPr>
        <w:spacing w:after="80" w:before="40" w:line="320"/>
      </w:pPr>
      <w:r>
        <w:rPr>
          <w:rFonts w:ascii="Times New Roman" w:cs="Times New Roman" w:eastAsia="Times New Roman" w:hAnsi="Times New Roman"/>
          <w:b/>
          <w:bCs/>
          <w:i w:val="false"/>
          <w:iCs w:val="false"/>
          <w:color w:val="1F2937"/>
          <w:sz w:val="22"/>
          <w:szCs w:val="22"/>
        </w:rPr>
        <w:t xml:space="preserve">Forget gate (f_t) </w:t>
      </w:r>
      <w:r>
        <w:rPr>
          <w:rFonts w:ascii="Times New Roman" w:cs="Times New Roman" w:eastAsia="Times New Roman" w:hAnsi="Times New Roman"/>
          <w:b w:val="false"/>
          <w:bCs w:val="false"/>
          <w:i w:val="false"/>
          <w:iCs w:val="false"/>
          <w:color w:val="1F2937"/>
          <w:sz w:val="22"/>
          <w:szCs w:val="22"/>
        </w:rPr>
        <w:t xml:space="preserve">— Decides what information to remove from the cell state. It takes the previous hidden state and current input, and produces values between 0 (forget completely) and 1 (keep completely). This allows the model to drop information that is no longer relevant to the current context.</w:t>
      </w:r>
    </w:p>
    <w:p>
      <w:pPr>
        <w:pStyle w:val="ListParagraph"/>
        <w:numPr>
          <w:ilvl w:val="0"/>
          <w:numId w:val="2"/>
        </w:numPr>
        <w:spacing w:after="80" w:before="40" w:line="320"/>
      </w:pPr>
      <w:r>
        <w:rPr>
          <w:rFonts w:ascii="Times New Roman" w:cs="Times New Roman" w:eastAsia="Times New Roman" w:hAnsi="Times New Roman"/>
          <w:b/>
          <w:bCs/>
          <w:i w:val="false"/>
          <w:iCs w:val="false"/>
          <w:color w:val="1F2937"/>
          <w:sz w:val="22"/>
          <w:szCs w:val="22"/>
        </w:rPr>
        <w:t xml:space="preserve">Input gate (i_t) </w:t>
      </w:r>
      <w:r>
        <w:rPr>
          <w:rFonts w:ascii="Times New Roman" w:cs="Times New Roman" w:eastAsia="Times New Roman" w:hAnsi="Times New Roman"/>
          <w:b w:val="false"/>
          <w:bCs w:val="false"/>
          <w:i w:val="false"/>
          <w:iCs w:val="false"/>
          <w:color w:val="1F2937"/>
          <w:sz w:val="22"/>
          <w:szCs w:val="22"/>
        </w:rPr>
        <w:t xml:space="preserve">— Decides what new information to add to the cell state. It operates through two components: a sigmoid layer determining which values to update, and a tanh layer producing the candidate values themselves. Together they selectively incorporate relevant signals from the current input.</w:t>
      </w:r>
    </w:p>
    <w:p>
      <w:pPr>
        <w:pStyle w:val="ListParagraph"/>
        <w:numPr>
          <w:ilvl w:val="0"/>
          <w:numId w:val="2"/>
        </w:numPr>
        <w:spacing w:after="80" w:before="40" w:line="320"/>
      </w:pPr>
      <w:r>
        <w:rPr>
          <w:rFonts w:ascii="Times New Roman" w:cs="Times New Roman" w:eastAsia="Times New Roman" w:hAnsi="Times New Roman"/>
          <w:b/>
          <w:bCs/>
          <w:i w:val="false"/>
          <w:iCs w:val="false"/>
          <w:color w:val="1F2937"/>
          <w:sz w:val="22"/>
          <w:szCs w:val="22"/>
        </w:rPr>
        <w:t xml:space="preserve">Output gate (o_t) </w:t>
      </w:r>
      <w:r>
        <w:rPr>
          <w:rFonts w:ascii="Times New Roman" w:cs="Times New Roman" w:eastAsia="Times New Roman" w:hAnsi="Times New Roman"/>
          <w:b w:val="false"/>
          <w:bCs w:val="false"/>
          <w:i w:val="false"/>
          <w:iCs w:val="false"/>
          <w:color w:val="1F2937"/>
          <w:sz w:val="22"/>
          <w:szCs w:val="22"/>
        </w:rPr>
        <w:t xml:space="preserve">— Decides what to output based on the cell state. The cell state is filtered through a tanh activation and masked by the output gate. This determines the next hidden state, which is the representation the downstream network sees.</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The cell state update itself is the crux of why LSTMs work. The formula c_t = f_t • c_{t-1} + i_t • ̃c_t is an additive combination of the previous cell state (multiplied by the forget gate) and candidate new information (multiplied by the input gate). Gradients flowing backward through this additive path are not repeatedly multiplied by small numbers, which is what causes vanishing gradients in vanilla RNNs.</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LSTMs introduced a cell state and three gating mechanisms — the forget gate, input gate, and output gate — to control what information is retained or discarded at each step. This allowed them to learn longer-range dependencies than vanilla RNNs. Crucially, however, an LSTM is still a sequential model with a single context vector between encoder and decoder. The vanishing gradient is solved; the information bottleneck is not.</w:t>
      </w:r>
    </w:p>
    <w:p>
      <w:pPr>
        <w:pStyle w:val="Heading1"/>
        <w:keepNext/>
        <w:keepLines/>
        <w:spacing w:after="180" w:before="360"/>
      </w:pPr>
      <w:r>
        <w:rPr>
          <w:rFonts w:ascii="Calibri" w:cs="Calibri" w:eastAsia="Calibri" w:hAnsi="Calibri"/>
          <w:b/>
          <w:bCs/>
          <w:color w:val="0D3B6E"/>
          <w:sz w:val="32"/>
          <w:szCs w:val="32"/>
        </w:rPr>
        <w:t xml:space="preserve">7.  The Bahdanau Attention Mechanism — 2014</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In 2014, Bahdanau et al. published </w:t>
      </w:r>
      <w:r>
        <w:rPr>
          <w:rFonts w:ascii="Times New Roman" w:cs="Times New Roman" w:eastAsia="Times New Roman" w:hAnsi="Times New Roman"/>
          <w:b w:val="false"/>
          <w:bCs w:val="false"/>
          <w:i/>
          <w:iCs/>
          <w:color w:val="1F2937"/>
          <w:sz w:val="22"/>
          <w:szCs w:val="22"/>
        </w:rPr>
        <w:t xml:space="preserve">Neural Machine Translation by Jointly Learning to Align and Translate</w:t>
      </w:r>
      <w:r>
        <w:rPr>
          <w:rFonts w:ascii="Times New Roman" w:cs="Times New Roman" w:eastAsia="Times New Roman" w:hAnsi="Times New Roman"/>
          <w:b/>
          <w:bCs/>
          <w:i w:val="false"/>
          <w:iCs w:val="false"/>
          <w:color w:val="1A56A0"/>
          <w:sz w:val="20"/>
          <w:szCs w:val="20"/>
        </w:rPr>
        <w:t xml:space="preserve"> [2]</w:t>
      </w:r>
      <w:r>
        <w:rPr>
          <w:rFonts w:ascii="Times New Roman" w:cs="Times New Roman" w:eastAsia="Times New Roman" w:hAnsi="Times New Roman"/>
          <w:b w:val="false"/>
          <w:bCs w:val="false"/>
          <w:i w:val="false"/>
          <w:iCs w:val="false"/>
          <w:color w:val="1F2937"/>
          <w:sz w:val="22"/>
          <w:szCs w:val="22"/>
        </w:rPr>
        <w:t xml:space="preserve"> — the paper that introduced attention to the deep learning community. The core idea is simple but transformative: rather than forcing the decoder to rely on a single fixed context vector, allow it to look at every encoder hidden state directly, and learn which ones to attend to at each decoding step.</w:t>
      </w:r>
    </w:p>
    <w:p>
      <w:pPr>
        <w:pStyle w:val="Heading2"/>
        <w:keepNext/>
        <w:keepLines/>
        <w:spacing w:after="140" w:before="240"/>
      </w:pPr>
      <w:r>
        <w:rPr>
          <w:rFonts w:ascii="Calibri" w:cs="Calibri" w:eastAsia="Calibri" w:hAnsi="Calibri"/>
          <w:b/>
          <w:bCs/>
          <w:color w:val="1A56A0"/>
          <w:sz w:val="26"/>
          <w:szCs w:val="26"/>
        </w:rPr>
        <w:t xml:space="preserve">7.1  The Core Mechanism</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The Bahdanau mechanism modifies the encoder–decoder architecture so that the decoder can selectively access different parts of the input sequence at each decoding step. Rather than a fixed context vector, the decoder constructs a new context vector at every output time step — a weighted sum of all encoder hidden states, with the weights (attention weights) computed dynamically based on what the decoder is currently trying to produce.</w:t>
      </w:r>
    </w:p>
    <w:p>
      <w:pPr>
        <w:pStyle w:val="Heading2"/>
        <w:keepNext/>
        <w:keepLines/>
        <w:spacing w:after="140" w:before="240"/>
      </w:pPr>
      <w:r>
        <w:rPr>
          <w:rFonts w:ascii="Calibri" w:cs="Calibri" w:eastAsia="Calibri" w:hAnsi="Calibri"/>
          <w:b/>
          <w:bCs/>
          <w:color w:val="1A56A0"/>
          <w:sz w:val="26"/>
          <w:szCs w:val="26"/>
        </w:rPr>
        <w:t xml:space="preserve">7.2  Attention Weights in Practice — "Je suis étudiant"</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A concrete example illustrates exactly what attention weights do and why they are more powerful than a fixed context vector.</w:t>
      </w:r>
    </w:p>
    <w:p>
      <w:pPr>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 French: 'Je suis etudiant'  →  English: 'I am a student'</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Encoder produces 3 hidden states, one per French token:</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h1 &lt;- 'Je'        h2 &lt;- 'suis'        h3 &lt;- 'etudiant'</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WITHOUT attention (old RNN decoder):</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context = h3        # single fixed vector for ALL output tokens</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WITH Bahdanau attention (dynamic per output token):</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Generating 'I' from 'Je suis etudiant':</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attention_weights = [0.85, 0.10, 0.05]   # h1 ('Je') dominates</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context = 0.85*h1 + 0.10*h2 + 0.05*h3</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Generating 'am':</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attention_weights = [0.05, 0.88, 0.07]   # h2 ('suis') dominates</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context = 0.05*h1 + 0.88*h2 + 0.07*h3</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The model is NOT mindlessly aligning position 1 with position 1.</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It LEARNED from training data how to align words across languages.</w:t>
      </w:r>
    </w:p>
    <w:p>
      <w:pPr>
        <w:pBdr>
          <w:left w:val="single" w:color="2E75B6" w:sz="16" w:space="8"/>
        </w:pBdr>
        <w:shd w:fill="F3F4F6" w:val="clear"/>
        <w:spacing w:after="140" w:before="0" w:line="260"/>
        <w:ind w:left="120" w:right="120"/>
      </w:pPr>
      <w:r>
        <w:rPr>
          <w:rFonts w:ascii="Consolas" w:cs="Consolas" w:eastAsia="Consolas" w:hAnsi="Consolas"/>
          <w:color w:val="1F2937"/>
          <w:sz w:val="19"/>
          <w:szCs w:val="19"/>
        </w:rPr>
        <w:t xml:space="preserve"># The alignment is data-driven — discovered through training.</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For every decoding step, the model selectively chooses which input tokens to focus on and how much weight to assign each one. This dynamic focus is the core advantage of attention over a fixed context vector. The decoder is no longer forced to rely on a single summary — it looks at the entire input sequence every time it generates a token.</w:t>
      </w:r>
    </w:p>
    <w:p>
      <w:pPr>
        <w:pBdr>
          <w:left w:val="single" w:color="F59E0B" w:sz="24" w:space="12"/>
        </w:pBdr>
        <w:shd w:fill="FEF3C7" w:val="clear"/>
        <w:spacing w:after="200" w:before="200" w:line="320"/>
        <w:ind w:left="240" w:right="240"/>
      </w:pPr>
      <w:r>
        <w:rPr>
          <w:rFonts w:ascii="Times New Roman" w:cs="Times New Roman" w:eastAsia="Times New Roman" w:hAnsi="Times New Roman"/>
          <w:b/>
          <w:bCs/>
          <w:color w:val="0D3B6E"/>
          <w:sz w:val="22"/>
          <w:szCs w:val="22"/>
        </w:rPr>
        <w:t xml:space="preserve">Dynamic Focus — The Key Advantage</w:t>
      </w:r>
      <w:r>
        <w:rPr>
          <w:rFonts w:ascii="Times New Roman" w:cs="Times New Roman" w:eastAsia="Times New Roman" w:hAnsi="Times New Roman"/>
          <w:color w:val="6B7280"/>
          <w:sz w:val="22"/>
          <w:szCs w:val="22"/>
        </w:rPr>
        <w:t xml:space="preserve">  —  </w:t>
      </w:r>
      <w:r>
        <w:rPr>
          <w:rFonts w:ascii="Times New Roman" w:cs="Times New Roman" w:eastAsia="Times New Roman" w:hAnsi="Times New Roman"/>
          <w:i/>
          <w:iCs/>
          <w:color w:val="1F2937"/>
          <w:sz w:val="22"/>
          <w:szCs w:val="22"/>
        </w:rPr>
        <w:t xml:space="preserve">At each decoding step the model selectively chooses which input tokens to focus on and how much weight to assign to each. The attention distribution is recomputed from scratch for every output token. This is what allows a variable-length input to produce a variable-length output without any loss of fidelity, and it is the key mechanism by which attention-based models learn long-range dependencies more effectively than RNNs. In the original Bahdanau paper, the width of the dotted alignment lines in the diagrams is drawn proportional to the attention weight — visually showing which input tokens matter most for each output token being generated.</w:t>
      </w:r>
    </w:p>
    <w:p>
      <w:pPr>
        <w:pStyle w:val="Heading1"/>
        <w:keepNext/>
        <w:keepLines/>
        <w:spacing w:after="180" w:before="360"/>
      </w:pPr>
      <w:r>
        <w:rPr>
          <w:rFonts w:ascii="Calibri" w:cs="Calibri" w:eastAsia="Calibri" w:hAnsi="Calibri"/>
          <w:b/>
          <w:bCs/>
          <w:color w:val="0D3B6E"/>
          <w:sz w:val="32"/>
          <w:szCs w:val="32"/>
        </w:rPr>
        <w:t xml:space="preserve">8.  Self-Attention and the Transformer — 2017</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Only three years after Bahdanau, Vaswani et al. demonstrated that RNN architectures are not required at all for building high-performance natural language processing models</w:t>
      </w:r>
      <w:r>
        <w:rPr>
          <w:rFonts w:ascii="Times New Roman" w:cs="Times New Roman" w:eastAsia="Times New Roman" w:hAnsi="Times New Roman"/>
          <w:b/>
          <w:bCs/>
          <w:i w:val="false"/>
          <w:iCs w:val="false"/>
          <w:color w:val="1A56A0"/>
          <w:sz w:val="20"/>
          <w:szCs w:val="20"/>
        </w:rPr>
        <w:t xml:space="preserve"> [3]</w:t>
      </w:r>
      <w:r>
        <w:rPr>
          <w:rFonts w:ascii="Times New Roman" w:cs="Times New Roman" w:eastAsia="Times New Roman" w:hAnsi="Times New Roman"/>
          <w:b w:val="false"/>
          <w:bCs w:val="false"/>
          <w:i w:val="false"/>
          <w:iCs w:val="false"/>
          <w:color w:val="1F2937"/>
          <w:sz w:val="22"/>
          <w:szCs w:val="22"/>
        </w:rPr>
        <w:t xml:space="preserve">. Their paper — </w:t>
      </w:r>
      <w:r>
        <w:rPr>
          <w:rFonts w:ascii="Times New Roman" w:cs="Times New Roman" w:eastAsia="Times New Roman" w:hAnsi="Times New Roman"/>
          <w:b w:val="false"/>
          <w:bCs w:val="false"/>
          <w:i/>
          <w:iCs/>
          <w:color w:val="1F2937"/>
          <w:sz w:val="22"/>
          <w:szCs w:val="22"/>
        </w:rPr>
        <w:t xml:space="preserve">Attention Is All You Need</w:t>
      </w:r>
      <w:r>
        <w:rPr>
          <w:rFonts w:ascii="Times New Roman" w:cs="Times New Roman" w:eastAsia="Times New Roman" w:hAnsi="Times New Roman"/>
          <w:b w:val="false"/>
          <w:bCs w:val="false"/>
          <w:i w:val="false"/>
          <w:iCs w:val="false"/>
          <w:color w:val="1F2937"/>
          <w:sz w:val="22"/>
          <w:szCs w:val="22"/>
        </w:rPr>
        <w:t xml:space="preserve"> — introduced the Transformer, which uses only self-attention and replaces the RNN entirely. This is the architecture underlying GPT-2</w:t>
      </w:r>
      <w:r>
        <w:rPr>
          <w:rFonts w:ascii="Times New Roman" w:cs="Times New Roman" w:eastAsia="Times New Roman" w:hAnsi="Times New Roman"/>
          <w:b/>
          <w:bCs/>
          <w:i w:val="false"/>
          <w:iCs w:val="false"/>
          <w:color w:val="1A56A0"/>
          <w:sz w:val="20"/>
          <w:szCs w:val="20"/>
        </w:rPr>
        <w:t xml:space="preserve"> [4]</w:t>
      </w:r>
      <w:r>
        <w:rPr>
          <w:rFonts w:ascii="Times New Roman" w:cs="Times New Roman" w:eastAsia="Times New Roman" w:hAnsi="Times New Roman"/>
          <w:b w:val="false"/>
          <w:bCs w:val="false"/>
          <w:i w:val="false"/>
          <w:iCs w:val="false"/>
          <w:color w:val="1F2937"/>
          <w:sz w:val="22"/>
          <w:szCs w:val="22"/>
        </w:rPr>
        <w:t xml:space="preserve">, GPT-3, and every major large language model since.</w:t>
      </w:r>
    </w:p>
    <w:p>
      <w:pPr>
        <w:pStyle w:val="Heading2"/>
        <w:keepNext/>
        <w:keepLines/>
        <w:spacing w:after="140" w:before="240"/>
      </w:pPr>
      <w:r>
        <w:rPr>
          <w:rFonts w:ascii="Calibri" w:cs="Calibri" w:eastAsia="Calibri" w:hAnsi="Calibri"/>
          <w:b/>
          <w:bCs/>
          <w:color w:val="1A56A0"/>
          <w:sz w:val="26"/>
          <w:szCs w:val="26"/>
        </w:rPr>
        <w:t xml:space="preserve">8.1  Cross-Attention vs Self-Attention</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The Bahdanau mechanism is a form of cross-attention — it computes relationships between two different sequences (the input sequence in the encoder and the output sequence in the decoder). The Transformer introduced self-attention: a single sequence that attends to itself, where every token computes its representation as a weighted sum of all other tokens in the same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rPr>
          <w:cantSplit/>
          <w:tblHeader/>
        </w:trPr>
        <w:tc>
          <w:tcPr>
            <w:tcW w:type="dxa" w:w="2800"/>
            <w:tcBorders>
              <w:top w:val="single" w:color="CCCCCC" w:sz="2"/>
              <w:left w:val="single" w:color="CCCCCC" w:sz="2"/>
              <w:bottom w:val="single" w:color="CCCCCC" w:sz="2"/>
              <w:right w:val="single" w:color="CCCCCC" w:sz="2"/>
            </w:tcBorders>
            <w:shd w:fill="0D3B6E" w:val="clear"/>
            <w:tcMar>
              <w:top w:type="dxa" w:w="100"/>
              <w:left w:type="dxa" w:w="150"/>
              <w:bottom w:type="dxa" w:w="100"/>
              <w:right w:type="dxa" w:w="150"/>
            </w:tcMar>
          </w:tcPr>
          <w:p>
            <w:pPr>
              <w:spacing w:after="0" w:before="0" w:line="280"/>
              <w:jc w:val="center"/>
            </w:pPr>
            <w:r>
              <w:rPr>
                <w:rFonts w:ascii="Times New Roman" w:cs="Times New Roman" w:eastAsia="Times New Roman" w:hAnsi="Times New Roman"/>
                <w:b/>
                <w:bCs/>
                <w:i w:val="false"/>
                <w:iCs w:val="false"/>
                <w:color w:val="FFFFFF"/>
                <w:sz w:val="22"/>
                <w:szCs w:val="22"/>
              </w:rPr>
              <w:t xml:space="preserve">Property</w:t>
            </w:r>
          </w:p>
        </w:tc>
        <w:tc>
          <w:tcPr>
            <w:tcW w:type="dxa" w:w="3280"/>
            <w:tcBorders>
              <w:top w:val="single" w:color="CCCCCC" w:sz="2"/>
              <w:left w:val="single" w:color="CCCCCC" w:sz="2"/>
              <w:bottom w:val="single" w:color="CCCCCC" w:sz="2"/>
              <w:right w:val="single" w:color="CCCCCC" w:sz="2"/>
            </w:tcBorders>
            <w:shd w:fill="0D3B6E" w:val="clear"/>
            <w:tcMar>
              <w:top w:type="dxa" w:w="100"/>
              <w:left w:type="dxa" w:w="150"/>
              <w:bottom w:type="dxa" w:w="100"/>
              <w:right w:type="dxa" w:w="150"/>
            </w:tcMar>
          </w:tcPr>
          <w:p>
            <w:pPr>
              <w:spacing w:after="0" w:before="0" w:line="280"/>
              <w:jc w:val="center"/>
            </w:pPr>
            <w:r>
              <w:rPr>
                <w:rFonts w:ascii="Times New Roman" w:cs="Times New Roman" w:eastAsia="Times New Roman" w:hAnsi="Times New Roman"/>
                <w:b/>
                <w:bCs/>
                <w:i w:val="false"/>
                <w:iCs w:val="false"/>
                <w:color w:val="FFFFFF"/>
                <w:sz w:val="22"/>
                <w:szCs w:val="22"/>
              </w:rPr>
              <w:t xml:space="preserve">Cross-Attention (Bahdanau)</w:t>
            </w:r>
          </w:p>
        </w:tc>
        <w:tc>
          <w:tcPr>
            <w:tcW w:type="dxa" w:w="3280"/>
            <w:tcBorders>
              <w:top w:val="single" w:color="CCCCCC" w:sz="2"/>
              <w:left w:val="single" w:color="CCCCCC" w:sz="2"/>
              <w:bottom w:val="single" w:color="CCCCCC" w:sz="2"/>
              <w:right w:val="single" w:color="CCCCCC" w:sz="2"/>
            </w:tcBorders>
            <w:shd w:fill="0D3B6E" w:val="clear"/>
            <w:tcMar>
              <w:top w:type="dxa" w:w="100"/>
              <w:left w:type="dxa" w:w="150"/>
              <w:bottom w:type="dxa" w:w="100"/>
              <w:right w:type="dxa" w:w="150"/>
            </w:tcMar>
          </w:tcPr>
          <w:p>
            <w:pPr>
              <w:spacing w:after="0" w:before="0" w:line="280"/>
              <w:jc w:val="center"/>
            </w:pPr>
            <w:r>
              <w:rPr>
                <w:rFonts w:ascii="Times New Roman" w:cs="Times New Roman" w:eastAsia="Times New Roman" w:hAnsi="Times New Roman"/>
                <w:b/>
                <w:bCs/>
                <w:i w:val="false"/>
                <w:iCs w:val="false"/>
                <w:color w:val="FFFFFF"/>
                <w:sz w:val="22"/>
                <w:szCs w:val="22"/>
              </w:rPr>
              <w:t xml:space="preserve">Self-Attention (Transformers)</w:t>
            </w:r>
          </w:p>
        </w:tc>
      </w:tr>
      <w:tr>
        <w:trPr>
          <w:cantSplit/>
        </w:trPr>
        <w:tc>
          <w:tcPr>
            <w:tcW w:type="dxa" w:w="28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bCs/>
                <w:i w:val="false"/>
                <w:iCs w:val="false"/>
                <w:color w:val="1F2937"/>
                <w:sz w:val="22"/>
                <w:szCs w:val="22"/>
              </w:rPr>
              <w:t xml:space="preserve">Sequences</w:t>
            </w:r>
          </w:p>
        </w:tc>
        <w:tc>
          <w:tcPr>
            <w:tcW w:type="dxa" w:w="32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Two different sequences</w:t>
            </w:r>
          </w:p>
        </w:tc>
        <w:tc>
          <w:tcPr>
            <w:tcW w:type="dxa" w:w="32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One sequence attending to itself</w:t>
            </w:r>
          </w:p>
        </w:tc>
      </w:tr>
      <w:tr>
        <w:trPr>
          <w:cantSplit/>
        </w:trPr>
        <w:tc>
          <w:tcPr>
            <w:tcW w:type="dxa" w:w="28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bCs/>
                <w:i w:val="false"/>
                <w:iCs w:val="false"/>
                <w:color w:val="1F2937"/>
                <w:sz w:val="22"/>
                <w:szCs w:val="22"/>
              </w:rPr>
              <w:t xml:space="preserve">Primary use case</w:t>
            </w:r>
          </w:p>
        </w:tc>
        <w:tc>
          <w:tcPr>
            <w:tcW w:type="dxa" w:w="32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Translation (source → target)</w:t>
            </w:r>
          </w:p>
        </w:tc>
        <w:tc>
          <w:tcPr>
            <w:tcW w:type="dxa" w:w="32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Language generation (GPT family)</w:t>
            </w:r>
          </w:p>
        </w:tc>
      </w:tr>
      <w:tr>
        <w:trPr>
          <w:cantSplit/>
        </w:trPr>
        <w:tc>
          <w:tcPr>
            <w:tcW w:type="dxa" w:w="28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bCs/>
                <w:i w:val="false"/>
                <w:iCs w:val="false"/>
                <w:color w:val="1F2937"/>
                <w:sz w:val="22"/>
                <w:szCs w:val="22"/>
              </w:rPr>
              <w:t xml:space="preserve">Access pattern</w:t>
            </w:r>
          </w:p>
        </w:tc>
        <w:tc>
          <w:tcPr>
            <w:tcW w:type="dxa" w:w="32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Decoder attends to encoder states</w:t>
            </w:r>
          </w:p>
        </w:tc>
        <w:tc>
          <w:tcPr>
            <w:tcW w:type="dxa" w:w="32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Every token attends to all tokens</w:t>
            </w:r>
          </w:p>
        </w:tc>
      </w:tr>
      <w:tr>
        <w:trPr>
          <w:cantSplit/>
        </w:trPr>
        <w:tc>
          <w:tcPr>
            <w:tcW w:type="dxa" w:w="28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bCs/>
                <w:i w:val="false"/>
                <w:iCs w:val="false"/>
                <w:color w:val="1F2937"/>
                <w:sz w:val="22"/>
                <w:szCs w:val="22"/>
              </w:rPr>
              <w:t xml:space="preserve">Used in GPT-2</w:t>
            </w:r>
          </w:p>
        </w:tc>
        <w:tc>
          <w:tcPr>
            <w:tcW w:type="dxa" w:w="32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No</w:t>
            </w:r>
          </w:p>
        </w:tc>
        <w:tc>
          <w:tcPr>
            <w:tcW w:type="dxa" w:w="328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Yes — with causal masking</w:t>
            </w:r>
          </w:p>
        </w:tc>
      </w:tr>
    </w:tbl>
    <w:p>
      <w:pPr>
        <w:spacing w:after="240" w:before="80" w:line="280"/>
        <w:jc w:val="center"/>
      </w:pPr>
      <w:r>
        <w:rPr>
          <w:rFonts w:ascii="Times New Roman" w:cs="Times New Roman" w:eastAsia="Times New Roman" w:hAnsi="Times New Roman"/>
          <w:i/>
          <w:iCs/>
          <w:color w:val="6B7280"/>
          <w:sz w:val="20"/>
          <w:szCs w:val="20"/>
        </w:rPr>
        <w:t xml:space="preserve">Table 2: Cross-attention versus self-attention. GPT-2 uses only the latter, with causal masking.</w:t>
      </w:r>
    </w:p>
    <w:p>
      <w:pPr>
        <w:pStyle w:val="Heading2"/>
        <w:keepNext/>
        <w:keepLines/>
        <w:spacing w:after="140" w:before="240"/>
      </w:pPr>
      <w:r>
        <w:rPr>
          <w:rFonts w:ascii="Calibri" w:cs="Calibri" w:eastAsia="Calibri" w:hAnsi="Calibri"/>
          <w:b/>
          <w:bCs/>
          <w:color w:val="1A56A0"/>
          <w:sz w:val="26"/>
          <w:szCs w:val="26"/>
        </w:rPr>
        <w:t xml:space="preserve">8.2  The Formal Definition of Self-Attention</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Self-attention is a mechanism that allows each position in the input sequence to attend to all positions in the same sequence when computing its representation. In self-attention, the query, key, and value vectors all come from the same sequence — the mechanism operates within a single sequence rather than between two sequences. The implementation of this mechanism is the subject of Topics 8 through 12.</w:t>
      </w:r>
    </w:p>
    <w:p>
      <w:pPr>
        <w:pStyle w:val="Heading2"/>
        <w:keepNext/>
        <w:keepLines/>
        <w:spacing w:after="140" w:before="240"/>
      </w:pPr>
      <w:r>
        <w:rPr>
          <w:rFonts w:ascii="Calibri" w:cs="Calibri" w:eastAsia="Calibri" w:hAnsi="Calibri"/>
          <w:b/>
          <w:bCs/>
          <w:color w:val="1A56A0"/>
          <w:sz w:val="26"/>
          <w:szCs w:val="26"/>
        </w:rPr>
        <w:t xml:space="preserve">8.3  Why Self-Attention Directly Solves the Long-Term Dependency Problem</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Recall the opening sentence: "The cat that was sitting on the mat, which was next to the dog, jumped." With self-attention, every token has direct access to every other token in the sequence. There is no sequential information path from 'cat' to 'jumped' — they are one attention step apart, regardless of the number of intervening words. The architectural bottleneck that defined RNN and LSTM failures simply does not exist.</w:t>
      </w:r>
    </w:p>
    <w:p>
      <w:pPr>
        <w:pStyle w:val="Heading1"/>
        <w:keepNext/>
        <w:keepLines/>
        <w:spacing w:after="180" w:before="360"/>
      </w:pPr>
      <w:r>
        <w:rPr>
          <w:rFonts w:ascii="Calibri" w:cs="Calibri" w:eastAsia="Calibri" w:hAnsi="Calibri"/>
          <w:b/>
          <w:bCs/>
          <w:color w:val="0D3B6E"/>
          <w:sz w:val="32"/>
          <w:szCs w:val="32"/>
        </w:rPr>
        <w:t xml:space="preserve">9.  The Historical Timeline — Thirty-Seven Years to Attention</w:t>
      </w:r>
    </w:p>
    <w:p>
      <w:pPr>
        <w:keepNext/>
        <w:keepLines/>
        <w:spacing w:after="120" w:before="60" w:line="320"/>
        <w:jc w:val="both"/>
      </w:pPr>
      <w:r>
        <w:rPr>
          <w:rFonts w:ascii="Times New Roman" w:cs="Times New Roman" w:eastAsia="Times New Roman" w:hAnsi="Times New Roman"/>
          <w:color w:val="1F2937"/>
          <w:sz w:val="22"/>
          <w:szCs w:val="22"/>
        </w:rPr>
        <w:t xml:space="preserve">Figure 1 summarises the architectural evolution that led to the Transformer. Three transitions matter: the jump from vanilla RNNs to LSTMs in 1997, which solved vanishing gradients but kept the sequential bottleneck; the jump to Bahdanau attention in 2014, which introduced direct access to encoder states but still required recurrence; and the jump to the Transformer in 2017, which eliminated recurrence entirely and is the basis of every modern large language model.</w:t>
      </w:r>
    </w:p>
    <w:p>
      <w:pPr>
        <w:keepNext/>
        <w:keepLines/>
        <w:spacing w:after="0" w:before="200"/>
        <w:jc w:val="center"/>
      </w:pPr>
      <w:r>
        <w:drawing>
          <wp:inline distT="0" distB="0" distL="0" distR="0">
            <wp:extent cx="5905500" cy="2714625"/>
            <wp:effectExtent t="0" r="0" b="0" l="0"/>
            <wp:docPr id="1" name="attention_timeline" descr="A timeline showing the evolution from RNNs in 1980, to LSTMs in 1997, to Bahdanau Attention in 2014, to Transformers in 2017." title="Timeline of attent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714625"/>
                    </a:xfrm>
                    <a:prstGeom prst="rect">
                      <a:avLst/>
                    </a:prstGeom>
                  </pic:spPr>
                </pic:pic>
              </a:graphicData>
            </a:graphic>
          </wp:inline>
        </w:drawing>
      </w:r>
    </w:p>
    <w:p>
      <w:pPr>
        <w:spacing w:after="240" w:before="80" w:line="280"/>
        <w:jc w:val="center"/>
      </w:pPr>
      <w:r>
        <w:rPr>
          <w:rFonts w:ascii="Times New Roman" w:cs="Times New Roman" w:eastAsia="Times New Roman" w:hAnsi="Times New Roman"/>
          <w:i/>
          <w:iCs/>
          <w:color w:val="6B7280"/>
          <w:sz w:val="20"/>
          <w:szCs w:val="20"/>
        </w:rPr>
        <w:t xml:space="preserve">Figure 1: Thirty-seven years to attention — the architectural evolution from RNNs (1980) through LSTMs (1997) and Bahdanau attention (2014) to the Transformer (2017). Each innovation addressed a specific failure of its predecessor; each retained some limitation that the next addressed. Author's illustration.</w:t>
      </w:r>
    </w:p>
    <w:p>
      <w:pPr>
        <w:pBdr>
          <w:left w:val="single" w:color="F59E0B" w:sz="24" w:space="12"/>
        </w:pBdr>
        <w:shd w:fill="FEF3C7" w:val="clear"/>
        <w:spacing w:after="200" w:before="200" w:line="320"/>
        <w:ind w:left="240" w:right="240"/>
      </w:pPr>
      <w:r>
        <w:rPr>
          <w:rFonts w:ascii="Times New Roman" w:cs="Times New Roman" w:eastAsia="Times New Roman" w:hAnsi="Times New Roman"/>
          <w:b/>
          <w:bCs/>
          <w:color w:val="0D3B6E"/>
          <w:sz w:val="22"/>
          <w:szCs w:val="22"/>
        </w:rPr>
        <w:t xml:space="preserve">The Acceleration of Progress</w:t>
      </w:r>
      <w:r>
        <w:rPr>
          <w:rFonts w:ascii="Times New Roman" w:cs="Times New Roman" w:eastAsia="Times New Roman" w:hAnsi="Times New Roman"/>
          <w:color w:val="6B7280"/>
          <w:sz w:val="22"/>
          <w:szCs w:val="22"/>
        </w:rPr>
        <w:t xml:space="preserve">  —  </w:t>
      </w:r>
      <w:r>
        <w:rPr>
          <w:rFonts w:ascii="Times New Roman" w:cs="Times New Roman" w:eastAsia="Times New Roman" w:hAnsi="Times New Roman"/>
          <w:i/>
          <w:iCs/>
          <w:color w:val="1F2937"/>
          <w:sz w:val="22"/>
          <w:szCs w:val="22"/>
        </w:rPr>
        <w:t xml:space="preserve">Seventeen years from RNN to LSTM. Seventeen years from LSTM to Bahdanau. Only three years from Bahdanau to the full Transformer. Each solution revealed a new, deeper architectural limitation; the Transformer addressed all three at once — no vanishing gradients (attention replaces recurrence), no context bottleneck (every token attends directly to every other token), and fully parallelisable training (no sequential dependency between time steps). This is why every modern large language model — GPT, BERT, LLaMA, Claude — is built on the Transformer architecture.</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Two patterns are worth noting from the timeline. First, the pace of progress accelerated: the step from RNN to LSTM took seventeen years, the step to Bahdanau attention another seventeen, but the step to the full Transformer took only three. Second, each step was an incremental architectural change rather than a wholesale replacement — the Transformer still uses ideas (weighted summation, softmax normalisation, learned projections) that trace directly back to Bahdanau's original formulation.</w:t>
      </w:r>
    </w:p>
    <w:p>
      <w:pPr>
        <w:pStyle w:val="Heading1"/>
        <w:keepNext/>
        <w:keepLines/>
        <w:spacing w:after="180" w:before="360"/>
      </w:pPr>
      <w:r>
        <w:rPr>
          <w:rFonts w:ascii="Calibri" w:cs="Calibri" w:eastAsia="Calibri" w:hAnsi="Calibri"/>
          <w:b/>
          <w:bCs/>
          <w:color w:val="0D3B6E"/>
          <w:sz w:val="32"/>
          <w:szCs w:val="32"/>
        </w:rPr>
        <w:t xml:space="preserve">10.  Key Observations</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Six observations summarise the key conceptual takeaways of this topic.</w:t>
      </w:r>
    </w:p>
    <w:p>
      <w:pPr>
        <w:pStyle w:val="ListParagraph"/>
        <w:numPr>
          <w:ilvl w:val="0"/>
          <w:numId w:val="2"/>
        </w:numPr>
        <w:spacing w:after="80" w:before="40" w:line="320"/>
      </w:pPr>
      <w:r>
        <w:rPr>
          <w:rFonts w:ascii="Times New Roman" w:cs="Times New Roman" w:eastAsia="Times New Roman" w:hAnsi="Times New Roman"/>
          <w:b w:val="false"/>
          <w:bCs w:val="false"/>
          <w:color w:val="1F2937"/>
          <w:sz w:val="22"/>
          <w:szCs w:val="22"/>
        </w:rPr>
        <w:t xml:space="preserve">The problem attention solves is not a performance limitation but a fundamental architectural impossibility. For long-range dependencies, sequential models cannot maintain the required information across a single context vector bottleneck regardless of model size or training data. No amount of data or compute can fix this — only a change in architecture can.</w:t>
      </w:r>
    </w:p>
    <w:p>
      <w:pPr>
        <w:pStyle w:val="ListParagraph"/>
        <w:numPr>
          <w:ilvl w:val="0"/>
          <w:numId w:val="2"/>
        </w:numPr>
        <w:spacing w:after="80" w:before="40" w:line="320"/>
      </w:pPr>
      <w:r>
        <w:rPr>
          <w:rFonts w:ascii="Times New Roman" w:cs="Times New Roman" w:eastAsia="Times New Roman" w:hAnsi="Times New Roman"/>
          <w:b w:val="false"/>
          <w:bCs w:val="false"/>
          <w:color w:val="1F2937"/>
          <w:sz w:val="22"/>
          <w:szCs w:val="22"/>
        </w:rPr>
        <w:t xml:space="preserve">The bottleneck is structural, not a training problem. An RNN's inability to route information across a single fixed-size context vector is a property of its topology, not its parameters. Bahdanau's fix required a new architectural pathway (direct access to all encoder states), not just more of the existing one.</w:t>
      </w:r>
    </w:p>
    <w:p>
      <w:pPr>
        <w:pStyle w:val="ListParagraph"/>
        <w:numPr>
          <w:ilvl w:val="0"/>
          <w:numId w:val="2"/>
        </w:numPr>
        <w:spacing w:after="80" w:before="40" w:line="320"/>
      </w:pPr>
      <w:r>
        <w:rPr>
          <w:rFonts w:ascii="Times New Roman" w:cs="Times New Roman" w:eastAsia="Times New Roman" w:hAnsi="Times New Roman"/>
          <w:b w:val="false"/>
          <w:bCs w:val="false"/>
          <w:color w:val="1F2937"/>
          <w:sz w:val="22"/>
          <w:szCs w:val="22"/>
        </w:rPr>
        <w:t xml:space="preserve">Attention weights are learned from data, not hand-designed. The model discovers from training examples which word alignments are correct for a given language pair. It is not mindlessly aligning position 1 with position 1 — the alignment emerges from the optimisation process.</w:t>
      </w:r>
    </w:p>
    <w:p>
      <w:pPr>
        <w:pStyle w:val="ListParagraph"/>
        <w:numPr>
          <w:ilvl w:val="0"/>
          <w:numId w:val="2"/>
        </w:numPr>
        <w:spacing w:after="80" w:before="40" w:line="320"/>
      </w:pPr>
      <w:r>
        <w:rPr>
          <w:rFonts w:ascii="Times New Roman" w:cs="Times New Roman" w:eastAsia="Times New Roman" w:hAnsi="Times New Roman"/>
          <w:b w:val="false"/>
          <w:bCs w:val="false"/>
          <w:color w:val="1F2937"/>
          <w:sz w:val="22"/>
          <w:szCs w:val="22"/>
        </w:rPr>
        <w:t xml:space="preserve">The 'self' in self-attention is the defining distinction from cross-attention. Cross-attention (Bahdanau) operates between two sequences. Self-attention (Transformers) operates within a single sequence looking at itself. GPT-style language generation requires only self-attention, plus a causal mask to prevent looking at future tokens.</w:t>
      </w:r>
    </w:p>
    <w:p>
      <w:pPr>
        <w:pStyle w:val="ListParagraph"/>
        <w:numPr>
          <w:ilvl w:val="0"/>
          <w:numId w:val="2"/>
        </w:numPr>
        <w:spacing w:after="80" w:before="40" w:line="320"/>
      </w:pPr>
      <w:r>
        <w:rPr>
          <w:rFonts w:ascii="Times New Roman" w:cs="Times New Roman" w:eastAsia="Times New Roman" w:hAnsi="Times New Roman"/>
          <w:b w:val="false"/>
          <w:bCs w:val="false"/>
          <w:color w:val="1F2937"/>
          <w:sz w:val="22"/>
          <w:szCs w:val="22"/>
        </w:rPr>
        <w:t xml:space="preserve">Dynamic focus changes the nature of the computation. At every decoding step, the model selectively chooses which input tokens to focus on and how much weight to assign each one. The context the model acts on is recomputed from scratch for every output token — this is what allows a variable-length input to produce a variable-length output without loss of fidelity.</w:t>
      </w:r>
    </w:p>
    <w:p>
      <w:pPr>
        <w:pStyle w:val="ListParagraph"/>
        <w:numPr>
          <w:ilvl w:val="0"/>
          <w:numId w:val="2"/>
        </w:numPr>
        <w:spacing w:after="80" w:before="40" w:line="320"/>
      </w:pPr>
      <w:r>
        <w:rPr>
          <w:rFonts w:ascii="Times New Roman" w:cs="Times New Roman" w:eastAsia="Times New Roman" w:hAnsi="Times New Roman"/>
          <w:b w:val="false"/>
          <w:bCs w:val="false"/>
          <w:color w:val="1F2937"/>
          <w:sz w:val="22"/>
          <w:szCs w:val="22"/>
        </w:rPr>
        <w:t xml:space="preserve">LSTMs solved the vanishing gradient, not the bottleneck. This is often confused. The additive cell-state update in LSTMs prevents gradients from shrinking to zero during backpropagation, enabling training on longer sequences. But the encoder–decoder information channel is still a single fixed-size vector. Two different failures; LSTMs addressed the first and left the second.</w:t>
      </w:r>
    </w:p>
    <w:p>
      <w:pPr>
        <w:pStyle w:val="Heading1"/>
        <w:keepNext/>
        <w:keepLines/>
        <w:spacing w:after="180" w:before="360"/>
      </w:pPr>
      <w:r>
        <w:rPr>
          <w:rFonts w:ascii="Calibri" w:cs="Calibri" w:eastAsia="Calibri" w:hAnsi="Calibri"/>
          <w:b/>
          <w:bCs/>
          <w:color w:val="0D3B6E"/>
          <w:sz w:val="32"/>
          <w:szCs w:val="32"/>
        </w:rPr>
        <w:t xml:space="preserve">11.  Experiments &amp; Open Questions</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This section extends the topic beyond summary into active engagement with its claims. A toy numerical illustration makes Bahdanau attention concrete; an open question confronts whether the core thesis of the 2017 Transformer paper remains defensible under the constraints of modern long-context models; and a proposed empirical investigation is left as future work.</w:t>
      </w:r>
    </w:p>
    <w:p>
      <w:pPr>
        <w:pStyle w:val="Heading3"/>
        <w:keepNext/>
        <w:keepLines/>
        <w:spacing w:after="120" w:before="200"/>
      </w:pPr>
      <w:r>
        <w:rPr>
          <w:rFonts w:ascii="Calibri" w:cs="Calibri" w:eastAsia="Calibri" w:hAnsi="Calibri"/>
          <w:b/>
          <w:bCs/>
          <w:color w:val="2E75B6"/>
          <w:sz w:val="24"/>
          <w:szCs w:val="24"/>
        </w:rPr>
        <w:t xml:space="preserve">11.1  Toy Bahdanau Alignment Matrix — A Hand-Computed Example</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The prose description of attention weights is easier to internalise when reduced to concrete numbers. Consider the toy French-to-English alignment for "Je suis étudiant" → "I am a student". Assume the encoder produces three hidden states, one per French token, and the decoder generates four English tokens. For each output position, the decoder computes attention weights over the three encoder states. A plausible learned alignment matrix is shown in Table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2160"/>
      </w:tblGrid>
      <w:tr>
        <w:trPr>
          <w:cantSplit/>
          <w:tblHeader/>
        </w:trPr>
        <w:tc>
          <w:tcPr>
            <w:tcW w:type="dxa" w:w="1800"/>
            <w:tcBorders>
              <w:top w:val="single" w:color="CCCCCC" w:sz="2"/>
              <w:left w:val="single" w:color="CCCCCC" w:sz="2"/>
              <w:bottom w:val="single" w:color="CCCCCC" w:sz="2"/>
              <w:right w:val="single" w:color="CCCCCC" w:sz="2"/>
            </w:tcBorders>
            <w:shd w:fill="0D3B6E" w:val="clear"/>
            <w:tcMar>
              <w:top w:type="dxa" w:w="100"/>
              <w:left w:type="dxa" w:w="150"/>
              <w:bottom w:type="dxa" w:w="100"/>
              <w:right w:type="dxa" w:w="150"/>
            </w:tcMar>
          </w:tcPr>
          <w:p>
            <w:pPr>
              <w:spacing w:after="0" w:before="0" w:line="280"/>
              <w:jc w:val="center"/>
            </w:pPr>
            <w:r>
              <w:rPr>
                <w:rFonts w:ascii="Times New Roman" w:cs="Times New Roman" w:eastAsia="Times New Roman" w:hAnsi="Times New Roman"/>
                <w:b/>
                <w:bCs/>
                <w:i w:val="false"/>
                <w:iCs w:val="false"/>
                <w:color w:val="FFFFFF"/>
                <w:sz w:val="22"/>
                <w:szCs w:val="22"/>
              </w:rPr>
              <w:t xml:space="preserve">Output token</w:t>
            </w:r>
          </w:p>
        </w:tc>
        <w:tc>
          <w:tcPr>
            <w:tcW w:type="dxa" w:w="1800"/>
            <w:tcBorders>
              <w:top w:val="single" w:color="CCCCCC" w:sz="2"/>
              <w:left w:val="single" w:color="CCCCCC" w:sz="2"/>
              <w:bottom w:val="single" w:color="CCCCCC" w:sz="2"/>
              <w:right w:val="single" w:color="CCCCCC" w:sz="2"/>
            </w:tcBorders>
            <w:shd w:fill="0D3B6E" w:val="clear"/>
            <w:tcMar>
              <w:top w:type="dxa" w:w="100"/>
              <w:left w:type="dxa" w:w="150"/>
              <w:bottom w:type="dxa" w:w="100"/>
              <w:right w:type="dxa" w:w="150"/>
            </w:tcMar>
          </w:tcPr>
          <w:p>
            <w:pPr>
              <w:spacing w:after="0" w:before="0" w:line="280"/>
              <w:jc w:val="center"/>
            </w:pPr>
            <w:r>
              <w:rPr>
                <w:rFonts w:ascii="Times New Roman" w:cs="Times New Roman" w:eastAsia="Times New Roman" w:hAnsi="Times New Roman"/>
                <w:b/>
                <w:bCs/>
                <w:i w:val="false"/>
                <w:iCs w:val="false"/>
                <w:color w:val="FFFFFF"/>
                <w:sz w:val="22"/>
                <w:szCs w:val="22"/>
              </w:rPr>
              <w:t xml:space="preserve">h₁ ("Je")</w:t>
            </w:r>
          </w:p>
        </w:tc>
        <w:tc>
          <w:tcPr>
            <w:tcW w:type="dxa" w:w="1800"/>
            <w:tcBorders>
              <w:top w:val="single" w:color="CCCCCC" w:sz="2"/>
              <w:left w:val="single" w:color="CCCCCC" w:sz="2"/>
              <w:bottom w:val="single" w:color="CCCCCC" w:sz="2"/>
              <w:right w:val="single" w:color="CCCCCC" w:sz="2"/>
            </w:tcBorders>
            <w:shd w:fill="0D3B6E" w:val="clear"/>
            <w:tcMar>
              <w:top w:type="dxa" w:w="100"/>
              <w:left w:type="dxa" w:w="150"/>
              <w:bottom w:type="dxa" w:w="100"/>
              <w:right w:type="dxa" w:w="150"/>
            </w:tcMar>
          </w:tcPr>
          <w:p>
            <w:pPr>
              <w:spacing w:after="0" w:before="0" w:line="280"/>
              <w:jc w:val="center"/>
            </w:pPr>
            <w:r>
              <w:rPr>
                <w:rFonts w:ascii="Times New Roman" w:cs="Times New Roman" w:eastAsia="Times New Roman" w:hAnsi="Times New Roman"/>
                <w:b/>
                <w:bCs/>
                <w:i w:val="false"/>
                <w:iCs w:val="false"/>
                <w:color w:val="FFFFFF"/>
                <w:sz w:val="22"/>
                <w:szCs w:val="22"/>
              </w:rPr>
              <w:t xml:space="preserve">h₂ ("suis")</w:t>
            </w:r>
          </w:p>
        </w:tc>
        <w:tc>
          <w:tcPr>
            <w:tcW w:type="dxa" w:w="1800"/>
            <w:tcBorders>
              <w:top w:val="single" w:color="CCCCCC" w:sz="2"/>
              <w:left w:val="single" w:color="CCCCCC" w:sz="2"/>
              <w:bottom w:val="single" w:color="CCCCCC" w:sz="2"/>
              <w:right w:val="single" w:color="CCCCCC" w:sz="2"/>
            </w:tcBorders>
            <w:shd w:fill="0D3B6E" w:val="clear"/>
            <w:tcMar>
              <w:top w:type="dxa" w:w="100"/>
              <w:left w:type="dxa" w:w="150"/>
              <w:bottom w:type="dxa" w:w="100"/>
              <w:right w:type="dxa" w:w="150"/>
            </w:tcMar>
          </w:tcPr>
          <w:p>
            <w:pPr>
              <w:spacing w:after="0" w:before="0" w:line="280"/>
              <w:jc w:val="center"/>
            </w:pPr>
            <w:r>
              <w:rPr>
                <w:rFonts w:ascii="Times New Roman" w:cs="Times New Roman" w:eastAsia="Times New Roman" w:hAnsi="Times New Roman"/>
                <w:b/>
                <w:bCs/>
                <w:i w:val="false"/>
                <w:iCs w:val="false"/>
                <w:color w:val="FFFFFF"/>
                <w:sz w:val="22"/>
                <w:szCs w:val="22"/>
              </w:rPr>
              <w:t xml:space="preserve">h₃ ("étudiant")</w:t>
            </w:r>
          </w:p>
        </w:tc>
        <w:tc>
          <w:tcPr>
            <w:tcW w:type="dxa" w:w="2160"/>
            <w:tcBorders>
              <w:top w:val="single" w:color="CCCCCC" w:sz="2"/>
              <w:left w:val="single" w:color="CCCCCC" w:sz="2"/>
              <w:bottom w:val="single" w:color="CCCCCC" w:sz="2"/>
              <w:right w:val="single" w:color="CCCCCC" w:sz="2"/>
            </w:tcBorders>
            <w:shd w:fill="0D3B6E" w:val="clear"/>
            <w:tcMar>
              <w:top w:type="dxa" w:w="100"/>
              <w:left w:type="dxa" w:w="150"/>
              <w:bottom w:type="dxa" w:w="100"/>
              <w:right w:type="dxa" w:w="150"/>
            </w:tcMar>
          </w:tcPr>
          <w:p>
            <w:pPr>
              <w:spacing w:after="0" w:before="0" w:line="280"/>
              <w:jc w:val="center"/>
            </w:pPr>
            <w:r>
              <w:rPr>
                <w:rFonts w:ascii="Times New Roman" w:cs="Times New Roman" w:eastAsia="Times New Roman" w:hAnsi="Times New Roman"/>
                <w:b/>
                <w:bCs/>
                <w:i w:val="false"/>
                <w:iCs w:val="false"/>
                <w:color w:val="FFFFFF"/>
                <w:sz w:val="22"/>
                <w:szCs w:val="22"/>
              </w:rPr>
              <w:t xml:space="preserve">Alignment interpretation</w:t>
            </w:r>
          </w:p>
        </w:tc>
      </w:tr>
      <w:tr>
        <w:trPr>
          <w:cantSplit/>
        </w:trPr>
        <w:tc>
          <w:tcPr>
            <w:tcW w:type="dxa" w:w="18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bCs/>
                <w:i w:val="false"/>
                <w:iCs w:val="false"/>
                <w:color w:val="1F2937"/>
                <w:sz w:val="22"/>
                <w:szCs w:val="22"/>
              </w:rPr>
              <w:t xml:space="preserve">I</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0.85</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0.10</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0.05</w:t>
            </w:r>
          </w:p>
        </w:tc>
        <w:tc>
          <w:tcPr>
            <w:tcW w:type="dxa" w:w="2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Aligns with "Je"</w:t>
            </w:r>
          </w:p>
        </w:tc>
      </w:tr>
      <w:tr>
        <w:trPr>
          <w:cantSplit/>
        </w:trPr>
        <w:tc>
          <w:tcPr>
            <w:tcW w:type="dxa" w:w="18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bCs/>
                <w:i w:val="false"/>
                <w:iCs w:val="false"/>
                <w:color w:val="1F2937"/>
                <w:sz w:val="22"/>
                <w:szCs w:val="22"/>
              </w:rPr>
              <w:t xml:space="preserve">am</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0.05</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0.88</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0.07</w:t>
            </w:r>
          </w:p>
        </w:tc>
        <w:tc>
          <w:tcPr>
            <w:tcW w:type="dxa" w:w="2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Aligns with "suis"</w:t>
            </w:r>
          </w:p>
        </w:tc>
      </w:tr>
      <w:tr>
        <w:trPr>
          <w:cantSplit/>
        </w:trPr>
        <w:tc>
          <w:tcPr>
            <w:tcW w:type="dxa" w:w="18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bCs/>
                <w:i w:val="false"/>
                <w:iCs w:val="false"/>
                <w:color w:val="1F2937"/>
                <w:sz w:val="22"/>
                <w:szCs w:val="22"/>
              </w:rPr>
              <w:t xml:space="preserve">a</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0.10</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0.30</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0.60</w:t>
            </w:r>
          </w:p>
        </w:tc>
        <w:tc>
          <w:tcPr>
            <w:tcW w:type="dxa" w:w="2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Soft-aligned to "étudiant" (French has no article)</w:t>
            </w:r>
          </w:p>
        </w:tc>
      </w:tr>
      <w:tr>
        <w:trPr>
          <w:cantSplit/>
        </w:trPr>
        <w:tc>
          <w:tcPr>
            <w:tcW w:type="dxa" w:w="1800"/>
            <w:tcBorders>
              <w:top w:val="single" w:color="CCCCCC" w:sz="2"/>
              <w:left w:val="single" w:color="CCCCCC" w:sz="2"/>
              <w:bottom w:val="single" w:color="CCCCCC" w:sz="2"/>
              <w:right w:val="single" w:color="CCCCCC" w:sz="2"/>
            </w:tcBorders>
            <w:shd w:fill="F9FAFB"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bCs/>
                <w:i w:val="false"/>
                <w:iCs w:val="false"/>
                <w:color w:val="1F2937"/>
                <w:sz w:val="22"/>
                <w:szCs w:val="22"/>
              </w:rPr>
              <w:t xml:space="preserve">student</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0.05</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0.10</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0.85</w:t>
            </w:r>
          </w:p>
        </w:tc>
        <w:tc>
          <w:tcPr>
            <w:tcW w:type="dxa" w:w="2160"/>
            <w:tcBorders>
              <w:top w:val="single" w:color="CCCCCC" w:sz="2"/>
              <w:left w:val="single" w:color="CCCCCC" w:sz="2"/>
              <w:bottom w:val="single" w:color="CCCCCC" w:sz="2"/>
              <w:right w:val="single" w:color="CCCCCC" w:sz="2"/>
            </w:tcBorders>
            <w:shd w:fill="FFFFFF" w:val="clear"/>
            <w:tcMar>
              <w:top w:type="dxa" w:w="100"/>
              <w:left w:type="dxa" w:w="150"/>
              <w:bottom w:type="dxa" w:w="100"/>
              <w:right w:type="dxa" w:w="150"/>
            </w:tcMar>
          </w:tcPr>
          <w:p>
            <w:pPr>
              <w:spacing w:after="0" w:before="0" w:line="280"/>
              <w:jc w:val="left"/>
            </w:pPr>
            <w:r>
              <w:rPr>
                <w:rFonts w:ascii="Times New Roman" w:cs="Times New Roman" w:eastAsia="Times New Roman" w:hAnsi="Times New Roman"/>
                <w:b w:val="false"/>
                <w:bCs w:val="false"/>
                <w:i w:val="false"/>
                <w:iCs w:val="false"/>
                <w:color w:val="1F2937"/>
                <w:sz w:val="22"/>
                <w:szCs w:val="22"/>
              </w:rPr>
              <w:t xml:space="preserve">Aligns with "étudiant"</w:t>
            </w:r>
          </w:p>
        </w:tc>
      </w:tr>
    </w:tbl>
    <w:p>
      <w:pPr>
        <w:spacing w:after="240" w:before="80" w:line="280"/>
        <w:jc w:val="center"/>
      </w:pPr>
      <w:r>
        <w:rPr>
          <w:rFonts w:ascii="Times New Roman" w:cs="Times New Roman" w:eastAsia="Times New Roman" w:hAnsi="Times New Roman"/>
          <w:i/>
          <w:iCs/>
          <w:color w:val="6B7280"/>
          <w:sz w:val="20"/>
          <w:szCs w:val="20"/>
        </w:rPr>
        <w:t xml:space="preserve">Table 3: Hand-computed Bahdanau attention weights for a toy French→English alignment. Each row is a softmax distribution over encoder states (rows sum to 1.0).</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Two observations follow directly from the numbers. First, the diagonal-dominant structure (each output token has highest weight on the corresponding input token) is not imposed by the architecture — it is learned from training data and reflects the genuine alignment that exists in the language pair. Second, the exception to diagonality ("a" aligning with "étudiant" rather than with any French token) captures a real linguistic phenomenon: French does not have a separate indefinite article for this construction, so the English article must be generated from the context provided by "étudiant". A rigid positional alignment would fail here; the learned attention distribution succeeds precisely because it is distribution-shaped rather than hard.</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Computing context vectors from this matrix requires the encoder hidden states. Assuming schematic values h₁ = [1, 0, 0], h₂ = [0, 1, 0], h₃ = [0, 0, 1] (one-hot for illustration), the context vector for generating "I" is:</w:t>
      </w:r>
    </w:p>
    <w:p>
      <w:pPr>
        <w:pBdr>
          <w:left w:val="single" w:color="2E75B6" w:sz="16" w:space="8"/>
        </w:pBdr>
        <w:shd w:fill="F3F4F6" w:val="clear"/>
        <w:spacing w:after="0" w:before="120" w:line="260"/>
        <w:ind w:left="120" w:right="120"/>
      </w:pPr>
      <w:r>
        <w:rPr>
          <w:rFonts w:ascii="Consolas" w:cs="Consolas" w:eastAsia="Consolas" w:hAnsi="Consolas"/>
          <w:color w:val="1F2937"/>
          <w:sz w:val="19"/>
          <w:szCs w:val="19"/>
        </w:rPr>
        <w:t xml:space="preserve">context("I") = 0.85 * h_1 + 0.10 * h_2 + 0.05 * h_3</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0.85 * [1, 0, 0] + 0.10 * [0, 1, 0] + 0.05 * [0, 0, 1]</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 [0.85, 0.10, 0.05]</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The context is now a weighted blend of all three encoder states,</w:t>
      </w:r>
    </w:p>
    <w:p>
      <w:pPr>
        <w:pBdr>
          <w:left w:val="single" w:color="2E75B6" w:sz="16" w:space="8"/>
        </w:pBdr>
        <w:shd w:fill="F3F4F6" w:val="clear"/>
        <w:spacing w:after="0" w:before="0" w:line="260"/>
        <w:ind w:left="120" w:right="120"/>
      </w:pPr>
      <w:r>
        <w:rPr>
          <w:rFonts w:ascii="Consolas" w:cs="Consolas" w:eastAsia="Consolas" w:hAnsi="Consolas"/>
          <w:color w:val="1F2937"/>
          <w:sz w:val="19"/>
          <w:szCs w:val="19"/>
        </w:rPr>
        <w:t xml:space="preserve"># biased strongly toward 'Je' but not exclusively so.</w:t>
      </w:r>
    </w:p>
    <w:p>
      <w:pPr>
        <w:pBdr>
          <w:left w:val="single" w:color="2E75B6" w:sz="16" w:space="8"/>
        </w:pBdr>
        <w:shd w:fill="F3F4F6" w:val="clear"/>
        <w:spacing w:after="140" w:before="0" w:line="260"/>
        <w:ind w:left="120" w:right="120"/>
      </w:pPr>
      <w:r>
        <w:rPr>
          <w:rFonts w:ascii="Consolas" w:cs="Consolas" w:eastAsia="Consolas" w:hAnsi="Consolas"/>
          <w:color w:val="1F2937"/>
          <w:sz w:val="19"/>
          <w:szCs w:val="19"/>
        </w:rPr>
        <w:t xml:space="preserve"># Compare with the fixed-vector case where context = h_3 for every output token.</w:t>
      </w:r>
    </w:p>
    <w:p>
      <w:pPr>
        <w:pStyle w:val="Heading3"/>
        <w:keepNext/>
        <w:keepLines/>
        <w:spacing w:after="120" w:before="200"/>
      </w:pPr>
      <w:r>
        <w:rPr>
          <w:rFonts w:ascii="Calibri" w:cs="Calibri" w:eastAsia="Calibri" w:hAnsi="Calibri"/>
          <w:b/>
          <w:bCs/>
          <w:color w:val="2E75B6"/>
          <w:sz w:val="24"/>
          <w:szCs w:val="24"/>
        </w:rPr>
        <w:t xml:space="preserve">11.2  Open Question — Does "Attention Is All You Need" Still Hold Up?</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The 2017 Transformer paper argued that recurrence is not required for high-quality sequence modelling: self-attention alone, layered and scaled, suffices. In 2017 this was a radical claim, and the evidence was strong — the Transformer outperformed the best RNN-based systems on machine translation at a fraction of the training time. In the decade since, however, a new constraint has surfaced that was invisible in the original paper: self-attention's O(n²) complexity in sequence length.</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For sequences of a few hundred tokens, quadratic cost is tolerable. For sequences of tens of thousands of tokens — the regime modern long-context models operate in — the quadratic term dominates. This has triggered a wave of architectural research: linear attention approximations (Performer, Linformer), sparse attention patterns (Longformer, BigBird), state-space models (Mamba, S4) that reintroduce recurrence in a more tractable form, and retrieval augmentation that sidesteps long contexts entirely. Each of these, to some degree, walks back the original claim that pure self-attention is sufficient.</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The open question this topic raises is therefore: does the architectural thesis of the 2017 paper remain defensible, or has it been quietly revised? A defensible current answer is: the 2017 thesis holds for the regime it addressed (sequences up to a few thousand tokens), but long-context modelling is an emerging regime the original paper did not contemplate. The reintroduction of recurrence-like mechanisms in state-space models is not a refutation of the Transformer — it is an acknowledgement that the problem space has expanded. This distinction — between refuting a thesis and contextualising the domain it applies to — matters for how one reads the current research literature.</w:t>
      </w:r>
    </w:p>
    <w:p>
      <w:pPr>
        <w:pStyle w:val="Heading3"/>
        <w:keepNext/>
        <w:keepLines/>
        <w:spacing w:after="120" w:before="200"/>
      </w:pPr>
      <w:r>
        <w:rPr>
          <w:rFonts w:ascii="Calibri" w:cs="Calibri" w:eastAsia="Calibri" w:hAnsi="Calibri"/>
          <w:b/>
          <w:bCs/>
          <w:color w:val="2E75B6"/>
          <w:sz w:val="24"/>
          <w:szCs w:val="24"/>
        </w:rPr>
        <w:t xml:space="preserve">11.3  Proposed Future Work</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One empirical investigation is left as future work, to be executed in a later topic or as a standalone study. The hypothesis is simple and verifiable: the RNN information bottleneck degrades translation or sequence-completion accuracy as sequence length increases, and the degradation is steeper than what would be expected from parameter-count limits alone. A toy experimental protocol would train a small GRU-based encoder–decoder on a synthetic reverse-string task with sequence lengths from 5 to 30 tokens, measure exact-match accuracy as a function of length, and compare with the same accuracy curve for a single-layer Transformer of matched parameter count. The expected result, consistent with the conceptual argument in this topic, is that the RNN accuracy decays sharply beyond a threshold length while the Transformer remains near ceiling. This experiment is not performed in this document but is recorded here as a direction for empirical validation.</w:t>
      </w:r>
    </w:p>
    <w:p>
      <w:pPr>
        <w:pStyle w:val="Heading1"/>
        <w:keepNext/>
        <w:keepLines/>
        <w:spacing w:after="180" w:before="360"/>
      </w:pPr>
      <w:r>
        <w:rPr>
          <w:rFonts w:ascii="Calibri" w:cs="Calibri" w:eastAsia="Calibri" w:hAnsi="Calibri"/>
          <w:b/>
          <w:bCs/>
          <w:color w:val="0D3B6E"/>
          <w:sz w:val="32"/>
          <w:szCs w:val="32"/>
        </w:rPr>
        <w:t xml:space="preserve">12.  Discussion — Relationship to Prior Work</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This section situates the conceptual narrative of the topic in relation to the foundational papers that trace the arc from sequential modelling to self-attention. Formal bibliographic entries appear in the References section at the end of the document; the purpose here is interpretive rather than cataloguing.</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The LSTM was introduced by Hochreiter and Schmidhuber</w:t>
      </w:r>
      <w:r>
        <w:rPr>
          <w:rFonts w:ascii="Times New Roman" w:cs="Times New Roman" w:eastAsia="Times New Roman" w:hAnsi="Times New Roman"/>
          <w:b/>
          <w:bCs/>
          <w:i w:val="false"/>
          <w:iCs w:val="false"/>
          <w:color w:val="1A56A0"/>
          <w:sz w:val="20"/>
          <w:szCs w:val="20"/>
        </w:rPr>
        <w:t xml:space="preserve"> [1]</w:t>
      </w:r>
      <w:r>
        <w:rPr>
          <w:rFonts w:ascii="Times New Roman" w:cs="Times New Roman" w:eastAsia="Times New Roman" w:hAnsi="Times New Roman"/>
          <w:b w:val="false"/>
          <w:bCs w:val="false"/>
          <w:i w:val="false"/>
          <w:iCs w:val="false"/>
          <w:color w:val="1F2937"/>
          <w:sz w:val="22"/>
          <w:szCs w:val="22"/>
        </w:rPr>
        <w:t xml:space="preserve"> in 1997, fifteen years before the deep learning renaissance. The contribution often cited is the cell state and the three-gate architecture, but the deeper theoretical contribution is the identification of vanishing gradients as a distinct problem from the broader difficulty of training recurrent networks. The paper defines the constant error carousel as the mechanism that allows gradients to flow across many time steps without diminishing. This specific framing — isolating gradient flow from representational capacity — is what makes the LSTM a diagnosis as much as a solution. The present topic retains that framing: LSTMs solved gradient flow; they did not solve the information bottleneck, because the bottleneck is a different problem that the LSTM architecture was not designed to address.</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Attention was introduced to neural machine translation by Bahdanau, Cho, and Bengio</w:t>
      </w:r>
      <w:r>
        <w:rPr>
          <w:rFonts w:ascii="Times New Roman" w:cs="Times New Roman" w:eastAsia="Times New Roman" w:hAnsi="Times New Roman"/>
          <w:b/>
          <w:bCs/>
          <w:i w:val="false"/>
          <w:iCs w:val="false"/>
          <w:color w:val="1A56A0"/>
          <w:sz w:val="20"/>
          <w:szCs w:val="20"/>
        </w:rPr>
        <w:t xml:space="preserve"> [2]</w:t>
      </w:r>
      <w:r>
        <w:rPr>
          <w:rFonts w:ascii="Times New Roman" w:cs="Times New Roman" w:eastAsia="Times New Roman" w:hAnsi="Times New Roman"/>
          <w:b w:val="false"/>
          <w:bCs w:val="false"/>
          <w:i w:val="false"/>
          <w:iCs w:val="false"/>
          <w:color w:val="1F2937"/>
          <w:sz w:val="22"/>
          <w:szCs w:val="22"/>
        </w:rPr>
        <w:t xml:space="preserve"> in 2014 as "soft alignment" — the paper frames the mechanism in the language of the classical NMT literature, where alignment between source and target was a separately modelled step. The innovation was to replace the discrete alignment step with a differentiable, learned one, integrated directly into the sequence-to-sequence architecture. The paper uses the specific phrase "jointly learning to align and translate" to capture this: alignment and translation are no longer separate phases but a single joint learning problem. This perspective — that attention dissolves a previously discrete step into the continuous fabric of the network — is worth preserving as the conceptual lineage of what self-attention later does at a larger scale.</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The RNN backbone was removed entirely by Vaswani and colleagues</w:t>
      </w:r>
      <w:r>
        <w:rPr>
          <w:rFonts w:ascii="Times New Roman" w:cs="Times New Roman" w:eastAsia="Times New Roman" w:hAnsi="Times New Roman"/>
          <w:b/>
          <w:bCs/>
          <w:i w:val="false"/>
          <w:iCs w:val="false"/>
          <w:color w:val="1A56A0"/>
          <w:sz w:val="20"/>
          <w:szCs w:val="20"/>
        </w:rPr>
        <w:t xml:space="preserve"> [3]</w:t>
      </w:r>
      <w:r>
        <w:rPr>
          <w:rFonts w:ascii="Times New Roman" w:cs="Times New Roman" w:eastAsia="Times New Roman" w:hAnsi="Times New Roman"/>
          <w:b w:val="false"/>
          <w:bCs w:val="false"/>
          <w:i w:val="false"/>
          <w:iCs w:val="false"/>
          <w:color w:val="1F2937"/>
          <w:sz w:val="22"/>
          <w:szCs w:val="22"/>
        </w:rPr>
        <w:t xml:space="preserve"> in 2017. The paper's structural contribution is two-fold: scaled dot-product attention as a specific attention formulation that enables efficient matrix computation (covered in Topic 9), and the observation that attention layers can be stacked in the same way convolutional layers are stacked, producing a fully parallel sequence model. The paper title — </w:t>
      </w:r>
      <w:r>
        <w:rPr>
          <w:rFonts w:ascii="Times New Roman" w:cs="Times New Roman" w:eastAsia="Times New Roman" w:hAnsi="Times New Roman"/>
          <w:b w:val="false"/>
          <w:bCs w:val="false"/>
          <w:i/>
          <w:iCs/>
          <w:color w:val="1F2937"/>
          <w:sz w:val="22"/>
          <w:szCs w:val="22"/>
        </w:rPr>
        <w:t xml:space="preserve">Attention Is All You Need</w:t>
      </w:r>
      <w:r>
        <w:rPr>
          <w:rFonts w:ascii="Times New Roman" w:cs="Times New Roman" w:eastAsia="Times New Roman" w:hAnsi="Times New Roman"/>
          <w:b w:val="false"/>
          <w:bCs w:val="false"/>
          <w:i w:val="false"/>
          <w:iCs w:val="false"/>
          <w:color w:val="1F2937"/>
          <w:sz w:val="22"/>
          <w:szCs w:val="22"/>
        </w:rPr>
        <w:t xml:space="preserve"> — is precise: in the original scope (short-to-medium sequence translation), attention alone is sufficient. The extensions to long contexts and the revival of recurrent mechanisms in state-space models, discussed in Section 11.2, represent an expansion of the problem space rather than a refutation of the original claim.</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The Transformer decoder was applied to autoregressive language modelling by Radford and colleagues</w:t>
      </w:r>
      <w:r>
        <w:rPr>
          <w:rFonts w:ascii="Times New Roman" w:cs="Times New Roman" w:eastAsia="Times New Roman" w:hAnsi="Times New Roman"/>
          <w:b/>
          <w:bCs/>
          <w:i w:val="false"/>
          <w:iCs w:val="false"/>
          <w:color w:val="1A56A0"/>
          <w:sz w:val="20"/>
          <w:szCs w:val="20"/>
        </w:rPr>
        <w:t xml:space="preserve"> [4]</w:t>
      </w:r>
      <w:r>
        <w:rPr>
          <w:rFonts w:ascii="Times New Roman" w:cs="Times New Roman" w:eastAsia="Times New Roman" w:hAnsi="Times New Roman"/>
          <w:b w:val="false"/>
          <w:bCs w:val="false"/>
          <w:i w:val="false"/>
          <w:iCs w:val="false"/>
          <w:color w:val="1F2937"/>
          <w:sz w:val="22"/>
          <w:szCs w:val="22"/>
        </w:rPr>
        <w:t xml:space="preserve"> in 2019. The architectural contribution is smaller than the previous three papers — GPT-2 uses the Transformer decoder block essentially as-is, with causal masking added. The paper's significance is empirical rather than architectural: it established that scaling a Transformer decoder to 1.5B parameters and training on web-scale text produces a language model whose capabilities generalise across tasks without task-specific fine-tuning. The specific architectural choices that carry forward from this paper into the rest of the series — decoder-only, causal self-attention, learned positional embeddings, byte-pair encoding — are all established in GPT-2 and remain the default for modern decoder-only language models.</w:t>
      </w:r>
    </w:p>
    <w:p>
      <w:pPr>
        <w:pStyle w:val="Heading1"/>
        <w:keepNext/>
        <w:keepLines/>
        <w:spacing w:after="180" w:before="360"/>
      </w:pPr>
      <w:r>
        <w:rPr>
          <w:rFonts w:ascii="Calibri" w:cs="Calibri" w:eastAsia="Calibri" w:hAnsi="Calibri"/>
          <w:b/>
          <w:bCs/>
          <w:color w:val="0D3B6E"/>
          <w:sz w:val="32"/>
          <w:szCs w:val="32"/>
        </w:rPr>
        <w:t xml:space="preserve">13.  What Comes Next</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The remainder of Stage 2 implements the concepts introduced here. Each topic takes one specific component of the full attention mechanism and builds it from scratch in PyTorch.</w:t>
      </w:r>
    </w:p>
    <w:p>
      <w:pPr>
        <w:pStyle w:val="ListParagraph"/>
        <w:numPr>
          <w:ilvl w:val="0"/>
          <w:numId w:val="2"/>
        </w:numPr>
        <w:spacing w:after="80" w:before="40" w:line="320"/>
      </w:pPr>
      <w:r>
        <w:rPr>
          <w:rFonts w:ascii="Times New Roman" w:cs="Times New Roman" w:eastAsia="Times New Roman" w:hAnsi="Times New Roman"/>
          <w:b w:val="false"/>
          <w:bCs w:val="false"/>
          <w:color w:val="1F2937"/>
          <w:sz w:val="22"/>
          <w:szCs w:val="22"/>
        </w:rPr>
        <w:t xml:space="preserve">Topic 8 — Simplified Self-Attention. Implements self-attention from scratch without trainable weights. Manually computes attention scores using dot products, applies softmax normalisation, and produces context vectors. Establishes the mathematical core of the mechanism in its simplest form.</w:t>
      </w:r>
    </w:p>
    <w:p>
      <w:pPr>
        <w:pStyle w:val="ListParagraph"/>
        <w:numPr>
          <w:ilvl w:val="0"/>
          <w:numId w:val="2"/>
        </w:numPr>
        <w:spacing w:after="80" w:before="40" w:line="320"/>
      </w:pPr>
      <w:r>
        <w:rPr>
          <w:rFonts w:ascii="Times New Roman" w:cs="Times New Roman" w:eastAsia="Times New Roman" w:hAnsi="Times New Roman"/>
          <w:b w:val="false"/>
          <w:bCs w:val="false"/>
          <w:color w:val="1F2937"/>
          <w:sz w:val="22"/>
          <w:szCs w:val="22"/>
        </w:rPr>
        <w:t xml:space="preserve">Topic 9 — Self-Attention with Q/K/V. Introduces the three trainable projection matrices W_Q, W_K, and W_V. This is the full, trainable version of self-attention: the model learns what to query, what to match against, and what to aggregate. Derives the 1/√d_k scaling factor used in production.</w:t>
      </w:r>
    </w:p>
    <w:p>
      <w:pPr>
        <w:pStyle w:val="ListParagraph"/>
        <w:numPr>
          <w:ilvl w:val="0"/>
          <w:numId w:val="2"/>
        </w:numPr>
        <w:spacing w:after="80" w:before="40" w:line="320"/>
      </w:pPr>
      <w:r>
        <w:rPr>
          <w:rFonts w:ascii="Times New Roman" w:cs="Times New Roman" w:eastAsia="Times New Roman" w:hAnsi="Times New Roman"/>
          <w:b w:val="false"/>
          <w:bCs w:val="false"/>
          <w:color w:val="1F2937"/>
          <w:sz w:val="22"/>
          <w:szCs w:val="22"/>
        </w:rPr>
        <w:t xml:space="preserve">Topic 10 — Causal Self-Attention. Adds the causal mask that prevents the model from attending to future tokens. This is required for autoregressive language generation where the model predicts the next token given only the tokens before it. Also introduces dropout on attention weights.</w:t>
      </w:r>
    </w:p>
    <w:p>
      <w:pPr>
        <w:pStyle w:val="ListParagraph"/>
        <w:numPr>
          <w:ilvl w:val="0"/>
          <w:numId w:val="2"/>
        </w:numPr>
        <w:spacing w:after="80" w:before="40" w:line="320"/>
      </w:pPr>
      <w:r>
        <w:rPr>
          <w:rFonts w:ascii="Times New Roman" w:cs="Times New Roman" w:eastAsia="Times New Roman" w:hAnsi="Times New Roman"/>
          <w:b w:val="false"/>
          <w:bCs w:val="false"/>
          <w:color w:val="1F2937"/>
          <w:sz w:val="22"/>
          <w:szCs w:val="22"/>
        </w:rPr>
        <w:t xml:space="preserve">Topics 11–12 — Multi-Head Attention. Runs multiple self-attention operations in parallel. Each head learns to attend to different aspects of the input simultaneously. Topic 11 builds the conceptual wrapper version; Topic 12 builds the efficient weight-split version used in production GPT-2.</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By the end of Stage 2, the full attention mechanism used in GPT-2 will be implemented, tested, and understood at the level of individual tensor operations. Stages 3 through 5 then build the surrounding architecture (Layer Normalization, Feed-Forward, shortcuts, the full Transformer block), the pretraining loop, and the finetuning stages.</w:t>
      </w:r>
    </w:p>
    <w:p>
      <w:r>
        <w:br w:type="page"/>
      </w:r>
    </w:p>
    <w:p>
      <w:pPr>
        <w:pStyle w:val="Heading1"/>
        <w:keepNext/>
        <w:keepLines/>
        <w:spacing w:after="180" w:before="360"/>
      </w:pPr>
      <w:r>
        <w:rPr>
          <w:rFonts w:ascii="Calibri" w:cs="Calibri" w:eastAsia="Calibri" w:hAnsi="Calibri"/>
          <w:b/>
          <w:bCs/>
          <w:color w:val="0D3B6E"/>
          <w:sz w:val="32"/>
          <w:szCs w:val="32"/>
        </w:rPr>
        <w:t xml:space="preserve">References</w:t>
      </w:r>
    </w:p>
    <w:p>
      <w:pPr>
        <w:spacing w:after="120" w:before="60" w:line="320"/>
        <w:jc w:val="both"/>
      </w:pPr>
      <w:r>
        <w:rPr>
          <w:rFonts w:ascii="Times New Roman" w:cs="Times New Roman" w:eastAsia="Times New Roman" w:hAnsi="Times New Roman"/>
          <w:b w:val="false"/>
          <w:bCs w:val="false"/>
          <w:i w:val="false"/>
          <w:iCs w:val="false"/>
          <w:color w:val="1F2937"/>
          <w:sz w:val="22"/>
          <w:szCs w:val="22"/>
        </w:rPr>
        <w:t xml:space="preserve">References are listed in IEEE numeric format. Each reference is cited inline in the body of this document using the corresponding number in square brackets.</w:t>
      </w:r>
    </w:p>
    <w:p>
      <w:pPr>
        <w:spacing w:after="120" w:before="120" w:line="320"/>
        <w:ind w:left="400" w:hanging="400"/>
      </w:pPr>
      <w:r>
        <w:rPr>
          <w:rFonts w:ascii="Times New Roman" w:cs="Times New Roman" w:eastAsia="Times New Roman" w:hAnsi="Times New Roman"/>
          <w:b/>
          <w:bCs/>
          <w:color w:val="1A56A0"/>
          <w:sz w:val="22"/>
          <w:szCs w:val="22"/>
        </w:rPr>
        <w:t xml:space="preserve">[1]  </w:t>
      </w:r>
      <w:r>
        <w:rPr>
          <w:rFonts w:ascii="Times New Roman" w:cs="Times New Roman" w:eastAsia="Times New Roman" w:hAnsi="Times New Roman"/>
          <w:sz w:val="22"/>
          <w:szCs w:val="22"/>
        </w:rPr>
        <w:t xml:space="preserve">S. Hochreiter and J. Schmidhuber, "Long Short-Term Memory," </w:t>
      </w:r>
      <w:r>
        <w:rPr>
          <w:rFonts w:ascii="Times New Roman" w:cs="Times New Roman" w:eastAsia="Times New Roman" w:hAnsi="Times New Roman"/>
          <w:i/>
          <w:iCs/>
          <w:sz w:val="22"/>
          <w:szCs w:val="22"/>
        </w:rPr>
        <w:t xml:space="preserve">Neural Computation</w:t>
      </w:r>
      <w:r>
        <w:rPr>
          <w:rFonts w:ascii="Times New Roman" w:cs="Times New Roman" w:eastAsia="Times New Roman" w:hAnsi="Times New Roman"/>
          <w:sz w:val="22"/>
          <w:szCs w:val="22"/>
        </w:rPr>
        <w:t xml:space="preserve">, vol. 9, no. 8, pp. 1735–1780, 1997.</w:t>
      </w:r>
    </w:p>
    <w:p>
      <w:pPr>
        <w:spacing w:after="120" w:before="120" w:line="320"/>
        <w:ind w:left="400" w:hanging="400"/>
      </w:pPr>
      <w:r>
        <w:rPr>
          <w:rFonts w:ascii="Times New Roman" w:cs="Times New Roman" w:eastAsia="Times New Roman" w:hAnsi="Times New Roman"/>
          <w:b/>
          <w:bCs/>
          <w:color w:val="1A56A0"/>
          <w:sz w:val="22"/>
          <w:szCs w:val="22"/>
        </w:rPr>
        <w:t xml:space="preserve">[2]  </w:t>
      </w:r>
      <w:r>
        <w:rPr>
          <w:rFonts w:ascii="Times New Roman" w:cs="Times New Roman" w:eastAsia="Times New Roman" w:hAnsi="Times New Roman"/>
          <w:sz w:val="22"/>
          <w:szCs w:val="22"/>
        </w:rPr>
        <w:t xml:space="preserve">D. Bahdanau, K. Cho, and Y. Bengio, "Neural Machine Translation by Jointly Learning to Align and Translate," in </w:t>
      </w:r>
      <w:r>
        <w:rPr>
          <w:rFonts w:ascii="Times New Roman" w:cs="Times New Roman" w:eastAsia="Times New Roman" w:hAnsi="Times New Roman"/>
          <w:i/>
          <w:iCs/>
          <w:sz w:val="22"/>
          <w:szCs w:val="22"/>
        </w:rPr>
        <w:t xml:space="preserve">Proceedings of the International Conference on Learning Representations (ICLR)</w:t>
      </w:r>
      <w:r>
        <w:rPr>
          <w:rFonts w:ascii="Times New Roman" w:cs="Times New Roman" w:eastAsia="Times New Roman" w:hAnsi="Times New Roman"/>
          <w:sz w:val="22"/>
          <w:szCs w:val="22"/>
        </w:rPr>
        <w:t xml:space="preserve">, 2015. arXiv:1409.0473.</w:t>
      </w:r>
    </w:p>
    <w:p>
      <w:pPr>
        <w:spacing w:after="120" w:before="120" w:line="320"/>
        <w:ind w:left="400" w:hanging="400"/>
      </w:pPr>
      <w:r>
        <w:rPr>
          <w:rFonts w:ascii="Times New Roman" w:cs="Times New Roman" w:eastAsia="Times New Roman" w:hAnsi="Times New Roman"/>
          <w:b/>
          <w:bCs/>
          <w:color w:val="1A56A0"/>
          <w:sz w:val="22"/>
          <w:szCs w:val="22"/>
        </w:rPr>
        <w:t xml:space="preserve">[3]  </w:t>
      </w:r>
      <w:r>
        <w:rPr>
          <w:rFonts w:ascii="Times New Roman" w:cs="Times New Roman" w:eastAsia="Times New Roman" w:hAnsi="Times New Roman"/>
          <w:sz w:val="22"/>
          <w:szCs w:val="22"/>
        </w:rPr>
        <w:t xml:space="preserve">A. Vaswani, N. Shazeer, N. Parmar, J. Uszkoreit, L. Jones, A. N. Gomez, Ł. Kaiser, and I. Polosukhin, "Attention Is All You Need," in </w:t>
      </w:r>
      <w:r>
        <w:rPr>
          <w:rFonts w:ascii="Times New Roman" w:cs="Times New Roman" w:eastAsia="Times New Roman" w:hAnsi="Times New Roman"/>
          <w:i/>
          <w:iCs/>
          <w:sz w:val="22"/>
          <w:szCs w:val="22"/>
        </w:rPr>
        <w:t xml:space="preserve">Advances in Neural Information Processing Systems (NeurIPS)</w:t>
      </w:r>
      <w:r>
        <w:rPr>
          <w:rFonts w:ascii="Times New Roman" w:cs="Times New Roman" w:eastAsia="Times New Roman" w:hAnsi="Times New Roman"/>
          <w:sz w:val="22"/>
          <w:szCs w:val="22"/>
        </w:rPr>
        <w:t xml:space="preserve">, 2017, pp. 5998–6008.</w:t>
      </w:r>
    </w:p>
    <w:p>
      <w:pPr>
        <w:spacing w:after="120" w:before="120" w:line="320"/>
        <w:ind w:left="400" w:hanging="400"/>
      </w:pPr>
      <w:r>
        <w:rPr>
          <w:rFonts w:ascii="Times New Roman" w:cs="Times New Roman" w:eastAsia="Times New Roman" w:hAnsi="Times New Roman"/>
          <w:b/>
          <w:bCs/>
          <w:color w:val="1A56A0"/>
          <w:sz w:val="22"/>
          <w:szCs w:val="22"/>
        </w:rPr>
        <w:t xml:space="preserve">[4]  </w:t>
      </w:r>
      <w:r>
        <w:rPr>
          <w:rFonts w:ascii="Times New Roman" w:cs="Times New Roman" w:eastAsia="Times New Roman" w:hAnsi="Times New Roman"/>
          <w:sz w:val="22"/>
          <w:szCs w:val="22"/>
        </w:rPr>
        <w:t xml:space="preserve">A. Radford, J. Wu, R. Child, D. Luan, D. Amodei, and I. Sutskever, "Language Models are Unsupervised Multitask Learners," </w:t>
      </w:r>
      <w:r>
        <w:rPr>
          <w:rFonts w:ascii="Times New Roman" w:cs="Times New Roman" w:eastAsia="Times New Roman" w:hAnsi="Times New Roman"/>
          <w:i/>
          <w:iCs/>
          <w:sz w:val="22"/>
          <w:szCs w:val="22"/>
        </w:rPr>
        <w:t xml:space="preserve">OpenAI Technical Report</w:t>
      </w:r>
      <w:r>
        <w:rPr>
          <w:rFonts w:ascii="Times New Roman" w:cs="Times New Roman" w:eastAsia="Times New Roman" w:hAnsi="Times New Roman"/>
          <w:sz w:val="22"/>
          <w:szCs w:val="22"/>
        </w:rPr>
        <w:t xml:space="preserve">, 2019.</w:t>
      </w:r>
    </w:p>
    <w:p>
      <w:pPr>
        <w:spacing w:after="120" w:before="120" w:line="320"/>
        <w:ind w:left="400" w:hanging="400"/>
      </w:pPr>
      <w:r>
        <w:rPr>
          <w:rFonts w:ascii="Times New Roman" w:cs="Times New Roman" w:eastAsia="Times New Roman" w:hAnsi="Times New Roman"/>
          <w:b/>
          <w:bCs/>
          <w:color w:val="1A56A0"/>
          <w:sz w:val="22"/>
          <w:szCs w:val="22"/>
        </w:rPr>
        <w:t xml:space="preserve">[5]  </w:t>
      </w:r>
      <w:r>
        <w:rPr>
          <w:rFonts w:ascii="Times New Roman" w:cs="Times New Roman" w:eastAsia="Times New Roman" w:hAnsi="Times New Roman"/>
          <w:sz w:val="22"/>
          <w:szCs w:val="22"/>
        </w:rPr>
        <w:t xml:space="preserve">J. L. Elman, "Finding Structure in Time," </w:t>
      </w:r>
      <w:r>
        <w:rPr>
          <w:rFonts w:ascii="Times New Roman" w:cs="Times New Roman" w:eastAsia="Times New Roman" w:hAnsi="Times New Roman"/>
          <w:i/>
          <w:iCs/>
          <w:sz w:val="22"/>
          <w:szCs w:val="22"/>
        </w:rPr>
        <w:t xml:space="preserve">Cognitive Science</w:t>
      </w:r>
      <w:r>
        <w:rPr>
          <w:rFonts w:ascii="Times New Roman" w:cs="Times New Roman" w:eastAsia="Times New Roman" w:hAnsi="Times New Roman"/>
          <w:sz w:val="22"/>
          <w:szCs w:val="22"/>
        </w:rPr>
        <w:t xml:space="preserve">, vol. 14, no. 2, pp. 179–211, 1990.</w:t>
      </w:r>
    </w:p>
    <w:p>
      <w:pPr>
        <w:spacing w:after="120" w:before="120" w:line="320"/>
        <w:ind w:left="400" w:hanging="400"/>
      </w:pPr>
      <w:r>
        <w:rPr>
          <w:rFonts w:ascii="Times New Roman" w:cs="Times New Roman" w:eastAsia="Times New Roman" w:hAnsi="Times New Roman"/>
          <w:b/>
          <w:bCs/>
          <w:color w:val="1A56A0"/>
          <w:sz w:val="22"/>
          <w:szCs w:val="22"/>
        </w:rPr>
        <w:t xml:space="preserve">[6]  </w:t>
      </w:r>
      <w:r>
        <w:rPr>
          <w:rFonts w:ascii="Times New Roman" w:cs="Times New Roman" w:eastAsia="Times New Roman" w:hAnsi="Times New Roman"/>
          <w:sz w:val="22"/>
          <w:szCs w:val="22"/>
        </w:rPr>
        <w:t xml:space="preserve">Y. Bengio, P. Simard, and P. Frasconi, "Learning Long-Term Dependencies with Gradient Descent is Difficult," </w:t>
      </w:r>
      <w:r>
        <w:rPr>
          <w:rFonts w:ascii="Times New Roman" w:cs="Times New Roman" w:eastAsia="Times New Roman" w:hAnsi="Times New Roman"/>
          <w:i/>
          <w:iCs/>
          <w:sz w:val="22"/>
          <w:szCs w:val="22"/>
        </w:rPr>
        <w:t xml:space="preserve">IEEE Transactions on Neural Networks</w:t>
      </w:r>
      <w:r>
        <w:rPr>
          <w:rFonts w:ascii="Times New Roman" w:cs="Times New Roman" w:eastAsia="Times New Roman" w:hAnsi="Times New Roman"/>
          <w:sz w:val="22"/>
          <w:szCs w:val="22"/>
        </w:rPr>
        <w:t xml:space="preserve">, vol. 5, no. 2, pp. 157–166, 1994.</w:t>
      </w:r>
    </w:p>
    <w:p>
      <w:pPr>
        <w:spacing w:after="120" w:before="120" w:line="320"/>
        <w:ind w:left="400" w:hanging="400"/>
      </w:pPr>
      <w:r>
        <w:rPr>
          <w:rFonts w:ascii="Times New Roman" w:cs="Times New Roman" w:eastAsia="Times New Roman" w:hAnsi="Times New Roman"/>
          <w:b/>
          <w:bCs/>
          <w:color w:val="1A56A0"/>
          <w:sz w:val="22"/>
          <w:szCs w:val="22"/>
        </w:rPr>
        <w:t xml:space="preserve">[7]  </w:t>
      </w:r>
      <w:r>
        <w:rPr>
          <w:rFonts w:ascii="Times New Roman" w:cs="Times New Roman" w:eastAsia="Times New Roman" w:hAnsi="Times New Roman"/>
          <w:sz w:val="22"/>
          <w:szCs w:val="22"/>
        </w:rPr>
        <w:t xml:space="preserve">I. Sutskever, O. Vinyals, and Q. V. Le, "Sequence to Sequence Learning with Neural Networks," in </w:t>
      </w:r>
      <w:r>
        <w:rPr>
          <w:rFonts w:ascii="Times New Roman" w:cs="Times New Roman" w:eastAsia="Times New Roman" w:hAnsi="Times New Roman"/>
          <w:i/>
          <w:iCs/>
          <w:sz w:val="22"/>
          <w:szCs w:val="22"/>
        </w:rPr>
        <w:t xml:space="preserve">Advances in Neural Information Processing Systems (NeurIPS)</w:t>
      </w:r>
      <w:r>
        <w:rPr>
          <w:rFonts w:ascii="Times New Roman" w:cs="Times New Roman" w:eastAsia="Times New Roman" w:hAnsi="Times New Roman"/>
          <w:sz w:val="22"/>
          <w:szCs w:val="22"/>
        </w:rPr>
        <w:t xml:space="preserve">, 2014, pp. 3104–3112.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6"/>
      </w:pBdr>
      <w:tabs>
        <w:tab w:val="right" w:pos="9360"/>
      </w:tabs>
    </w:pPr>
    <w:r>
      <w:rPr>
        <w:rFonts w:ascii="Times New Roman" w:cs="Times New Roman" w:eastAsia="Times New Roman" w:hAnsi="Times New Roman"/>
        <w:i/>
        <w:iCs/>
        <w:color w:val="6B7280"/>
        <w:sz w:val="18"/>
        <w:szCs w:val="18"/>
      </w:rPr>
      <w:t xml:space="preserve">Shiva Kiran Dadishetty  ·  Version 1.0</w:t>
    </w:r>
    <w:r>
      <w:rPr>
        <w:rFonts w:ascii="Times New Roman" w:cs="Times New Roman" w:eastAsia="Times New Roman" w:hAnsi="Times New Roman"/>
        <w:i/>
        <w:iCs/>
        <w:color w:val="6B7280"/>
        <w:sz w:val="18"/>
        <w:szCs w:val="18"/>
      </w:rPr>
      <w:t xml:space="preserve">	Page </w:t>
    </w:r>
    <w:r>
      <w:rPr>
        <w:rFonts w:ascii="Times New Roman" w:cs="Times New Roman" w:eastAsia="Times New Roman" w:hAnsi="Times New Roman"/>
        <w:b/>
        <w:bCs/>
        <w:i/>
        <w:iCs/>
        <w:color w:val="6B7280"/>
        <w:sz w:val="18"/>
        <w:szCs w:val="18"/>
      </w:rPr>
      <w:fldChar w:fldCharType="begin"/>
      <w:instrText xml:space="preserve">PAGE</w:instrText>
      <w:fldChar w:fldCharType="separate"/>
      <w:fldChar w:fldCharType="end"/>
    </w:r>
    <w:r>
      <w:rPr>
        <w:rFonts w:ascii="Times New Roman" w:cs="Times New Roman" w:eastAsia="Times New Roman" w:hAnsi="Times New Roman"/>
        <w:i/>
        <w:iCs/>
        <w:color w:val="6B7280"/>
        <w:sz w:val="18"/>
        <w:szCs w:val="18"/>
      </w:rPr>
      <w:t xml:space="preserve"> of </w:t>
    </w:r>
    <w:r>
      <w:rPr>
        <w:rFonts w:ascii="Times New Roman" w:cs="Times New Roman" w:eastAsia="Times New Roman" w:hAnsi="Times New Roman"/>
        <w:i/>
        <w:iCs/>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6"/>
      </w:pBdr>
      <w:tabs>
        <w:tab w:val="right" w:pos="9360"/>
      </w:tabs>
    </w:pPr>
    <w:r>
      <w:rPr>
        <w:rFonts w:ascii="Times New Roman" w:cs="Times New Roman" w:eastAsia="Times New Roman" w:hAnsi="Times New Roman"/>
        <w:i/>
        <w:iCs/>
        <w:color w:val="6B7280"/>
        <w:sz w:val="18"/>
        <w:szCs w:val="18"/>
      </w:rPr>
      <w:t xml:space="preserve">Topic 7  —  Introduction to Attention</w:t>
    </w:r>
    <w:r>
      <w:rPr>
        <w:rFonts w:ascii="Times New Roman" w:cs="Times New Roman" w:eastAsia="Times New Roman" w:hAnsi="Times New Roman"/>
        <w:i/>
        <w:iCs/>
        <w:color w:val="6B7280"/>
        <w:sz w:val="18"/>
        <w:szCs w:val="18"/>
      </w:rPr>
      <w:t xml:space="preserve">	Building LLMs from Scratch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0D3B6E"/>
      <w:sz w:val="32"/>
      <w:szCs w:val="32"/>
    </w:rPr>
  </w:style>
  <w:style w:type="paragraph" w:styleId="Heading2">
    <w:name w:val="Heading 2"/>
    <w:basedOn w:val="Normal"/>
    <w:next w:val="Normal"/>
    <w:qFormat/>
    <w:pPr>
      <w:spacing w:after="140" w:before="240"/>
      <w:outlineLvl w:val="1"/>
    </w:pPr>
    <w:rPr>
      <w:rFonts w:ascii="Calibri" w:cs="Calibri" w:eastAsia="Calibri" w:hAnsi="Calibri"/>
      <w:b/>
      <w:bCs/>
      <w:color w:val="1A56A0"/>
      <w:sz w:val="26"/>
      <w:szCs w:val="26"/>
    </w:rPr>
  </w:style>
  <w:style w:type="paragraph" w:styleId="Heading3">
    <w:name w:val="Heading 3"/>
    <w:basedOn w:val="Normal"/>
    <w:next w:val="Normal"/>
    <w:qFormat/>
    <w:pPr>
      <w:spacing w:after="120" w:before="200"/>
      <w:outlineLvl w:val="2"/>
    </w:pPr>
    <w:rPr>
      <w:rFonts w:ascii="Calibri" w:cs="Calibri" w:eastAsia="Calibri" w:hAnsi="Calibri"/>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p85wln1f239ltbeazove" Type="http://schemas.openxmlformats.org/officeDocument/2006/relationships/hyperlink" Target="https://github.com/shivakiran-ai/llm-from-scratch" TargetMode="External"/><Relationship Id="rId9" Type="http://schemas.openxmlformats.org/officeDocument/2006/relationships/image" Target="media/e6c2dc85db3c6d2a9229bc2c76eea03bd1eae94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Topic 7 — Introduction to Attention</dc:title>
  <dc:creator>Shiva Kiran Dadishetty</dc:creator>
  <dc:description>Building LLMs from Scratch — Technical Report</dc:description>
  <cp:lastModifiedBy>Un-named</cp:lastModifiedBy>
  <cp:revision>1</cp:revision>
  <dcterms:created xsi:type="dcterms:W3CDTF">2026-04-17T05:00:30.782Z</dcterms:created>
  <dcterms:modified xsi:type="dcterms:W3CDTF">2026-04-17T05:00:30.782Z</dcterms:modified>
</cp:coreProperties>
</file>

<file path=docProps/custom.xml><?xml version="1.0" encoding="utf-8"?>
<Properties xmlns="http://schemas.openxmlformats.org/officeDocument/2006/custom-properties" xmlns:vt="http://schemas.openxmlformats.org/officeDocument/2006/docPropsVTypes"/>
</file>