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Calibri" w:cs="Calibri" w:eastAsia="Calibri" w:hAnsi="Calibri"/>
          <w:b/>
          <w:bCs/>
          <w:color w:val="0D3B6E"/>
          <w:sz w:val="28"/>
          <w:szCs w:val="28"/>
        </w:rPr>
        <w:t xml:space="preserve">BUILDING LLMs FROM SCRATCH</w:t>
      </w:r>
    </w:p>
    <w:p>
      <w:pPr>
        <w:spacing w:after="400" w:before="0"/>
        <w:jc w:val="center"/>
      </w:pPr>
      <w:r>
        <w:rPr>
          <w:rFonts w:ascii="Times New Roman" w:cs="Times New Roman" w:eastAsia="Times New Roman" w:hAnsi="Times New Roman"/>
          <w:i/>
          <w:iCs/>
          <w:color w:val="6B7280"/>
          <w:sz w:val="20"/>
          <w:szCs w:val="20"/>
        </w:rPr>
        <w:t xml:space="preserve">Technical Report   ·   Stage 2: The Attention Mechanism</w:t>
      </w:r>
    </w:p>
    <w:p>
      <w:pPr>
        <w:spacing w:after="80" w:before="400"/>
        <w:jc w:val="center"/>
      </w:pPr>
      <w:r>
        <w:rPr>
          <w:rFonts w:ascii="Calibri" w:cs="Calibri" w:eastAsia="Calibri" w:hAnsi="Calibri"/>
          <w:b/>
          <w:bCs/>
          <w:color w:val="2E75B6"/>
          <w:sz w:val="28"/>
          <w:szCs w:val="28"/>
        </w:rPr>
        <w:t xml:space="preserve">Topic 7</w:t>
      </w:r>
    </w:p>
    <w:p>
      <w:pPr>
        <w:spacing w:after="80" w:before="0"/>
        <w:jc w:val="center"/>
      </w:pPr>
      <w:r>
        <w:rPr>
          <w:rFonts w:ascii="Calibri" w:cs="Calibri" w:eastAsia="Calibri" w:hAnsi="Calibri"/>
          <w:b/>
          <w:bCs/>
          <w:color w:val="0D3B6E"/>
          <w:sz w:val="48"/>
          <w:szCs w:val="48"/>
        </w:rPr>
        <w:t xml:space="preserve">Introduction to Attention</w:t>
      </w:r>
    </w:p>
    <w:p>
      <w:pPr>
        <w:spacing w:after="300" w:before="0"/>
        <w:jc w:val="center"/>
      </w:pPr>
      <w:r>
        <w:rPr>
          <w:rFonts w:ascii="Times New Roman" w:cs="Times New Roman" w:eastAsia="Times New Roman" w:hAnsi="Times New Roman"/>
          <w:i/>
          <w:iCs/>
          <w:color w:val="6B7280"/>
          <w:sz w:val="22"/>
          <w:szCs w:val="22"/>
        </w:rPr>
        <w:t xml:space="preserve">Why sequential models fail, and why attention had to be invented</w:t>
      </w:r>
    </w:p>
    <w:p>
      <w:pPr>
        <w:spacing w:after="240" w:before="120"/>
        <w:jc w:val="center"/>
      </w:pPr>
      <w:r>
        <w:rPr>
          <w:rFonts w:ascii="Calibri" w:cs="Calibri" w:eastAsia="Calibri" w:hAnsi="Calibri"/>
          <w:color w:val="F59E0B"/>
          <w:sz w:val="24"/>
          <w:szCs w:val="24"/>
        </w:rPr>
        <w:t xml:space="preserve">━━━━━━━━━━━━━━</w:t>
      </w:r>
    </w:p>
    <w:p>
      <w:pPr>
        <w:spacing w:after="40" w:before="0"/>
        <w:jc w:val="center"/>
      </w:pPr>
      <w:r>
        <w:rPr>
          <w:rFonts w:ascii="Times New Roman" w:cs="Times New Roman" w:eastAsia="Times New Roman" w:hAnsi="Times New Roman"/>
          <w:b/>
          <w:bCs/>
          <w:color w:val="1F2937"/>
          <w:sz w:val="24"/>
          <w:szCs w:val="24"/>
        </w:rPr>
        <w:t xml:space="preserve">Shiva Kiran Dadishetty</w:t>
      </w:r>
    </w:p>
    <w:p>
      <w:pPr>
        <w:spacing w:after="40" w:before="0"/>
        <w:jc w:val="center"/>
      </w:pPr>
      <w:r>
        <w:rPr>
          <w:rFonts w:ascii="Times New Roman" w:cs="Times New Roman" w:eastAsia="Times New Roman" w:hAnsi="Times New Roman"/>
          <w:color w:val="6B7280"/>
          <w:sz w:val="20"/>
          <w:szCs w:val="20"/>
        </w:rPr>
        <w:t xml:space="preserve">Independent Research · Texas, USA</w:t>
      </w:r>
    </w:p>
    <w:p>
      <w:pPr>
        <w:spacing w:after="160" w:before="0"/>
        <w:jc w:val="center"/>
      </w:pPr>
      <w:hyperlink w:history="1" r:id="rIdcfll20g6vppefnldrj_ka">
        <w:r>
          <w:rPr>
            <w:rFonts w:ascii="Times New Roman" w:cs="Times New Roman" w:eastAsia="Times New Roman" w:hAnsi="Times New Roman"/>
            <w:i/>
            <w:iCs/>
            <w:color w:val="1A56A0"/>
            <w:sz w:val="20"/>
            <w:szCs w:val="20"/>
            <w:u w:val="single" w:color="1A56A0"/>
          </w:rPr>
          <w:t xml:space="preserve">github.com/shivakiran-ai/llm-from-scratch</w:t>
        </w:r>
      </w:hyperlink>
    </w:p>
    <w:p>
      <w:pPr>
        <w:spacing w:after="160" w:before="0"/>
        <w:jc w:val="center"/>
      </w:pPr>
      <w:r>
        <w:rPr>
          <w:rFonts w:ascii="Times New Roman" w:cs="Times New Roman" w:eastAsia="Times New Roman" w:hAnsi="Times New Roman"/>
          <w:color w:val="1F2937"/>
          <w:sz w:val="20"/>
          <w:szCs w:val="20"/>
        </w:rPr>
        <w:t xml:space="preserve">April 2026   ·   Version 1.0</w:t>
      </w:r>
    </w:p>
    <w:p>
      <w:pPr>
        <w:spacing w:after="240" w:before="120"/>
        <w:jc w:val="center"/>
      </w:pPr>
      <w:r>
        <w:rPr>
          <w:rFonts w:ascii="Calibri" w:cs="Calibri" w:eastAsia="Calibri" w:hAnsi="Calibri"/>
          <w:color w:val="F59E0B"/>
          <w:sz w:val="24"/>
          <w:szCs w:val="24"/>
        </w:rPr>
        <w:t xml:space="preserve">━━━━━━━━━━━━━━</w:t>
      </w:r>
    </w:p>
    <w:p>
      <w:pPr>
        <w:spacing w:after="120" w:before="80"/>
        <w:jc w:val="center"/>
      </w:pPr>
      <w:r>
        <w:rPr>
          <w:rFonts w:ascii="Calibri" w:cs="Calibri" w:eastAsia="Calibri" w:hAnsi="Calibri"/>
          <w:b/>
          <w:bCs/>
          <w:color w:val="0D3B6E"/>
          <w:sz w:val="26"/>
          <w:szCs w:val="26"/>
        </w:rPr>
        <w:t xml:space="preserve">Abstract</w:t>
      </w:r>
    </w:p>
    <w:p>
      <w:pPr>
        <w:spacing w:after="120" w:before="60" w:line="320"/>
        <w:jc w:val="both"/>
      </w:pPr>
      <w:r>
        <w:rPr>
          <w:rFonts w:ascii="Times New Roman" w:cs="Times New Roman" w:eastAsia="Times New Roman" w:hAnsi="Times New Roman"/>
          <w:b w:val="false"/>
          <w:bCs w:val="false"/>
          <w:i w:val="false"/>
          <w:iCs w:val="false"/>
          <w:color w:val="1F2937"/>
          <w:sz w:val="22"/>
          <w:szCs w:val="22"/>
        </w:rPr>
        <w:t xml:space="preserve">This document establishes the conceptual and historical foundation for the attention mechanism — the architectural innovation at the heart of every modern large language model. Beginning with the long-term dependency problem in natural language, the document traces the thirty-seven-year progression of sequence modelling: recurrent neural networks and their information bottleneck, long short-term memory networks and their partial mitigation of vanishing gradients, the Bahdanau attention mechanism as the first direct-access formulation, and the Transformer architecture which eliminates recurrence entirely. A toy hand-computed alignment matrix illustrates Bahdanau attention numerically, and an open question is raised regarding whether the original thesis of self-attention supplanting recurrence holds up under the quadratic-complexity limits of long-context models. This document is a conceptual opener for Stage 2 of the series; implementation of the mechanisms it describes begins in the following topic.</w:t>
      </w:r>
    </w:p>
    <w:p>
      <w:pPr>
        <w:spacing w:after="80" w:before="120" w:line="320"/>
        <w:jc w:val="both"/>
      </w:pPr>
      <w:r>
        <w:rPr>
          <w:rFonts w:ascii="Times New Roman" w:cs="Times New Roman" w:eastAsia="Times New Roman" w:hAnsi="Times New Roman"/>
          <w:b/>
          <w:bCs/>
          <w:color w:val="1F2937"/>
          <w:sz w:val="22"/>
          <w:szCs w:val="22"/>
        </w:rPr>
        <w:t xml:space="preserve">Keywords:  </w:t>
      </w:r>
      <w:r>
        <w:rPr>
          <w:rFonts w:ascii="Times New Roman" w:cs="Times New Roman" w:eastAsia="Times New Roman" w:hAnsi="Times New Roman"/>
          <w:i/>
          <w:iCs/>
          <w:color w:val="1F2937"/>
          <w:sz w:val="22"/>
          <w:szCs w:val="22"/>
        </w:rPr>
        <w:t xml:space="preserve">attention · recurrent networks · LSTM · Bahdanau · self-attention · Transformer · long-term dependencies</w:t>
      </w:r>
    </w:p>
    <w:p>
      <w:pPr>
        <w:sectPr>
          <w:pgSz w:w="12240" w:h="15840" w:orient="portrait"/>
          <w:pgMar w:top="1440" w:right="1440" w:bottom="1440" w:left="1440" w:header="708" w:footer="708" w:gutter="0"/>
          <w:pgNumType/>
          <w:docGrid w:linePitch="360"/>
        </w:sectPr>
      </w:pPr>
    </w:p>
    <w:p>
      <w:pPr>
        <w:spacing w:after="60" w:before="200"/>
      </w:pPr>
      <w:r>
        <w:rPr>
          <w:rFonts w:ascii="Calibri" w:cs="Calibri" w:eastAsia="Calibri" w:hAnsi="Calibri"/>
          <w:b/>
          <w:bCs/>
          <w:color w:val="0D3B6E"/>
          <w:sz w:val="52"/>
          <w:szCs w:val="52"/>
        </w:rPr>
        <w:t xml:space="preserve">Contents</w:t>
      </w:r>
    </w:p>
    <w:p>
      <w:pPr>
        <w:pBdr>
          <w:bottom w:val="single" w:color="F59E0B" w:sz="12" w:space="6"/>
        </w:pBdr>
        <w:spacing w:after="240" w:before="60"/>
      </w:pPr>
      <w:r>
        <w:rPr>
          <w:sz w:val="2"/>
          <w:szCs w:val="2"/>
        </w:rPr>
        <w:t xml:space="preserve"/>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1.  The Sentence That Motivates Everything</w:t>
      </w:r>
      <w:r>
        <w:rPr>
          <w:rFonts w:ascii="Times New Roman" w:cs="Times New Roman" w:eastAsia="Times New Roman" w:hAnsi="Times New Roman"/>
          <w:color w:val="1F2937"/>
          <w:sz w:val="22"/>
          <w:szCs w:val="22"/>
        </w:rPr>
        <w:t xml:space="preserve">	3</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2.  The Four Types of Attention — A Taxonomy</w:t>
      </w:r>
      <w:r>
        <w:rPr>
          <w:rFonts w:ascii="Times New Roman" w:cs="Times New Roman" w:eastAsia="Times New Roman" w:hAnsi="Times New Roman"/>
          <w:color w:val="1F2937"/>
          <w:sz w:val="22"/>
          <w:szCs w:val="22"/>
        </w:rPr>
        <w:t xml:space="preserve">	3</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3.  The Problem — Why Word-by-Word Processing Fails</w:t>
      </w:r>
      <w:r>
        <w:rPr>
          <w:rFonts w:ascii="Times New Roman" w:cs="Times New Roman" w:eastAsia="Times New Roman" w:hAnsi="Times New Roman"/>
          <w:color w:val="1F2937"/>
          <w:sz w:val="22"/>
          <w:szCs w:val="22"/>
        </w:rPr>
        <w:t xml:space="preserve">	4</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3.1  Word-by-Word Translation Fails</w:t>
      </w:r>
      <w:r>
        <w:rPr>
          <w:rFonts w:ascii="Times New Roman" w:cs="Times New Roman" w:eastAsia="Times New Roman" w:hAnsi="Times New Roman"/>
          <w:color w:val="1F2937"/>
          <w:sz w:val="22"/>
          <w:szCs w:val="22"/>
        </w:rPr>
        <w:t xml:space="preserve">	4</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4.  The Encoder–Decoder Architecture</w:t>
      </w:r>
      <w:r>
        <w:rPr>
          <w:rFonts w:ascii="Times New Roman" w:cs="Times New Roman" w:eastAsia="Times New Roman" w:hAnsi="Times New Roman"/>
          <w:color w:val="1F2937"/>
          <w:sz w:val="22"/>
          <w:szCs w:val="22"/>
        </w:rPr>
        <w:t xml:space="preserve">	5</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4.1  Why a Normal Neural Network Cannot Do This</w:t>
      </w:r>
      <w:r>
        <w:rPr>
          <w:rFonts w:ascii="Times New Roman" w:cs="Times New Roman" w:eastAsia="Times New Roman" w:hAnsi="Times New Roman"/>
          <w:color w:val="1F2937"/>
          <w:sz w:val="22"/>
          <w:szCs w:val="22"/>
        </w:rPr>
        <w:t xml:space="preserve">	5</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4.2  How the Encoder Works</w:t>
      </w:r>
      <w:r>
        <w:rPr>
          <w:rFonts w:ascii="Times New Roman" w:cs="Times New Roman" w:eastAsia="Times New Roman" w:hAnsi="Times New Roman"/>
          <w:color w:val="1F2937"/>
          <w:sz w:val="22"/>
          <w:szCs w:val="22"/>
        </w:rPr>
        <w:t xml:space="preserve">	5</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4.3  The Decoder</w:t>
      </w:r>
      <w:r>
        <w:rPr>
          <w:rFonts w:ascii="Times New Roman" w:cs="Times New Roman" w:eastAsia="Times New Roman" w:hAnsi="Times New Roman"/>
          <w:color w:val="1F2937"/>
          <w:sz w:val="22"/>
          <w:szCs w:val="22"/>
        </w:rPr>
        <w:t xml:space="preserve">	6</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5.  The Recurrent Neural Network — Mechanism and Failure</w:t>
      </w:r>
      <w:r>
        <w:rPr>
          <w:rFonts w:ascii="Times New Roman" w:cs="Times New Roman" w:eastAsia="Times New Roman" w:hAnsi="Times New Roman"/>
          <w:color w:val="1F2937"/>
          <w:sz w:val="22"/>
          <w:szCs w:val="22"/>
        </w:rPr>
        <w:t xml:space="preserve">	6</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5.1  How an RNN Step Works</w:t>
      </w:r>
      <w:r>
        <w:rPr>
          <w:rFonts w:ascii="Times New Roman" w:cs="Times New Roman" w:eastAsia="Times New Roman" w:hAnsi="Times New Roman"/>
          <w:color w:val="1F2937"/>
          <w:sz w:val="22"/>
          <w:szCs w:val="22"/>
        </w:rPr>
        <w:t xml:space="preserve">	6</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5.2  The Critical Failure — The Information Bottleneck</w:t>
      </w:r>
      <w:r>
        <w:rPr>
          <w:rFonts w:ascii="Times New Roman" w:cs="Times New Roman" w:eastAsia="Times New Roman" w:hAnsi="Times New Roman"/>
          <w:color w:val="1F2937"/>
          <w:sz w:val="22"/>
          <w:szCs w:val="22"/>
        </w:rPr>
        <w:t xml:space="preserve">	7</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6.  LSTMs — A Partial Solution</w:t>
      </w:r>
      <w:r>
        <w:rPr>
          <w:rFonts w:ascii="Times New Roman" w:cs="Times New Roman" w:eastAsia="Times New Roman" w:hAnsi="Times New Roman"/>
          <w:color w:val="1F2937"/>
          <w:sz w:val="22"/>
          <w:szCs w:val="22"/>
        </w:rPr>
        <w:t xml:space="preserve">	8</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6.1  The Internal Architecture — Cell State and Gating</w:t>
      </w:r>
      <w:r>
        <w:rPr>
          <w:rFonts w:ascii="Times New Roman" w:cs="Times New Roman" w:eastAsia="Times New Roman" w:hAnsi="Times New Roman"/>
          <w:color w:val="1F2937"/>
          <w:sz w:val="22"/>
          <w:szCs w:val="22"/>
        </w:rPr>
        <w:t xml:space="preserve">	8</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7.  The Bahdanau Attention Mechanism — 2014</w:t>
      </w:r>
      <w:r>
        <w:rPr>
          <w:rFonts w:ascii="Times New Roman" w:cs="Times New Roman" w:eastAsia="Times New Roman" w:hAnsi="Times New Roman"/>
          <w:color w:val="1F2937"/>
          <w:sz w:val="22"/>
          <w:szCs w:val="22"/>
        </w:rPr>
        <w:t xml:space="preserve">	9</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7.1  The Core Mechanism</w:t>
      </w:r>
      <w:r>
        <w:rPr>
          <w:rFonts w:ascii="Times New Roman" w:cs="Times New Roman" w:eastAsia="Times New Roman" w:hAnsi="Times New Roman"/>
          <w:color w:val="1F2937"/>
          <w:sz w:val="22"/>
          <w:szCs w:val="22"/>
        </w:rPr>
        <w:t xml:space="preserve">	9</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7.2  Attention Weights in Practice — "Je suis étudiant"</w:t>
      </w:r>
      <w:r>
        <w:rPr>
          <w:rFonts w:ascii="Times New Roman" w:cs="Times New Roman" w:eastAsia="Times New Roman" w:hAnsi="Times New Roman"/>
          <w:color w:val="1F2937"/>
          <w:sz w:val="22"/>
          <w:szCs w:val="22"/>
        </w:rPr>
        <w:t xml:space="preserve">	9</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8.  Self-Attention and the Transformer — 2017</w:t>
      </w:r>
      <w:r>
        <w:rPr>
          <w:rFonts w:ascii="Times New Roman" w:cs="Times New Roman" w:eastAsia="Times New Roman" w:hAnsi="Times New Roman"/>
          <w:color w:val="1F2937"/>
          <w:sz w:val="22"/>
          <w:szCs w:val="22"/>
        </w:rPr>
        <w:t xml:space="preserve">	10</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8.1  Cross-Attention vs Self-Attention</w:t>
      </w:r>
      <w:r>
        <w:rPr>
          <w:rFonts w:ascii="Times New Roman" w:cs="Times New Roman" w:eastAsia="Times New Roman" w:hAnsi="Times New Roman"/>
          <w:color w:val="1F2937"/>
          <w:sz w:val="22"/>
          <w:szCs w:val="22"/>
        </w:rPr>
        <w:t xml:space="preserve">	10</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8.2  The Formal Definition of Self-Attention</w:t>
      </w:r>
      <w:r>
        <w:rPr>
          <w:rFonts w:ascii="Times New Roman" w:cs="Times New Roman" w:eastAsia="Times New Roman" w:hAnsi="Times New Roman"/>
          <w:color w:val="1F2937"/>
          <w:sz w:val="22"/>
          <w:szCs w:val="22"/>
        </w:rPr>
        <w:t xml:space="preserve">	11</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8.3  Why Self-Attention Solves the Long-Term Dependency Problem</w:t>
      </w:r>
      <w:r>
        <w:rPr>
          <w:rFonts w:ascii="Times New Roman" w:cs="Times New Roman" w:eastAsia="Times New Roman" w:hAnsi="Times New Roman"/>
          <w:color w:val="1F2937"/>
          <w:sz w:val="22"/>
          <w:szCs w:val="22"/>
        </w:rPr>
        <w:t xml:space="preserve">	11</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9.  The Historical Timeline — Thirty-Seven Years to Attention</w:t>
      </w:r>
      <w:r>
        <w:rPr>
          <w:rFonts w:ascii="Times New Roman" w:cs="Times New Roman" w:eastAsia="Times New Roman" w:hAnsi="Times New Roman"/>
          <w:color w:val="1F2937"/>
          <w:sz w:val="22"/>
          <w:szCs w:val="22"/>
        </w:rPr>
        <w:t xml:space="preserve">	11</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10.  Key Observations</w:t>
      </w:r>
      <w:r>
        <w:rPr>
          <w:rFonts w:ascii="Times New Roman" w:cs="Times New Roman" w:eastAsia="Times New Roman" w:hAnsi="Times New Roman"/>
          <w:color w:val="1F2937"/>
          <w:sz w:val="22"/>
          <w:szCs w:val="22"/>
        </w:rPr>
        <w:t xml:space="preserve">	12</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11.  Experiments &amp; Open Questions</w:t>
      </w:r>
      <w:r>
        <w:rPr>
          <w:rFonts w:ascii="Times New Roman" w:cs="Times New Roman" w:eastAsia="Times New Roman" w:hAnsi="Times New Roman"/>
          <w:color w:val="1F2937"/>
          <w:sz w:val="22"/>
          <w:szCs w:val="22"/>
        </w:rPr>
        <w:t xml:space="preserve">	13</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11.1  Toy Bahdanau Alignment Matrix — A Hand-Computed Example</w:t>
      </w:r>
      <w:r>
        <w:rPr>
          <w:rFonts w:ascii="Times New Roman" w:cs="Times New Roman" w:eastAsia="Times New Roman" w:hAnsi="Times New Roman"/>
          <w:color w:val="1F2937"/>
          <w:sz w:val="22"/>
          <w:szCs w:val="22"/>
        </w:rPr>
        <w:t xml:space="preserve">	13</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11.2  Open Question — Does "Attention Is All You Need" Still Hold Up?</w:t>
      </w:r>
      <w:r>
        <w:rPr>
          <w:rFonts w:ascii="Times New Roman" w:cs="Times New Roman" w:eastAsia="Times New Roman" w:hAnsi="Times New Roman"/>
          <w:color w:val="1F2937"/>
          <w:sz w:val="22"/>
          <w:szCs w:val="22"/>
        </w:rPr>
        <w:t xml:space="preserve">	14</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11.3  Proposed Future Work</w:t>
      </w:r>
      <w:r>
        <w:rPr>
          <w:rFonts w:ascii="Times New Roman" w:cs="Times New Roman" w:eastAsia="Times New Roman" w:hAnsi="Times New Roman"/>
          <w:color w:val="1F2937"/>
          <w:sz w:val="22"/>
          <w:szCs w:val="22"/>
        </w:rPr>
        <w:t xml:space="preserve">	14</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12.  Discussion — Relationship to Prior Work</w:t>
      </w:r>
      <w:r>
        <w:rPr>
          <w:rFonts w:ascii="Times New Roman" w:cs="Times New Roman" w:eastAsia="Times New Roman" w:hAnsi="Times New Roman"/>
          <w:color w:val="1F2937"/>
          <w:sz w:val="22"/>
          <w:szCs w:val="22"/>
        </w:rPr>
        <w:t xml:space="preserve">	15</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13.  What Comes Next</w:t>
      </w:r>
      <w:r>
        <w:rPr>
          <w:rFonts w:ascii="Times New Roman" w:cs="Times New Roman" w:eastAsia="Times New Roman" w:hAnsi="Times New Roman"/>
          <w:color w:val="1F2937"/>
          <w:sz w:val="22"/>
          <w:szCs w:val="22"/>
        </w:rPr>
        <w:t xml:space="preserve">	16</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       References</w:t>
      </w:r>
      <w:r>
        <w:rPr>
          <w:rFonts w:ascii="Times New Roman" w:cs="Times New Roman" w:eastAsia="Times New Roman" w:hAnsi="Times New Roman"/>
          <w:color w:val="1F2937"/>
          <w:sz w:val="22"/>
          <w:szCs w:val="22"/>
        </w:rPr>
        <w:t xml:space="preserve">	17</w:t>
      </w:r>
    </w:p>
    <w:p>
      <w:pPr>
        <w:sectPr>
          <w:pgSz w:w="12240" w:h="15840" w:orient="portrait"/>
          <w:pgMar w:top="1440" w:right="1440" w:bottom="1440" w:left="1440" w:header="708" w:footer="708" w:gutter="0"/>
          <w:pgNumType/>
          <w:docGrid w:linePitch="360"/>
        </w:sectPr>
      </w:pPr>
    </w:p>
    <w:p>
      <w:pPr>
        <w:spacing w:after="120" w:before="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Author</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Shiva Kiran Dadishetty</w:t>
            </w:r>
          </w:p>
        </w:tc>
      </w:tr>
      <w:tr>
        <w:trPr>
          <w:cantSplit/>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Series</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Building LLMs from Scratch</w:t>
            </w:r>
          </w:p>
        </w:tc>
      </w:tr>
      <w:tr>
        <w:trPr>
          <w:cantSplit/>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Topic</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7 of 36  —  Stage 2: The Attention Mechanism</w:t>
            </w:r>
          </w:p>
        </w:tc>
      </w:tr>
      <w:tr>
        <w:trPr>
          <w:cantSplit/>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Document Type</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Conceptual &amp; Historical — Stage 2 Opening</w:t>
            </w:r>
          </w:p>
        </w:tc>
      </w:tr>
      <w:tr>
        <w:trPr>
          <w:cantSplit/>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Core Question</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Why does attention exist? What architectural failure did it solve?</w:t>
            </w:r>
          </w:p>
        </w:tc>
      </w:tr>
      <w:tr>
        <w:trPr>
          <w:cantSplit/>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Historical Arc</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RNNs (1980) → LSTMs (1997) → Bahdanau (2014) → Transformers (2017)</w:t>
            </w:r>
          </w:p>
        </w:tc>
      </w:tr>
      <w:tr>
        <w:trPr>
          <w:cantSplit/>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Version / Date</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Version 1.0  ·  April 2026</w:t>
            </w:r>
          </w:p>
        </w:tc>
      </w:tr>
    </w:tbl>
    <w:p>
      <w:pPr>
        <w:spacing w:after="120" w:before="240"/>
      </w:pPr>
      <w:r>
        <w:rPr>
          <w:sz w:val="2"/>
          <w:szCs w:val="2"/>
        </w:rPr>
        <w:t xml:space="preserve"/>
      </w:r>
    </w:p>
    <w:p>
      <w:pPr>
        <w:pStyle w:val="Heading1"/>
        <w:keepNext/>
        <w:keepLines/>
        <w:spacing w:after="180" w:before="360"/>
      </w:pPr>
      <w:r>
        <w:rPr>
          <w:rFonts w:ascii="Calibri" w:cs="Calibri" w:eastAsia="Calibri" w:hAnsi="Calibri"/>
          <w:b/>
          <w:bCs/>
          <w:color w:val="0D3B6E"/>
          <w:sz w:val="32"/>
          <w:szCs w:val="32"/>
        </w:rPr>
        <w:t xml:space="preserve">1.  The Sentence That Motivates Everything</w:t>
      </w:r>
    </w:p>
    <w:p>
      <w:pPr>
        <w:spacing w:after="120" w:before="60" w:line="320"/>
        <w:jc w:val="both"/>
      </w:pPr>
      <w:r>
        <w:rPr>
          <w:rFonts w:ascii="Times New Roman" w:cs="Times New Roman" w:eastAsia="Times New Roman" w:hAnsi="Times New Roman"/>
          <w:color w:val="1F2937"/>
          <w:sz w:val="22"/>
          <w:szCs w:val="22"/>
        </w:rPr>
        <w:t xml:space="preserve">Before any equation or algorithm, it is essential to understand the precise problem that attention was designed to solve. Consider the following sentence:</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"The cat that was sitting on the mat, which was next to the dog, jumped."</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                                                             ↑</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subject                                                          verb</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When the model processes 'cat', it must pay maximum attention to 'jumped'.</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These two semantically connected words are separated by an 8-word relative</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clause. This is a LONG-TERM DEPENDENCY. Sequential models break here.</w:t>
      </w:r>
    </w:p>
    <w:p>
      <w:pPr>
        <w:spacing w:after="120" w:before="60" w:line="320"/>
        <w:jc w:val="both"/>
      </w:pPr>
      <w:r>
        <w:rPr>
          <w:rFonts w:ascii="Times New Roman" w:cs="Times New Roman" w:eastAsia="Times New Roman" w:hAnsi="Times New Roman"/>
          <w:color w:val="1F2937"/>
          <w:sz w:val="22"/>
          <w:szCs w:val="22"/>
        </w:rPr>
        <w:t xml:space="preserve">Long-term dependencies are not edge cases — they are the norm in natural language. Subjects and verbs separated by clauses. Pronouns and their antecedents separated by paragraphs. Questions and their answers separated by entire documents. Any architecture that fails on long-term dependencies fails on natural language itself.</w:t>
      </w:r>
    </w:p>
    <w:p>
      <w:pPr>
        <w:pStyle w:val="Heading1"/>
        <w:keepNext/>
        <w:keepLines/>
        <w:spacing w:after="180" w:before="360"/>
      </w:pPr>
      <w:r>
        <w:rPr>
          <w:rFonts w:ascii="Calibri" w:cs="Calibri" w:eastAsia="Calibri" w:hAnsi="Calibri"/>
          <w:b/>
          <w:bCs/>
          <w:color w:val="0D3B6E"/>
          <w:sz w:val="32"/>
          <w:szCs w:val="32"/>
        </w:rPr>
        <w:t xml:space="preserve">2.  The Four Types of Attention — A Taxonomy</w:t>
      </w:r>
    </w:p>
    <w:p>
      <w:pPr>
        <w:spacing w:after="120" w:before="60" w:line="320"/>
        <w:jc w:val="both"/>
      </w:pPr>
      <w:r>
        <w:rPr>
          <w:rFonts w:ascii="Times New Roman" w:cs="Times New Roman" w:eastAsia="Times New Roman" w:hAnsi="Times New Roman"/>
          <w:color w:val="1F2937"/>
          <w:sz w:val="22"/>
          <w:szCs w:val="22"/>
        </w:rPr>
        <w:t xml:space="preserve">There are four types of attention mechanism, each building on the previous. Understanding the full taxonomy before diving into implementation provides essential context for every design decision in the Transformer. Table 1 summarises the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cantSplit/>
          <w:tblHeader/>
        </w:trPr>
        <w:tc>
          <w:tcPr>
            <w:tcW w:type="dxa" w:w="24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Type</w:t>
            </w:r>
          </w:p>
        </w:tc>
        <w:tc>
          <w:tcPr>
            <w:tcW w:type="dxa" w:w="516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What It Is</w:t>
            </w:r>
          </w:p>
        </w:tc>
        <w:tc>
          <w:tcPr>
            <w:tcW w:type="dxa" w:w="18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Covered In</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Simplified Self-Attention</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Self-attention with no trainable weights — introduces the broad idea</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Topic 8</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Self-Attention with Q/K/V</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Self-attention with trainable weight matrices W_Q, W_K, W_V</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Topic 9</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Causal Self-Attention</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Self-attention restricted to previous and current tokens only</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Topic 10</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Multi-Head Attention</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Multiple parallel attention heads — extension of the above</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Topics 11–12</w:t>
            </w:r>
          </w:p>
        </w:tc>
      </w:tr>
    </w:tbl>
    <w:p>
      <w:pPr>
        <w:spacing w:after="200" w:before="80"/>
        <w:jc w:val="center"/>
      </w:pPr>
      <w:r>
        <w:rPr>
          <w:rFonts w:ascii="Times New Roman" w:cs="Times New Roman" w:eastAsia="Times New Roman" w:hAnsi="Times New Roman"/>
          <w:i/>
          <w:iCs/>
          <w:color w:val="6B7280"/>
          <w:sz w:val="20"/>
          <w:szCs w:val="20"/>
        </w:rPr>
        <w:t xml:space="preserve">Table 1: The four attention types covered across Stage 2. Each topic builds on the previous one.</w:t>
      </w:r>
    </w:p>
    <w:p>
      <w:pPr>
        <w:spacing w:after="120" w:before="60" w:line="320"/>
        <w:jc w:val="both"/>
      </w:pPr>
      <w:r>
        <w:rPr>
          <w:rFonts w:ascii="Times New Roman" w:cs="Times New Roman" w:eastAsia="Times New Roman" w:hAnsi="Times New Roman"/>
          <w:color w:val="1F2937"/>
          <w:sz w:val="22"/>
          <w:szCs w:val="22"/>
        </w:rPr>
        <w:t xml:space="preserve">These four types form a progression, not a set of alternatives. The simplified version introduces the concept; the trainable version makes it learn from data; causal masking makes it suitable for autoregressive generation; multi-head attention parallelises it into specialised subspaces.</w:t>
      </w:r>
    </w:p>
    <w:p>
      <w:pPr>
        <w:spacing w:after="120" w:before="60" w:line="320"/>
        <w:jc w:val="both"/>
      </w:pPr>
      <w:r>
        <w:rPr>
          <w:rFonts w:ascii="Times New Roman" w:cs="Times New Roman" w:eastAsia="Times New Roman" w:hAnsi="Times New Roman"/>
          <w:color w:val="1F2937"/>
          <w:sz w:val="22"/>
          <w:szCs w:val="22"/>
        </w:rPr>
        <w:t xml:space="preserve">One further architectural advantage is worth surfacing now: an attention-based model processes all tokens in parallel, because each token's representation depends on all others simultaneously rather than on a single preceding hidden state. RNNs process tokens strictly sequentially — token t must wait for token t−1's hidden state before it can be computed. Transformers process all tokens at once. This is the key computational advantage of attention over recurrence and is the reason Transformers train orders of magnitude faster than RNNs on modern GPU hardware.</w:t>
      </w:r>
    </w:p>
    <w:p>
      <w:pPr>
        <w:pStyle w:val="Heading1"/>
        <w:keepNext/>
        <w:keepLines/>
        <w:spacing w:after="180" w:before="360"/>
      </w:pPr>
      <w:r>
        <w:rPr>
          <w:rFonts w:ascii="Calibri" w:cs="Calibri" w:eastAsia="Calibri" w:hAnsi="Calibri"/>
          <w:b/>
          <w:bCs/>
          <w:color w:val="0D3B6E"/>
          <w:sz w:val="32"/>
          <w:szCs w:val="32"/>
        </w:rPr>
        <w:t xml:space="preserve">3.  The Problem — Why Word-by-Word Processing Fails</w:t>
      </w:r>
    </w:p>
    <w:p>
      <w:pPr>
        <w:spacing w:after="120" w:before="60" w:line="320"/>
        <w:jc w:val="both"/>
      </w:pPr>
      <w:r>
        <w:rPr>
          <w:rFonts w:ascii="Times New Roman" w:cs="Times New Roman" w:eastAsia="Times New Roman" w:hAnsi="Times New Roman"/>
          <w:color w:val="1F2937"/>
          <w:sz w:val="22"/>
          <w:szCs w:val="22"/>
        </w:rPr>
        <w:t xml:space="preserve">To fully appreciate the attention mechanism, it is necessary to understand what came before it, and precisely why those approaches were insufficient. The failure is architectural, not a matter of insufficient data or compute.</w:t>
      </w:r>
    </w:p>
    <w:p>
      <w:pPr>
        <w:pStyle w:val="Heading2"/>
        <w:keepNext/>
        <w:keepLines/>
        <w:spacing w:after="120" w:before="240"/>
      </w:pPr>
      <w:r>
        <w:rPr>
          <w:rFonts w:ascii="Calibri" w:cs="Calibri" w:eastAsia="Calibri" w:hAnsi="Calibri"/>
          <w:b/>
          <w:bCs/>
          <w:color w:val="0D3B6E"/>
          <w:sz w:val="26"/>
          <w:szCs w:val="26"/>
        </w:rPr>
        <w:t xml:space="preserve">3.1  Word-by-Word Translation Fails</w:t>
      </w:r>
    </w:p>
    <w:p>
      <w:pPr>
        <w:spacing w:after="120" w:before="60" w:line="320"/>
        <w:jc w:val="both"/>
      </w:pPr>
      <w:r>
        <w:rPr>
          <w:rFonts w:ascii="Times New Roman" w:cs="Times New Roman" w:eastAsia="Times New Roman" w:hAnsi="Times New Roman"/>
          <w:color w:val="1F2937"/>
          <w:sz w:val="22"/>
          <w:szCs w:val="22"/>
        </w:rPr>
        <w:t xml:space="preserve">Consider translating a German sentence to English. A naive word-by-word translation produces grammatically incorrect output because word order differs between languages, and because certain output words depend on multiple input tokens that may be far apart.</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 German input sentence: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Kannst | du  | mir | helfen | diesen | Satz       | zu | uebersetzen</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Can    | you | me  | help   | this   | sentence   | to | translate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Naive word-by-word output: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"Can you me help this sentence to translate"   &lt;- grammatically wrong</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Correct English:</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 "Can you help me translate this sentence"      &lt;- requires reordering</w:t>
      </w:r>
    </w:p>
    <w:p>
      <w:pPr>
        <w:spacing w:after="120" w:before="60" w:line="320"/>
        <w:jc w:val="both"/>
      </w:pPr>
      <w:r>
        <w:rPr>
          <w:rFonts w:ascii="Times New Roman" w:cs="Times New Roman" w:eastAsia="Times New Roman" w:hAnsi="Times New Roman"/>
          <w:color w:val="1F2937"/>
          <w:sz w:val="22"/>
          <w:szCs w:val="22"/>
        </w:rPr>
        <w:t xml:space="preserve">Word-by-word processing cannot solve this because it has no mechanism to look ahead, reorder, or hold multiple words in memory while deciding what to output next. A real translator must read the whole sentence, understand its structure, and then generate output that reflects the global meaning, not the local tokens.</w:t>
      </w:r>
    </w:p>
    <w:p>
      <w:pPr>
        <w:pStyle w:val="Heading1"/>
        <w:keepNext/>
        <w:keepLines/>
        <w:spacing w:after="180" w:before="360"/>
      </w:pPr>
      <w:r>
        <w:rPr>
          <w:rFonts w:ascii="Calibri" w:cs="Calibri" w:eastAsia="Calibri" w:hAnsi="Calibri"/>
          <w:b/>
          <w:bCs/>
          <w:color w:val="0D3B6E"/>
          <w:sz w:val="32"/>
          <w:szCs w:val="32"/>
        </w:rPr>
        <w:t xml:space="preserve">4.  The Encoder–Decoder Architecture</w:t>
      </w:r>
    </w:p>
    <w:p>
      <w:pPr>
        <w:spacing w:after="120" w:before="60" w:line="320"/>
        <w:jc w:val="both"/>
      </w:pPr>
      <w:r>
        <w:rPr>
          <w:rFonts w:ascii="Times New Roman" w:cs="Times New Roman" w:eastAsia="Times New Roman" w:hAnsi="Times New Roman"/>
          <w:b w:val="false"/>
          <w:bCs w:val="false"/>
          <w:i w:val="false"/>
          <w:iCs w:val="false"/>
          <w:color w:val="1F2937"/>
          <w:sz w:val="22"/>
          <w:szCs w:val="22"/>
        </w:rPr>
        <w:t xml:space="preserve">To address the word-by-word failure, researchers built encoder–decoder neural networks</w:t>
      </w:r>
      <w:r>
        <w:rPr>
          <w:rFonts w:ascii="Times New Roman" w:cs="Times New Roman" w:eastAsia="Times New Roman" w:hAnsi="Times New Roman"/>
          <w:b/>
          <w:bCs/>
          <w:color w:val="1F2937"/>
          <w:sz w:val="22"/>
          <w:szCs w:val="22"/>
        </w:rPr>
        <w:t xml:space="preserve"> [7]</w:t>
      </w:r>
      <w:r>
        <w:rPr>
          <w:rFonts w:ascii="Times New Roman" w:cs="Times New Roman" w:eastAsia="Times New Roman" w:hAnsi="Times New Roman"/>
          <w:b w:val="false"/>
          <w:bCs w:val="false"/>
          <w:i w:val="false"/>
          <w:iCs w:val="false"/>
          <w:color w:val="1F2937"/>
          <w:sz w:val="22"/>
          <w:szCs w:val="22"/>
        </w:rPr>
        <w:t xml:space="preserve"> — two-module systems where one component reads and encodes the input, and another generates the output. This architecture, used in the first neural machine translation systems, is the direct ancestor of every modern sequence-to-sequence model.</w:t>
      </w:r>
    </w:p>
    <w:p>
      <w:pPr>
        <w:pStyle w:val="Heading2"/>
        <w:keepNext/>
        <w:keepLines/>
        <w:spacing w:after="120" w:before="240"/>
      </w:pPr>
      <w:r>
        <w:rPr>
          <w:rFonts w:ascii="Calibri" w:cs="Calibri" w:eastAsia="Calibri" w:hAnsi="Calibri"/>
          <w:b/>
          <w:bCs/>
          <w:color w:val="0D3B6E"/>
          <w:sz w:val="26"/>
          <w:szCs w:val="26"/>
        </w:rPr>
        <w:t xml:space="preserve">4.1  Why a Normal Neural Network Cannot Do This</w:t>
      </w:r>
    </w:p>
    <w:p>
      <w:pPr>
        <w:spacing w:after="120" w:before="60" w:line="320"/>
        <w:jc w:val="both"/>
      </w:pPr>
      <w:r>
        <w:rPr>
          <w:rFonts w:ascii="Times New Roman" w:cs="Times New Roman" w:eastAsia="Times New Roman" w:hAnsi="Times New Roman"/>
          <w:color w:val="1F2937"/>
          <w:sz w:val="22"/>
          <w:szCs w:val="22"/>
        </w:rPr>
        <w:t xml:space="preserve">A standard feedforward neural network cannot perform sequence-to-sequence translation because it has no memory. Each input is processed independently; there is no mechanism to carry information from one token to the next. Language, however, is inherently sequential — the meaning of each word depends on the words that came before and after it.</w:t>
      </w:r>
    </w:p>
    <w:p>
      <w:pPr>
        <w:pStyle w:val="Heading2"/>
        <w:keepNext/>
        <w:keepLines/>
        <w:spacing w:after="120" w:before="240"/>
      </w:pPr>
      <w:r>
        <w:rPr>
          <w:rFonts w:ascii="Calibri" w:cs="Calibri" w:eastAsia="Calibri" w:hAnsi="Calibri"/>
          <w:b/>
          <w:bCs/>
          <w:color w:val="0D3B6E"/>
          <w:sz w:val="26"/>
          <w:szCs w:val="26"/>
        </w:rPr>
        <w:t xml:space="preserve">4.2  How the Encoder Works</w:t>
      </w:r>
    </w:p>
    <w:p>
      <w:pPr>
        <w:spacing w:after="120" w:before="60" w:line="320"/>
        <w:jc w:val="both"/>
      </w:pPr>
      <w:r>
        <w:rPr>
          <w:rFonts w:ascii="Times New Roman" w:cs="Times New Roman" w:eastAsia="Times New Roman" w:hAnsi="Times New Roman"/>
          <w:color w:val="1F2937"/>
          <w:sz w:val="22"/>
          <w:szCs w:val="22"/>
        </w:rPr>
        <w:t xml:space="preserve">The encoder processes each token in the input sequence one at a time, updating an internal hidden state at each step. This hidden state serves as the memory of the network — it accumulates information about everything the encoder has seen so far. After processing the entire input, the final hidden state is passed to the decoder as a single context vector.</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 Encoder processes German sentence: [Kannst][du][mir][helfen]...</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At each time step 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Input:   current_word_embedding  +  previous_hidden_state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Output:  new_hidden_state  (updated memory)</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Step 1: 'Kannst' arrives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hidden_state_0 (zeros) + embedding('Kannst') -&gt; hidden_state_1</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Step 2: 'du' arrives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hidden_state_1 + embedding('du') -&gt; hidden_state_2</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After processing all words: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FINAL HIDDEN STATE = CONTEXT VECTOR</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 This single vector encodes the complete meaning of the input.</w:t>
      </w:r>
    </w:p>
    <w:p>
      <w:pPr>
        <w:spacing w:after="120" w:before="60" w:line="320"/>
        <w:jc w:val="both"/>
      </w:pPr>
      <w:r>
        <w:rPr>
          <w:rFonts w:ascii="Times New Roman" w:cs="Times New Roman" w:eastAsia="Times New Roman" w:hAnsi="Times New Roman"/>
          <w:color w:val="1F2937"/>
          <w:sz w:val="22"/>
          <w:szCs w:val="22"/>
        </w:rPr>
        <w:t xml:space="preserve">Expressed as a recurrence, the encoder's per-step computation is h_t = RNN(h_{t-1}, x_t), and the final context vector is the hidden state at the last time step: context_vector = h_final.</w:t>
      </w:r>
    </w:p>
    <w:p>
      <w:pPr>
        <w:pStyle w:val="Heading2"/>
        <w:keepNext/>
        <w:keepLines/>
        <w:spacing w:after="120" w:before="240"/>
      </w:pPr>
      <w:r>
        <w:rPr>
          <w:rFonts w:ascii="Calibri" w:cs="Calibri" w:eastAsia="Calibri" w:hAnsi="Calibri"/>
          <w:b/>
          <w:bCs/>
          <w:color w:val="0D3B6E"/>
          <w:sz w:val="26"/>
          <w:szCs w:val="26"/>
        </w:rPr>
        <w:t xml:space="preserve">4.3  The Decoder</w:t>
      </w:r>
    </w:p>
    <w:p>
      <w:pPr>
        <w:spacing w:after="120" w:before="60" w:line="320"/>
        <w:jc w:val="both"/>
      </w:pPr>
      <w:r>
        <w:rPr>
          <w:rFonts w:ascii="Times New Roman" w:cs="Times New Roman" w:eastAsia="Times New Roman" w:hAnsi="Times New Roman"/>
          <w:color w:val="1F2937"/>
          <w:sz w:val="22"/>
          <w:szCs w:val="22"/>
        </w:rPr>
        <w:t xml:space="preserve">The decoder receives the context vector (the final hidden state of the encoder) and generates the output sequence one token at a time. At each decoding step, the decoder takes the context vector and its own previously generated tokens, and produces the next output token.</w:t>
      </w:r>
    </w:p>
    <w:p>
      <w:pPr>
        <w:spacing w:after="120" w:before="60" w:line="320"/>
        <w:jc w:val="both"/>
      </w:pPr>
      <w:r>
        <w:rPr>
          <w:rFonts w:ascii="Times New Roman" w:cs="Times New Roman" w:eastAsia="Times New Roman" w:hAnsi="Times New Roman"/>
          <w:color w:val="1F2937"/>
          <w:sz w:val="22"/>
          <w:szCs w:val="22"/>
        </w:rPr>
        <w:t xml:space="preserve">The complete encoder–decoder data flow can be summarised in five steps:</w:t>
      </w:r>
    </w:p>
    <w:p>
      <w:pPr>
        <w:pStyle w:val="ListParagraph"/>
        <w:numPr>
          <w:ilvl w:val="0"/>
          <w:numId w:val="2"/>
        </w:numPr>
        <w:spacing w:after="120" w:before="60" w:line="320"/>
        <w:jc w:val="both"/>
      </w:pPr>
      <w:r>
        <w:rPr>
          <w:rFonts w:ascii="Times New Roman" w:cs="Times New Roman" w:eastAsia="Times New Roman" w:hAnsi="Times New Roman"/>
          <w:b w:val="false"/>
          <w:bCs w:val="false"/>
          <w:i w:val="false"/>
          <w:iCs w:val="false"/>
          <w:color w:val="1F2937"/>
          <w:sz w:val="22"/>
          <w:szCs w:val="22"/>
        </w:rPr>
        <w:t xml:space="preserve">The encoder reads the entire source-language sentence sequentially, one token at a time.</w:t>
      </w:r>
    </w:p>
    <w:p>
      <w:pPr>
        <w:pStyle w:val="ListParagraph"/>
        <w:numPr>
          <w:ilvl w:val="0"/>
          <w:numId w:val="2"/>
        </w:numPr>
        <w:spacing w:after="120" w:before="60" w:line="320"/>
        <w:jc w:val="both"/>
      </w:pPr>
      <w:r>
        <w:rPr>
          <w:rFonts w:ascii="Times New Roman" w:cs="Times New Roman" w:eastAsia="Times New Roman" w:hAnsi="Times New Roman"/>
          <w:b w:val="false"/>
          <w:bCs w:val="false"/>
          <w:i w:val="false"/>
          <w:iCs w:val="false"/>
          <w:color w:val="1F2937"/>
          <w:sz w:val="22"/>
          <w:szCs w:val="22"/>
        </w:rPr>
        <w:t xml:space="preserve">The encoder produces a final hidden state, which serves as the context vector. This vector carries accumulated memory across the sequence, unlike a simple feedforward network output.</w:t>
      </w:r>
    </w:p>
    <w:p>
      <w:pPr>
        <w:pStyle w:val="ListParagraph"/>
        <w:numPr>
          <w:ilvl w:val="0"/>
          <w:numId w:val="2"/>
        </w:numPr>
        <w:spacing w:after="120" w:before="60" w:line="320"/>
        <w:jc w:val="both"/>
      </w:pPr>
      <w:r>
        <w:rPr>
          <w:rFonts w:ascii="Times New Roman" w:cs="Times New Roman" w:eastAsia="Times New Roman" w:hAnsi="Times New Roman"/>
          <w:b w:val="false"/>
          <w:bCs w:val="false"/>
          <w:i w:val="false"/>
          <w:iCs w:val="false"/>
          <w:color w:val="1F2937"/>
          <w:sz w:val="22"/>
          <w:szCs w:val="22"/>
        </w:rPr>
        <w:t xml:space="preserve">The context vector is passed to the decoder as its sole input summary of the source sentence.</w:t>
      </w:r>
    </w:p>
    <w:p>
      <w:pPr>
        <w:pStyle w:val="ListParagraph"/>
        <w:numPr>
          <w:ilvl w:val="0"/>
          <w:numId w:val="2"/>
        </w:numPr>
        <w:spacing w:after="120" w:before="60" w:line="320"/>
        <w:jc w:val="both"/>
      </w:pPr>
      <w:r>
        <w:rPr>
          <w:rFonts w:ascii="Times New Roman" w:cs="Times New Roman" w:eastAsia="Times New Roman" w:hAnsi="Times New Roman"/>
          <w:b w:val="false"/>
          <w:bCs w:val="false"/>
          <w:i w:val="false"/>
          <w:iCs w:val="false"/>
          <w:color w:val="1F2937"/>
          <w:sz w:val="22"/>
          <w:szCs w:val="22"/>
        </w:rPr>
        <w:t xml:space="preserve">The decoder uses the context vector and its own previously-generated tokens to generate the translation one word at a time.</w:t>
      </w:r>
    </w:p>
    <w:p>
      <w:pPr>
        <w:pStyle w:val="ListParagraph"/>
        <w:numPr>
          <w:ilvl w:val="0"/>
          <w:numId w:val="2"/>
        </w:numPr>
        <w:spacing w:after="120" w:before="60" w:line="320"/>
        <w:jc w:val="both"/>
      </w:pPr>
      <w:r>
        <w:rPr>
          <w:rFonts w:ascii="Times New Roman" w:cs="Times New Roman" w:eastAsia="Times New Roman" w:hAnsi="Times New Roman"/>
          <w:b w:val="false"/>
          <w:bCs w:val="false"/>
          <w:i w:val="false"/>
          <w:iCs w:val="false"/>
          <w:color w:val="1F2937"/>
          <w:sz w:val="22"/>
          <w:szCs w:val="22"/>
        </w:rPr>
        <w:t xml:space="preserve">The decoder also maintains its own hidden state, which it updates at each generation step to track what it has already produced.</w:t>
      </w:r>
    </w:p>
    <w:p>
      <w:pPr>
        <w:spacing w:after="120" w:before="60" w:line="320"/>
        <w:jc w:val="both"/>
      </w:pPr>
      <w:r>
        <w:rPr>
          <w:rFonts w:ascii="Times New Roman" w:cs="Times New Roman" w:eastAsia="Times New Roman" w:hAnsi="Times New Roman"/>
          <w:color w:val="1F2937"/>
          <w:sz w:val="22"/>
          <w:szCs w:val="22"/>
        </w:rPr>
        <w:t xml:space="preserve">This architecture is the direct ancestor of every modern sequence-to-sequence system. Its specific failure mode — the fact that the decoder has access only to the single final hidden state of the encoder — is what attention was later designed to fix.</w:t>
      </w:r>
    </w:p>
    <w:p>
      <w:pPr>
        <w:pStyle w:val="Heading1"/>
        <w:keepNext/>
        <w:keepLines/>
        <w:spacing w:after="180" w:before="360"/>
      </w:pPr>
      <w:r>
        <w:rPr>
          <w:rFonts w:ascii="Calibri" w:cs="Calibri" w:eastAsia="Calibri" w:hAnsi="Calibri"/>
          <w:b/>
          <w:bCs/>
          <w:color w:val="0D3B6E"/>
          <w:sz w:val="32"/>
          <w:szCs w:val="32"/>
        </w:rPr>
        <w:t xml:space="preserve">5.  The Recurrent Neural Network — Mechanism and Failure</w:t>
      </w:r>
    </w:p>
    <w:p>
      <w:pPr>
        <w:spacing w:after="120" w:before="60" w:line="320"/>
        <w:jc w:val="both"/>
      </w:pPr>
      <w:r>
        <w:rPr>
          <w:rFonts w:ascii="Times New Roman" w:cs="Times New Roman" w:eastAsia="Times New Roman" w:hAnsi="Times New Roman"/>
          <w:b w:val="false"/>
          <w:bCs w:val="false"/>
          <w:i w:val="false"/>
          <w:iCs w:val="false"/>
          <w:color w:val="1F2937"/>
          <w:sz w:val="22"/>
          <w:szCs w:val="22"/>
        </w:rPr>
        <w:t xml:space="preserve">Before Transformers, Recurrent Neural Networks</w:t>
      </w:r>
      <w:r>
        <w:rPr>
          <w:rFonts w:ascii="Times New Roman" w:cs="Times New Roman" w:eastAsia="Times New Roman" w:hAnsi="Times New Roman"/>
          <w:b/>
          <w:bCs/>
          <w:color w:val="1F2937"/>
          <w:sz w:val="22"/>
          <w:szCs w:val="22"/>
        </w:rPr>
        <w:t xml:space="preserve"> [5]</w:t>
      </w:r>
      <w:r>
        <w:rPr>
          <w:rFonts w:ascii="Times New Roman" w:cs="Times New Roman" w:eastAsia="Times New Roman" w:hAnsi="Times New Roman"/>
          <w:b w:val="false"/>
          <w:bCs w:val="false"/>
          <w:i w:val="false"/>
          <w:iCs w:val="false"/>
          <w:color w:val="1F2937"/>
          <w:sz w:val="22"/>
          <w:szCs w:val="22"/>
        </w:rPr>
        <w:t xml:space="preserve"> were the most popular encoder–decoder architecture for language translation. Understanding both how they work and precisely where they fail is essential for understanding why attention had to be invented. The limitations documented in this section are not specific to RNNs; they apply to any architecture that collapses the input into a single summary vector.</w:t>
      </w:r>
    </w:p>
    <w:p>
      <w:pPr>
        <w:pStyle w:val="Heading2"/>
        <w:keepNext/>
        <w:keepLines/>
        <w:spacing w:after="120" w:before="240"/>
      </w:pPr>
      <w:r>
        <w:rPr>
          <w:rFonts w:ascii="Calibri" w:cs="Calibri" w:eastAsia="Calibri" w:hAnsi="Calibri"/>
          <w:b/>
          <w:bCs/>
          <w:color w:val="0D3B6E"/>
          <w:sz w:val="26"/>
          <w:szCs w:val="26"/>
        </w:rPr>
        <w:t xml:space="preserve">5.1  How an RNN Step Works</w:t>
      </w:r>
    </w:p>
    <w:p>
      <w:pPr>
        <w:spacing w:after="120" w:before="60" w:line="320"/>
        <w:jc w:val="both"/>
      </w:pPr>
      <w:r>
        <w:rPr>
          <w:rFonts w:ascii="Times New Roman" w:cs="Times New Roman" w:eastAsia="Times New Roman" w:hAnsi="Times New Roman"/>
          <w:color w:val="1F2937"/>
          <w:sz w:val="22"/>
          <w:szCs w:val="22"/>
        </w:rPr>
        <w:t xml:space="preserve">An RNN takes two input vectors at each time step and produces two output vectors. This recurrent structure is what gives the RNN its memory.</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 At each time step t, an RNN takes: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Input 1:  input_vector[t]      (current token embedding)</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Input 2:  hidden_state[t-1]    (accumulated memory from previous steps)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And produces: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Output 1: hidden_state[t]      (updated memory for next step)</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Output 2: output_vector[t]     (optional per-step prediction)</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Mathematically:</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   h_t = tanh(W_hh * h_{t-1} + W_xh * x_t + b_h)</w:t>
      </w:r>
    </w:p>
    <w:p>
      <w:pPr>
        <w:spacing w:after="120" w:before="60" w:line="320"/>
        <w:jc w:val="both"/>
      </w:pPr>
      <w:r>
        <w:rPr>
          <w:rFonts w:ascii="Times New Roman" w:cs="Times New Roman" w:eastAsia="Times New Roman" w:hAnsi="Times New Roman"/>
          <w:color w:val="1F2937"/>
          <w:sz w:val="22"/>
          <w:szCs w:val="22"/>
        </w:rPr>
        <w:t xml:space="preserve">A concrete trace on a complete translation example makes the encoding and decoding phases explicit. Using the French-to-English example 'Je suis etudiant' → 'I am a student':</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 ENCODING PHASE: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t=1:  embedding('Je')       + hidden_state[0] -&gt; hidden_state[1]</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t=2:  embedding('suis')     + hidden_state[1] -&gt; hidden_state[2]</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t=3:  embedding('etudiant') + hidden_state[2] -&gt; hidden_state[3]</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hidden_state[3] = FINAL HIDDEN STATE = CONTEXT VECTOR</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This is the only thing passed to the decoder.</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DECODING PHASE (one word at a time):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context_vector   + &lt;start&gt;   -&gt; 'I'        + decoder_hidden[1]</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decoder_hidden[1] + 'I'      -&gt; 'am'       + decoder_hidden[2]</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decoder_hidden[2] + 'am'     -&gt; 'a'        + decoder_hidden[3]</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   decoder_hidden[3] + 'a'      -&gt; 'student'</w:t>
      </w:r>
    </w:p>
    <w:p>
      <w:pPr>
        <w:pStyle w:val="Heading2"/>
        <w:keepNext/>
        <w:keepLines/>
        <w:spacing w:after="120" w:before="240"/>
      </w:pPr>
      <w:r>
        <w:rPr>
          <w:rFonts w:ascii="Calibri" w:cs="Calibri" w:eastAsia="Calibri" w:hAnsi="Calibri"/>
          <w:b/>
          <w:bCs/>
          <w:color w:val="0D3B6E"/>
          <w:sz w:val="26"/>
          <w:szCs w:val="26"/>
        </w:rPr>
        <w:t xml:space="preserve">5.2  The Critical Failure — The Information Bottleneck</w:t>
      </w:r>
    </w:p>
    <w:p>
      <w:pPr>
        <w:spacing w:after="120" w:before="60" w:line="320"/>
        <w:jc w:val="both"/>
      </w:pPr>
      <w:r>
        <w:rPr>
          <w:rFonts w:ascii="Times New Roman" w:cs="Times New Roman" w:eastAsia="Times New Roman" w:hAnsi="Times New Roman"/>
          <w:color w:val="1F2937"/>
          <w:sz w:val="22"/>
          <w:szCs w:val="22"/>
        </w:rPr>
        <w:t xml:space="preserve">The fundamental problem with the RNN encoder–decoder architecture is that the decoder has access to only the final hidden state of the encoder. All intermediate hidden states — the memory accumulated while reading earlier tokens — are discarded. For long sequences, no fixed-size vector can adequately summarise all the information needed to generate accurate output.</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 Illustration of the bottleneck:</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Input: 'The cat that was sitting on the mat, which was next to the dog, jumped.'</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Encoder: h1 -&gt; h2 -&gt; h3 -&gt; ... -&gt; h15   (15 hidden states, one per token)</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SINGLE CONTEXT VECTOR (h15)</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(h1 through h14 DISCARDED)</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Decoder only receives h15</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Problem: h15 must somehow encode the subject 'cat' (position 2),</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the verb 'jumped' (position 15), and every relationship</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          between them — using only 512 or 1024 dimensions.</w:t>
      </w:r>
    </w:p>
    <w:p>
      <w:pPr>
        <w:spacing w:after="120" w:before="60" w:line="320"/>
        <w:jc w:val="both"/>
      </w:pPr>
      <w:r>
        <w:rPr>
          <w:rFonts w:ascii="Times New Roman" w:cs="Times New Roman" w:eastAsia="Times New Roman" w:hAnsi="Times New Roman"/>
          <w:color w:val="1F2937"/>
          <w:sz w:val="22"/>
          <w:szCs w:val="22"/>
        </w:rPr>
        <w:t xml:space="preserve">When processing long sequences, if the decoder relies solely on the final hidden state, there is enormous pressure on that single vector to encode the complete information of the entire input. For long sentences this is architecturally impossible: any fixed-size vector has a bounded information capacity, and beyond some sequence length this capacity is exceeded.</w:t>
      </w:r>
    </w:p>
    <w:p>
      <w:pPr>
        <w:pStyle w:val="Heading1"/>
        <w:keepNext/>
        <w:keepLines/>
        <w:spacing w:after="180" w:before="360"/>
      </w:pPr>
      <w:r>
        <w:rPr>
          <w:rFonts w:ascii="Calibri" w:cs="Calibri" w:eastAsia="Calibri" w:hAnsi="Calibri"/>
          <w:b/>
          <w:bCs/>
          <w:color w:val="0D3B6E"/>
          <w:sz w:val="32"/>
          <w:szCs w:val="32"/>
        </w:rPr>
        <w:t xml:space="preserve">6.  LSTMs — A Partial Solution</w:t>
      </w:r>
    </w:p>
    <w:p>
      <w:pPr>
        <w:spacing w:after="120" w:before="60" w:line="320"/>
        <w:jc w:val="both"/>
      </w:pPr>
      <w:r>
        <w:rPr>
          <w:rFonts w:ascii="Times New Roman" w:cs="Times New Roman" w:eastAsia="Times New Roman" w:hAnsi="Times New Roman"/>
          <w:b w:val="false"/>
          <w:bCs w:val="false"/>
          <w:i w:val="false"/>
          <w:iCs w:val="false"/>
          <w:color w:val="1F2937"/>
          <w:sz w:val="22"/>
          <w:szCs w:val="22"/>
        </w:rPr>
        <w:t xml:space="preserve">Long Short-Term Memory networks, introduced in 1997</w:t>
      </w:r>
      <w:r>
        <w:rPr>
          <w:rFonts w:ascii="Times New Roman" w:cs="Times New Roman" w:eastAsia="Times New Roman" w:hAnsi="Times New Roman"/>
          <w:b/>
          <w:bCs/>
          <w:color w:val="1F2937"/>
          <w:sz w:val="22"/>
          <w:szCs w:val="22"/>
        </w:rPr>
        <w:t xml:space="preserve"> [1]</w:t>
      </w:r>
      <w:r>
        <w:rPr>
          <w:rFonts w:ascii="Times New Roman" w:cs="Times New Roman" w:eastAsia="Times New Roman" w:hAnsi="Times New Roman"/>
          <w:b w:val="false"/>
          <w:bCs w:val="false"/>
          <w:i w:val="false"/>
          <w:iCs w:val="false"/>
          <w:color w:val="1F2937"/>
          <w:sz w:val="22"/>
          <w:szCs w:val="22"/>
        </w:rPr>
        <w:t xml:space="preserve">, were designed to address one specific problem with RNNs: the vanishing gradient problem that occurs when training on long sequences, formally characterised by Bengio, Simard, and Frasconi</w:t>
      </w:r>
      <w:r>
        <w:rPr>
          <w:rFonts w:ascii="Times New Roman" w:cs="Times New Roman" w:eastAsia="Times New Roman" w:hAnsi="Times New Roman"/>
          <w:b/>
          <w:bCs/>
          <w:color w:val="1F2937"/>
          <w:sz w:val="22"/>
          <w:szCs w:val="22"/>
        </w:rPr>
        <w:t xml:space="preserve"> [6]</w:t>
      </w:r>
      <w:r>
        <w:rPr>
          <w:rFonts w:ascii="Times New Roman" w:cs="Times New Roman" w:eastAsia="Times New Roman" w:hAnsi="Times New Roman"/>
          <w:b w:val="false"/>
          <w:bCs w:val="false"/>
          <w:i w:val="false"/>
          <w:iCs w:val="false"/>
          <w:color w:val="1F2937"/>
          <w:sz w:val="22"/>
          <w:szCs w:val="22"/>
        </w:rPr>
        <w:t xml:space="preserve">. However, LSTMs do not solve the architectural bottleneck — they only mitigate one of its symptoms.</w:t>
      </w:r>
    </w:p>
    <w:p>
      <w:pPr>
        <w:pStyle w:val="Heading2"/>
        <w:keepNext/>
        <w:keepLines/>
        <w:spacing w:after="120" w:before="240"/>
      </w:pPr>
      <w:r>
        <w:rPr>
          <w:rFonts w:ascii="Calibri" w:cs="Calibri" w:eastAsia="Calibri" w:hAnsi="Calibri"/>
          <w:b/>
          <w:bCs/>
          <w:color w:val="0D3B6E"/>
          <w:sz w:val="26"/>
          <w:szCs w:val="26"/>
        </w:rPr>
        <w:t xml:space="preserve">6.1  The Internal Architecture — Cell State and Gating</w:t>
      </w:r>
    </w:p>
    <w:p>
      <w:pPr>
        <w:spacing w:after="120" w:before="60" w:line="320"/>
        <w:jc w:val="both"/>
      </w:pPr>
      <w:r>
        <w:rPr>
          <w:rFonts w:ascii="Times New Roman" w:cs="Times New Roman" w:eastAsia="Times New Roman" w:hAnsi="Times New Roman"/>
          <w:color w:val="1F2937"/>
          <w:sz w:val="22"/>
          <w:szCs w:val="22"/>
        </w:rPr>
        <w:t xml:space="preserve">LSTMs are a specialised type of RNN that introduce a cell state — a separate memory channel running alongside the hidden state — and three gating mechanisms that control what information flows in and out at each step.</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 At each time step t, an LSTM maintains TWO states: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h_t  = hidden state  (short-term memory)</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c_t  = cell state    (long-term memory)</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Three gating mechanisms control the flow:</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Forget gate:  f_t = sigmoid(W_f * [h_{t-1}, x_t])   (what to erase)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Input gate:   i_t = sigmoid(W_i * [h_{t-1}, x_t])   (what to write)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Output gate:  o_t = sigmoid(W_o * [h_{t-1}, x_t])   (what to output)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Cell state update: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c_t = f_t * c_{t-1}  +  i_t * tanh(W_c * [h_{t-1}, x_t])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(forget old)       (write new)</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The ADDITIVE update is what solves vanishing gradients:</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 gradients flow back through c_t without diminishing.</w:t>
      </w:r>
    </w:p>
    <w:p>
      <w:pPr>
        <w:spacing w:after="120" w:before="60" w:line="320"/>
        <w:jc w:val="both"/>
      </w:pPr>
      <w:r>
        <w:rPr>
          <w:rFonts w:ascii="Times New Roman" w:cs="Times New Roman" w:eastAsia="Times New Roman" w:hAnsi="Times New Roman"/>
          <w:color w:val="1F2937"/>
          <w:sz w:val="22"/>
          <w:szCs w:val="22"/>
        </w:rPr>
        <w:t xml:space="preserve">Each of the three gates plays a specific role in deciding what information the cell state retains, modifies, or exposes:</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Forget gate (f_t) </w:t>
      </w:r>
      <w:r>
        <w:rPr>
          <w:rFonts w:ascii="Times New Roman" w:cs="Times New Roman" w:eastAsia="Times New Roman" w:hAnsi="Times New Roman"/>
          <w:b w:val="false"/>
          <w:bCs w:val="false"/>
          <w:i w:val="false"/>
          <w:iCs w:val="false"/>
          <w:color w:val="1F2937"/>
          <w:sz w:val="22"/>
          <w:szCs w:val="22"/>
        </w:rPr>
        <w:t xml:space="preserve">— Decides what information to remove from the cell state. Takes the previous hidden state and current input, and produces values between 0 (forget completely) and 1 (keep completely). Allows the model to drop information no longer relevant to the current context.</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Input gate (i_t) </w:t>
      </w:r>
      <w:r>
        <w:rPr>
          <w:rFonts w:ascii="Times New Roman" w:cs="Times New Roman" w:eastAsia="Times New Roman" w:hAnsi="Times New Roman"/>
          <w:b w:val="false"/>
          <w:bCs w:val="false"/>
          <w:i w:val="false"/>
          <w:iCs w:val="false"/>
          <w:color w:val="1F2937"/>
          <w:sz w:val="22"/>
          <w:szCs w:val="22"/>
        </w:rPr>
        <w:t xml:space="preserve">— Decides what new information to add to the cell state. Operates through two components: a sigmoid layer determining which values to update, and a tanh layer producing the candidate values themselves. Together they selectively incorporate relevant signals from the current input.</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Output gate (o_t) </w:t>
      </w:r>
      <w:r>
        <w:rPr>
          <w:rFonts w:ascii="Times New Roman" w:cs="Times New Roman" w:eastAsia="Times New Roman" w:hAnsi="Times New Roman"/>
          <w:b w:val="false"/>
          <w:bCs w:val="false"/>
          <w:i w:val="false"/>
          <w:iCs w:val="false"/>
          <w:color w:val="1F2937"/>
          <w:sz w:val="22"/>
          <w:szCs w:val="22"/>
        </w:rPr>
        <w:t xml:space="preserve">— Decides what to output based on the cell state. The cell state is filtered through a tanh activation and masked by the output gate. This determines the next hidden state, which is the representation the downstream network sees.</w:t>
      </w:r>
    </w:p>
    <w:p>
      <w:pPr>
        <w:spacing w:after="120" w:before="60" w:line="320"/>
        <w:jc w:val="both"/>
      </w:pPr>
      <w:r>
        <w:rPr>
          <w:rFonts w:ascii="Times New Roman" w:cs="Times New Roman" w:eastAsia="Times New Roman" w:hAnsi="Times New Roman"/>
          <w:color w:val="1F2937"/>
          <w:sz w:val="22"/>
          <w:szCs w:val="22"/>
        </w:rPr>
        <w:t xml:space="preserve">The cell state update itself is the crux of why LSTMs work. The formula c_t = f_t · c_{t-1} + i_t · ĉ_t is an additive combination of the previous cell state (multiplied by the forget gate) and candidate new information (multiplied by the input gate). Gradients flowing backward through this additive path are not repeatedly multiplied by small numbers, which is what causes vanishing gradients in vanilla RNNs.</w:t>
      </w:r>
    </w:p>
    <w:p>
      <w:pPr>
        <w:spacing w:after="120" w:before="60" w:line="320"/>
        <w:jc w:val="both"/>
      </w:pPr>
      <w:r>
        <w:rPr>
          <w:rFonts w:ascii="Times New Roman" w:cs="Times New Roman" w:eastAsia="Times New Roman" w:hAnsi="Times New Roman"/>
          <w:color w:val="1F2937"/>
          <w:sz w:val="22"/>
          <w:szCs w:val="22"/>
        </w:rPr>
        <w:t xml:space="preserve">LSTMs introduced a cell state and three gating mechanisms — the forget gate, input gate, and output gate — to control what information is retained or discarded at each step. This allowed them to learn longer-range dependencies than vanilla RNNs. Crucially, however, an LSTM is still a sequential model with a single context vector between encoder and decoder. The vanishing gradient is solved; the information bottleneck is not.</w:t>
      </w:r>
    </w:p>
    <w:p>
      <w:pPr>
        <w:pStyle w:val="Heading1"/>
        <w:keepNext/>
        <w:keepLines/>
        <w:spacing w:after="180" w:before="360"/>
      </w:pPr>
      <w:r>
        <w:rPr>
          <w:rFonts w:ascii="Calibri" w:cs="Calibri" w:eastAsia="Calibri" w:hAnsi="Calibri"/>
          <w:b/>
          <w:bCs/>
          <w:color w:val="0D3B6E"/>
          <w:sz w:val="32"/>
          <w:szCs w:val="32"/>
        </w:rPr>
        <w:t xml:space="preserve">7.  The Bahdanau Attention Mechanism — 2014</w:t>
      </w:r>
    </w:p>
    <w:p>
      <w:pPr>
        <w:spacing w:after="120" w:before="60" w:line="320"/>
        <w:jc w:val="both"/>
      </w:pPr>
      <w:r>
        <w:rPr>
          <w:rFonts w:ascii="Times New Roman" w:cs="Times New Roman" w:eastAsia="Times New Roman" w:hAnsi="Times New Roman"/>
          <w:b w:val="false"/>
          <w:bCs w:val="false"/>
          <w:i w:val="false"/>
          <w:iCs w:val="false"/>
          <w:color w:val="1F2937"/>
          <w:sz w:val="22"/>
          <w:szCs w:val="22"/>
        </w:rPr>
        <w:t xml:space="preserve">In 2014, Bahdanau et al. published "Neural Machine Translation by Jointly Learning to Align and Translate"</w:t>
      </w:r>
      <w:r>
        <w:rPr>
          <w:rFonts w:ascii="Times New Roman" w:cs="Times New Roman" w:eastAsia="Times New Roman" w:hAnsi="Times New Roman"/>
          <w:b/>
          <w:bCs/>
          <w:color w:val="1F2937"/>
          <w:sz w:val="22"/>
          <w:szCs w:val="22"/>
        </w:rPr>
        <w:t xml:space="preserve"> [2]</w:t>
      </w:r>
      <w:r>
        <w:rPr>
          <w:rFonts w:ascii="Times New Roman" w:cs="Times New Roman" w:eastAsia="Times New Roman" w:hAnsi="Times New Roman"/>
          <w:b w:val="false"/>
          <w:bCs w:val="false"/>
          <w:i w:val="false"/>
          <w:iCs w:val="false"/>
          <w:color w:val="1F2937"/>
          <w:sz w:val="22"/>
          <w:szCs w:val="22"/>
        </w:rPr>
        <w:t xml:space="preserve"> — the paper that introduced attention to the deep learning community. The core idea is simple but transformative: rather than forcing the decoder to rely on a single fixed context vector, allow it to look at every encoder hidden state directly, and learn which ones to attend to at each decoding step.</w:t>
      </w:r>
    </w:p>
    <w:p>
      <w:pPr>
        <w:pStyle w:val="Heading2"/>
        <w:keepNext/>
        <w:keepLines/>
        <w:spacing w:after="120" w:before="240"/>
      </w:pPr>
      <w:r>
        <w:rPr>
          <w:rFonts w:ascii="Calibri" w:cs="Calibri" w:eastAsia="Calibri" w:hAnsi="Calibri"/>
          <w:b/>
          <w:bCs/>
          <w:color w:val="0D3B6E"/>
          <w:sz w:val="26"/>
          <w:szCs w:val="26"/>
        </w:rPr>
        <w:t xml:space="preserve">7.1  The Core Mechanism</w:t>
      </w:r>
    </w:p>
    <w:p>
      <w:pPr>
        <w:spacing w:after="120" w:before="60" w:line="320"/>
        <w:jc w:val="both"/>
      </w:pPr>
      <w:r>
        <w:rPr>
          <w:rFonts w:ascii="Times New Roman" w:cs="Times New Roman" w:eastAsia="Times New Roman" w:hAnsi="Times New Roman"/>
          <w:color w:val="1F2937"/>
          <w:sz w:val="22"/>
          <w:szCs w:val="22"/>
        </w:rPr>
        <w:t xml:space="preserve">The Bahdanau mechanism modifies the encoder–decoder architecture so that the decoder can selectively access different parts of the input sequence at each decoding step. Rather than a fixed context vector, the decoder constructs a new context vector at every output time step — a weighted sum of all encoder hidden states, with the weights (attention weights) computed dynamically based on what the decoder is currently trying to produce.</w:t>
      </w:r>
    </w:p>
    <w:p>
      <w:pPr>
        <w:pStyle w:val="Heading2"/>
        <w:keepNext/>
        <w:keepLines/>
        <w:spacing w:after="120" w:before="240"/>
      </w:pPr>
      <w:r>
        <w:rPr>
          <w:rFonts w:ascii="Calibri" w:cs="Calibri" w:eastAsia="Calibri" w:hAnsi="Calibri"/>
          <w:b/>
          <w:bCs/>
          <w:color w:val="0D3B6E"/>
          <w:sz w:val="26"/>
          <w:szCs w:val="26"/>
        </w:rPr>
        <w:t xml:space="preserve">7.2  Attention Weights in Practice — "Je suis étudiant"</w:t>
      </w:r>
    </w:p>
    <w:p>
      <w:pPr>
        <w:spacing w:after="120" w:before="60" w:line="320"/>
        <w:jc w:val="both"/>
      </w:pPr>
      <w:r>
        <w:rPr>
          <w:rFonts w:ascii="Times New Roman" w:cs="Times New Roman" w:eastAsia="Times New Roman" w:hAnsi="Times New Roman"/>
          <w:color w:val="1F2937"/>
          <w:sz w:val="22"/>
          <w:szCs w:val="22"/>
        </w:rPr>
        <w:t xml:space="preserve">A concrete example illustrates exactly what attention weights do and why they are more powerful than a fixed context vector.</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 French: 'Je suis etudiant'  -&gt;  English: 'I am a student'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Encoder produces 3 hidden states, one per French token:</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h1 &lt;- 'Je'        h2 &lt;- 'suis'        h3 &lt;- 'etudiant'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WITHOUT attention (old RNN decoder):</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context = h3        # single fixed vector for ALL output tokens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WITH Bahdanau attention (dynamic per output token):</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Generating 'I' from 'Je suis etudiant':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attention_weights = [0.85, 0.10, 0.05]   # h1 ('Je') dominates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context = 0.85*h1 + 0.10*h2 + 0.05*h3</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Generating 'am':</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attention_weights = [0.05, 0.88, 0.07]   # h2 ('suis') dominates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context = 0.05*h1 + 0.88*h2 + 0.07*h3</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The model is NOT mindlessly aligning position 1 with position 1.</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 It LEARNED from training data how to align words across languages.</w:t>
      </w:r>
    </w:p>
    <w:p>
      <w:pPr>
        <w:spacing w:after="120" w:before="60" w:line="320"/>
        <w:jc w:val="both"/>
      </w:pPr>
      <w:r>
        <w:rPr>
          <w:rFonts w:ascii="Times New Roman" w:cs="Times New Roman" w:eastAsia="Times New Roman" w:hAnsi="Times New Roman"/>
          <w:color w:val="1F2937"/>
          <w:sz w:val="22"/>
          <w:szCs w:val="22"/>
        </w:rPr>
        <w:t xml:space="preserve">For every decoding step, the model selectively chooses which input tokens to focus on and how much weight to assign each one. This dynamic focus is the core advantage of attention over a fixed context vector. The decoder is no longer forced to rely on a single summary — it looks at the entire input sequence every time it generates a token.</w:t>
      </w:r>
    </w:p>
    <w:p>
      <w:pPr>
        <w:keepLines/>
        <w:pBdr>
          <w:left w:val="single" w:color="F59E0B" w:sz="24" w:space="12"/>
        </w:pBdr>
        <w:shd w:fill="FEF3C7" w:val="clear"/>
        <w:spacing w:after="200" w:before="200" w:line="320"/>
        <w:ind w:left="240" w:right="240"/>
      </w:pPr>
      <w:r>
        <w:rPr>
          <w:rFonts w:ascii="Times New Roman" w:cs="Times New Roman" w:eastAsia="Times New Roman" w:hAnsi="Times New Roman"/>
          <w:b/>
          <w:bCs/>
          <w:color w:val="0D3B6E"/>
          <w:sz w:val="22"/>
          <w:szCs w:val="22"/>
        </w:rPr>
        <w:t xml:space="preserve">Dynamic Focus — The Key Advantage</w:t>
      </w:r>
      <w:r>
        <w:rPr>
          <w:rFonts w:ascii="Times New Roman" w:cs="Times New Roman" w:eastAsia="Times New Roman" w:hAnsi="Times New Roman"/>
          <w:color w:val="6B7280"/>
          <w:sz w:val="22"/>
          <w:szCs w:val="22"/>
        </w:rPr>
        <w:t xml:space="preserve">  —  </w:t>
      </w:r>
      <w:r>
        <w:rPr>
          <w:rFonts w:ascii="Times New Roman" w:cs="Times New Roman" w:eastAsia="Times New Roman" w:hAnsi="Times New Roman"/>
          <w:i/>
          <w:iCs/>
          <w:color w:val="1F2937"/>
          <w:sz w:val="22"/>
          <w:szCs w:val="22"/>
        </w:rPr>
        <w:t xml:space="preserve">At each decoding step the model selectively chooses which input tokens to focus on and how much weight to assign to each. The attention distribution is recomputed from scratch for every output token. This is what allows a variable-length input to produce a variable-length output without any loss of fidelity, and it is the key mechanism by which attention-based models learn long-range dependencies more effectively than RNNs. In the original Bahdanau paper, the width of the dotted alignment lines in the diagrams is drawn proportional to the attention weight — visually showing which input tokens matter most for each output token being generated.</w:t>
      </w:r>
    </w:p>
    <w:p>
      <w:pPr>
        <w:pStyle w:val="Heading1"/>
        <w:keepNext/>
        <w:keepLines/>
        <w:spacing w:after="180" w:before="360"/>
      </w:pPr>
      <w:r>
        <w:rPr>
          <w:rFonts w:ascii="Calibri" w:cs="Calibri" w:eastAsia="Calibri" w:hAnsi="Calibri"/>
          <w:b/>
          <w:bCs/>
          <w:color w:val="0D3B6E"/>
          <w:sz w:val="32"/>
          <w:szCs w:val="32"/>
        </w:rPr>
        <w:t xml:space="preserve">8.  Self-Attention and the Transformer — 2017</w:t>
      </w:r>
    </w:p>
    <w:p>
      <w:pPr>
        <w:spacing w:after="120" w:before="60" w:line="320"/>
        <w:jc w:val="both"/>
      </w:pPr>
      <w:r>
        <w:rPr>
          <w:rFonts w:ascii="Times New Roman" w:cs="Times New Roman" w:eastAsia="Times New Roman" w:hAnsi="Times New Roman"/>
          <w:b w:val="false"/>
          <w:bCs w:val="false"/>
          <w:i w:val="false"/>
          <w:iCs w:val="false"/>
          <w:color w:val="1F2937"/>
          <w:sz w:val="22"/>
          <w:szCs w:val="22"/>
        </w:rPr>
        <w:t xml:space="preserve">Only three years after Bahdanau, Vaswani et al. demonstrated that RNN architectures are not required at all for building high-performance natural language processing models</w:t>
      </w:r>
      <w:r>
        <w:rPr>
          <w:rFonts w:ascii="Times New Roman" w:cs="Times New Roman" w:eastAsia="Times New Roman" w:hAnsi="Times New Roman"/>
          <w:b/>
          <w:bCs/>
          <w:color w:val="1F2937"/>
          <w:sz w:val="22"/>
          <w:szCs w:val="22"/>
        </w:rPr>
        <w:t xml:space="preserve"> [3]</w:t>
      </w:r>
      <w:r>
        <w:rPr>
          <w:rFonts w:ascii="Times New Roman" w:cs="Times New Roman" w:eastAsia="Times New Roman" w:hAnsi="Times New Roman"/>
          <w:b w:val="false"/>
          <w:bCs w:val="false"/>
          <w:i w:val="false"/>
          <w:iCs w:val="false"/>
          <w:color w:val="1F2937"/>
          <w:sz w:val="22"/>
          <w:szCs w:val="22"/>
        </w:rPr>
        <w:t xml:space="preserve">. Their paper — "Attention Is All You Need" — introduced the Transformer, which uses only self-attention and replaces the RNN entirely. This is the architecture underlying GPT-2</w:t>
      </w:r>
      <w:r>
        <w:rPr>
          <w:rFonts w:ascii="Times New Roman" w:cs="Times New Roman" w:eastAsia="Times New Roman" w:hAnsi="Times New Roman"/>
          <w:b/>
          <w:bCs/>
          <w:color w:val="1F2937"/>
          <w:sz w:val="22"/>
          <w:szCs w:val="22"/>
        </w:rPr>
        <w:t xml:space="preserve"> [4]</w:t>
      </w:r>
      <w:r>
        <w:rPr>
          <w:rFonts w:ascii="Times New Roman" w:cs="Times New Roman" w:eastAsia="Times New Roman" w:hAnsi="Times New Roman"/>
          <w:b w:val="false"/>
          <w:bCs w:val="false"/>
          <w:i w:val="false"/>
          <w:iCs w:val="false"/>
          <w:color w:val="1F2937"/>
          <w:sz w:val="22"/>
          <w:szCs w:val="22"/>
        </w:rPr>
        <w:t xml:space="preserve">, GPT-3, and every major large language model since.</w:t>
      </w:r>
    </w:p>
    <w:p>
      <w:pPr>
        <w:pStyle w:val="Heading2"/>
        <w:keepNext/>
        <w:keepLines/>
        <w:spacing w:after="120" w:before="240"/>
      </w:pPr>
      <w:r>
        <w:rPr>
          <w:rFonts w:ascii="Calibri" w:cs="Calibri" w:eastAsia="Calibri" w:hAnsi="Calibri"/>
          <w:b/>
          <w:bCs/>
          <w:color w:val="0D3B6E"/>
          <w:sz w:val="26"/>
          <w:szCs w:val="26"/>
        </w:rPr>
        <w:t xml:space="preserve">8.1  Cross-Attention vs Self-Attention</w:t>
      </w:r>
    </w:p>
    <w:p>
      <w:pPr>
        <w:spacing w:after="120" w:before="60" w:line="320"/>
        <w:jc w:val="both"/>
      </w:pPr>
      <w:r>
        <w:rPr>
          <w:rFonts w:ascii="Times New Roman" w:cs="Times New Roman" w:eastAsia="Times New Roman" w:hAnsi="Times New Roman"/>
          <w:color w:val="1F2937"/>
          <w:sz w:val="22"/>
          <w:szCs w:val="22"/>
        </w:rPr>
        <w:t xml:space="preserve">The Bahdanau mechanism is a form of cross-attention — it computes relationships between two different sequences (the input sequence in the encoder and the output sequence in the decoder). The Transformer introduced self-attention: a single sequence that attends to itself, where every token computes its representation as a weighted sum of all other tokens in the same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blHeader/>
        </w:trPr>
        <w:tc>
          <w:tcPr>
            <w:tcW w:type="dxa" w:w="24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Property</w:t>
            </w:r>
          </w:p>
        </w:tc>
        <w:tc>
          <w:tcPr>
            <w:tcW w:type="dxa" w:w="348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Cross-Attention (Bahdanau)</w:t>
            </w:r>
          </w:p>
        </w:tc>
        <w:tc>
          <w:tcPr>
            <w:tcW w:type="dxa" w:w="348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Self-Attention (Transformers)</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Sequences</w:t>
            </w:r>
          </w:p>
        </w:tc>
        <w:tc>
          <w:tcPr>
            <w:tcW w:type="dxa" w:w="34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Two different sequences</w:t>
            </w:r>
          </w:p>
        </w:tc>
        <w:tc>
          <w:tcPr>
            <w:tcW w:type="dxa" w:w="34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One sequence attending to itself</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Primary use case</w:t>
            </w:r>
          </w:p>
        </w:tc>
        <w:tc>
          <w:tcPr>
            <w:tcW w:type="dxa" w:w="34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Translation (source → target)</w:t>
            </w:r>
          </w:p>
        </w:tc>
        <w:tc>
          <w:tcPr>
            <w:tcW w:type="dxa" w:w="34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Language generation (GPT family)</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Access pattern</w:t>
            </w:r>
          </w:p>
        </w:tc>
        <w:tc>
          <w:tcPr>
            <w:tcW w:type="dxa" w:w="34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Decoder attends to encoder states</w:t>
            </w:r>
          </w:p>
        </w:tc>
        <w:tc>
          <w:tcPr>
            <w:tcW w:type="dxa" w:w="34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Every token attends to all tokens</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Used in GPT-2</w:t>
            </w:r>
          </w:p>
        </w:tc>
        <w:tc>
          <w:tcPr>
            <w:tcW w:type="dxa" w:w="34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No</w:t>
            </w:r>
          </w:p>
        </w:tc>
        <w:tc>
          <w:tcPr>
            <w:tcW w:type="dxa" w:w="34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Yes — with causal masking</w:t>
            </w:r>
          </w:p>
        </w:tc>
      </w:tr>
    </w:tbl>
    <w:p>
      <w:pPr>
        <w:spacing w:after="200" w:before="80"/>
        <w:jc w:val="center"/>
      </w:pPr>
      <w:r>
        <w:rPr>
          <w:rFonts w:ascii="Times New Roman" w:cs="Times New Roman" w:eastAsia="Times New Roman" w:hAnsi="Times New Roman"/>
          <w:i/>
          <w:iCs/>
          <w:color w:val="6B7280"/>
          <w:sz w:val="20"/>
          <w:szCs w:val="20"/>
        </w:rPr>
        <w:t xml:space="preserve">Table 2: Cross-attention versus self-attention. GPT-2 uses only the latter, with causal masking.</w:t>
      </w:r>
    </w:p>
    <w:p>
      <w:pPr>
        <w:pStyle w:val="Heading2"/>
        <w:keepNext/>
        <w:keepLines/>
        <w:spacing w:after="120" w:before="240"/>
      </w:pPr>
      <w:r>
        <w:rPr>
          <w:rFonts w:ascii="Calibri" w:cs="Calibri" w:eastAsia="Calibri" w:hAnsi="Calibri"/>
          <w:b/>
          <w:bCs/>
          <w:color w:val="0D3B6E"/>
          <w:sz w:val="26"/>
          <w:szCs w:val="26"/>
        </w:rPr>
        <w:t xml:space="preserve">8.2  The Formal Definition of Self-Attention</w:t>
      </w:r>
    </w:p>
    <w:p>
      <w:pPr>
        <w:spacing w:after="120" w:before="60" w:line="320"/>
        <w:jc w:val="both"/>
      </w:pPr>
      <w:r>
        <w:rPr>
          <w:rFonts w:ascii="Times New Roman" w:cs="Times New Roman" w:eastAsia="Times New Roman" w:hAnsi="Times New Roman"/>
          <w:color w:val="1F2937"/>
          <w:sz w:val="22"/>
          <w:szCs w:val="22"/>
        </w:rPr>
        <w:t xml:space="preserve">Self-attention is a mechanism that allows each position in the input sequence to attend to all positions in the same sequence when computing its representation. In self-attention, the query, key, and value vectors all come from the same sequence — the mechanism operates within a single sequence rather than between two sequences. The implementation of this mechanism is the subject of Topics 8 through 12.</w:t>
      </w:r>
    </w:p>
    <w:p>
      <w:pPr>
        <w:pStyle w:val="Heading2"/>
        <w:keepNext/>
        <w:keepLines/>
        <w:spacing w:after="120" w:before="240"/>
      </w:pPr>
      <w:r>
        <w:rPr>
          <w:rFonts w:ascii="Calibri" w:cs="Calibri" w:eastAsia="Calibri" w:hAnsi="Calibri"/>
          <w:b/>
          <w:bCs/>
          <w:color w:val="0D3B6E"/>
          <w:sz w:val="26"/>
          <w:szCs w:val="26"/>
        </w:rPr>
        <w:t xml:space="preserve">8.3  Why Self-Attention Solves the Long-Term Dependency Problem</w:t>
      </w:r>
    </w:p>
    <w:p>
      <w:pPr>
        <w:spacing w:after="120" w:before="60" w:line="320"/>
        <w:jc w:val="both"/>
      </w:pPr>
      <w:r>
        <w:rPr>
          <w:rFonts w:ascii="Times New Roman" w:cs="Times New Roman" w:eastAsia="Times New Roman" w:hAnsi="Times New Roman"/>
          <w:color w:val="1F2937"/>
          <w:sz w:val="22"/>
          <w:szCs w:val="22"/>
        </w:rPr>
        <w:t xml:space="preserve">Recall the opening sentence: "The cat that was sitting on the mat, which was next to the dog, jumped." With self-attention, every token has direct access to every other token in the sequence. There is no sequential information path from 'cat' to 'jumped' — they are one attention step apart, regardless of the number of intervening words. The architectural bottleneck that defined RNN and LSTM failures simply does not exist.</w:t>
      </w:r>
    </w:p>
    <w:p>
      <w:pPr>
        <w:pStyle w:val="Heading1"/>
        <w:keepNext/>
        <w:keepLines/>
        <w:spacing w:after="180" w:before="360"/>
      </w:pPr>
      <w:r>
        <w:rPr>
          <w:rFonts w:ascii="Calibri" w:cs="Calibri" w:eastAsia="Calibri" w:hAnsi="Calibri"/>
          <w:b/>
          <w:bCs/>
          <w:color w:val="0D3B6E"/>
          <w:sz w:val="32"/>
          <w:szCs w:val="32"/>
        </w:rPr>
        <w:t xml:space="preserve">9.  The Historical Timeline — Thirty-Seven Years to Attention</w:t>
      </w:r>
    </w:p>
    <w:p>
      <w:pPr>
        <w:spacing w:after="120" w:before="60" w:line="320"/>
        <w:jc w:val="both"/>
      </w:pPr>
      <w:r>
        <w:rPr>
          <w:rFonts w:ascii="Times New Roman" w:cs="Times New Roman" w:eastAsia="Times New Roman" w:hAnsi="Times New Roman"/>
          <w:color w:val="1F2937"/>
          <w:sz w:val="22"/>
          <w:szCs w:val="22"/>
        </w:rPr>
        <w:t xml:space="preserve">Figure 1 summarises the architectural evolution that led to the Transformer. Three transitions matter: the jump from vanilla RNNs to LSTMs in 1997, which solved vanishing gradients but kept the sequential bottleneck; the jump to Bahdanau attention in 2014, which introduced direct access to encoder states but still required recurrence; and the jump to the Transformer in 2017, which eliminated recurrence entirely and is the basis of every modern large language model.</w:t>
      </w:r>
    </w:p>
    <w:p>
      <w:pPr>
        <w:spacing w:after="80" w:before="240"/>
        <w:jc w:val="center"/>
      </w:pPr>
      <w:r>
        <w:drawing>
          <wp:inline distT="0" distB="0" distL="0" distR="0">
            <wp:extent cx="5524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533650"/>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6B7280"/>
          <w:sz w:val="20"/>
          <w:szCs w:val="20"/>
        </w:rPr>
        <w:t xml:space="preserve">Figure 1: Thirty-seven years to attention — the architectural evolution from RNNs (1980) through LSTMs (1997) and Bahdanau attention (2014) to the Transformer (2017). Each innovation addressed a specific failure of its predecessor; each retained some limitation that the next addressed. Author's illustration.</w:t>
      </w:r>
    </w:p>
    <w:p>
      <w:pPr>
        <w:keepLines/>
        <w:pBdr>
          <w:left w:val="single" w:color="F59E0B" w:sz="24" w:space="12"/>
        </w:pBdr>
        <w:shd w:fill="FEF3C7" w:val="clear"/>
        <w:spacing w:after="200" w:before="200" w:line="320"/>
        <w:ind w:left="240" w:right="240"/>
      </w:pPr>
      <w:r>
        <w:rPr>
          <w:rFonts w:ascii="Times New Roman" w:cs="Times New Roman" w:eastAsia="Times New Roman" w:hAnsi="Times New Roman"/>
          <w:b/>
          <w:bCs/>
          <w:color w:val="0D3B6E"/>
          <w:sz w:val="22"/>
          <w:szCs w:val="22"/>
        </w:rPr>
        <w:t xml:space="preserve">The Acceleration of Progress</w:t>
      </w:r>
      <w:r>
        <w:rPr>
          <w:rFonts w:ascii="Times New Roman" w:cs="Times New Roman" w:eastAsia="Times New Roman" w:hAnsi="Times New Roman"/>
          <w:color w:val="6B7280"/>
          <w:sz w:val="22"/>
          <w:szCs w:val="22"/>
        </w:rPr>
        <w:t xml:space="preserve">  —  </w:t>
      </w:r>
      <w:r>
        <w:rPr>
          <w:rFonts w:ascii="Times New Roman" w:cs="Times New Roman" w:eastAsia="Times New Roman" w:hAnsi="Times New Roman"/>
          <w:i/>
          <w:iCs/>
          <w:color w:val="1F2937"/>
          <w:sz w:val="22"/>
          <w:szCs w:val="22"/>
        </w:rPr>
        <w:t xml:space="preserve">Seventeen years from RNN to LSTM. Seventeen years from LSTM to Bahdanau. Only three years from Bahdanau to the full Transformer. Each solution revealed a new, deeper architectural limitation; the Transformer addressed all three at once — no vanishing gradients (attention replaces recurrence), no context bottleneck (every token attends directly to every other token), and fully parallelisable training (no sequential dependency between time steps). This is why every modern large language model — GPT, BERT, LLaMA, Claude — is built on the Transformer architecture.</w:t>
      </w:r>
    </w:p>
    <w:p>
      <w:pPr>
        <w:spacing w:after="120" w:before="60" w:line="320"/>
        <w:jc w:val="both"/>
      </w:pPr>
      <w:r>
        <w:rPr>
          <w:rFonts w:ascii="Times New Roman" w:cs="Times New Roman" w:eastAsia="Times New Roman" w:hAnsi="Times New Roman"/>
          <w:color w:val="1F2937"/>
          <w:sz w:val="22"/>
          <w:szCs w:val="22"/>
        </w:rPr>
        <w:t xml:space="preserve">Two patterns are worth noting from the timeline. First, the pace of progress accelerated: the step from RNN to LSTM took seventeen years, the step to Bahdanau attention another seventeen, but the step to the full Transformer took only three. Second, each step was an incremental architectural change rather than a wholesale replacement — the Transformer still uses ideas (weighted summation, softmax normalisation, learned projections) that trace directly back to Bahdanau's original formulation.</w:t>
      </w:r>
    </w:p>
    <w:p>
      <w:pPr>
        <w:pStyle w:val="Heading1"/>
        <w:keepNext/>
        <w:keepLines/>
        <w:spacing w:after="180" w:before="360"/>
      </w:pPr>
      <w:r>
        <w:rPr>
          <w:rFonts w:ascii="Calibri" w:cs="Calibri" w:eastAsia="Calibri" w:hAnsi="Calibri"/>
          <w:b/>
          <w:bCs/>
          <w:color w:val="0D3B6E"/>
          <w:sz w:val="32"/>
          <w:szCs w:val="32"/>
        </w:rPr>
        <w:t xml:space="preserve">10.  Key Observations</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The problem attention solves is not a performance limitation but a fundamental architectural impossibility. </w:t>
      </w:r>
      <w:r>
        <w:rPr>
          <w:rFonts w:ascii="Times New Roman" w:cs="Times New Roman" w:eastAsia="Times New Roman" w:hAnsi="Times New Roman"/>
          <w:b w:val="false"/>
          <w:bCs w:val="false"/>
          <w:i w:val="false"/>
          <w:iCs w:val="false"/>
          <w:color w:val="1F2937"/>
          <w:sz w:val="22"/>
          <w:szCs w:val="22"/>
        </w:rPr>
        <w:t xml:space="preserve">For long-range dependencies, sequential models cannot maintain the required information across a single context vector bottleneck regardless of model size or training data. No amount of data or compute can fix this — only a change in architecture can.</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The bottleneck is structural, not a training problem. </w:t>
      </w:r>
      <w:r>
        <w:rPr>
          <w:rFonts w:ascii="Times New Roman" w:cs="Times New Roman" w:eastAsia="Times New Roman" w:hAnsi="Times New Roman"/>
          <w:b w:val="false"/>
          <w:bCs w:val="false"/>
          <w:i w:val="false"/>
          <w:iCs w:val="false"/>
          <w:color w:val="1F2937"/>
          <w:sz w:val="22"/>
          <w:szCs w:val="22"/>
        </w:rPr>
        <w:t xml:space="preserve">An RNN's inability to route information across a single fixed-size context vector is a property of its topology, not its parameters. Bahdanau's fix required a new architectural pathway (direct access to all encoder states), not just more of the existing one.</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Attention weights are learned from data, not hand-designed. </w:t>
      </w:r>
      <w:r>
        <w:rPr>
          <w:rFonts w:ascii="Times New Roman" w:cs="Times New Roman" w:eastAsia="Times New Roman" w:hAnsi="Times New Roman"/>
          <w:b w:val="false"/>
          <w:bCs w:val="false"/>
          <w:i w:val="false"/>
          <w:iCs w:val="false"/>
          <w:color w:val="1F2937"/>
          <w:sz w:val="22"/>
          <w:szCs w:val="22"/>
        </w:rPr>
        <w:t xml:space="preserve">The model discovers from training examples which word alignments are correct for a given language pair. It is not mindlessly aligning position 1 with position 1 — the alignment emerges from the optimisation process.</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The 'self' in self-attention is the defining distinction from cross-attention. </w:t>
      </w:r>
      <w:r>
        <w:rPr>
          <w:rFonts w:ascii="Times New Roman" w:cs="Times New Roman" w:eastAsia="Times New Roman" w:hAnsi="Times New Roman"/>
          <w:b w:val="false"/>
          <w:bCs w:val="false"/>
          <w:i w:val="false"/>
          <w:iCs w:val="false"/>
          <w:color w:val="1F2937"/>
          <w:sz w:val="22"/>
          <w:szCs w:val="22"/>
        </w:rPr>
        <w:t xml:space="preserve">Cross-attention (Bahdanau) operates between two sequences. Self-attention (Transformers) operates within a single sequence looking at itself. GPT-style language generation requires only self-attention, plus a causal mask to prevent looking at future tokens.</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Dynamic focus changes the nature of the computation. </w:t>
      </w:r>
      <w:r>
        <w:rPr>
          <w:rFonts w:ascii="Times New Roman" w:cs="Times New Roman" w:eastAsia="Times New Roman" w:hAnsi="Times New Roman"/>
          <w:b w:val="false"/>
          <w:bCs w:val="false"/>
          <w:i w:val="false"/>
          <w:iCs w:val="false"/>
          <w:color w:val="1F2937"/>
          <w:sz w:val="22"/>
          <w:szCs w:val="22"/>
        </w:rPr>
        <w:t xml:space="preserve">At every decoding step, the model selectively chooses which input tokens to focus on and how much weight to assign each one. The context the model acts on is recomputed from scratch for every output token — this is what allows a variable-length input to produce a variable-length output without loss of fidelity.</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LSTMs solved the vanishing gradient, not the bottleneck. </w:t>
      </w:r>
      <w:r>
        <w:rPr>
          <w:rFonts w:ascii="Times New Roman" w:cs="Times New Roman" w:eastAsia="Times New Roman" w:hAnsi="Times New Roman"/>
          <w:b w:val="false"/>
          <w:bCs w:val="false"/>
          <w:i w:val="false"/>
          <w:iCs w:val="false"/>
          <w:color w:val="1F2937"/>
          <w:sz w:val="22"/>
          <w:szCs w:val="22"/>
        </w:rPr>
        <w:t xml:space="preserve">This is often confused. The additive cell-state update in LSTMs prevents gradients from shrinking to zero during backpropagation, enabling training on longer sequences. But the encoder–decoder information channel is still a single fixed-size vector. Two different failures; LSTMs addressed the first and left the second.</w:t>
      </w:r>
    </w:p>
    <w:p>
      <w:pPr>
        <w:pStyle w:val="Heading1"/>
        <w:keepNext/>
        <w:keepLines/>
        <w:spacing w:after="180" w:before="360"/>
      </w:pPr>
      <w:r>
        <w:rPr>
          <w:rFonts w:ascii="Calibri" w:cs="Calibri" w:eastAsia="Calibri" w:hAnsi="Calibri"/>
          <w:b/>
          <w:bCs/>
          <w:color w:val="0D3B6E"/>
          <w:sz w:val="32"/>
          <w:szCs w:val="32"/>
        </w:rPr>
        <w:t xml:space="preserve">11.  Experiments &amp; Open Questions</w:t>
      </w:r>
    </w:p>
    <w:p>
      <w:pPr>
        <w:spacing w:after="120" w:before="60" w:line="320"/>
        <w:jc w:val="both"/>
      </w:pPr>
      <w:r>
        <w:rPr>
          <w:rFonts w:ascii="Times New Roman" w:cs="Times New Roman" w:eastAsia="Times New Roman" w:hAnsi="Times New Roman"/>
          <w:color w:val="1F2937"/>
          <w:sz w:val="22"/>
          <w:szCs w:val="22"/>
        </w:rPr>
        <w:t xml:space="preserve">This section extends the topic beyond summary into active engagement with its claims. A toy numerical illustration makes Bahdanau attention concrete; an open question confronts whether the core thesis of the 2017 Transformer paper remains defensible under the constraints of modern long-context models; and a proposed empirical investigation is left as future work.</w:t>
      </w:r>
    </w:p>
    <w:p>
      <w:pPr>
        <w:pStyle w:val="Heading3"/>
        <w:keepNext/>
        <w:keepLines/>
        <w:spacing w:after="80" w:before="200"/>
      </w:pPr>
      <w:r>
        <w:rPr>
          <w:rFonts w:ascii="Calibri" w:cs="Calibri" w:eastAsia="Calibri" w:hAnsi="Calibri"/>
          <w:b/>
          <w:bCs/>
          <w:color w:val="1F4D78"/>
          <w:sz w:val="24"/>
          <w:szCs w:val="24"/>
        </w:rPr>
        <w:t xml:space="preserve">11.1  Toy Bahdanau Alignment Matrix — A Hand-Computed Example</w:t>
      </w:r>
    </w:p>
    <w:p>
      <w:pPr>
        <w:spacing w:after="120" w:before="60" w:line="320"/>
        <w:jc w:val="both"/>
      </w:pPr>
      <w:r>
        <w:rPr>
          <w:rFonts w:ascii="Times New Roman" w:cs="Times New Roman" w:eastAsia="Times New Roman" w:hAnsi="Times New Roman"/>
          <w:color w:val="1F2937"/>
          <w:sz w:val="22"/>
          <w:szCs w:val="22"/>
        </w:rPr>
        <w:t xml:space="preserve">The prose description of attention weights is easier to internalise when reduced to concrete numbers. Consider the toy French-to-English alignment for "Je suis étudiant" → "I am a student". Assume the encoder produces three hidden states, one per French token, and the decoder generates four English tokens. For each output position, the decoder computes attention weights over the three encoder states. A plausible learned alignment matrix is shown in Table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1800"/>
        <w:gridCol w:w="3360"/>
      </w:tblGrid>
      <w:tr>
        <w:trPr>
          <w:cantSplit/>
          <w:tblHeader/>
        </w:trPr>
        <w:tc>
          <w:tcPr>
            <w:tcW w:type="dxa" w:w="16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Output token</w:t>
            </w:r>
          </w:p>
        </w:tc>
        <w:tc>
          <w:tcPr>
            <w:tcW w:type="dxa" w:w="12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h₁ ("Je")</w:t>
            </w:r>
          </w:p>
        </w:tc>
        <w:tc>
          <w:tcPr>
            <w:tcW w:type="dxa" w:w="14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h₂ ("suis")</w:t>
            </w:r>
          </w:p>
        </w:tc>
        <w:tc>
          <w:tcPr>
            <w:tcW w:type="dxa" w:w="18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h₃ ("étudiant")</w:t>
            </w:r>
          </w:p>
        </w:tc>
        <w:tc>
          <w:tcPr>
            <w:tcW w:type="dxa" w:w="336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Alignment interpretation</w:t>
            </w:r>
          </w:p>
        </w:tc>
      </w:tr>
      <w:tr>
        <w:trPr>
          <w:cantSplit/>
        </w:trPr>
        <w:tc>
          <w:tcPr>
            <w:tcW w:type="dxa" w:w="16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I</w:t>
            </w:r>
          </w:p>
        </w:tc>
        <w:tc>
          <w:tcPr>
            <w:tcW w:type="dxa" w:w="12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0.85</w:t>
            </w:r>
          </w:p>
        </w:tc>
        <w:tc>
          <w:tcPr>
            <w:tcW w:type="dxa" w:w="1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0.10</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0.05</w:t>
            </w:r>
          </w:p>
        </w:tc>
        <w:tc>
          <w:tcPr>
            <w:tcW w:type="dxa" w:w="3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Aligns with "Je"</w:t>
            </w:r>
          </w:p>
        </w:tc>
      </w:tr>
      <w:tr>
        <w:trPr>
          <w:cantSplit/>
        </w:trPr>
        <w:tc>
          <w:tcPr>
            <w:tcW w:type="dxa" w:w="16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am</w:t>
            </w:r>
          </w:p>
        </w:tc>
        <w:tc>
          <w:tcPr>
            <w:tcW w:type="dxa" w:w="12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0.05</w:t>
            </w:r>
          </w:p>
        </w:tc>
        <w:tc>
          <w:tcPr>
            <w:tcW w:type="dxa" w:w="1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0.88</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0.07</w:t>
            </w:r>
          </w:p>
        </w:tc>
        <w:tc>
          <w:tcPr>
            <w:tcW w:type="dxa" w:w="3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Aligns with "suis"</w:t>
            </w:r>
          </w:p>
        </w:tc>
      </w:tr>
      <w:tr>
        <w:trPr>
          <w:cantSplit/>
        </w:trPr>
        <w:tc>
          <w:tcPr>
            <w:tcW w:type="dxa" w:w="16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a</w:t>
            </w:r>
          </w:p>
        </w:tc>
        <w:tc>
          <w:tcPr>
            <w:tcW w:type="dxa" w:w="12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0.10</w:t>
            </w:r>
          </w:p>
        </w:tc>
        <w:tc>
          <w:tcPr>
            <w:tcW w:type="dxa" w:w="1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0.30</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0.60</w:t>
            </w:r>
          </w:p>
        </w:tc>
        <w:tc>
          <w:tcPr>
            <w:tcW w:type="dxa" w:w="3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Soft-aligned to "étudiant" (French has no article)</w:t>
            </w:r>
          </w:p>
        </w:tc>
      </w:tr>
      <w:tr>
        <w:trPr>
          <w:cantSplit/>
        </w:trPr>
        <w:tc>
          <w:tcPr>
            <w:tcW w:type="dxa" w:w="16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student</w:t>
            </w:r>
          </w:p>
        </w:tc>
        <w:tc>
          <w:tcPr>
            <w:tcW w:type="dxa" w:w="12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0.05</w:t>
            </w:r>
          </w:p>
        </w:tc>
        <w:tc>
          <w:tcPr>
            <w:tcW w:type="dxa" w:w="1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0.10</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0.85</w:t>
            </w:r>
          </w:p>
        </w:tc>
        <w:tc>
          <w:tcPr>
            <w:tcW w:type="dxa" w:w="3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Aligns with "étudiant"</w:t>
            </w:r>
          </w:p>
        </w:tc>
      </w:tr>
    </w:tbl>
    <w:p>
      <w:pPr>
        <w:spacing w:after="200" w:before="80"/>
        <w:jc w:val="center"/>
      </w:pPr>
      <w:r>
        <w:rPr>
          <w:rFonts w:ascii="Times New Roman" w:cs="Times New Roman" w:eastAsia="Times New Roman" w:hAnsi="Times New Roman"/>
          <w:i/>
          <w:iCs/>
          <w:color w:val="6B7280"/>
          <w:sz w:val="20"/>
          <w:szCs w:val="20"/>
        </w:rPr>
        <w:t xml:space="preserve">Table 3: Hand-computed Bahdanau attention weights for a toy French→English alignment. Each row is a softmax distribution over encoder states (rows sum to 1.0).</w:t>
      </w:r>
    </w:p>
    <w:p>
      <w:pPr>
        <w:spacing w:after="120" w:before="60" w:line="320"/>
        <w:jc w:val="both"/>
      </w:pPr>
      <w:r>
        <w:rPr>
          <w:rFonts w:ascii="Times New Roman" w:cs="Times New Roman" w:eastAsia="Times New Roman" w:hAnsi="Times New Roman"/>
          <w:color w:val="1F2937"/>
          <w:sz w:val="22"/>
          <w:szCs w:val="22"/>
        </w:rPr>
        <w:t xml:space="preserve">Two observations follow directly from the numbers. First, the diagonal-dominant structure (each output token has highest weight on the corresponding input token) is not imposed by the architecture — it is learned from training data and reflects the genuine alignment that exists in the language pair. Second, the exception to diagonality ("a" aligning with "étudiant" rather than with any French token) captures a real linguistic phenomenon: French does not have a separate indefinite article for this construction, so the English article must be generated from the context provided by "étudiant". A rigid positional alignment would fail here; the learned attention distribution succeeds precisely because it is distribution-shaped rather than hard.</w:t>
      </w:r>
    </w:p>
    <w:p>
      <w:pPr>
        <w:spacing w:after="120" w:before="60" w:line="320"/>
        <w:jc w:val="both"/>
      </w:pPr>
      <w:r>
        <w:rPr>
          <w:rFonts w:ascii="Times New Roman" w:cs="Times New Roman" w:eastAsia="Times New Roman" w:hAnsi="Times New Roman"/>
          <w:color w:val="1F2937"/>
          <w:sz w:val="22"/>
          <w:szCs w:val="22"/>
        </w:rPr>
        <w:t xml:space="preserve">Computing context vectors from this matrix requires the encoder hidden states. Assuming schematic values h₁ = [1, 0, 0], h₂ = [0, 1, 0], h₃ = [0, 0, 1] (one-hot for illustration), the context vector for generating "I" is:</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context("I") = 0.85 * h_1 + 0.10 * h_2 + 0.05 * h_3</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 0.85 * [1, 0, 0] + 0.10 * [0, 1, 0] + 0.05 * [0, 0, 1]</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 [0.85, 0.10, 0.05]</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The context is now a weighted blend of all three encoder states,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biased strongly toward 'Je' but not exclusively so.</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 Compare with the fixed-vector case where context = h_3 for every output token.</w:t>
      </w:r>
    </w:p>
    <w:p>
      <w:pPr>
        <w:pStyle w:val="Heading3"/>
        <w:keepNext/>
        <w:keepLines/>
        <w:spacing w:after="80" w:before="200"/>
      </w:pPr>
      <w:r>
        <w:rPr>
          <w:rFonts w:ascii="Calibri" w:cs="Calibri" w:eastAsia="Calibri" w:hAnsi="Calibri"/>
          <w:b/>
          <w:bCs/>
          <w:color w:val="1F4D78"/>
          <w:sz w:val="24"/>
          <w:szCs w:val="24"/>
        </w:rPr>
        <w:t xml:space="preserve">11.2  Open Question — Does "Attention Is All You Need" Still Hold Up?</w:t>
      </w:r>
    </w:p>
    <w:p>
      <w:pPr>
        <w:spacing w:after="120" w:before="60" w:line="320"/>
        <w:jc w:val="both"/>
      </w:pPr>
      <w:r>
        <w:rPr>
          <w:rFonts w:ascii="Times New Roman" w:cs="Times New Roman" w:eastAsia="Times New Roman" w:hAnsi="Times New Roman"/>
          <w:color w:val="1F2937"/>
          <w:sz w:val="22"/>
          <w:szCs w:val="22"/>
        </w:rPr>
        <w:t xml:space="preserve">The 2017 Transformer paper argued that recurrence is not required for high-quality sequence modelling: self-attention alone, layered and scaled, suffices. In 2017 this was a radical claim, and the evidence was strong — the Transformer outperformed the best RNN-based systems on machine translation at a fraction of the training time. In the decade since, however, a new constraint has surfaced that was invisible in the original paper: self-attention's O(n²) complexity in sequence length.</w:t>
      </w:r>
    </w:p>
    <w:p>
      <w:pPr>
        <w:spacing w:after="120" w:before="60" w:line="320"/>
        <w:jc w:val="both"/>
      </w:pPr>
      <w:r>
        <w:rPr>
          <w:rFonts w:ascii="Times New Roman" w:cs="Times New Roman" w:eastAsia="Times New Roman" w:hAnsi="Times New Roman"/>
          <w:color w:val="1F2937"/>
          <w:sz w:val="22"/>
          <w:szCs w:val="22"/>
        </w:rPr>
        <w:t xml:space="preserve">For sequences of a few hundred tokens, quadratic cost is tolerable. For sequences of tens of thousands of tokens — the regime modern long-context models operate in — the quadratic term dominates. This has triggered a wave of architectural research: linear attention approximations (Performer, Linformer), sparse attention patterns (Longformer, BigBird), state-space models (Mamba, S4) that reintroduce recurrence in a more tractable form, and retrieval augmentation that sidesteps long contexts entirely. Each of these, to some degree, walks back the original claim that pure self-attention is sufficient.</w:t>
      </w:r>
    </w:p>
    <w:p>
      <w:pPr>
        <w:spacing w:after="120" w:before="60" w:line="320"/>
        <w:jc w:val="both"/>
      </w:pPr>
      <w:r>
        <w:rPr>
          <w:rFonts w:ascii="Times New Roman" w:cs="Times New Roman" w:eastAsia="Times New Roman" w:hAnsi="Times New Roman"/>
          <w:color w:val="1F2937"/>
          <w:sz w:val="22"/>
          <w:szCs w:val="22"/>
        </w:rPr>
        <w:t xml:space="preserve">The open question this topic raises is therefore: does the architectural thesis of the 2017 paper remain defensible, or has it been quietly revised? A defensible current answer is: the 2017 thesis holds for the regime it addressed (sequences up to a few thousand tokens), but long-context modelling is an emerging regime the original paper did not contemplate. The reintroduction of recurrence-like mechanisms in state-space models is not a refutation of the Transformer — it is an acknowledgement that the problem space has expanded. This distinction — between refuting a thesis and contextualising the domain it applies to — matters for how one reads the current research literature.</w:t>
      </w:r>
    </w:p>
    <w:p>
      <w:pPr>
        <w:pStyle w:val="Heading3"/>
        <w:keepNext/>
        <w:keepLines/>
        <w:spacing w:after="80" w:before="200"/>
      </w:pPr>
      <w:r>
        <w:rPr>
          <w:rFonts w:ascii="Calibri" w:cs="Calibri" w:eastAsia="Calibri" w:hAnsi="Calibri"/>
          <w:b/>
          <w:bCs/>
          <w:color w:val="1F4D78"/>
          <w:sz w:val="24"/>
          <w:szCs w:val="24"/>
        </w:rPr>
        <w:t xml:space="preserve">11.3  Proposed Future Work</w:t>
      </w:r>
    </w:p>
    <w:p>
      <w:pPr>
        <w:spacing w:after="120" w:before="60" w:line="320"/>
        <w:jc w:val="both"/>
      </w:pPr>
      <w:r>
        <w:rPr>
          <w:rFonts w:ascii="Times New Roman" w:cs="Times New Roman" w:eastAsia="Times New Roman" w:hAnsi="Times New Roman"/>
          <w:color w:val="1F2937"/>
          <w:sz w:val="22"/>
          <w:szCs w:val="22"/>
        </w:rPr>
        <w:t xml:space="preserve">One empirical investigation is left as future work, to be executed in a later topic or as a standalone study. The hypothesis is simple and verifiable: the RNN information bottleneck degrades translation or sequence-completion accuracy as sequence length increases, and the degradation is steeper than what would be expected from parameter-count limits alone. A toy experimental protocol would train a small GRU-based encoder–decoder on a synthetic reverse-string task with sequence lengths from 5 to 30 tokens, measure exact-match accuracy as a function of length, and compare with the same accuracy curve for a single-layer Transformer of matched parameter count. The expected result, consistent with the conceptual argument in this topic, is that the RNN accuracy decays sharply beyond a threshold length while the Transformer remains near ceiling. This experiment is not performed in this document but is recorded here as a direction for empirical validation.</w:t>
      </w:r>
    </w:p>
    <w:p>
      <w:pPr>
        <w:pStyle w:val="Heading1"/>
        <w:keepNext/>
        <w:keepLines/>
        <w:spacing w:after="180" w:before="360"/>
      </w:pPr>
      <w:r>
        <w:rPr>
          <w:rFonts w:ascii="Calibri" w:cs="Calibri" w:eastAsia="Calibri" w:hAnsi="Calibri"/>
          <w:b/>
          <w:bCs/>
          <w:color w:val="0D3B6E"/>
          <w:sz w:val="32"/>
          <w:szCs w:val="32"/>
        </w:rPr>
        <w:t xml:space="preserve">12.  Discussion — Relationship to Prior Work</w:t>
      </w:r>
    </w:p>
    <w:p>
      <w:pPr>
        <w:spacing w:after="120" w:before="60" w:line="320"/>
        <w:jc w:val="both"/>
      </w:pPr>
      <w:r>
        <w:rPr>
          <w:rFonts w:ascii="Times New Roman" w:cs="Times New Roman" w:eastAsia="Times New Roman" w:hAnsi="Times New Roman"/>
          <w:color w:val="1F2937"/>
          <w:sz w:val="22"/>
          <w:szCs w:val="22"/>
        </w:rPr>
        <w:t xml:space="preserve">This section situates the conceptual narrative of the topic in relation to the foundational papers that trace the arc from sequential modelling to self-attention. Formal bibliographic entries appear in the References section at the end of the document; the purpose here is interpretive rather than cataloguing.</w:t>
      </w:r>
    </w:p>
    <w:p>
      <w:pPr>
        <w:spacing w:after="120" w:before="60" w:line="320"/>
        <w:jc w:val="both"/>
      </w:pPr>
      <w:r>
        <w:rPr>
          <w:rFonts w:ascii="Times New Roman" w:cs="Times New Roman" w:eastAsia="Times New Roman" w:hAnsi="Times New Roman"/>
          <w:b w:val="false"/>
          <w:bCs w:val="false"/>
          <w:i w:val="false"/>
          <w:iCs w:val="false"/>
          <w:color w:val="1F2937"/>
          <w:sz w:val="22"/>
          <w:szCs w:val="22"/>
        </w:rPr>
        <w:t xml:space="preserve">The LSTM was introduced by Hochreiter and Schmidhuber</w:t>
      </w:r>
      <w:r>
        <w:rPr>
          <w:rFonts w:ascii="Times New Roman" w:cs="Times New Roman" w:eastAsia="Times New Roman" w:hAnsi="Times New Roman"/>
          <w:b/>
          <w:bCs/>
          <w:color w:val="1F2937"/>
          <w:sz w:val="22"/>
          <w:szCs w:val="22"/>
        </w:rPr>
        <w:t xml:space="preserve"> [1]</w:t>
      </w:r>
      <w:r>
        <w:rPr>
          <w:rFonts w:ascii="Times New Roman" w:cs="Times New Roman" w:eastAsia="Times New Roman" w:hAnsi="Times New Roman"/>
          <w:b w:val="false"/>
          <w:bCs w:val="false"/>
          <w:i w:val="false"/>
          <w:iCs w:val="false"/>
          <w:color w:val="1F2937"/>
          <w:sz w:val="22"/>
          <w:szCs w:val="22"/>
        </w:rPr>
        <w:t xml:space="preserve"> in 1997, fifteen years before the deep learning renaissance. The contribution often cited is the cell state and the three-gate architecture, but the deeper theoretical contribution is the identification of vanishing gradients as a distinct problem from the broader difficulty of training recurrent networks. The paper defines the constant error carousel as the mechanism that allows gradients to flow across many time steps without diminishing. This specific framing — isolating gradient flow from representational capacity — is what makes the LSTM a diagnosis as much as a solution. The present topic retains that framing: LSTMs solved gradient flow; they did not solve the information bottleneck, because the bottleneck is a different problem that the LSTM architecture was not designed to address.</w:t>
      </w:r>
    </w:p>
    <w:p>
      <w:pPr>
        <w:spacing w:after="120" w:before="60" w:line="320"/>
        <w:jc w:val="both"/>
      </w:pPr>
      <w:r>
        <w:rPr>
          <w:rFonts w:ascii="Times New Roman" w:cs="Times New Roman" w:eastAsia="Times New Roman" w:hAnsi="Times New Roman"/>
          <w:b w:val="false"/>
          <w:bCs w:val="false"/>
          <w:i w:val="false"/>
          <w:iCs w:val="false"/>
          <w:color w:val="1F2937"/>
          <w:sz w:val="22"/>
          <w:szCs w:val="22"/>
        </w:rPr>
        <w:t xml:space="preserve">Attention was introduced to neural machine translation by Bahdanau, Cho, and Bengio</w:t>
      </w:r>
      <w:r>
        <w:rPr>
          <w:rFonts w:ascii="Times New Roman" w:cs="Times New Roman" w:eastAsia="Times New Roman" w:hAnsi="Times New Roman"/>
          <w:b/>
          <w:bCs/>
          <w:color w:val="1F2937"/>
          <w:sz w:val="22"/>
          <w:szCs w:val="22"/>
        </w:rPr>
        <w:t xml:space="preserve"> [2]</w:t>
      </w:r>
      <w:r>
        <w:rPr>
          <w:rFonts w:ascii="Times New Roman" w:cs="Times New Roman" w:eastAsia="Times New Roman" w:hAnsi="Times New Roman"/>
          <w:b w:val="false"/>
          <w:bCs w:val="false"/>
          <w:i w:val="false"/>
          <w:iCs w:val="false"/>
          <w:color w:val="1F2937"/>
          <w:sz w:val="22"/>
          <w:szCs w:val="22"/>
        </w:rPr>
        <w:t xml:space="preserve"> in 2014 as "soft alignment" — the paper frames the mechanism in the language of the classical NMT literature, where alignment between source and target was a separately modelled step. The innovation was to replace the discrete alignment step with a differentiable, learned one, integrated directly into the sequence-to-sequence architecture. The paper uses the specific phrase "jointly learning to align and translate" to capture this: alignment and translation are no longer separate phases but a single joint learning problem. This perspective — that attention dissolves a previously discrete step into the continuous fabric of the network — is worth preserving as the conceptual lineage of what self-attention later does at a larger scale.</w:t>
      </w:r>
    </w:p>
    <w:p>
      <w:pPr>
        <w:spacing w:after="120" w:before="60" w:line="320"/>
        <w:jc w:val="both"/>
      </w:pPr>
      <w:r>
        <w:rPr>
          <w:rFonts w:ascii="Times New Roman" w:cs="Times New Roman" w:eastAsia="Times New Roman" w:hAnsi="Times New Roman"/>
          <w:b w:val="false"/>
          <w:bCs w:val="false"/>
          <w:i w:val="false"/>
          <w:iCs w:val="false"/>
          <w:color w:val="1F2937"/>
          <w:sz w:val="22"/>
          <w:szCs w:val="22"/>
        </w:rPr>
        <w:t xml:space="preserve">The RNN backbone was removed entirely by Vaswani and colleagues</w:t>
      </w:r>
      <w:r>
        <w:rPr>
          <w:rFonts w:ascii="Times New Roman" w:cs="Times New Roman" w:eastAsia="Times New Roman" w:hAnsi="Times New Roman"/>
          <w:b/>
          <w:bCs/>
          <w:color w:val="1F2937"/>
          <w:sz w:val="22"/>
          <w:szCs w:val="22"/>
        </w:rPr>
        <w:t xml:space="preserve"> [3]</w:t>
      </w:r>
      <w:r>
        <w:rPr>
          <w:rFonts w:ascii="Times New Roman" w:cs="Times New Roman" w:eastAsia="Times New Roman" w:hAnsi="Times New Roman"/>
          <w:b w:val="false"/>
          <w:bCs w:val="false"/>
          <w:i w:val="false"/>
          <w:iCs w:val="false"/>
          <w:color w:val="1F2937"/>
          <w:sz w:val="22"/>
          <w:szCs w:val="22"/>
        </w:rPr>
        <w:t xml:space="preserve"> in 2017. The paper's structural contribution is two-fold: scaled dot-product attention as a specific attention formulation that enables efficient matrix computation (covered in Topic 9), and the observation that attention layers can be stacked in the same way convolutional layers are stacked, producing a fully parallel sequence model. The paper title — "Attention Is All You Need" — is precise: in the original scope (short-to-medium sequence translation), attention alone is sufficient. The extensions to long contexts and the revival of recurrent mechanisms in state-space models, discussed in Section 11.2, represent an expansion of the problem space rather than a refutation of the original claim.</w:t>
      </w:r>
    </w:p>
    <w:p>
      <w:pPr>
        <w:spacing w:after="120" w:before="60" w:line="320"/>
        <w:jc w:val="both"/>
      </w:pPr>
      <w:r>
        <w:rPr>
          <w:rFonts w:ascii="Times New Roman" w:cs="Times New Roman" w:eastAsia="Times New Roman" w:hAnsi="Times New Roman"/>
          <w:b w:val="false"/>
          <w:bCs w:val="false"/>
          <w:i w:val="false"/>
          <w:iCs w:val="false"/>
          <w:color w:val="1F2937"/>
          <w:sz w:val="22"/>
          <w:szCs w:val="22"/>
        </w:rPr>
        <w:t xml:space="preserve">The Transformer decoder was applied to autoregressive language modelling by Radford and colleagues</w:t>
      </w:r>
      <w:r>
        <w:rPr>
          <w:rFonts w:ascii="Times New Roman" w:cs="Times New Roman" w:eastAsia="Times New Roman" w:hAnsi="Times New Roman"/>
          <w:b/>
          <w:bCs/>
          <w:color w:val="1F2937"/>
          <w:sz w:val="22"/>
          <w:szCs w:val="22"/>
        </w:rPr>
        <w:t xml:space="preserve"> [4]</w:t>
      </w:r>
      <w:r>
        <w:rPr>
          <w:rFonts w:ascii="Times New Roman" w:cs="Times New Roman" w:eastAsia="Times New Roman" w:hAnsi="Times New Roman"/>
          <w:b w:val="false"/>
          <w:bCs w:val="false"/>
          <w:i w:val="false"/>
          <w:iCs w:val="false"/>
          <w:color w:val="1F2937"/>
          <w:sz w:val="22"/>
          <w:szCs w:val="22"/>
        </w:rPr>
        <w:t xml:space="preserve"> in 2019. The architectural contribution is smaller than the previous three papers — GPT-2 uses the Transformer decoder block essentially as-is, with causal masking added. The paper's significance is empirical rather than architectural: it established that scaling a Transformer decoder to 1.5B parameters and training on web-scale text produces a language model whose capabilities generalise across tasks without task-specific fine-tuning. The specific architectural choices that carry forward from this paper into the rest of the series — decoder-only, causal self-attention, learned positional embeddings, byte-pair encoding — are all established in GPT-2 and remain the default for modern decoder-only language models.</w:t>
      </w:r>
    </w:p>
    <w:p>
      <w:pPr>
        <w:pStyle w:val="Heading1"/>
        <w:keepNext/>
        <w:keepLines/>
        <w:spacing w:after="180" w:before="360"/>
      </w:pPr>
      <w:r>
        <w:rPr>
          <w:rFonts w:ascii="Calibri" w:cs="Calibri" w:eastAsia="Calibri" w:hAnsi="Calibri"/>
          <w:b/>
          <w:bCs/>
          <w:color w:val="0D3B6E"/>
          <w:sz w:val="32"/>
          <w:szCs w:val="32"/>
        </w:rPr>
        <w:t xml:space="preserve">13.  What Comes Next</w:t>
      </w:r>
    </w:p>
    <w:p>
      <w:pPr>
        <w:spacing w:after="120" w:before="60" w:line="320"/>
        <w:jc w:val="both"/>
      </w:pPr>
      <w:r>
        <w:rPr>
          <w:rFonts w:ascii="Times New Roman" w:cs="Times New Roman" w:eastAsia="Times New Roman" w:hAnsi="Times New Roman"/>
          <w:color w:val="1F2937"/>
          <w:sz w:val="22"/>
          <w:szCs w:val="22"/>
        </w:rPr>
        <w:t xml:space="preserve">The remainder of Stage 2 implements the concepts introduced here. Each topic takes one specific component of the full attention mechanism and builds it from scratch in PyTorch.</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Topic 8 — Simplified Self-Attention. </w:t>
      </w:r>
      <w:r>
        <w:rPr>
          <w:rFonts w:ascii="Times New Roman" w:cs="Times New Roman" w:eastAsia="Times New Roman" w:hAnsi="Times New Roman"/>
          <w:b w:val="false"/>
          <w:bCs w:val="false"/>
          <w:i w:val="false"/>
          <w:iCs w:val="false"/>
          <w:color w:val="1F2937"/>
          <w:sz w:val="22"/>
          <w:szCs w:val="22"/>
        </w:rPr>
        <w:t xml:space="preserve">Implements self-attention from scratch without trainable weights. Manually computes attention scores using dot products, applies softmax normalisation, and produces context vectors. Establishes the mathematical core of the mechanism in its simplest form.</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Topic 9 — Self-Attention with Q/K/V. </w:t>
      </w:r>
      <w:r>
        <w:rPr>
          <w:rFonts w:ascii="Times New Roman" w:cs="Times New Roman" w:eastAsia="Times New Roman" w:hAnsi="Times New Roman"/>
          <w:b w:val="false"/>
          <w:bCs w:val="false"/>
          <w:i w:val="false"/>
          <w:iCs w:val="false"/>
          <w:color w:val="1F2937"/>
          <w:sz w:val="22"/>
          <w:szCs w:val="22"/>
        </w:rPr>
        <w:t xml:space="preserve">Introduces the three trainable projection matrices W_Q, W_K, and W_V. This is the full, trainable version of self-attention: the model learns what to query, what to match against, and what to aggregate. Derives the 1/√d_k scaling factor used in production.</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Topic 10 — Causal Self-Attention. </w:t>
      </w:r>
      <w:r>
        <w:rPr>
          <w:rFonts w:ascii="Times New Roman" w:cs="Times New Roman" w:eastAsia="Times New Roman" w:hAnsi="Times New Roman"/>
          <w:b w:val="false"/>
          <w:bCs w:val="false"/>
          <w:i w:val="false"/>
          <w:iCs w:val="false"/>
          <w:color w:val="1F2937"/>
          <w:sz w:val="22"/>
          <w:szCs w:val="22"/>
        </w:rPr>
        <w:t xml:space="preserve">Adds the causal mask that prevents the model from attending to future tokens. This is required for autoregressive language generation where the model predicts the next token given only the tokens before it. Also introduces dropout on attention weights.</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Topics 11–12 — Multi-Head Attention. </w:t>
      </w:r>
      <w:r>
        <w:rPr>
          <w:rFonts w:ascii="Times New Roman" w:cs="Times New Roman" w:eastAsia="Times New Roman" w:hAnsi="Times New Roman"/>
          <w:b w:val="false"/>
          <w:bCs w:val="false"/>
          <w:i w:val="false"/>
          <w:iCs w:val="false"/>
          <w:color w:val="1F2937"/>
          <w:sz w:val="22"/>
          <w:szCs w:val="22"/>
        </w:rPr>
        <w:t xml:space="preserve">Runs multiple self-attention operations in parallel. Each head learns to attend to different aspects of the input simultaneously. Topic 11 builds the conceptual wrapper version; Topic 12 builds the efficient weight-split version used in production GPT-2.</w:t>
      </w:r>
    </w:p>
    <w:p>
      <w:pPr>
        <w:spacing w:after="120" w:before="60" w:line="320"/>
        <w:jc w:val="both"/>
      </w:pPr>
      <w:r>
        <w:rPr>
          <w:rFonts w:ascii="Times New Roman" w:cs="Times New Roman" w:eastAsia="Times New Roman" w:hAnsi="Times New Roman"/>
          <w:color w:val="1F2937"/>
          <w:sz w:val="22"/>
          <w:szCs w:val="22"/>
        </w:rPr>
        <w:t xml:space="preserve">By the end of Stage 2, the full attention mechanism used in GPT-2 will be implemented, tested, and understood at the level of individual tensor operations. Stages 3 through 5 then build the surrounding architecture (Layer Normalization, Feed-Forward, shortcuts, the full Transformer block), the pretraining loop, and the finetuning stages.</w:t>
      </w:r>
    </w:p>
    <w:p>
      <w:pPr>
        <w:pStyle w:val="Heading1"/>
        <w:keepNext/>
        <w:keepLines/>
        <w:pageBreakBefore/>
        <w:spacing w:after="180" w:before="360"/>
      </w:pPr>
      <w:r>
        <w:rPr>
          <w:rFonts w:ascii="Calibri" w:cs="Calibri" w:eastAsia="Calibri" w:hAnsi="Calibri"/>
          <w:b/>
          <w:bCs/>
          <w:color w:val="0D3B6E"/>
          <w:sz w:val="32"/>
          <w:szCs w:val="32"/>
        </w:rPr>
        <w:t xml:space="preserve">References</w:t>
      </w:r>
    </w:p>
    <w:p>
      <w:pPr>
        <w:spacing w:after="120" w:before="60" w:line="320"/>
        <w:jc w:val="both"/>
      </w:pPr>
      <w:r>
        <w:rPr>
          <w:rFonts w:ascii="Times New Roman" w:cs="Times New Roman" w:eastAsia="Times New Roman" w:hAnsi="Times New Roman"/>
          <w:color w:val="1F2937"/>
          <w:sz w:val="22"/>
          <w:szCs w:val="22"/>
        </w:rPr>
        <w:t xml:space="preserve">References are listed in IEEE numeric format. Each reference is cited inline in the body of this document using the corresponding number in square brackets.</w:t>
      </w:r>
    </w:p>
    <w:p>
      <w:pPr>
        <w:spacing w:after="120" w:before="120" w:line="320"/>
        <w:jc w:val="both"/>
      </w:pPr>
      <w:r>
        <w:rPr>
          <w:rFonts w:ascii="Times New Roman" w:cs="Times New Roman" w:eastAsia="Times New Roman" w:hAnsi="Times New Roman"/>
          <w:b/>
          <w:bCs/>
          <w:color w:val="1F2937"/>
          <w:sz w:val="22"/>
          <w:szCs w:val="22"/>
        </w:rPr>
        <w:t xml:space="preserve">[1]  </w:t>
      </w:r>
      <w:r>
        <w:rPr>
          <w:rFonts w:ascii="Times New Roman" w:cs="Times New Roman" w:eastAsia="Times New Roman" w:hAnsi="Times New Roman"/>
          <w:color w:val="1F2937"/>
          <w:sz w:val="22"/>
          <w:szCs w:val="22"/>
        </w:rPr>
        <w:t xml:space="preserve">S. Hochreiter and J. Schmidhuber</w:t>
      </w:r>
      <w:r>
        <w:rPr>
          <w:rFonts w:ascii="Times New Roman" w:cs="Times New Roman" w:eastAsia="Times New Roman" w:hAnsi="Times New Roman"/>
          <w:i/>
          <w:iCs/>
          <w:color w:val="1F2937"/>
          <w:sz w:val="22"/>
          <w:szCs w:val="22"/>
        </w:rPr>
        <w:t xml:space="preserve">, "Long Short-Term Memory,"</w:t>
      </w:r>
      <w:r>
        <w:rPr>
          <w:rFonts w:ascii="Times New Roman" w:cs="Times New Roman" w:eastAsia="Times New Roman" w:hAnsi="Times New Roman"/>
          <w:color w:val="1F2937"/>
          <w:sz w:val="22"/>
          <w:szCs w:val="22"/>
        </w:rPr>
        <w:t xml:space="preserve"> </w:t>
      </w:r>
      <w:r>
        <w:rPr>
          <w:rFonts w:ascii="Times New Roman" w:cs="Times New Roman" w:eastAsia="Times New Roman" w:hAnsi="Times New Roman"/>
          <w:i/>
          <w:iCs/>
          <w:color w:val="1F2937"/>
          <w:sz w:val="22"/>
          <w:szCs w:val="22"/>
        </w:rPr>
        <w:t xml:space="preserve">Neural Computation</w:t>
      </w:r>
      <w:r>
        <w:rPr>
          <w:rFonts w:ascii="Times New Roman" w:cs="Times New Roman" w:eastAsia="Times New Roman" w:hAnsi="Times New Roman"/>
          <w:color w:val="1F2937"/>
          <w:sz w:val="22"/>
          <w:szCs w:val="22"/>
        </w:rPr>
        <w:t xml:space="preserve">, vol. 9, no. 8, pp. 1735–1780, 1997.</w:t>
      </w:r>
    </w:p>
    <w:p>
      <w:pPr>
        <w:spacing w:after="120" w:before="120" w:line="320"/>
        <w:jc w:val="both"/>
      </w:pPr>
      <w:r>
        <w:rPr>
          <w:rFonts w:ascii="Times New Roman" w:cs="Times New Roman" w:eastAsia="Times New Roman" w:hAnsi="Times New Roman"/>
          <w:b/>
          <w:bCs/>
          <w:color w:val="1F2937"/>
          <w:sz w:val="22"/>
          <w:szCs w:val="22"/>
        </w:rPr>
        <w:t xml:space="preserve">[2]  </w:t>
      </w:r>
      <w:r>
        <w:rPr>
          <w:rFonts w:ascii="Times New Roman" w:cs="Times New Roman" w:eastAsia="Times New Roman" w:hAnsi="Times New Roman"/>
          <w:color w:val="1F2937"/>
          <w:sz w:val="22"/>
          <w:szCs w:val="22"/>
        </w:rPr>
        <w:t xml:space="preserve">D. Bahdanau, K. Cho, and Y. Bengio</w:t>
      </w:r>
      <w:r>
        <w:rPr>
          <w:rFonts w:ascii="Times New Roman" w:cs="Times New Roman" w:eastAsia="Times New Roman" w:hAnsi="Times New Roman"/>
          <w:i/>
          <w:iCs/>
          <w:color w:val="1F2937"/>
          <w:sz w:val="22"/>
          <w:szCs w:val="22"/>
        </w:rPr>
        <w:t xml:space="preserve">, "Neural Machine Translation by Jointly Learning to Align and Translate,"</w:t>
      </w:r>
      <w:r>
        <w:rPr>
          <w:rFonts w:ascii="Times New Roman" w:cs="Times New Roman" w:eastAsia="Times New Roman" w:hAnsi="Times New Roman"/>
          <w:color w:val="1F2937"/>
          <w:sz w:val="22"/>
          <w:szCs w:val="22"/>
        </w:rPr>
        <w:t xml:space="preserve"> </w:t>
      </w:r>
      <w:r>
        <w:rPr>
          <w:rFonts w:ascii="Times New Roman" w:cs="Times New Roman" w:eastAsia="Times New Roman" w:hAnsi="Times New Roman"/>
          <w:i/>
          <w:iCs/>
          <w:color w:val="1F2937"/>
          <w:sz w:val="22"/>
          <w:szCs w:val="22"/>
        </w:rPr>
        <w:t xml:space="preserve">Proceedings of the International Conference on Learning Representations (ICLR)</w:t>
      </w:r>
      <w:r>
        <w:rPr>
          <w:rFonts w:ascii="Times New Roman" w:cs="Times New Roman" w:eastAsia="Times New Roman" w:hAnsi="Times New Roman"/>
          <w:color w:val="1F2937"/>
          <w:sz w:val="22"/>
          <w:szCs w:val="22"/>
        </w:rPr>
        <w:t xml:space="preserve">, 2015. arXiv:1409.0473.</w:t>
      </w:r>
    </w:p>
    <w:p>
      <w:pPr>
        <w:spacing w:after="120" w:before="120" w:line="320"/>
        <w:jc w:val="both"/>
      </w:pPr>
      <w:r>
        <w:rPr>
          <w:rFonts w:ascii="Times New Roman" w:cs="Times New Roman" w:eastAsia="Times New Roman" w:hAnsi="Times New Roman"/>
          <w:b/>
          <w:bCs/>
          <w:color w:val="1F2937"/>
          <w:sz w:val="22"/>
          <w:szCs w:val="22"/>
        </w:rPr>
        <w:t xml:space="preserve">[3]  </w:t>
      </w:r>
      <w:r>
        <w:rPr>
          <w:rFonts w:ascii="Times New Roman" w:cs="Times New Roman" w:eastAsia="Times New Roman" w:hAnsi="Times New Roman"/>
          <w:color w:val="1F2937"/>
          <w:sz w:val="22"/>
          <w:szCs w:val="22"/>
        </w:rPr>
        <w:t xml:space="preserve">A. Vaswani, N. Shazeer, N. Parmar, J. Uszkoreit, L. Jones, A. N. Gomez, Ł. Kaiser, and I. Polosukhin</w:t>
      </w:r>
      <w:r>
        <w:rPr>
          <w:rFonts w:ascii="Times New Roman" w:cs="Times New Roman" w:eastAsia="Times New Roman" w:hAnsi="Times New Roman"/>
          <w:i/>
          <w:iCs/>
          <w:color w:val="1F2937"/>
          <w:sz w:val="22"/>
          <w:szCs w:val="22"/>
        </w:rPr>
        <w:t xml:space="preserve">, "Attention Is All You Need,"</w:t>
      </w:r>
      <w:r>
        <w:rPr>
          <w:rFonts w:ascii="Times New Roman" w:cs="Times New Roman" w:eastAsia="Times New Roman" w:hAnsi="Times New Roman"/>
          <w:color w:val="1F2937"/>
          <w:sz w:val="22"/>
          <w:szCs w:val="22"/>
        </w:rPr>
        <w:t xml:space="preserve"> </w:t>
      </w:r>
      <w:r>
        <w:rPr>
          <w:rFonts w:ascii="Times New Roman" w:cs="Times New Roman" w:eastAsia="Times New Roman" w:hAnsi="Times New Roman"/>
          <w:i/>
          <w:iCs/>
          <w:color w:val="1F2937"/>
          <w:sz w:val="22"/>
          <w:szCs w:val="22"/>
        </w:rPr>
        <w:t xml:space="preserve">Advances in Neural Information Processing Systems (NeurIPS)</w:t>
      </w:r>
      <w:r>
        <w:rPr>
          <w:rFonts w:ascii="Times New Roman" w:cs="Times New Roman" w:eastAsia="Times New Roman" w:hAnsi="Times New Roman"/>
          <w:color w:val="1F2937"/>
          <w:sz w:val="22"/>
          <w:szCs w:val="22"/>
        </w:rPr>
        <w:t xml:space="preserve">, 2017, pp. 5998–6008.</w:t>
      </w:r>
    </w:p>
    <w:p>
      <w:pPr>
        <w:spacing w:after="120" w:before="120" w:line="320"/>
        <w:jc w:val="both"/>
      </w:pPr>
      <w:r>
        <w:rPr>
          <w:rFonts w:ascii="Times New Roman" w:cs="Times New Roman" w:eastAsia="Times New Roman" w:hAnsi="Times New Roman"/>
          <w:b/>
          <w:bCs/>
          <w:color w:val="1F2937"/>
          <w:sz w:val="22"/>
          <w:szCs w:val="22"/>
        </w:rPr>
        <w:t xml:space="preserve">[4]  </w:t>
      </w:r>
      <w:r>
        <w:rPr>
          <w:rFonts w:ascii="Times New Roman" w:cs="Times New Roman" w:eastAsia="Times New Roman" w:hAnsi="Times New Roman"/>
          <w:color w:val="1F2937"/>
          <w:sz w:val="22"/>
          <w:szCs w:val="22"/>
        </w:rPr>
        <w:t xml:space="preserve">A. Radford, J. Wu, R. Child, D. Luan, D. Amodei, and I. Sutskever</w:t>
      </w:r>
      <w:r>
        <w:rPr>
          <w:rFonts w:ascii="Times New Roman" w:cs="Times New Roman" w:eastAsia="Times New Roman" w:hAnsi="Times New Roman"/>
          <w:i/>
          <w:iCs/>
          <w:color w:val="1F2937"/>
          <w:sz w:val="22"/>
          <w:szCs w:val="22"/>
        </w:rPr>
        <w:t xml:space="preserve">, "Language Models are Unsupervised Multitask Learners,"</w:t>
      </w:r>
      <w:r>
        <w:rPr>
          <w:rFonts w:ascii="Times New Roman" w:cs="Times New Roman" w:eastAsia="Times New Roman" w:hAnsi="Times New Roman"/>
          <w:color w:val="1F2937"/>
          <w:sz w:val="22"/>
          <w:szCs w:val="22"/>
        </w:rPr>
        <w:t xml:space="preserve"> </w:t>
      </w:r>
      <w:r>
        <w:rPr>
          <w:rFonts w:ascii="Times New Roman" w:cs="Times New Roman" w:eastAsia="Times New Roman" w:hAnsi="Times New Roman"/>
          <w:i/>
          <w:iCs/>
          <w:color w:val="1F2937"/>
          <w:sz w:val="22"/>
          <w:szCs w:val="22"/>
        </w:rPr>
        <w:t xml:space="preserve">OpenAI Technical Report</w:t>
      </w:r>
      <w:r>
        <w:rPr>
          <w:rFonts w:ascii="Times New Roman" w:cs="Times New Roman" w:eastAsia="Times New Roman" w:hAnsi="Times New Roman"/>
          <w:color w:val="1F2937"/>
          <w:sz w:val="22"/>
          <w:szCs w:val="22"/>
        </w:rPr>
        <w:t xml:space="preserve">, 2019.</w:t>
      </w:r>
    </w:p>
    <w:p>
      <w:pPr>
        <w:spacing w:after="120" w:before="120" w:line="320"/>
        <w:jc w:val="both"/>
      </w:pPr>
      <w:r>
        <w:rPr>
          <w:rFonts w:ascii="Times New Roman" w:cs="Times New Roman" w:eastAsia="Times New Roman" w:hAnsi="Times New Roman"/>
          <w:b/>
          <w:bCs/>
          <w:color w:val="1F2937"/>
          <w:sz w:val="22"/>
          <w:szCs w:val="22"/>
        </w:rPr>
        <w:t xml:space="preserve">[5]  </w:t>
      </w:r>
      <w:r>
        <w:rPr>
          <w:rFonts w:ascii="Times New Roman" w:cs="Times New Roman" w:eastAsia="Times New Roman" w:hAnsi="Times New Roman"/>
          <w:color w:val="1F2937"/>
          <w:sz w:val="22"/>
          <w:szCs w:val="22"/>
        </w:rPr>
        <w:t xml:space="preserve">J. L. Elman</w:t>
      </w:r>
      <w:r>
        <w:rPr>
          <w:rFonts w:ascii="Times New Roman" w:cs="Times New Roman" w:eastAsia="Times New Roman" w:hAnsi="Times New Roman"/>
          <w:i/>
          <w:iCs/>
          <w:color w:val="1F2937"/>
          <w:sz w:val="22"/>
          <w:szCs w:val="22"/>
        </w:rPr>
        <w:t xml:space="preserve">, "Finding Structure in Time,"</w:t>
      </w:r>
      <w:r>
        <w:rPr>
          <w:rFonts w:ascii="Times New Roman" w:cs="Times New Roman" w:eastAsia="Times New Roman" w:hAnsi="Times New Roman"/>
          <w:color w:val="1F2937"/>
          <w:sz w:val="22"/>
          <w:szCs w:val="22"/>
        </w:rPr>
        <w:t xml:space="preserve"> </w:t>
      </w:r>
      <w:r>
        <w:rPr>
          <w:rFonts w:ascii="Times New Roman" w:cs="Times New Roman" w:eastAsia="Times New Roman" w:hAnsi="Times New Roman"/>
          <w:i/>
          <w:iCs/>
          <w:color w:val="1F2937"/>
          <w:sz w:val="22"/>
          <w:szCs w:val="22"/>
        </w:rPr>
        <w:t xml:space="preserve">Cognitive Science</w:t>
      </w:r>
      <w:r>
        <w:rPr>
          <w:rFonts w:ascii="Times New Roman" w:cs="Times New Roman" w:eastAsia="Times New Roman" w:hAnsi="Times New Roman"/>
          <w:color w:val="1F2937"/>
          <w:sz w:val="22"/>
          <w:szCs w:val="22"/>
        </w:rPr>
        <w:t xml:space="preserve">, vol. 14, no. 2, pp. 179–211, 1990.</w:t>
      </w:r>
    </w:p>
    <w:p>
      <w:pPr>
        <w:spacing w:after="120" w:before="120" w:line="320"/>
        <w:jc w:val="both"/>
      </w:pPr>
      <w:r>
        <w:rPr>
          <w:rFonts w:ascii="Times New Roman" w:cs="Times New Roman" w:eastAsia="Times New Roman" w:hAnsi="Times New Roman"/>
          <w:b/>
          <w:bCs/>
          <w:color w:val="1F2937"/>
          <w:sz w:val="22"/>
          <w:szCs w:val="22"/>
        </w:rPr>
        <w:t xml:space="preserve">[6]  </w:t>
      </w:r>
      <w:r>
        <w:rPr>
          <w:rFonts w:ascii="Times New Roman" w:cs="Times New Roman" w:eastAsia="Times New Roman" w:hAnsi="Times New Roman"/>
          <w:color w:val="1F2937"/>
          <w:sz w:val="22"/>
          <w:szCs w:val="22"/>
        </w:rPr>
        <w:t xml:space="preserve">Y. Bengio, P. Simard, and P. Frasconi</w:t>
      </w:r>
      <w:r>
        <w:rPr>
          <w:rFonts w:ascii="Times New Roman" w:cs="Times New Roman" w:eastAsia="Times New Roman" w:hAnsi="Times New Roman"/>
          <w:i/>
          <w:iCs/>
          <w:color w:val="1F2937"/>
          <w:sz w:val="22"/>
          <w:szCs w:val="22"/>
        </w:rPr>
        <w:t xml:space="preserve">, "Learning Long-Term Dependencies with Gradient Descent is Difficult,"</w:t>
      </w:r>
      <w:r>
        <w:rPr>
          <w:rFonts w:ascii="Times New Roman" w:cs="Times New Roman" w:eastAsia="Times New Roman" w:hAnsi="Times New Roman"/>
          <w:color w:val="1F2937"/>
          <w:sz w:val="22"/>
          <w:szCs w:val="22"/>
        </w:rPr>
        <w:t xml:space="preserve"> </w:t>
      </w:r>
      <w:r>
        <w:rPr>
          <w:rFonts w:ascii="Times New Roman" w:cs="Times New Roman" w:eastAsia="Times New Roman" w:hAnsi="Times New Roman"/>
          <w:i/>
          <w:iCs/>
          <w:color w:val="1F2937"/>
          <w:sz w:val="22"/>
          <w:szCs w:val="22"/>
        </w:rPr>
        <w:t xml:space="preserve">IEEE Transactions on Neural Networks</w:t>
      </w:r>
      <w:r>
        <w:rPr>
          <w:rFonts w:ascii="Times New Roman" w:cs="Times New Roman" w:eastAsia="Times New Roman" w:hAnsi="Times New Roman"/>
          <w:color w:val="1F2937"/>
          <w:sz w:val="22"/>
          <w:szCs w:val="22"/>
        </w:rPr>
        <w:t xml:space="preserve">, vol. 5, no. 2, pp. 157–166, 1994.</w:t>
      </w:r>
    </w:p>
    <w:p>
      <w:pPr>
        <w:spacing w:after="120" w:before="120" w:line="320"/>
        <w:jc w:val="both"/>
      </w:pPr>
      <w:r>
        <w:rPr>
          <w:rFonts w:ascii="Times New Roman" w:cs="Times New Roman" w:eastAsia="Times New Roman" w:hAnsi="Times New Roman"/>
          <w:b/>
          <w:bCs/>
          <w:color w:val="1F2937"/>
          <w:sz w:val="22"/>
          <w:szCs w:val="22"/>
        </w:rPr>
        <w:t xml:space="preserve">[7]  </w:t>
      </w:r>
      <w:r>
        <w:rPr>
          <w:rFonts w:ascii="Times New Roman" w:cs="Times New Roman" w:eastAsia="Times New Roman" w:hAnsi="Times New Roman"/>
          <w:color w:val="1F2937"/>
          <w:sz w:val="22"/>
          <w:szCs w:val="22"/>
        </w:rPr>
        <w:t xml:space="preserve">I. Sutskever, O. Vinyals, and Q. V. Le</w:t>
      </w:r>
      <w:r>
        <w:rPr>
          <w:rFonts w:ascii="Times New Roman" w:cs="Times New Roman" w:eastAsia="Times New Roman" w:hAnsi="Times New Roman"/>
          <w:i/>
          <w:iCs/>
          <w:color w:val="1F2937"/>
          <w:sz w:val="22"/>
          <w:szCs w:val="22"/>
        </w:rPr>
        <w:t xml:space="preserve">, "Sequence to Sequence Learning with Neural Networks,"</w:t>
      </w:r>
      <w:r>
        <w:rPr>
          <w:rFonts w:ascii="Times New Roman" w:cs="Times New Roman" w:eastAsia="Times New Roman" w:hAnsi="Times New Roman"/>
          <w:color w:val="1F2937"/>
          <w:sz w:val="22"/>
          <w:szCs w:val="22"/>
        </w:rPr>
        <w:t xml:space="preserve"> </w:t>
      </w:r>
      <w:r>
        <w:rPr>
          <w:rFonts w:ascii="Times New Roman" w:cs="Times New Roman" w:eastAsia="Times New Roman" w:hAnsi="Times New Roman"/>
          <w:i/>
          <w:iCs/>
          <w:color w:val="1F2937"/>
          <w:sz w:val="22"/>
          <w:szCs w:val="22"/>
        </w:rPr>
        <w:t xml:space="preserve">Advances in Neural Information Processing Systems (NeurIPS)</w:t>
      </w:r>
      <w:r>
        <w:rPr>
          <w:rFonts w:ascii="Times New Roman" w:cs="Times New Roman" w:eastAsia="Times New Roman" w:hAnsi="Times New Roman"/>
          <w:color w:val="1F2937"/>
          <w:sz w:val="22"/>
          <w:szCs w:val="22"/>
        </w:rPr>
        <w:t xml:space="preserve">, 2014, pp. 3104–3112.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360"/>
      </w:tabs>
    </w:pPr>
    <w:r>
      <w:rPr>
        <w:rFonts w:ascii="Times New Roman" w:cs="Times New Roman" w:eastAsia="Times New Roman" w:hAnsi="Times New Roman"/>
        <w:i/>
        <w:iCs/>
        <w:color w:val="6B7280"/>
        <w:sz w:val="18"/>
        <w:szCs w:val="18"/>
      </w:rPr>
      <w:t xml:space="preserve">Shiva Kiran Dadishetty  ·  Version 1.0</w:t>
    </w:r>
    <w:r>
      <w:rPr>
        <w:rFonts w:ascii="Times New Roman" w:cs="Times New Roman" w:eastAsia="Times New Roman" w:hAnsi="Times New Roman"/>
        <w:i/>
        <w:iCs/>
        <w:color w:val="6B7280"/>
        <w:sz w:val="18"/>
        <w:szCs w:val="18"/>
      </w:rPr>
      <w:t xml:space="preserve">	Page </w:t>
    </w:r>
    <w:r>
      <w:rPr>
        <w:rFonts w:ascii="Times New Roman" w:cs="Times New Roman" w:eastAsia="Times New Roman" w:hAnsi="Times New Roman"/>
        <w:b/>
        <w:bCs/>
        <w:i/>
        <w:iCs/>
        <w:color w:val="6B7280"/>
        <w:sz w:val="18"/>
        <w:szCs w:val="18"/>
      </w:rPr>
      <w:fldChar w:fldCharType="begin"/>
      <w:instrText xml:space="preserve">PAGE</w:instrText>
      <w:fldChar w:fldCharType="separate"/>
      <w:fldChar w:fldCharType="end"/>
    </w:r>
    <w:r>
      <w:rPr>
        <w:rFonts w:ascii="Times New Roman" w:cs="Times New Roman" w:eastAsia="Times New Roman" w:hAnsi="Times New Roman"/>
        <w:i/>
        <w:iCs/>
        <w:color w:val="6B7280"/>
        <w:sz w:val="18"/>
        <w:szCs w:val="18"/>
      </w:rPr>
      <w:t xml:space="preserve"> of </w:t>
    </w:r>
    <w:r>
      <w:rPr>
        <w:rFonts w:ascii="Times New Roman" w:cs="Times New Roman" w:eastAsia="Times New Roman" w:hAnsi="Times New Roman"/>
        <w:i/>
        <w:iCs/>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tabs>
        <w:tab w:val="right" w:pos="9360"/>
      </w:tabs>
    </w:pPr>
    <w:r>
      <w:rPr>
        <w:rFonts w:ascii="Times New Roman" w:cs="Times New Roman" w:eastAsia="Times New Roman" w:hAnsi="Times New Roman"/>
        <w:i/>
        <w:iCs/>
        <w:color w:val="6B7280"/>
        <w:sz w:val="18"/>
        <w:szCs w:val="18"/>
      </w:rPr>
      <w:t xml:space="preserve">Topic 7  —  Introduction to Attention</w:t>
    </w:r>
    <w:r>
      <w:rPr>
        <w:rFonts w:ascii="Times New Roman" w:cs="Times New Roman" w:eastAsia="Times New Roman" w:hAnsi="Times New Roman"/>
        <w:i/>
        <w:iCs/>
        <w:color w:val="6B7280"/>
        <w:sz w:val="18"/>
        <w:szCs w:val="18"/>
      </w:rPr>
      <w:t xml:space="preserve">	Building LLMs from Scratch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D3B6E"/>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D3B6E"/>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fll20g6vppefnldrj_ka" Type="http://schemas.openxmlformats.org/officeDocument/2006/relationships/hyperlink" Target="https://github.com/shivakiran-ai/llm-from-scratch" TargetMode="External"/><Relationship Id="rId9" Type="http://schemas.openxmlformats.org/officeDocument/2006/relationships/image" Target="media/e6c2dc85db3c6d2a9229bc2c76eea03bd1eae94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2026-04-17T07:52:07.751Z</dcterms:created>
  <dcterms:modified xsi:type="dcterms:W3CDTF">2026-04-17T07:52:07.752Z</dcterms:modified>
</cp:coreProperties>
</file>

<file path=docProps/custom.xml><?xml version="1.0" encoding="utf-8"?>
<Properties xmlns="http://schemas.openxmlformats.org/officeDocument/2006/custom-properties" xmlns:vt="http://schemas.openxmlformats.org/officeDocument/2006/docPropsVTypes"/>
</file>