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Calibri" w:cs="Calibri" w:eastAsia="Calibri" w:hAnsi="Calibri"/>
          <w:b/>
          <w:bCs/>
          <w:color w:val="0D3B6E"/>
          <w:sz w:val="28"/>
          <w:szCs w:val="28"/>
        </w:rPr>
        <w:t xml:space="preserve">BUILDING LLMs FROM SCRATCH</w:t>
      </w:r>
    </w:p>
    <w:p>
      <w:pPr>
        <w:spacing w:after="400" w:before="0"/>
        <w:jc w:val="center"/>
      </w:pPr>
      <w:r>
        <w:rPr>
          <w:rFonts w:ascii="Times New Roman" w:cs="Times New Roman" w:eastAsia="Times New Roman" w:hAnsi="Times New Roman"/>
          <w:i/>
          <w:iCs/>
          <w:color w:val="6B7280"/>
          <w:sz w:val="20"/>
          <w:szCs w:val="20"/>
        </w:rPr>
        <w:t xml:space="preserve">Technical Report   ·   Stage 2: The Attention Mechanism</w:t>
      </w:r>
    </w:p>
    <w:p>
      <w:pPr>
        <w:spacing w:after="80" w:before="400"/>
        <w:jc w:val="center"/>
      </w:pPr>
      <w:r>
        <w:rPr>
          <w:rFonts w:ascii="Calibri" w:cs="Calibri" w:eastAsia="Calibri" w:hAnsi="Calibri"/>
          <w:b/>
          <w:bCs/>
          <w:color w:val="2E75B6"/>
          <w:sz w:val="28"/>
          <w:szCs w:val="28"/>
        </w:rPr>
        <w:t xml:space="preserve">Topic 8</w:t>
      </w:r>
    </w:p>
    <w:p>
      <w:pPr>
        <w:spacing w:after="80" w:before="0"/>
        <w:jc w:val="center"/>
      </w:pPr>
      <w:r>
        <w:rPr>
          <w:rFonts w:ascii="Calibri" w:cs="Calibri" w:eastAsia="Calibri" w:hAnsi="Calibri"/>
          <w:b/>
          <w:bCs/>
          <w:color w:val="0D3B6E"/>
          <w:sz w:val="48"/>
          <w:szCs w:val="48"/>
        </w:rPr>
        <w:t xml:space="preserve">Simplified Self-Attention</w:t>
      </w:r>
    </w:p>
    <w:p>
      <w:pPr>
        <w:spacing w:after="300" w:before="0"/>
        <w:jc w:val="center"/>
      </w:pPr>
      <w:r>
        <w:rPr>
          <w:rFonts w:ascii="Times New Roman" w:cs="Times New Roman" w:eastAsia="Times New Roman" w:hAnsi="Times New Roman"/>
          <w:i/>
          <w:iCs/>
          <w:color w:val="6B7280"/>
          <w:sz w:val="22"/>
          <w:szCs w:val="22"/>
        </w:rPr>
        <w:t xml:space="preserve">Attention without trainable weights — dot products, softmax, and context vectors</w:t>
      </w:r>
    </w:p>
    <w:p>
      <w:pPr>
        <w:spacing w:after="240" w:before="120"/>
        <w:jc w:val="center"/>
      </w:pPr>
      <w:r>
        <w:rPr>
          <w:rFonts w:ascii="Calibri" w:cs="Calibri" w:eastAsia="Calibri" w:hAnsi="Calibri"/>
          <w:color w:val="F59E0B"/>
          <w:sz w:val="24"/>
          <w:szCs w:val="24"/>
        </w:rPr>
        <w:t xml:space="preserve">━━━━━━━━━━━━━━</w:t>
      </w:r>
    </w:p>
    <w:p>
      <w:pPr>
        <w:spacing w:after="40" w:before="0"/>
        <w:jc w:val="center"/>
      </w:pPr>
      <w:r>
        <w:rPr>
          <w:rFonts w:ascii="Times New Roman" w:cs="Times New Roman" w:eastAsia="Times New Roman" w:hAnsi="Times New Roman"/>
          <w:b/>
          <w:bCs/>
          <w:color w:val="1F2937"/>
          <w:sz w:val="24"/>
          <w:szCs w:val="24"/>
        </w:rPr>
        <w:t xml:space="preserve">Shiva Kiran Dadishetty</w:t>
      </w:r>
    </w:p>
    <w:p>
      <w:pPr>
        <w:spacing w:after="40" w:before="0"/>
        <w:jc w:val="center"/>
      </w:pPr>
      <w:r>
        <w:rPr>
          <w:rFonts w:ascii="Times New Roman" w:cs="Times New Roman" w:eastAsia="Times New Roman" w:hAnsi="Times New Roman"/>
          <w:color w:val="6B7280"/>
          <w:sz w:val="20"/>
          <w:szCs w:val="20"/>
        </w:rPr>
        <w:t xml:space="preserve">Independent Research · Texas, USA</w:t>
      </w:r>
    </w:p>
    <w:p>
      <w:pPr>
        <w:spacing w:after="160" w:before="0"/>
        <w:jc w:val="center"/>
      </w:pPr>
      <w:hyperlink w:history="1" r:id="rIdnduaq9zpcpikj8jdcia9p">
        <w:r>
          <w:rPr>
            <w:rFonts w:ascii="Times New Roman" w:cs="Times New Roman" w:eastAsia="Times New Roman" w:hAnsi="Times New Roman"/>
            <w:i/>
            <w:iCs/>
            <w:color w:val="1A56A0"/>
            <w:sz w:val="20"/>
            <w:szCs w:val="20"/>
            <w:u w:val="single" w:color="1A56A0"/>
          </w:rPr>
          <w:t xml:space="preserve">github.com/shivakiran-ai/llm-from-scratch</w:t>
        </w:r>
      </w:hyperlink>
    </w:p>
    <w:p>
      <w:pPr>
        <w:spacing w:after="160" w:before="0"/>
        <w:jc w:val="center"/>
      </w:pPr>
      <w:r>
        <w:rPr>
          <w:rFonts w:ascii="Times New Roman" w:cs="Times New Roman" w:eastAsia="Times New Roman" w:hAnsi="Times New Roman"/>
          <w:color w:val="1F2937"/>
          <w:sz w:val="20"/>
          <w:szCs w:val="20"/>
        </w:rPr>
        <w:t xml:space="preserve">April 2026   ·   Version 1.0</w:t>
      </w:r>
    </w:p>
    <w:p>
      <w:pPr>
        <w:spacing w:after="240" w:before="120"/>
        <w:jc w:val="center"/>
      </w:pPr>
      <w:r>
        <w:rPr>
          <w:rFonts w:ascii="Calibri" w:cs="Calibri" w:eastAsia="Calibri" w:hAnsi="Calibri"/>
          <w:color w:val="F59E0B"/>
          <w:sz w:val="24"/>
          <w:szCs w:val="24"/>
        </w:rPr>
        <w:t xml:space="preserve">━━━━━━━━━━━━━━</w:t>
      </w:r>
    </w:p>
    <w:p>
      <w:pPr>
        <w:spacing w:after="120" w:before="80"/>
        <w:jc w:val="center"/>
      </w:pPr>
      <w:r>
        <w:rPr>
          <w:rFonts w:ascii="Calibri" w:cs="Calibri" w:eastAsia="Calibri" w:hAnsi="Calibri"/>
          <w:b/>
          <w:bCs/>
          <w:color w:val="0D3B6E"/>
          <w:sz w:val="26"/>
          <w:szCs w:val="26"/>
        </w:rPr>
        <w:t xml:space="preserve">Abstract</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This topic presents the first full implementation of self-attention from first principles — without any trainable parameters. Three operations are defined in sequence: computation of attention scores by dot product between a query token and every input token, normalization of those scores into a valid probability distribution by softmax, and construction of a context vector as the weighted sum of all input embeddings with those normalized weights as coefficients. The mechanism is demonstrated numerically on a six-token toy sentence — "Your journey starts with one step" — using three-dimensional embeddings; every intermediate tensor is reported to four decimal places and verified against both a hand-coded loop and the equivalent matrix-multiplication form. A direct comparison between naive division normalization and softmax normalization is carried out to expose the gradient-stability argument for softmax. The topic closes with a limitation analysis that motivates the introduction of trainable query, key, and value projections in Topic 9: simplified self-attention can only attend to tokens that are semantically similar in the raw embedding space, which is insufficient for capturing context-specific relationships.</w:t>
      </w:r>
    </w:p>
    <w:p>
      <w:pPr>
        <w:spacing w:after="80" w:before="120" w:line="320"/>
        <w:jc w:val="both"/>
      </w:pPr>
      <w:r>
        <w:rPr>
          <w:rFonts w:ascii="Times New Roman" w:cs="Times New Roman" w:eastAsia="Times New Roman" w:hAnsi="Times New Roman"/>
          <w:b/>
          <w:bCs/>
          <w:color w:val="1F2937"/>
          <w:sz w:val="22"/>
          <w:szCs w:val="22"/>
        </w:rPr>
        <w:t xml:space="preserve">Keywords:  </w:t>
      </w:r>
      <w:r>
        <w:rPr>
          <w:rFonts w:ascii="Times New Roman" w:cs="Times New Roman" w:eastAsia="Times New Roman" w:hAnsi="Times New Roman"/>
          <w:i/>
          <w:iCs/>
          <w:color w:val="1F2937"/>
          <w:sz w:val="22"/>
          <w:szCs w:val="22"/>
        </w:rPr>
        <w:t xml:space="preserve">self-attention · dot product · softmax · context vector · attention weights · numerical stability · matrix formulation</w:t>
      </w:r>
    </w:p>
    <w:p>
      <w:pPr>
        <w:sectPr>
          <w:pgSz w:w="12240" w:h="15840" w:orient="portrait"/>
          <w:pgMar w:top="1440" w:right="1440" w:bottom="1440" w:left="1440" w:header="708" w:footer="708" w:gutter="0"/>
          <w:pgNumType/>
          <w:docGrid w:linePitch="360"/>
        </w:sectPr>
      </w:pPr>
    </w:p>
    <w:p>
      <w:pPr>
        <w:spacing w:after="60" w:before="200"/>
      </w:pPr>
      <w:r>
        <w:rPr>
          <w:rFonts w:ascii="Calibri" w:cs="Calibri" w:eastAsia="Calibri" w:hAnsi="Calibri"/>
          <w:b/>
          <w:bCs/>
          <w:color w:val="0D3B6E"/>
          <w:sz w:val="52"/>
          <w:szCs w:val="52"/>
        </w:rPr>
        <w:t xml:space="preserve">Contents</w:t>
      </w:r>
    </w:p>
    <w:p>
      <w:pPr>
        <w:pBdr>
          <w:bottom w:val="single" w:color="F59E0B" w:sz="12" w:space="6"/>
        </w:pBdr>
        <w:spacing w:after="240" w:before="60"/>
      </w:pPr>
      <w:r>
        <w:rPr>
          <w:sz w:val="2"/>
          <w:szCs w:val="2"/>
        </w:rPr>
        <w:t xml:space="preserve"/>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  Where This Topic Fits</w:t>
      </w:r>
      <w:r>
        <w:rPr>
          <w:rFonts w:ascii="Times New Roman" w:cs="Times New Roman" w:eastAsia="Times New Roman" w:hAnsi="Times New Roman"/>
          <w:color w:val="1F2937"/>
          <w:sz w:val="22"/>
          <w:szCs w:val="22"/>
        </w:rPr>
        <w:t xml:space="preserve">	3</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2.  The Core Problem — Embedding Vectors Are Context-Free</w:t>
      </w:r>
      <w:r>
        <w:rPr>
          <w:rFonts w:ascii="Times New Roman" w:cs="Times New Roman" w:eastAsia="Times New Roman" w:hAnsi="Times New Roman"/>
          <w:color w:val="1F2937"/>
          <w:sz w:val="22"/>
          <w:szCs w:val="22"/>
        </w:rPr>
        <w:t xml:space="preserve">	3</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3.  The Goal of Self-Attention — Context Vectors</w:t>
      </w:r>
      <w:r>
        <w:rPr>
          <w:rFonts w:ascii="Times New Roman" w:cs="Times New Roman" w:eastAsia="Times New Roman" w:hAnsi="Times New Roman"/>
          <w:color w:val="1F2937"/>
          <w:sz w:val="22"/>
          <w:szCs w:val="22"/>
        </w:rPr>
        <w:t xml:space="preserve">	4</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4.  The Three Steps of Simplified Self-Attention</w:t>
      </w:r>
      <w:r>
        <w:rPr>
          <w:rFonts w:ascii="Times New Roman" w:cs="Times New Roman" w:eastAsia="Times New Roman" w:hAnsi="Times New Roman"/>
          <w:color w:val="1F2937"/>
          <w:sz w:val="22"/>
          <w:szCs w:val="22"/>
        </w:rPr>
        <w:t xml:space="preserve">	4</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5.  Step 1 — Computing Attention Scores</w:t>
      </w:r>
      <w:r>
        <w:rPr>
          <w:rFonts w:ascii="Times New Roman" w:cs="Times New Roman" w:eastAsia="Times New Roman" w:hAnsi="Times New Roman"/>
          <w:color w:val="1F2937"/>
          <w:sz w:val="22"/>
          <w:szCs w:val="22"/>
        </w:rPr>
        <w:t xml:space="preserve">	5</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5.1  The Dot Product — Why It Measures Relevance</w:t>
      </w:r>
      <w:r>
        <w:rPr>
          <w:rFonts w:ascii="Times New Roman" w:cs="Times New Roman" w:eastAsia="Times New Roman" w:hAnsi="Times New Roman"/>
          <w:color w:val="1F2937"/>
          <w:sz w:val="22"/>
          <w:szCs w:val="22"/>
        </w:rPr>
        <w:t xml:space="preserve">	5</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5.2  Computing Attention Scores for the Query 'journey'</w:t>
      </w:r>
      <w:r>
        <w:rPr>
          <w:rFonts w:ascii="Times New Roman" w:cs="Times New Roman" w:eastAsia="Times New Roman" w:hAnsi="Times New Roman"/>
          <w:color w:val="1F2937"/>
          <w:sz w:val="22"/>
          <w:szCs w:val="22"/>
        </w:rPr>
        <w:t xml:space="preserve">	6</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6.  Step 2 — Normalizing to Attention Weights</w:t>
      </w:r>
      <w:r>
        <w:rPr>
          <w:rFonts w:ascii="Times New Roman" w:cs="Times New Roman" w:eastAsia="Times New Roman" w:hAnsi="Times New Roman"/>
          <w:color w:val="1F2937"/>
          <w:sz w:val="22"/>
          <w:szCs w:val="22"/>
        </w:rPr>
        <w:t xml:space="preserve">	6</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6.1  Why Not Simple Summation?</w:t>
      </w:r>
      <w:r>
        <w:rPr>
          <w:rFonts w:ascii="Times New Roman" w:cs="Times New Roman" w:eastAsia="Times New Roman" w:hAnsi="Times New Roman"/>
          <w:color w:val="1F2937"/>
          <w:sz w:val="22"/>
          <w:szCs w:val="22"/>
        </w:rPr>
        <w:t xml:space="preserve">	7</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6.2  Softmax Normalization — The Standard</w:t>
      </w:r>
      <w:r>
        <w:rPr>
          <w:rFonts w:ascii="Times New Roman" w:cs="Times New Roman" w:eastAsia="Times New Roman" w:hAnsi="Times New Roman"/>
          <w:color w:val="1F2937"/>
          <w:sz w:val="22"/>
          <w:szCs w:val="22"/>
        </w:rPr>
        <w:t xml:space="preserve">	7</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7.  Step 3 — Computing the Context Vector</w:t>
      </w:r>
      <w:r>
        <w:rPr>
          <w:rFonts w:ascii="Times New Roman" w:cs="Times New Roman" w:eastAsia="Times New Roman" w:hAnsi="Times New Roman"/>
          <w:color w:val="1F2937"/>
          <w:sz w:val="22"/>
          <w:szCs w:val="22"/>
        </w:rPr>
        <w:t xml:space="preserve">	8</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8.  Computing All Context Vectors</w:t>
      </w:r>
      <w:r>
        <w:rPr>
          <w:rFonts w:ascii="Times New Roman" w:cs="Times New Roman" w:eastAsia="Times New Roman" w:hAnsi="Times New Roman"/>
          <w:color w:val="1F2937"/>
          <w:sz w:val="22"/>
          <w:szCs w:val="22"/>
        </w:rPr>
        <w:t xml:space="preserve">	9</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8.1  Full Attention Score Matrix</w:t>
      </w:r>
      <w:r>
        <w:rPr>
          <w:rFonts w:ascii="Times New Roman" w:cs="Times New Roman" w:eastAsia="Times New Roman" w:hAnsi="Times New Roman"/>
          <w:color w:val="1F2937"/>
          <w:sz w:val="22"/>
          <w:szCs w:val="22"/>
        </w:rPr>
        <w:t xml:space="preserve">	9</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8.2  Full Attention Weight Matrix</w:t>
      </w:r>
      <w:r>
        <w:rPr>
          <w:rFonts w:ascii="Times New Roman" w:cs="Times New Roman" w:eastAsia="Times New Roman" w:hAnsi="Times New Roman"/>
          <w:color w:val="1F2937"/>
          <w:sz w:val="22"/>
          <w:szCs w:val="22"/>
        </w:rPr>
        <w:t xml:space="preserve">	9</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8.3  All Context Vectors via Matrix Multiplication</w:t>
      </w:r>
      <w:r>
        <w:rPr>
          <w:rFonts w:ascii="Times New Roman" w:cs="Times New Roman" w:eastAsia="Times New Roman" w:hAnsi="Times New Roman"/>
          <w:color w:val="1F2937"/>
          <w:sz w:val="22"/>
          <w:szCs w:val="22"/>
        </w:rPr>
        <w:t xml:space="preserve">	10</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9.  Complete Simplified Self-Attention — Three Lines</w:t>
      </w:r>
      <w:r>
        <w:rPr>
          <w:rFonts w:ascii="Times New Roman" w:cs="Times New Roman" w:eastAsia="Times New Roman" w:hAnsi="Times New Roman"/>
          <w:color w:val="1F2937"/>
          <w:sz w:val="22"/>
          <w:szCs w:val="22"/>
        </w:rPr>
        <w:t xml:space="preserve">	10</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10.  The Limitation — Why Trainable Weights Are Needed</w:t>
      </w:r>
      <w:r>
        <w:rPr>
          <w:rFonts w:ascii="Times New Roman" w:cs="Times New Roman" w:eastAsia="Times New Roman" w:hAnsi="Times New Roman"/>
          <w:color w:val="1F2937"/>
          <w:sz w:val="22"/>
          <w:szCs w:val="22"/>
        </w:rPr>
        <w:t xml:space="preserve">	11</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11.  Key Observations</w:t>
      </w:r>
      <w:r>
        <w:rPr>
          <w:rFonts w:ascii="Times New Roman" w:cs="Times New Roman" w:eastAsia="Times New Roman" w:hAnsi="Times New Roman"/>
          <w:color w:val="1F2937"/>
          <w:sz w:val="22"/>
          <w:szCs w:val="22"/>
        </w:rPr>
        <w:t xml:space="preserve">	12</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12.  Experiments &amp; Open Questions</w:t>
      </w:r>
      <w:r>
        <w:rPr>
          <w:rFonts w:ascii="Times New Roman" w:cs="Times New Roman" w:eastAsia="Times New Roman" w:hAnsi="Times New Roman"/>
          <w:color w:val="1F2937"/>
          <w:sz w:val="22"/>
          <w:szCs w:val="22"/>
        </w:rPr>
        <w:t xml:space="preserve">	13</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12.1  Hand-Verified Context Vector for 'journey'</w:t>
      </w:r>
      <w:r>
        <w:rPr>
          <w:rFonts w:ascii="Times New Roman" w:cs="Times New Roman" w:eastAsia="Times New Roman" w:hAnsi="Times New Roman"/>
          <w:color w:val="1F2937"/>
          <w:sz w:val="22"/>
          <w:szCs w:val="22"/>
        </w:rPr>
        <w:t xml:space="preserve">	13</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12.2  Open Question — When Does Raw Dot-Product Attention Fail?</w:t>
      </w:r>
      <w:r>
        <w:rPr>
          <w:rFonts w:ascii="Times New Roman" w:cs="Times New Roman" w:eastAsia="Times New Roman" w:hAnsi="Times New Roman"/>
          <w:color w:val="1F2937"/>
          <w:sz w:val="22"/>
          <w:szCs w:val="22"/>
        </w:rPr>
        <w:t xml:space="preserve">	14</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12.3  Proposed Future Work</w:t>
      </w:r>
      <w:r>
        <w:rPr>
          <w:rFonts w:ascii="Times New Roman" w:cs="Times New Roman" w:eastAsia="Times New Roman" w:hAnsi="Times New Roman"/>
          <w:color w:val="1F2937"/>
          <w:sz w:val="22"/>
          <w:szCs w:val="22"/>
        </w:rPr>
        <w:t xml:space="preserve">	14</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13.  Discussion — Relationship to Prior Work</w:t>
      </w:r>
      <w:r>
        <w:rPr>
          <w:rFonts w:ascii="Times New Roman" w:cs="Times New Roman" w:eastAsia="Times New Roman" w:hAnsi="Times New Roman"/>
          <w:color w:val="1F2937"/>
          <w:sz w:val="22"/>
          <w:szCs w:val="22"/>
        </w:rPr>
        <w:t xml:space="preserve">	15</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14.  What Comes Next</w:t>
      </w:r>
      <w:r>
        <w:rPr>
          <w:rFonts w:ascii="Times New Roman" w:cs="Times New Roman" w:eastAsia="Times New Roman" w:hAnsi="Times New Roman"/>
          <w:color w:val="1F2937"/>
          <w:sz w:val="22"/>
          <w:szCs w:val="22"/>
        </w:rPr>
        <w:t xml:space="preserve">	16</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       References</w:t>
      </w:r>
      <w:r>
        <w:rPr>
          <w:rFonts w:ascii="Times New Roman" w:cs="Times New Roman" w:eastAsia="Times New Roman" w:hAnsi="Times New Roman"/>
          <w:color w:val="1F2937"/>
          <w:sz w:val="22"/>
          <w:szCs w:val="22"/>
        </w:rPr>
        <w:t xml:space="preserve">	17</w:t>
      </w:r>
    </w:p>
    <w:p>
      <w:pPr>
        <w:sectPr>
          <w:pgSz w:w="12240" w:h="15840" w:orient="portrait"/>
          <w:pgMar w:top="1440" w:right="1440" w:bottom="1440" w:left="1440" w:header="708" w:footer="708" w:gutter="0"/>
          <w:pgNumType/>
          <w:docGrid w:linePitch="360"/>
        </w:sectPr>
      </w:pPr>
    </w:p>
    <w:p>
      <w:pPr>
        <w:spacing w:after="120" w:before="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Author</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Shiva Kiran Dadishetty</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Series</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Building LLMs from Scratch</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Topic</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8 of 36  —  Stage 2: The Attention Mechanism</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Document Type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Implementation &amp; Derivation — First Attention Implementation</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Core Question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How do three simple operations — dot product, softmax, weighted sum — produce context-aware representations?</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Builds On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Topic 7 — Introduction to Attention</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Running Example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"Your journey starts with one step" — 6 tokens, 3-dim embeddings</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Version / Date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Version 1.0  ·  April 2026</w:t>
            </w:r>
          </w:p>
        </w:tc>
      </w:tr>
    </w:tbl>
    <w:p>
      <w:pPr>
        <w:spacing w:after="120" w:before="240"/>
      </w:pPr>
      <w:r>
        <w:rPr>
          <w:sz w:val="2"/>
          <w:szCs w:val="2"/>
        </w:rPr>
        <w:t xml:space="preserve"/>
      </w:r>
    </w:p>
    <w:p>
      <w:pPr>
        <w:pStyle w:val="Heading1"/>
        <w:keepNext/>
        <w:keepLines/>
        <w:spacing w:after="180" w:before="360"/>
      </w:pPr>
      <w:r>
        <w:rPr>
          <w:rFonts w:ascii="Calibri" w:cs="Calibri" w:eastAsia="Calibri" w:hAnsi="Calibri"/>
          <w:b/>
          <w:bCs/>
          <w:color w:val="0D3B6E"/>
          <w:sz w:val="32"/>
          <w:szCs w:val="32"/>
        </w:rPr>
        <w:t xml:space="preserve">1.  Where This Topic Fits</w:t>
      </w:r>
    </w:p>
    <w:p>
      <w:pPr>
        <w:spacing w:after="120" w:before="60" w:line="320"/>
        <w:jc w:val="both"/>
      </w:pPr>
      <w:r>
        <w:rPr>
          <w:rFonts w:ascii="Times New Roman" w:cs="Times New Roman" w:eastAsia="Times New Roman" w:hAnsi="Times New Roman"/>
          <w:color w:val="1F2937"/>
          <w:sz w:val="22"/>
          <w:szCs w:val="22"/>
        </w:rPr>
        <w:t xml:space="preserve">Topic 7 established the conceptual foundation: the failure of recurrent architectures to preserve long-range dependencies, Bahdanau's introduction of learned alignment, and the Transformer's elimination of recurrence in favor of pure self-attention. Topic 8 is the first mathematical implementation. The goal of this topic is to reduce self-attention to its three irreducible operations — attention scores by dot product, attention weights by softmax, and context vectors by weighted sum — with all trainable parameters removed. Once these three operations are fully understood on a six-token toy example, the addition of trainable query, key, and value matrices in Topic 9 becomes a small incremental step rather than a conceptual leap.</w:t>
      </w:r>
    </w:p>
    <w:p>
      <w:pPr>
        <w:spacing w:after="120" w:before="60" w:line="320"/>
        <w:jc w:val="both"/>
      </w:pPr>
      <w:r>
        <w:rPr>
          <w:rFonts w:ascii="Times New Roman" w:cs="Times New Roman" w:eastAsia="Times New Roman" w:hAnsi="Times New Roman"/>
          <w:color w:val="1F2937"/>
          <w:sz w:val="22"/>
          <w:szCs w:val="22"/>
        </w:rPr>
        <w:t xml:space="preserve">The progression of Stage 2 is therefore: Topic 7 answers why attention exists; Topic 8 answers how the simplest version of it works; Topics 9 through 12 progressively extend the mechanism with trainable projections, causal masking, and multi-head parallelism until the full attention module used in GPT-2 is complete.</w:t>
      </w:r>
    </w:p>
    <w:p>
      <w:pPr>
        <w:pStyle w:val="Heading1"/>
        <w:keepNext/>
        <w:keepLines/>
        <w:spacing w:after="180" w:before="360"/>
      </w:pPr>
      <w:r>
        <w:rPr>
          <w:rFonts w:ascii="Calibri" w:cs="Calibri" w:eastAsia="Calibri" w:hAnsi="Calibri"/>
          <w:b/>
          <w:bCs/>
          <w:color w:val="0D3B6E"/>
          <w:sz w:val="32"/>
          <w:szCs w:val="32"/>
        </w:rPr>
        <w:t xml:space="preserve">2.  The Core Problem — Embedding Vectors Are Context-Free</w:t>
      </w:r>
    </w:p>
    <w:p>
      <w:pPr>
        <w:spacing w:after="120" w:before="60" w:line="320"/>
        <w:jc w:val="both"/>
      </w:pPr>
      <w:r>
        <w:rPr>
          <w:rFonts w:ascii="Times New Roman" w:cs="Times New Roman" w:eastAsia="Times New Roman" w:hAnsi="Times New Roman"/>
          <w:color w:val="1F2937"/>
          <w:sz w:val="22"/>
          <w:szCs w:val="22"/>
        </w:rPr>
        <w:t xml:space="preserve">When a sentence is presented to a language model, each token is first converted into a dense vector — an embedding — that encodes the semantic meaning of that token in isolation. The embedding for the word 'journey' is a fixed, learned point in embedding space that captures what 'journey' means on its own. It does not, however, contain any information about how 'journey' relates to the other tokens in the specific sentence it appears in.</w:t>
      </w:r>
    </w:p>
    <w:p>
      <w:pPr>
        <w:spacing w:after="120" w:before="60" w:line="320"/>
        <w:jc w:val="both"/>
      </w:pPr>
      <w:r>
        <w:rPr>
          <w:rFonts w:ascii="Times New Roman" w:cs="Times New Roman" w:eastAsia="Times New Roman" w:hAnsi="Times New Roman"/>
          <w:color w:val="1F2937"/>
          <w:sz w:val="22"/>
          <w:szCs w:val="22"/>
        </w:rPr>
        <w:t xml:space="preserve">The six-token toy sentence used throughout this topic makes this limitation concrete:</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Sentence: "Your journey starts with one step"</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inputs = torch.tensor([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[0.43, 0.15, 0.89],  # 'Your'    x(1)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[0.55, 0.87, 0.66],  # 'journey' x(2)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[0.57, 0.85, 0.64],  # 'starts'  x(3)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[0.22, 0.58, 0.33],  # 'with'    x(4)</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[0.77, 0.25, 0.10],  # 'one'     x(5)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[0.05, 0.80, 0.55],  # 'step'    x(6)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vector [0.55, 0.87, 0.66] encodes what 'journey' MEANS.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But it contains NO information about: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-&gt; how important 'Your' is relative to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-&gt; how important 'starts' is relative to 'journey'</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-&gt; which token is most relevant for predicting the next word</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The Critical Gap</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A vector embedding for 'journey' captures its semantic meaning, but carries no information about its relationships with the other tokens in the sentence. Yet those relationships are exactly what a language model must know in order to predict the next token. The solution, introduced in the next section, is the context vector — an enriched embedding that preserves the token's semantic meaning and additionally encodes its relational structure with every other token in the sequence.</w:t>
      </w:r>
    </w:p>
    <w:p>
      <w:pPr>
        <w:pStyle w:val="Heading1"/>
        <w:keepNext/>
        <w:keepLines/>
        <w:spacing w:after="180" w:before="360"/>
      </w:pPr>
      <w:r>
        <w:rPr>
          <w:rFonts w:ascii="Calibri" w:cs="Calibri" w:eastAsia="Calibri" w:hAnsi="Calibri"/>
          <w:b/>
          <w:bCs/>
          <w:color w:val="0D3B6E"/>
          <w:sz w:val="32"/>
          <w:szCs w:val="32"/>
        </w:rPr>
        <w:t xml:space="preserve">3.  The Goal of Self-Attention — Context Vectors</w:t>
      </w:r>
    </w:p>
    <w:p>
      <w:pPr>
        <w:spacing w:after="120" w:before="60" w:line="320"/>
        <w:jc w:val="both"/>
      </w:pPr>
      <w:r>
        <w:rPr>
          <w:rFonts w:ascii="Times New Roman" w:cs="Times New Roman" w:eastAsia="Times New Roman" w:hAnsi="Times New Roman"/>
          <w:color w:val="1F2937"/>
          <w:sz w:val="22"/>
          <w:szCs w:val="22"/>
        </w:rPr>
        <w:t xml:space="preserve">The explicit goal of simplified self-attention is to compute, for each input element x(i) in the sequence, an enriched representation z(i) — the context vector for position i. The context vector z(i) has the same dimensionality as x(i) but encodes more information: it contains the semantic meaning of x(i) itself, together with a weighted summary of how every other token x(1) through x(T) relates to x(i).</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Goal: for each input token x(i), compute a context vector z(i).</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z(i) encodes: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x(i) itself (its own semantic meaning),</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a weighted summary of ALL other tokens x(1) ... x(T),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where weights reflect how relevant each token is to x(i).</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Example: z(2) is the context vector for 'journey' (the query).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z(2) captures the meaning of 'journey' AND how 'Your', 'starts',</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'with', 'one', 'step' each relate to 'journey' in THIS sentence.</w:t>
      </w:r>
    </w:p>
    <w:p>
      <w:pPr>
        <w:spacing w:after="120" w:before="60" w:line="320"/>
        <w:jc w:val="both"/>
      </w:pPr>
      <w:r>
        <w:rPr>
          <w:rFonts w:ascii="Times New Roman" w:cs="Times New Roman" w:eastAsia="Times New Roman" w:hAnsi="Times New Roman"/>
          <w:color w:val="1F2937"/>
          <w:sz w:val="22"/>
          <w:szCs w:val="22"/>
        </w:rPr>
        <w:t xml:space="preserve">In the vocabulary of attention, the token whose context vector is currently being computed is called the query. Throughout this topic the query is x(2), the embedding for 'journey'; every other token including x(2) itself is a candidate to contribute to z(2). The same mechanism applied to each position in turn produces the full set of context vectors z(1) through z(6).</w:t>
      </w:r>
    </w:p>
    <w:p>
      <w:pPr>
        <w:pStyle w:val="Heading1"/>
        <w:keepNext/>
        <w:keepLines/>
        <w:spacing w:after="180" w:before="360"/>
      </w:pPr>
      <w:r>
        <w:rPr>
          <w:rFonts w:ascii="Calibri" w:cs="Calibri" w:eastAsia="Calibri" w:hAnsi="Calibri"/>
          <w:b/>
          <w:bCs/>
          <w:color w:val="0D3B6E"/>
          <w:sz w:val="32"/>
          <w:szCs w:val="32"/>
        </w:rPr>
        <w:t xml:space="preserve">4.  The Three Steps of Simplified Self-Attention</w:t>
      </w:r>
    </w:p>
    <w:p>
      <w:pPr>
        <w:spacing w:after="120" w:before="60" w:line="320"/>
        <w:jc w:val="both"/>
      </w:pPr>
      <w:r>
        <w:rPr>
          <w:rFonts w:ascii="Times New Roman" w:cs="Times New Roman" w:eastAsia="Times New Roman" w:hAnsi="Times New Roman"/>
          <w:color w:val="1F2937"/>
          <w:sz w:val="22"/>
          <w:szCs w:val="22"/>
        </w:rPr>
        <w:t xml:space="preserve">The entire mechanism reduces to three operations, applied in strict sequence. Table 1 summarizes the pipeline; Sections 5 through 7 develop each step in turn with numerical traces.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60"/>
        <w:gridCol w:w="5000"/>
      </w:tblGrid>
      <w:tr>
        <w:trPr>
          <w:cantSplit/>
          <w:tblHeader/>
        </w:trPr>
        <w:tc>
          <w:tcPr>
            <w:tcW w:type="dxa" w:w="15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Step</w:t>
            </w:r>
          </w:p>
        </w:tc>
        <w:tc>
          <w:tcPr>
            <w:tcW w:type="dxa" w:w="286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Operation</w:t>
            </w:r>
          </w:p>
        </w:tc>
        <w:tc>
          <w:tcPr>
            <w:tcW w:type="dxa" w:w="5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What It Computes</w:t>
            </w:r>
          </w:p>
        </w:tc>
      </w:tr>
      <w:tr>
        <w:trPr>
          <w:cantSplit/>
        </w:trPr>
        <w:tc>
          <w:tcPr>
            <w:tcW w:type="dxa" w:w="15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Step 1</w:t>
            </w:r>
          </w:p>
        </w:tc>
        <w:tc>
          <w:tcPr>
            <w:tcW w:type="dxa" w:w="28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Attention scores</w:t>
            </w:r>
          </w:p>
        </w:tc>
        <w:tc>
          <w:tcPr>
            <w:tcW w:type="dxa" w:w="5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Dot product between the query token and each input token — a scalar measure of alignment in embedding space</w:t>
            </w:r>
          </w:p>
        </w:tc>
      </w:tr>
      <w:tr>
        <w:trPr>
          <w:cantSplit/>
        </w:trPr>
        <w:tc>
          <w:tcPr>
            <w:tcW w:type="dxa" w:w="15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Step 2</w:t>
            </w:r>
          </w:p>
        </w:tc>
        <w:tc>
          <w:tcPr>
            <w:tcW w:type="dxa" w:w="28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Attention weights</w:t>
            </w:r>
          </w:p>
        </w:tc>
        <w:tc>
          <w:tcPr>
            <w:tcW w:type="dxa" w:w="5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Normalized scores via softmax — a valid probability distribution over input positions that sums to one</w:t>
            </w:r>
          </w:p>
        </w:tc>
      </w:tr>
      <w:tr>
        <w:trPr>
          <w:cantSplit/>
        </w:trPr>
        <w:tc>
          <w:tcPr>
            <w:tcW w:type="dxa" w:w="15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Step 3</w:t>
            </w:r>
          </w:p>
        </w:tc>
        <w:tc>
          <w:tcPr>
            <w:tcW w:type="dxa" w:w="28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Context vector</w:t>
            </w:r>
          </w:p>
        </w:tc>
        <w:tc>
          <w:tcPr>
            <w:tcW w:type="dxa" w:w="5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Weighted sum of all input vectors using the attention weights as mixing coefficients</w:t>
            </w:r>
          </w:p>
        </w:tc>
      </w:tr>
    </w:tbl>
    <w:p>
      <w:pPr>
        <w:spacing w:after="200" w:before="80"/>
        <w:jc w:val="center"/>
      </w:pPr>
      <w:r>
        <w:rPr>
          <w:rFonts w:ascii="Times New Roman" w:cs="Times New Roman" w:eastAsia="Times New Roman" w:hAnsi="Times New Roman"/>
          <w:i/>
          <w:iCs/>
          <w:color w:val="6B7280"/>
          <w:sz w:val="20"/>
          <w:szCs w:val="20"/>
        </w:rPr>
        <w:t xml:space="preserve">Table 1: The three operations that together define simplified self-attention. Each step feeds directly into the next.</w:t>
      </w:r>
    </w:p>
    <w:p>
      <w:pPr>
        <w:pStyle w:val="Heading1"/>
        <w:keepNext/>
        <w:keepLines/>
        <w:spacing w:after="180" w:before="360"/>
      </w:pPr>
      <w:r>
        <w:rPr>
          <w:rFonts w:ascii="Calibri" w:cs="Calibri" w:eastAsia="Calibri" w:hAnsi="Calibri"/>
          <w:b/>
          <w:bCs/>
          <w:color w:val="0D3B6E"/>
          <w:sz w:val="32"/>
          <w:szCs w:val="32"/>
        </w:rPr>
        <w:t xml:space="preserve">5.  Step 1 — Computing Attention Scores</w:t>
      </w:r>
    </w:p>
    <w:p>
      <w:pPr>
        <w:pStyle w:val="Heading2"/>
        <w:keepNext/>
        <w:keepLines/>
        <w:spacing w:after="120" w:before="240"/>
      </w:pPr>
      <w:r>
        <w:rPr>
          <w:rFonts w:ascii="Calibri" w:cs="Calibri" w:eastAsia="Calibri" w:hAnsi="Calibri"/>
          <w:b/>
          <w:bCs/>
          <w:color w:val="0D3B6E"/>
          <w:sz w:val="26"/>
          <w:szCs w:val="26"/>
        </w:rPr>
        <w:t xml:space="preserve">5.1  The Dot Product — Why It Measures Relevance</w:t>
      </w:r>
    </w:p>
    <w:p>
      <w:pPr>
        <w:spacing w:after="120" w:before="60" w:line="320"/>
        <w:jc w:val="both"/>
      </w:pPr>
      <w:r>
        <w:rPr>
          <w:rFonts w:ascii="Times New Roman" w:cs="Times New Roman" w:eastAsia="Times New Roman" w:hAnsi="Times New Roman"/>
          <w:color w:val="1F2937"/>
          <w:sz w:val="22"/>
          <w:szCs w:val="22"/>
        </w:rPr>
        <w:t xml:space="preserve">The attention score between a query token and any candidate input token is defined as the dot product of their embedding vectors. The dot product is the appropriate operation here because it quantifies how aligned two vectors are in the embedding space: vectors pointing in similar directions produce large positive dot products, perpendicular vectors produce zero, and opposite-pointing vectors produce large negative dot products. In the context of self-attention, higher dot-product values correspond to higher semantic similarity between tokens, which is precisely the signal the mechanism uses to decide how much attention one token should pay to another.</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Why the Dot Product Is the Right Similarity Metric</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The dot product encodes how aligned two vectors are. Similar directions produce a high value (high relevance); opposite directions produce a negative value (low relevance); orthogonal directions produce zero (no relationship). In self-attention this measure serves as the compatibility function between a query and every candidate input — higher compatibility produces a stronger attention signal.</w:t>
      </w:r>
    </w:p>
    <w:p>
      <w:pPr>
        <w:pStyle w:val="Heading2"/>
        <w:keepNext/>
        <w:keepLines/>
        <w:spacing w:after="120" w:before="240"/>
      </w:pPr>
      <w:r>
        <w:rPr>
          <w:rFonts w:ascii="Calibri" w:cs="Calibri" w:eastAsia="Calibri" w:hAnsi="Calibri"/>
          <w:b/>
          <w:bCs/>
          <w:color w:val="0D3B6E"/>
          <w:sz w:val="26"/>
          <w:szCs w:val="26"/>
        </w:rPr>
        <w:t xml:space="preserve">5.2  Computing Attention Scores for the Query 'journey'</w:t>
      </w:r>
    </w:p>
    <w:p>
      <w:pPr>
        <w:spacing w:after="120" w:before="60" w:line="320"/>
        <w:jc w:val="both"/>
      </w:pPr>
      <w:r>
        <w:rPr>
          <w:rFonts w:ascii="Times New Roman" w:cs="Times New Roman" w:eastAsia="Times New Roman" w:hAnsi="Times New Roman"/>
          <w:color w:val="1F2937"/>
          <w:sz w:val="22"/>
          <w:szCs w:val="22"/>
        </w:rPr>
        <w:t xml:space="preserve">Fixing x(2) = 'journey' as the query, the attention score w(2, i) is computed as the dot product between x(2) and every input token x(i). The computation is shown below both as an explicit loop and with its verified numerical output.</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query = inputs[1]                 # x(2) =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attn_scores_2 = torch.empty(inputs.shape[0])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for i, x_i in enumerate(inputs):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attn_scores_2[i] = torch.dot(x_i, query)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print(attn_scores_2)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tensor([0.9544, 1.4950, 1.4754, 0.8434, 0.7070, 1.0865])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w21      w22      w23      w24      w25      w26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'Your'  'journey' 'starts' 'with'   'one'   'step'</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Observations on the raw scores: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w22 = 1.4950  highest   'journey' is most aligned with itself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w23 = 1.4754  second    'journey' is closely aligned with 'starts'</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w25 = 0.7070  lowest    'journey' is least aligned with 'one'</w:t>
      </w:r>
    </w:p>
    <w:p>
      <w:pPr>
        <w:spacing w:after="120" w:before="60" w:line="320"/>
        <w:jc w:val="both"/>
      </w:pPr>
      <w:r>
        <w:rPr>
          <w:rFonts w:ascii="Times New Roman" w:cs="Times New Roman" w:eastAsia="Times New Roman" w:hAnsi="Times New Roman"/>
          <w:color w:val="1F2937"/>
          <w:sz w:val="22"/>
          <w:szCs w:val="22"/>
        </w:rPr>
        <w:t xml:space="preserve">The raw scores are scalars with no upper bound and no guarantee of summing to a well-behaved quantity. They must therefore be normalized before being used as mixing coefficients — this is the purpose of Step 2.</w:t>
      </w:r>
    </w:p>
    <w:p>
      <w:pPr>
        <w:pStyle w:val="Heading1"/>
        <w:keepNext/>
        <w:keepLines/>
        <w:spacing w:after="180" w:before="360"/>
      </w:pPr>
      <w:r>
        <w:rPr>
          <w:rFonts w:ascii="Calibri" w:cs="Calibri" w:eastAsia="Calibri" w:hAnsi="Calibri"/>
          <w:b/>
          <w:bCs/>
          <w:color w:val="0D3B6E"/>
          <w:sz w:val="32"/>
          <w:szCs w:val="32"/>
        </w:rPr>
        <w:t xml:space="preserve">6.  Step 2 — Normalizing to Attention Weights</w:t>
      </w:r>
    </w:p>
    <w:p>
      <w:pPr>
        <w:spacing w:after="120" w:before="60" w:line="320"/>
        <w:jc w:val="both"/>
      </w:pPr>
      <w:r>
        <w:rPr>
          <w:rFonts w:ascii="Times New Roman" w:cs="Times New Roman" w:eastAsia="Times New Roman" w:hAnsi="Times New Roman"/>
          <w:color w:val="1F2937"/>
          <w:sz w:val="22"/>
          <w:szCs w:val="22"/>
        </w:rPr>
        <w:t xml:space="preserve">Raw attention scores are converted into attention weights through a normalization step. The design choice of which normalization function to use is not cosmetic: it has direct consequences for both the interpretation of the output and the stability of gradient flow during training. This section contrasts a naive division-based normalization with the softmax function, and justifies why softmax is the architectural choice made in every modern attention implementation.</w:t>
      </w:r>
    </w:p>
    <w:p>
      <w:pPr>
        <w:pStyle w:val="Heading2"/>
        <w:keepNext/>
        <w:keepLines/>
        <w:spacing w:after="120" w:before="240"/>
      </w:pPr>
      <w:r>
        <w:rPr>
          <w:rFonts w:ascii="Calibri" w:cs="Calibri" w:eastAsia="Calibri" w:hAnsi="Calibri"/>
          <w:b/>
          <w:bCs/>
          <w:color w:val="0D3B6E"/>
          <w:sz w:val="26"/>
          <w:szCs w:val="26"/>
        </w:rPr>
        <w:t xml:space="preserve">6.1  Why Not Simple Summation?</w:t>
      </w:r>
    </w:p>
    <w:p>
      <w:pPr>
        <w:spacing w:after="120" w:before="60" w:line="320"/>
        <w:jc w:val="both"/>
      </w:pPr>
      <w:r>
        <w:rPr>
          <w:rFonts w:ascii="Times New Roman" w:cs="Times New Roman" w:eastAsia="Times New Roman" w:hAnsi="Times New Roman"/>
          <w:color w:val="1F2937"/>
          <w:sz w:val="22"/>
          <w:szCs w:val="22"/>
        </w:rPr>
        <w:t xml:space="preserve">The most straightforward normalization — dividing each raw score by the sum of all scores — does produce a distribution that sums to one. Applied to the six scores for 'journey', this naive normalization is shown below.</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Simple normalization (for comparison only — NOT used in practice):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attn_weights_2_tmp = attn_scores_2 / attn_scores_2.sum()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print('Attention weights:', attn_weights_2_tmp)</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tensor([0.1455, 0.2278, 0.2249, 0.1285, 0.1077, 0.1656])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print('Sum:', attn_weights_2_tmp.sum())</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tensor(1.0000)</w:t>
      </w:r>
    </w:p>
    <w:p>
      <w:pPr>
        <w:spacing w:after="120" w:before="60" w:line="320"/>
        <w:jc w:val="both"/>
      </w:pPr>
      <w:r>
        <w:rPr>
          <w:rFonts w:ascii="Times New Roman" w:cs="Times New Roman" w:eastAsia="Times New Roman" w:hAnsi="Times New Roman"/>
          <w:color w:val="1F2937"/>
          <w:sz w:val="22"/>
          <w:szCs w:val="22"/>
        </w:rPr>
        <w:t xml:space="preserve">Although the output sums to one, this scheme has a subtle but serious problem when the scores differ by orders of magnitude. Consider a hypothetical set of scores distributed roughly as [1, 2, 3, …, 400]; division by the total (≈800) leaves the smallest value at 0.00125 and the largest at 0.5. During backpropagation, the optimizer still assigns a non-negligible gradient contribution to the tokens with near-zero weights, which it should ideally ignore. The normalization does not sufficiently suppress small scores, and this dilution of the signal destabilizes training for long sequences.</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The Property a Good Normalization Must Have</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Small scores should produce weights that are indistinguishable from zero, and large scores should produce weights close to one. Simple-sum normalization fails this test because it scales all scores by the same constant factor, preserving the original magnitude ordering without sharpening it. Softmax, by contrast, exponentiates before normalizing — which is exactly what amplifies differences between large and small scores and suppresses the small ones toward zero.</w:t>
      </w:r>
    </w:p>
    <w:p>
      <w:pPr>
        <w:pStyle w:val="Heading2"/>
        <w:keepNext/>
        <w:keepLines/>
        <w:spacing w:after="120" w:before="240"/>
      </w:pPr>
      <w:r>
        <w:rPr>
          <w:rFonts w:ascii="Calibri" w:cs="Calibri" w:eastAsia="Calibri" w:hAnsi="Calibri"/>
          <w:b/>
          <w:bCs/>
          <w:color w:val="0D3B6E"/>
          <w:sz w:val="26"/>
          <w:szCs w:val="26"/>
        </w:rPr>
        <w:t xml:space="preserve">6.2  Softmax Normalization — The Standard</w:t>
      </w:r>
    </w:p>
    <w:p>
      <w:pPr>
        <w:spacing w:after="120" w:before="60" w:line="320"/>
        <w:jc w:val="both"/>
      </w:pPr>
      <w:r>
        <w:rPr>
          <w:rFonts w:ascii="Times New Roman" w:cs="Times New Roman" w:eastAsia="Times New Roman" w:hAnsi="Times New Roman"/>
          <w:color w:val="1F2937"/>
          <w:sz w:val="22"/>
          <w:szCs w:val="22"/>
        </w:rPr>
        <w:t xml:space="preserve">The softmax function maps any vector of real numbers into a valid probability distribution: all outputs are strictly positive, and they sum to exactly one. More importantly for attention, softmax is exponential in its inputs, so a score that is twice as large produces a weight that is exponentially larger — precisely the sharpening behavior required for stable gradient flow. The standard mathematical form is: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Standard softmax: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softmax(x_i) = exp(x_i) / sum_j exp(x_j)</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PyTorch's numerically stable implementation subtracts the max first: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softmax(x_i) = exp(x_i - max_j x_j) / sum_j exp(x_j - max_j x_j)</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(x_i - max) shift avoids overflow when scores are large,</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and does not change the output because e^c cancels in numerator and denominator.</w:t>
      </w:r>
    </w:p>
    <w:p>
      <w:pPr>
        <w:spacing w:after="120" w:before="60" w:line="320"/>
        <w:jc w:val="both"/>
      </w:pPr>
      <w:r>
        <w:rPr>
          <w:rFonts w:ascii="Times New Roman" w:cs="Times New Roman" w:eastAsia="Times New Roman" w:hAnsi="Times New Roman"/>
          <w:color w:val="1F2937"/>
          <w:sz w:val="22"/>
          <w:szCs w:val="22"/>
        </w:rPr>
        <w:t xml:space="preserve">The naive form and PyTorch's numerically stable form produce mathematically identical outputs on this toy example. Both are exhibited below against the same attention-score vector for 'journey' to confirm agreement to four decimal places.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def softmax_naive(x):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return torch.exp(x) / torch.exp(x).sum(dim=0)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attn_weights_2 = torch.softmax(attn_scores_2, dim=0)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print('Attention weights:', attn_weights_2)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tensor([0.1385, 0.2379, 0.2333, 0.1240, 0.1082, 0.1581])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print('Sum:', attn_weights_2.sum())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tensor(1.0000)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Reading the normalized weights for query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journey : 0.2379   highest   strongest self-attention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starts  : 0.2333   second    semantic neighbour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step    : 0.1581   third     thematic connection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Your    : 0.1385   lower     grammatical subject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with    : 0.1240   low       functional word</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journey -&gt; one     : 0.1082   lowest    least relevant</w:t>
      </w:r>
    </w:p>
    <w:p>
      <w:pPr>
        <w:pStyle w:val="Heading1"/>
        <w:keepNext/>
        <w:keepLines/>
        <w:spacing w:after="180" w:before="360"/>
      </w:pPr>
      <w:r>
        <w:rPr>
          <w:rFonts w:ascii="Calibri" w:cs="Calibri" w:eastAsia="Calibri" w:hAnsi="Calibri"/>
          <w:b/>
          <w:bCs/>
          <w:color w:val="0D3B6E"/>
          <w:sz w:val="32"/>
          <w:szCs w:val="32"/>
        </w:rPr>
        <w:t xml:space="preserve">7.  Step 3 — Computing the Context Vector</w:t>
      </w:r>
    </w:p>
    <w:p>
      <w:pPr>
        <w:spacing w:after="120" w:before="60" w:line="320"/>
        <w:jc w:val="both"/>
      </w:pPr>
      <w:r>
        <w:rPr>
          <w:rFonts w:ascii="Times New Roman" w:cs="Times New Roman" w:eastAsia="Times New Roman" w:hAnsi="Times New Roman"/>
          <w:color w:val="1F2937"/>
          <w:sz w:val="22"/>
          <w:szCs w:val="22"/>
        </w:rPr>
        <w:t xml:space="preserve">The context vector z(2) is the output of the mechanism for the query 'journey'. It is computed as a weighted sum of the six input embeddings, with the attention weights from Step 2 as mixing coefficients. Mathematically, z(2) = Σ a(2, i) · x(i) for i running over all input positions.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z(2) = a21*x(1) + a22*x(2) + a23*x(3) + a24*x(4) + a25*x(5) + a26*x(6)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query = inputs[1]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context_vec_2 = torch.zeros(query.shape)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for i, x_i in enumerate(inputs):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context_vec_2 += attn_weights_2[i] * x_i</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print(context_vec_2)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tensor([0.4419, 0.6515, 0.5683])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Compare against the original embedding of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Original   x(2):  [0.55, 0.87, 0.66]</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Context    z(2):  [0.44, 0.65, 0.57]   &lt;- enriched version of x(2)</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What the Context Vector Encodes</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The context vector z(2) is not a replacement for x(2). It is an enrichment: it preserves the semantic signature of 'journey' while additionally incorporating a weighted contribution from every other token in the sentence. Each token contributes in proportion to its attention weight, so tokens that are highly aligned with the query — such as 'starts' at weight 0.2333 — contribute more of their embedding to z(2) than tokens that are not, such as 'one' at weight 0.1082. This is the precise sense in which z(2) is a context-aware representation of 'journey'.</w:t>
      </w:r>
    </w:p>
    <w:p>
      <w:pPr>
        <w:pStyle w:val="Heading1"/>
        <w:keepNext/>
        <w:keepLines/>
        <w:spacing w:after="180" w:before="360"/>
      </w:pPr>
      <w:r>
        <w:rPr>
          <w:rFonts w:ascii="Calibri" w:cs="Calibri" w:eastAsia="Calibri" w:hAnsi="Calibri"/>
          <w:b/>
          <w:bCs/>
          <w:color w:val="0D3B6E"/>
          <w:sz w:val="32"/>
          <w:szCs w:val="32"/>
        </w:rPr>
        <w:t xml:space="preserve">8.  Computing All Context Vectors</w:t>
      </w:r>
    </w:p>
    <w:p>
      <w:pPr>
        <w:spacing w:after="120" w:before="60" w:line="320"/>
        <w:jc w:val="both"/>
      </w:pPr>
      <w:r>
        <w:rPr>
          <w:rFonts w:ascii="Times New Roman" w:cs="Times New Roman" w:eastAsia="Times New Roman" w:hAnsi="Times New Roman"/>
          <w:color w:val="1F2937"/>
          <w:sz w:val="22"/>
          <w:szCs w:val="22"/>
        </w:rPr>
        <w:t xml:space="preserve">The computation just shown produces only z(2). In practice every input position must have its own context vector, which requires repeating Steps 1 through 3 for each token as query. This section derives the matrix form of that repeated computation — the same operations expressed as two matrix multiplications and one softmax — and verifies that the matrix form agrees with the explicit loop on the second row.</w:t>
      </w:r>
    </w:p>
    <w:p>
      <w:pPr>
        <w:pStyle w:val="Heading2"/>
        <w:keepNext/>
        <w:keepLines/>
        <w:spacing w:after="120" w:before="240"/>
      </w:pPr>
      <w:r>
        <w:rPr>
          <w:rFonts w:ascii="Calibri" w:cs="Calibri" w:eastAsia="Calibri" w:hAnsi="Calibri"/>
          <w:b/>
          <w:bCs/>
          <w:color w:val="0D3B6E"/>
          <w:sz w:val="26"/>
          <w:szCs w:val="26"/>
        </w:rPr>
        <w:t xml:space="preserve">8.1  Full Attention Score Matrix</w:t>
      </w:r>
    </w:p>
    <w:p>
      <w:pPr>
        <w:spacing w:after="120" w:before="60" w:line="320"/>
        <w:jc w:val="both"/>
      </w:pPr>
      <w:r>
        <w:rPr>
          <w:rFonts w:ascii="Times New Roman" w:cs="Times New Roman" w:eastAsia="Times New Roman" w:hAnsi="Times New Roman"/>
          <w:color w:val="1F2937"/>
          <w:sz w:val="22"/>
          <w:szCs w:val="22"/>
        </w:rPr>
        <w:t xml:space="preserve">The attention-score computation can be written either as a nested loop or as a single matrix multiplication. Both forms produce the same 6 × 6 tensor where entry (i, j) is the dot product of x(i) with x(j).</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Method 1: Nested loop (explicit, slow)</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attn_scores = torch.empty(6,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for i, x_i in enumerate(inputs):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for j, x_j in enumerate(inputs):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attn_scores[i, j] = torch.dot(x_i, x_j)</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Method 2: Matrix multiplication (identical output, fully vectorized)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attn_scores = inputs @ inputs.T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Row 2 of attn_scores equals attn_scores_2 from Section 5.2.</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All 36 dot products are computed in a single GPU operation.</w:t>
      </w:r>
    </w:p>
    <w:p>
      <w:pPr>
        <w:pStyle w:val="Heading2"/>
        <w:keepNext/>
        <w:keepLines/>
        <w:spacing w:after="120" w:before="240"/>
      </w:pPr>
      <w:r>
        <w:rPr>
          <w:rFonts w:ascii="Calibri" w:cs="Calibri" w:eastAsia="Calibri" w:hAnsi="Calibri"/>
          <w:b/>
          <w:bCs/>
          <w:color w:val="0D3B6E"/>
          <w:sz w:val="26"/>
          <w:szCs w:val="26"/>
        </w:rPr>
        <w:t xml:space="preserve">8.2  Full Attention Weight Matrix</w:t>
      </w:r>
    </w:p>
    <w:p>
      <w:pPr>
        <w:spacing w:after="120" w:before="60" w:line="320"/>
        <w:jc w:val="both"/>
      </w:pPr>
      <w:r>
        <w:rPr>
          <w:rFonts w:ascii="Times New Roman" w:cs="Times New Roman" w:eastAsia="Times New Roman" w:hAnsi="Times New Roman"/>
          <w:color w:val="1F2937"/>
          <w:sz w:val="22"/>
          <w:szCs w:val="22"/>
        </w:rPr>
        <w:t xml:space="preserve">Applying softmax along the last dimension normalizes each row independently, producing a matrix where every row is a valid probability distribution over the six input positions.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attn_weights = torch.softmax(attn_scores,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print(attn_weights)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tensor([[0.2098, 0.2006, 0.1981, 0.1242, 0.1220, 0.1452],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[0.1385, 0.2379, 0.2333, 0.1240, 0.1082, 0.1581],  &lt;-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[0.1390, 0.2369, 0.2326, 0.1242, 0.1108, 0.1565],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[0.1435, 0.2074, 0.2046, 0.1462, 0.1263, 0.1720],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[0.1526, 0.1958, 0.1975, 0.1367, 0.1879, 0.1295],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[0.1385, 0.2184, 0.2128, 0.1420, 0.0988, 0.1896]])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print('All row sums:', attn_weights.sum(dim=-1))</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tensor([1., 1., 1., 1., 1., 1.])   &lt;- each row sums exactly to 1</w:t>
      </w:r>
    </w:p>
    <w:p>
      <w:pPr>
        <w:spacing w:after="120" w:before="60" w:line="320"/>
        <w:jc w:val="both"/>
      </w:pPr>
      <w:r>
        <w:rPr>
          <w:rFonts w:ascii="Times New Roman" w:cs="Times New Roman" w:eastAsia="Times New Roman" w:hAnsi="Times New Roman"/>
          <w:color w:val="1F2937"/>
          <w:sz w:val="22"/>
          <w:szCs w:val="22"/>
        </w:rPr>
        <w:t xml:space="preserve">Two properties of the resulting matrix are worth noting. First, it is not symmetric — the weight from row i to column j is not in general equal to the weight from row j to column i, because each row is normalized independently. Second, the second row reproduces the single-query computation of Section 6.2 exactly, which verifies the matrix form against the explicit-loop form for at least one position.</w:t>
      </w:r>
    </w:p>
    <w:p>
      <w:pPr>
        <w:pStyle w:val="Heading2"/>
        <w:keepNext/>
        <w:keepLines/>
        <w:spacing w:after="120" w:before="240"/>
      </w:pPr>
      <w:r>
        <w:rPr>
          <w:rFonts w:ascii="Calibri" w:cs="Calibri" w:eastAsia="Calibri" w:hAnsi="Calibri"/>
          <w:b/>
          <w:bCs/>
          <w:color w:val="0D3B6E"/>
          <w:sz w:val="26"/>
          <w:szCs w:val="26"/>
        </w:rPr>
        <w:t xml:space="preserve">8.3  All Context Vectors via Matrix Multiplication</w:t>
      </w:r>
    </w:p>
    <w:p>
      <w:pPr>
        <w:spacing w:after="120" w:before="60" w:line="320"/>
        <w:jc w:val="both"/>
      </w:pPr>
      <w:r>
        <w:rPr>
          <w:rFonts w:ascii="Times New Roman" w:cs="Times New Roman" w:eastAsia="Times New Roman" w:hAnsi="Times New Roman"/>
          <w:color w:val="1F2937"/>
          <w:sz w:val="22"/>
          <w:szCs w:val="22"/>
        </w:rPr>
        <w:t xml:space="preserve">The final step of the simplified mechanism — computing every context vector simultaneously — is a single matrix multiplication between the attention-weight matrix and the input matrix. The result is a 6 × 3 tensor where each row is the context vector for the corresponding input position.</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all_context_vecs = attn_weights @ inputs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print(all_context_vecs)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tensor([[0.4421, 0.5931, 0.5790],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[0.4419, 0.6515, 0.5683],  &lt;- z(2) for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[0.4431, 0.6496, 0.5671],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[0.4304, 0.6298, 0.5510],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[0.4671, 0.5910, 0.5266],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[0.4177, 0.6503, 0.5645]])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Verification against Section 7 single-query computation: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print('Single-query z(2):', context_vec_2)</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tensor([0.4419, 0.6515, 0.5683])   &lt;- identical</w:t>
      </w:r>
    </w:p>
    <w:p>
      <w:pPr>
        <w:pStyle w:val="Heading1"/>
        <w:keepNext/>
        <w:keepLines/>
        <w:spacing w:after="180" w:before="360"/>
      </w:pPr>
      <w:r>
        <w:rPr>
          <w:rFonts w:ascii="Calibri" w:cs="Calibri" w:eastAsia="Calibri" w:hAnsi="Calibri"/>
          <w:b/>
          <w:bCs/>
          <w:color w:val="0D3B6E"/>
          <w:sz w:val="32"/>
          <w:szCs w:val="32"/>
        </w:rPr>
        <w:t xml:space="preserve">9.  Complete Simplified Self-Attention — Three Lines</w:t>
      </w:r>
    </w:p>
    <w:p>
      <w:pPr>
        <w:spacing w:after="120" w:before="60" w:line="320"/>
        <w:jc w:val="both"/>
      </w:pPr>
      <w:r>
        <w:rPr>
          <w:rFonts w:ascii="Times New Roman" w:cs="Times New Roman" w:eastAsia="Times New Roman" w:hAnsi="Times New Roman"/>
          <w:color w:val="1F2937"/>
          <w:sz w:val="22"/>
          <w:szCs w:val="22"/>
        </w:rPr>
        <w:t xml:space="preserve">Assembling the three steps, the entire simplified self-attention mechanism for an arbitrary input sequence is expressed in three lines of PyTorch. This block is the computational skeleton of every attention variant that follows in Stage 2.</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import torch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Sentence: "Your journey starts with one step"</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inputs = torch.tensor([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[0.43, 0.15, 0.89],  # Your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[0.55, 0.87, 0.66],  #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[0.57, 0.85, 0.64],  # starts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[0.22, 0.58, 0.33],  # with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[0.77, 0.25, 0.10],  # one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[0.05, 0.80, 0.55],  # step</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attn_scores   = inputs @ inputs.T                       # Step 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attn_weights  = torch.softmax(attn_scores, dim=-1)      # Step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context_vecs  = attn_weights @ inputs                   # Step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print(context_vecs)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Six enriched embeddings — one per input token.</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Each row encodes the token's meaning plus its relational summary of the rest of the sequence.</w:t>
      </w:r>
    </w:p>
    <w:p>
      <w:pPr>
        <w:pStyle w:val="Heading1"/>
        <w:keepNext/>
        <w:keepLines/>
        <w:spacing w:after="180" w:before="360"/>
      </w:pPr>
      <w:r>
        <w:rPr>
          <w:rFonts w:ascii="Calibri" w:cs="Calibri" w:eastAsia="Calibri" w:hAnsi="Calibri"/>
          <w:b/>
          <w:bCs/>
          <w:color w:val="0D3B6E"/>
          <w:sz w:val="32"/>
          <w:szCs w:val="32"/>
        </w:rPr>
        <w:t xml:space="preserve">10.  The Limitation — Why Trainable Weights Are Needed</w:t>
      </w:r>
    </w:p>
    <w:p>
      <w:pPr>
        <w:spacing w:after="120" w:before="60" w:line="320"/>
        <w:jc w:val="both"/>
      </w:pPr>
      <w:r>
        <w:rPr>
          <w:rFonts w:ascii="Times New Roman" w:cs="Times New Roman" w:eastAsia="Times New Roman" w:hAnsi="Times New Roman"/>
          <w:color w:val="1F2937"/>
          <w:sz w:val="22"/>
          <w:szCs w:val="22"/>
        </w:rPr>
        <w:t xml:space="preserve">Simplified self-attention produces genuine context vectors, but it is fundamentally restricted in what relationships it can encode. Because the attention scores are dot products of the raw input embeddings themselves, the mechanism can only strengthen attention between tokens that are already close in the fixed embedding space. If two tokens are semantically unrelated in embeddings, but contextually crucial to each other within a specific sentence, the simplified mechanism has no route to discover that relationship.</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The 'warm' Example — Where Simplified Attention Fails</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Consider the sentence "The cat sat on the mat because it was warm." The query 'warm' is most similar in raw embedding space to itself — it has no reason to attend strongly to 'mat', because 'mat' and 'warm' are not near neighbours in the embedding space. Yet 'mat' is precisely the token on which 'warm' should attend: the mat is what is warm. Simplified attention cannot recover this, because it has no mechanism to learn that 'warm' should attend to 'mat' in this sentence. The fix — introduced in Topic 9 — is to give the model three separate projection matrices W_Q, W_K, and W_V that project the inputs into query, key, and value subspaces in which the model can learn which alignments matter for the training objective.</w:t>
      </w:r>
    </w:p>
    <w:p>
      <w:pPr>
        <w:spacing w:after="120" w:before="60" w:line="320"/>
        <w:jc w:val="both"/>
      </w:pPr>
      <w:r>
        <w:rPr>
          <w:rFonts w:ascii="Times New Roman" w:cs="Times New Roman" w:eastAsia="Times New Roman" w:hAnsi="Times New Roman"/>
          <w:color w:val="1F2937"/>
          <w:sz w:val="22"/>
          <w:szCs w:val="22"/>
        </w:rPr>
        <w:t xml:space="preserve">The limitation is not an implementation bug; it is a ceiling imposed by the absence of learnable parameters. Removing that ceiling is the sole architectural change introduced in Topic 9, and the three-step skeleton of scores → softmax → weighted sum remains identical beneath the new trainable projections.</w:t>
      </w:r>
    </w:p>
    <w:p>
      <w:pPr>
        <w:pStyle w:val="Heading1"/>
        <w:keepNext/>
        <w:keepLines/>
        <w:spacing w:after="180" w:before="360"/>
      </w:pPr>
      <w:r>
        <w:rPr>
          <w:rFonts w:ascii="Calibri" w:cs="Calibri" w:eastAsia="Calibri" w:hAnsi="Calibri"/>
          <w:b/>
          <w:bCs/>
          <w:color w:val="0D3B6E"/>
          <w:sz w:val="32"/>
          <w:szCs w:val="32"/>
        </w:rPr>
        <w:t xml:space="preserve">11.  Key Observations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The dot product is the correct compatibility function for simplified attention. </w:t>
      </w:r>
      <w:r>
        <w:rPr>
          <w:rFonts w:ascii="Times New Roman" w:cs="Times New Roman" w:eastAsia="Times New Roman" w:hAnsi="Times New Roman"/>
          <w:b w:val="false"/>
          <w:bCs w:val="false"/>
          <w:i w:val="false"/>
          <w:iCs w:val="false"/>
          <w:color w:val="1F2937"/>
          <w:sz w:val="22"/>
          <w:szCs w:val="22"/>
        </w:rPr>
        <w:t xml:space="preserve">It quantifies alignment in the embedding space, and in self-attention this alignment is treated as a proxy for contextual relevance. Any replacement metric — cosine similarity, scaled dot product, or a learned bilinear form — is a refinement of this same principle.</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Softmax is architecturally necessary, not merely conventional. </w:t>
      </w:r>
      <w:r>
        <w:rPr>
          <w:rFonts w:ascii="Times New Roman" w:cs="Times New Roman" w:eastAsia="Times New Roman" w:hAnsi="Times New Roman"/>
          <w:b w:val="false"/>
          <w:bCs w:val="false"/>
          <w:i w:val="false"/>
          <w:iCs w:val="false"/>
          <w:color w:val="1F2937"/>
          <w:sz w:val="22"/>
          <w:szCs w:val="22"/>
        </w:rPr>
        <w:t xml:space="preserve">Simple summation produces a distribution that sums to one but fails to suppress small scores sufficiently, which destabilizes gradient flow in deep networks. The exponential sharpening produced by softmax ensures that large scores dominate and small scores decay toward zero — the property training dynamics rely on.</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The context vector is an enrichment, not a replacement. </w:t>
      </w:r>
      <w:r>
        <w:rPr>
          <w:rFonts w:ascii="Times New Roman" w:cs="Times New Roman" w:eastAsia="Times New Roman" w:hAnsi="Times New Roman"/>
          <w:b w:val="false"/>
          <w:bCs w:val="false"/>
          <w:i w:val="false"/>
          <w:iCs w:val="false"/>
          <w:color w:val="1F2937"/>
          <w:sz w:val="22"/>
          <w:szCs w:val="22"/>
        </w:rPr>
        <w:t xml:space="preserve">z(i) preserves the semantic signature of x(i) while additionally encoding a weighted summary of every other position. This dual information content is what makes z(i) more useful than x(i) for next-token prediction.</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Semantic similarity is not the same as contextual relevance. </w:t>
      </w:r>
      <w:r>
        <w:rPr>
          <w:rFonts w:ascii="Times New Roman" w:cs="Times New Roman" w:eastAsia="Times New Roman" w:hAnsi="Times New Roman"/>
          <w:b w:val="false"/>
          <w:bCs w:val="false"/>
          <w:i w:val="false"/>
          <w:iCs w:val="false"/>
          <w:color w:val="1F2937"/>
          <w:sz w:val="22"/>
          <w:szCs w:val="22"/>
        </w:rPr>
        <w:t xml:space="preserve">Two tokens can be unrelated in embedding space yet critical to each other in a specific sentence. This gap is the central limitation of simplified attention and the motivation for trainable projections in Topic 9.</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Matrix multiplication replaces explicit loops without changing any numerical output. </w:t>
      </w:r>
      <w:r>
        <w:rPr>
          <w:rFonts w:ascii="Times New Roman" w:cs="Times New Roman" w:eastAsia="Times New Roman" w:hAnsi="Times New Roman"/>
          <w:b w:val="false"/>
          <w:bCs w:val="false"/>
          <w:i w:val="false"/>
          <w:iCs w:val="false"/>
          <w:color w:val="1F2937"/>
          <w:sz w:val="22"/>
          <w:szCs w:val="22"/>
        </w:rPr>
        <w:t xml:space="preserve">The operations inputs @ inputs.T and attn_weights @ inputs compute all scores and all context vectors simultaneously. This is the source of the parallelism that makes attention practical at vocabulary sizes in the tens of thousands.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The three-line pipeline is the stable skeleton of every attention variant. </w:t>
      </w:r>
      <w:r>
        <w:rPr>
          <w:rFonts w:ascii="Times New Roman" w:cs="Times New Roman" w:eastAsia="Times New Roman" w:hAnsi="Times New Roman"/>
          <w:b w:val="false"/>
          <w:bCs w:val="false"/>
          <w:i w:val="false"/>
          <w:iCs w:val="false"/>
          <w:color w:val="1F2937"/>
          <w:sz w:val="22"/>
          <w:szCs w:val="22"/>
        </w:rPr>
        <w:t xml:space="preserve">Trainable projections, causal masking, and multi-head parallelism are all modifications layered on top of the same three operations: compute scores, normalize to weights, take the weighted sum.</w:t>
      </w:r>
    </w:p>
    <w:p>
      <w:pPr>
        <w:pStyle w:val="Heading1"/>
        <w:keepNext/>
        <w:keepLines/>
        <w:spacing w:after="180" w:before="360"/>
      </w:pPr>
      <w:r>
        <w:rPr>
          <w:rFonts w:ascii="Calibri" w:cs="Calibri" w:eastAsia="Calibri" w:hAnsi="Calibri"/>
          <w:b/>
          <w:bCs/>
          <w:color w:val="0D3B6E"/>
          <w:sz w:val="32"/>
          <w:szCs w:val="32"/>
        </w:rPr>
        <w:t xml:space="preserve">12.  Experiments &amp; Open Questions</w:t>
      </w:r>
    </w:p>
    <w:p>
      <w:pPr>
        <w:spacing w:after="120" w:before="60" w:line="320"/>
        <w:jc w:val="both"/>
      </w:pPr>
      <w:r>
        <w:rPr>
          <w:rFonts w:ascii="Times New Roman" w:cs="Times New Roman" w:eastAsia="Times New Roman" w:hAnsi="Times New Roman"/>
          <w:color w:val="1F2937"/>
          <w:sz w:val="22"/>
          <w:szCs w:val="22"/>
        </w:rPr>
        <w:t xml:space="preserve">This section extends the topic beyond exposition with three items that engage the mechanism empirically and conceptually: a hand-verified numerical computation of the 'journey' context vector that confirms the implementation against arithmetic; an open question regarding the conditions under which raw dot-product attention is insufficient; and a proposed empirical study that quantifies the magnitude of the limitation discussed in Section 10.</w:t>
      </w:r>
    </w:p>
    <w:p>
      <w:pPr>
        <w:pStyle w:val="Heading3"/>
        <w:keepNext/>
        <w:keepLines/>
        <w:spacing w:after="80" w:before="200"/>
      </w:pPr>
      <w:r>
        <w:rPr>
          <w:rFonts w:ascii="Calibri" w:cs="Calibri" w:eastAsia="Calibri" w:hAnsi="Calibri"/>
          <w:b/>
          <w:bCs/>
          <w:color w:val="1F4D78"/>
          <w:sz w:val="24"/>
          <w:szCs w:val="24"/>
        </w:rPr>
        <w:t xml:space="preserve">12.1  Hand-Verified Context Vector for 'journey'</w:t>
      </w:r>
    </w:p>
    <w:p>
      <w:pPr>
        <w:spacing w:after="120" w:before="60" w:line="320"/>
        <w:jc w:val="both"/>
      </w:pPr>
      <w:r>
        <w:rPr>
          <w:rFonts w:ascii="Times New Roman" w:cs="Times New Roman" w:eastAsia="Times New Roman" w:hAnsi="Times New Roman"/>
          <w:color w:val="1F2937"/>
          <w:sz w:val="22"/>
          <w:szCs w:val="22"/>
        </w:rPr>
        <w:t xml:space="preserve">A useful diagnostic for any attention implementation is to verify at least one context vector by hand. Using the attention weights a(2, :) = [0.1385, 0.2379, 0.2333, 0.1240, 0.1082, 0.1581] and the six input embeddings, the j-th component of z(2) for j ∈ {1, 2, 3} is a convex combination of the j-th components of x(1) through x(6):</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Component 1 of z(2):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z(2)[0] = 0.1385*0.43 + 0.2379*0.55 + 0.2333*0.57</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+ 0.1240*0.22 + 0.1082*0.77 + 0.1581*0.05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0.4419</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Component 2 of z(2):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z(2)[1] = 0.1385*0.15 + 0.2379*0.87 + 0.2333*0.85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+ 0.1240*0.58 + 0.1082*0.25 + 0.1581*0.80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0.6515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Component 3 of z(2):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z(2)[2] = 0.1385*0.89 + 0.2379*0.66 + 0.2333*0.64</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+ 0.1240*0.33 + 0.1082*0.10 + 0.1581*0.55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0.5683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Hand-computed:   [0.4419, 0.6515, 0.5683]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PyTorch output:  [0.4419, 0.6515, 0.5683]</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Exact agreement to four decimal places.</w:t>
      </w:r>
    </w:p>
    <w:p>
      <w:pPr>
        <w:spacing w:after="120" w:before="60" w:line="320"/>
        <w:jc w:val="both"/>
      </w:pPr>
      <w:r>
        <w:rPr>
          <w:rFonts w:ascii="Times New Roman" w:cs="Times New Roman" w:eastAsia="Times New Roman" w:hAnsi="Times New Roman"/>
          <w:color w:val="1F2937"/>
          <w:sz w:val="22"/>
          <w:szCs w:val="22"/>
        </w:rPr>
        <w:t xml:space="preserve">The agreement between the arithmetic computation and the PyTorch tensor confirms, for at least one position, that the implementation contains no rounding errors, no tensor-orientation bugs, and no transcription mistakes. In a larger implementation this same pattern — manually verifying one row of every tensor against the library output — is the simplest defense against silent correctness bugs.</w:t>
      </w:r>
    </w:p>
    <w:p>
      <w:pPr>
        <w:pStyle w:val="Heading3"/>
        <w:keepNext/>
        <w:keepLines/>
        <w:spacing w:after="80" w:before="200"/>
      </w:pPr>
      <w:r>
        <w:rPr>
          <w:rFonts w:ascii="Calibri" w:cs="Calibri" w:eastAsia="Calibri" w:hAnsi="Calibri"/>
          <w:b/>
          <w:bCs/>
          <w:color w:val="1F4D78"/>
          <w:sz w:val="24"/>
          <w:szCs w:val="24"/>
        </w:rPr>
        <w:t xml:space="preserve">12.2  Open Question — When Does Raw Dot-Product Attention Fail?</w:t>
      </w:r>
    </w:p>
    <w:p>
      <w:pPr>
        <w:spacing w:after="120" w:before="60" w:line="320"/>
        <w:jc w:val="both"/>
      </w:pPr>
      <w:r>
        <w:rPr>
          <w:rFonts w:ascii="Times New Roman" w:cs="Times New Roman" w:eastAsia="Times New Roman" w:hAnsi="Times New Roman"/>
          <w:color w:val="1F2937"/>
          <w:sz w:val="22"/>
          <w:szCs w:val="22"/>
        </w:rPr>
        <w:t xml:space="preserve">Section 10 argued that simplified attention cannot capture relationships between tokens that are contextually important but semantically distant in the embedding space. A more precise framing of this claim is an open empirical question: for what fraction of natural-language contexts is the gap between semantic similarity and contextual relevance large enough to matter? On simple sentences with short dependencies the gap is often negligible; on long sentences with pronoun-antecedent resolution, coreference across clauses, or idiomatic relationships the gap is demonstrably large. A systematic study of this question — ideally by comparing simplified attention with trainable attention on the same dataset, controlling for all other parameters — would provide a quantitative answer to what is currently only a qualitative claim in the literature.</w:t>
      </w:r>
    </w:p>
    <w:p>
      <w:pPr>
        <w:pStyle w:val="Heading3"/>
        <w:keepNext/>
        <w:keepLines/>
        <w:spacing w:after="80" w:before="200"/>
      </w:pPr>
      <w:r>
        <w:rPr>
          <w:rFonts w:ascii="Calibri" w:cs="Calibri" w:eastAsia="Calibri" w:hAnsi="Calibri"/>
          <w:b/>
          <w:bCs/>
          <w:color w:val="1F4D78"/>
          <w:sz w:val="24"/>
          <w:szCs w:val="24"/>
        </w:rPr>
        <w:t xml:space="preserve">12.3  Proposed Future Work</w:t>
      </w:r>
    </w:p>
    <w:p>
      <w:pPr>
        <w:spacing w:after="120" w:before="60" w:line="320"/>
        <w:jc w:val="both"/>
      </w:pPr>
      <w:r>
        <w:rPr>
          <w:rFonts w:ascii="Times New Roman" w:cs="Times New Roman" w:eastAsia="Times New Roman" w:hAnsi="Times New Roman"/>
          <w:color w:val="1F2937"/>
          <w:sz w:val="22"/>
          <w:szCs w:val="22"/>
        </w:rPr>
        <w:t xml:space="preserve">A natural follow-up to this topic is a direct empirical comparison between simplified self-attention and the full trainable mechanism of Topic 9 on a synthetic dataset specifically designed to exhibit the 'warm' phenomenon. The protocol would fix all other components — the embedding matrix, the optimizer, the sequence length — and vary only the attention mechanism. Accuracy on a next-token-prediction task that requires attending to a contextually relevant but semantically distant token would be measured as a function of training steps. The predicted outcome, consistent with the argument in Section 10, is that simplified attention plateaus well below the full mechanism on this task while matching it on a baseline task where semantic similarity alone is sufficient. This experiment is not executed in the present document but is recorded here as a direction for empirical validation once Topic 9 is available.</w:t>
      </w:r>
    </w:p>
    <w:p>
      <w:pPr>
        <w:pStyle w:val="Heading1"/>
        <w:keepNext/>
        <w:keepLines/>
        <w:spacing w:after="180" w:before="360"/>
      </w:pPr>
      <w:r>
        <w:rPr>
          <w:rFonts w:ascii="Calibri" w:cs="Calibri" w:eastAsia="Calibri" w:hAnsi="Calibri"/>
          <w:b/>
          <w:bCs/>
          <w:color w:val="0D3B6E"/>
          <w:sz w:val="32"/>
          <w:szCs w:val="32"/>
        </w:rPr>
        <w:t xml:space="preserve">13.  Discussion — Relationship to Prior Work</w:t>
      </w:r>
    </w:p>
    <w:p>
      <w:pPr>
        <w:spacing w:after="120" w:before="60" w:line="320"/>
        <w:jc w:val="both"/>
      </w:pPr>
      <w:r>
        <w:rPr>
          <w:rFonts w:ascii="Times New Roman" w:cs="Times New Roman" w:eastAsia="Times New Roman" w:hAnsi="Times New Roman"/>
          <w:color w:val="1F2937"/>
          <w:sz w:val="22"/>
          <w:szCs w:val="22"/>
        </w:rPr>
        <w:t xml:space="preserve">This section situates simplified self-attention in relation to the primary research papers that motivate Stage 2. Formal citations appear in the References; the purpose here is to clarify which specific contributions each referenced work made and how they connect to the implementation presented above.</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dot-product compatibility function used throughout this topic is the basic form of the attention score used in Vaswani et al. (2017) </w:t>
      </w:r>
      <w:r>
        <w:rPr>
          <w:rFonts w:ascii="Times New Roman" w:cs="Times New Roman" w:eastAsia="Times New Roman" w:hAnsi="Times New Roman"/>
          <w:b/>
          <w:bCs/>
          <w:color w:val="1F2937"/>
          <w:sz w:val="22"/>
          <w:szCs w:val="22"/>
        </w:rPr>
        <w:t xml:space="preserve"> [1]</w:t>
      </w:r>
      <w:r>
        <w:rPr>
          <w:rFonts w:ascii="Times New Roman" w:cs="Times New Roman" w:eastAsia="Times New Roman" w:hAnsi="Times New Roman"/>
          <w:b w:val="false"/>
          <w:bCs w:val="false"/>
          <w:i w:val="false"/>
          <w:iCs w:val="false"/>
          <w:color w:val="1F2937"/>
          <w:sz w:val="22"/>
          <w:szCs w:val="22"/>
        </w:rPr>
        <w:t xml:space="preserve">, Section 3.2. That paper, which is the canonical Transformer reference, extends the raw dot product in two ways that are not implemented here: the introduction of trainable projection matrices W_Q, W_K, and W_V that replace raw embeddings in the score computation, and a scaling factor 1/√d_k that stabilizes gradients when the key dimensionality d_k is large. Both extensions are the subject of Topic 9. The three-line skeleton of Section 9 — scores by matrix multiplication, softmax normalization, weighted sum — is exactly the structure retained under those additions; only the specific matrices being multiplied change.</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concept of computing a compatibility score between a query and each candidate input, then using softmax-normalized weights to form a context vector, was introduced earlier by Bahdanau, Cho, and Bengio (2014) </w:t>
      </w:r>
      <w:r>
        <w:rPr>
          <w:rFonts w:ascii="Times New Roman" w:cs="Times New Roman" w:eastAsia="Times New Roman" w:hAnsi="Times New Roman"/>
          <w:b/>
          <w:bCs/>
          <w:color w:val="1F2937"/>
          <w:sz w:val="22"/>
          <w:szCs w:val="22"/>
        </w:rPr>
        <w:t xml:space="preserve"> [2]</w:t>
      </w:r>
      <w:r>
        <w:rPr>
          <w:rFonts w:ascii="Times New Roman" w:cs="Times New Roman" w:eastAsia="Times New Roman" w:hAnsi="Times New Roman"/>
          <w:b w:val="false"/>
          <w:bCs w:val="false"/>
          <w:i w:val="false"/>
          <w:iCs w:val="false"/>
          <w:color w:val="1F2937"/>
          <w:sz w:val="22"/>
          <w:szCs w:val="22"/>
        </w:rPr>
        <w:t xml:space="preserve"> for machine translation. Their formulation used an additive compatibility function — a small feedforward network over the concatenated query and key — rather than a dot product, but the structural contribution of attention weights as a differentiable soft-alignment mechanism over the encoder states originates in that paper. The simplified mechanism here can be viewed as Bahdanau attention with the additive compatibility function replaced by the simplest possible alternative — a dot product — and with the query and key roles both played by the raw input embedding.</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Transformer decoder architecture applied to autoregressive language modelling, which is the target of the broader series of which this topic is part, was established by Radford and colleagues (2019) </w:t>
      </w:r>
      <w:r>
        <w:rPr>
          <w:rFonts w:ascii="Times New Roman" w:cs="Times New Roman" w:eastAsia="Times New Roman" w:hAnsi="Times New Roman"/>
          <w:b/>
          <w:bCs/>
          <w:color w:val="1F2937"/>
          <w:sz w:val="22"/>
          <w:szCs w:val="22"/>
        </w:rPr>
        <w:t xml:space="preserve"> [3]</w:t>
      </w:r>
      <w:r>
        <w:rPr>
          <w:rFonts w:ascii="Times New Roman" w:cs="Times New Roman" w:eastAsia="Times New Roman" w:hAnsi="Times New Roman"/>
          <w:b w:val="false"/>
          <w:bCs w:val="false"/>
          <w:i w:val="false"/>
          <w:iCs w:val="false"/>
          <w:color w:val="1F2937"/>
          <w:sz w:val="22"/>
          <w:szCs w:val="22"/>
        </w:rPr>
        <w:t xml:space="preserve">. GPT-2's attention module uses the same three-operation skeleton developed here, with causal masking added (Topic 10) so that each token attends only to itself and earlier positions, and with multiple parallel heads (Topics 11 and 12) each computing its own scaled dot-product attention. Every operation introduced later in this series is an extension of, not a replacement for, the three-step computation made explicit in Section 9.</w:t>
      </w:r>
    </w:p>
    <w:p>
      <w:pPr>
        <w:pStyle w:val="Heading1"/>
        <w:keepNext/>
        <w:keepLines/>
        <w:spacing w:after="180" w:before="360"/>
      </w:pPr>
      <w:r>
        <w:rPr>
          <w:rFonts w:ascii="Calibri" w:cs="Calibri" w:eastAsia="Calibri" w:hAnsi="Calibri"/>
          <w:b/>
          <w:bCs/>
          <w:color w:val="0D3B6E"/>
          <w:sz w:val="32"/>
          <w:szCs w:val="32"/>
        </w:rPr>
        <w:t xml:space="preserve">14.  What Comes Next</w:t>
      </w:r>
    </w:p>
    <w:p>
      <w:pPr>
        <w:spacing w:after="120" w:before="60" w:line="320"/>
        <w:jc w:val="both"/>
      </w:pPr>
      <w:r>
        <w:rPr>
          <w:rFonts w:ascii="Times New Roman" w:cs="Times New Roman" w:eastAsia="Times New Roman" w:hAnsi="Times New Roman"/>
          <w:color w:val="1F2937"/>
          <w:sz w:val="22"/>
          <w:szCs w:val="22"/>
        </w:rPr>
        <w:t xml:space="preserve">Stage 2 proceeds by introducing one new architectural capability per topic, each layered on top of the same three-step skeleton established here. The next four topics complete the attention mechanism used in GPT-2.</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9 — Self-Attention with Q/K/V. </w:t>
      </w:r>
      <w:r>
        <w:rPr>
          <w:rFonts w:ascii="Times New Roman" w:cs="Times New Roman" w:eastAsia="Times New Roman" w:hAnsi="Times New Roman"/>
          <w:b w:val="false"/>
          <w:bCs w:val="false"/>
          <w:i w:val="false"/>
          <w:iCs w:val="false"/>
          <w:color w:val="1F2937"/>
          <w:sz w:val="22"/>
          <w:szCs w:val="22"/>
        </w:rPr>
        <w:t xml:space="preserve">Introduces three trainable projection matrices W_Q, W_K, and W_V that map the raw embeddings into separate query, key, and value subspaces. The dot product is now taken between projected queries and projected keys rather than between raw embeddings, and the weighted sum operates on projected values rather than raw embeddings. The scaling factor 1/√d_k is derived and incorporated into the score computation.</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10 — Causal Self-Attention. </w:t>
      </w:r>
      <w:r>
        <w:rPr>
          <w:rFonts w:ascii="Times New Roman" w:cs="Times New Roman" w:eastAsia="Times New Roman" w:hAnsi="Times New Roman"/>
          <w:b w:val="false"/>
          <w:bCs w:val="false"/>
          <w:i w:val="false"/>
          <w:iCs w:val="false"/>
          <w:color w:val="1F2937"/>
          <w:sz w:val="22"/>
          <w:szCs w:val="22"/>
        </w:rPr>
        <w:t xml:space="preserve">Adds the causal mask required for autoregressive generation. Before softmax, every attention score between a query at position i and a key at position j &gt; i is set to −∞ so that the corresponding weight is zero. Dropout on the attention weights is also introduced for regularization.</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11 — Multi-Head Attention (Wrapper). </w:t>
      </w:r>
      <w:r>
        <w:rPr>
          <w:rFonts w:ascii="Times New Roman" w:cs="Times New Roman" w:eastAsia="Times New Roman" w:hAnsi="Times New Roman"/>
          <w:b w:val="false"/>
          <w:bCs w:val="false"/>
          <w:i w:val="false"/>
          <w:iCs w:val="false"/>
          <w:color w:val="1F2937"/>
          <w:sz w:val="22"/>
          <w:szCs w:val="22"/>
        </w:rPr>
        <w:t xml:space="preserve">Runs multiple instances of causal self-attention in parallel, each with its own learned projections, and concatenates their outputs. The conceptual implementation uses nn.ModuleList and is useful for understanding the independence of the heads.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12 — Multi-Head Attention (Weight-Split). </w:t>
      </w:r>
      <w:r>
        <w:rPr>
          <w:rFonts w:ascii="Times New Roman" w:cs="Times New Roman" w:eastAsia="Times New Roman" w:hAnsi="Times New Roman"/>
          <w:b w:val="false"/>
          <w:bCs w:val="false"/>
          <w:i w:val="false"/>
          <w:iCs w:val="false"/>
          <w:color w:val="1F2937"/>
          <w:sz w:val="22"/>
          <w:szCs w:val="22"/>
        </w:rPr>
        <w:t xml:space="preserve">Replaces the wrapper version with the single-matrix formulation used in production GPT-2: one large W_Q, W_K, W_V projection followed by a reshape into multiple heads. This is the exact module that appears in the published 124M-parameter GPT-2 implementation.</w:t>
      </w:r>
    </w:p>
    <w:p>
      <w:pPr>
        <w:spacing w:after="120" w:before="60" w:line="320"/>
        <w:jc w:val="both"/>
      </w:pPr>
      <w:r>
        <w:rPr>
          <w:rFonts w:ascii="Times New Roman" w:cs="Times New Roman" w:eastAsia="Times New Roman" w:hAnsi="Times New Roman"/>
          <w:color w:val="1F2937"/>
          <w:sz w:val="22"/>
          <w:szCs w:val="22"/>
        </w:rPr>
        <w:t xml:space="preserve">By the end of Topic 12 the attention mechanism is complete and matches the GPT-2 production module tensor-for-tensor. Stages 3 through 5 then build the surrounding architecture, the pretraining loop, and the fine-tuning stages.</w:t>
      </w:r>
    </w:p>
    <w:p>
      <w:pPr>
        <w:pStyle w:val="Heading1"/>
        <w:keepNext/>
        <w:keepLines/>
        <w:pageBreakBefore/>
        <w:spacing w:after="180" w:before="360"/>
      </w:pPr>
      <w:r>
        <w:rPr>
          <w:rFonts w:ascii="Calibri" w:cs="Calibri" w:eastAsia="Calibri" w:hAnsi="Calibri"/>
          <w:b/>
          <w:bCs/>
          <w:color w:val="0D3B6E"/>
          <w:sz w:val="32"/>
          <w:szCs w:val="32"/>
        </w:rPr>
        <w:t xml:space="preserve">References</w:t>
      </w:r>
    </w:p>
    <w:p>
      <w:pPr>
        <w:spacing w:after="120" w:before="60" w:line="320"/>
        <w:jc w:val="both"/>
      </w:pPr>
      <w:r>
        <w:rPr>
          <w:rFonts w:ascii="Times New Roman" w:cs="Times New Roman" w:eastAsia="Times New Roman" w:hAnsi="Times New Roman"/>
          <w:color w:val="1F2937"/>
          <w:sz w:val="22"/>
          <w:szCs w:val="22"/>
        </w:rPr>
        <w:t xml:space="preserve">References are listed in IEEE numeric format. Each reference is cited inline in the body of this document using the corresponding number in square brackets.</w:t>
      </w:r>
    </w:p>
    <w:p>
      <w:pPr>
        <w:spacing w:after="120" w:before="120" w:line="320"/>
        <w:jc w:val="both"/>
      </w:pPr>
      <w:r>
        <w:rPr>
          <w:rFonts w:ascii="Times New Roman" w:cs="Times New Roman" w:eastAsia="Times New Roman" w:hAnsi="Times New Roman"/>
          <w:b/>
          <w:bCs/>
          <w:color w:val="1F2937"/>
          <w:sz w:val="22"/>
          <w:szCs w:val="22"/>
        </w:rPr>
        <w:t xml:space="preserve">[1]  </w:t>
      </w:r>
      <w:r>
        <w:rPr>
          <w:rFonts w:ascii="Times New Roman" w:cs="Times New Roman" w:eastAsia="Times New Roman" w:hAnsi="Times New Roman"/>
          <w:color w:val="1F2937"/>
          <w:sz w:val="22"/>
          <w:szCs w:val="22"/>
        </w:rPr>
        <w:t xml:space="preserve">A. Vaswani, N. Shazeer, N. Parmar, J. Uszkoreit, L. Jones, A. N. Gomez, Ł. Kaiser, and I. Polosukhin, </w:t>
      </w:r>
      <w:r>
        <w:rPr>
          <w:rFonts w:ascii="Times New Roman" w:cs="Times New Roman" w:eastAsia="Times New Roman" w:hAnsi="Times New Roman"/>
          <w:i/>
          <w:iCs/>
          <w:color w:val="1F2937"/>
          <w:sz w:val="22"/>
          <w:szCs w:val="22"/>
        </w:rPr>
        <w:t xml:space="preserve">"Attention Is All You Need," </w:t>
      </w:r>
      <w:r>
        <w:rPr>
          <w:rFonts w:ascii="Times New Roman" w:cs="Times New Roman" w:eastAsia="Times New Roman" w:hAnsi="Times New Roman"/>
          <w:color w:val="1F2937"/>
          <w:sz w:val="22"/>
          <w:szCs w:val="22"/>
        </w:rPr>
        <w:t xml:space="preserve">in </w:t>
      </w:r>
      <w:r>
        <w:rPr>
          <w:rFonts w:ascii="Times New Roman" w:cs="Times New Roman" w:eastAsia="Times New Roman" w:hAnsi="Times New Roman"/>
          <w:i/>
          <w:iCs/>
          <w:color w:val="1F2937"/>
          <w:sz w:val="22"/>
          <w:szCs w:val="22"/>
        </w:rPr>
        <w:t xml:space="preserve">Advances in Neural Information Processing Systems (NeurIPS)</w:t>
      </w:r>
      <w:r>
        <w:rPr>
          <w:rFonts w:ascii="Times New Roman" w:cs="Times New Roman" w:eastAsia="Times New Roman" w:hAnsi="Times New Roman"/>
          <w:color w:val="1F2937"/>
          <w:sz w:val="22"/>
          <w:szCs w:val="22"/>
        </w:rPr>
        <w:t xml:space="preserve">, 2017, pp. 5998–6008.</w:t>
      </w:r>
    </w:p>
    <w:p>
      <w:pPr>
        <w:spacing w:after="120" w:before="120" w:line="320"/>
        <w:jc w:val="both"/>
      </w:pPr>
      <w:r>
        <w:rPr>
          <w:rFonts w:ascii="Times New Roman" w:cs="Times New Roman" w:eastAsia="Times New Roman" w:hAnsi="Times New Roman"/>
          <w:b/>
          <w:bCs/>
          <w:color w:val="1F2937"/>
          <w:sz w:val="22"/>
          <w:szCs w:val="22"/>
        </w:rPr>
        <w:t xml:space="preserve">[2]  </w:t>
      </w:r>
      <w:r>
        <w:rPr>
          <w:rFonts w:ascii="Times New Roman" w:cs="Times New Roman" w:eastAsia="Times New Roman" w:hAnsi="Times New Roman"/>
          <w:color w:val="1F2937"/>
          <w:sz w:val="22"/>
          <w:szCs w:val="22"/>
        </w:rPr>
        <w:t xml:space="preserve">D. Bahdanau, K. Cho, and Y. Bengio, </w:t>
      </w:r>
      <w:r>
        <w:rPr>
          <w:rFonts w:ascii="Times New Roman" w:cs="Times New Roman" w:eastAsia="Times New Roman" w:hAnsi="Times New Roman"/>
          <w:i/>
          <w:iCs/>
          <w:color w:val="1F2937"/>
          <w:sz w:val="22"/>
          <w:szCs w:val="22"/>
        </w:rPr>
        <w:t xml:space="preserve">"Neural Machine Translation by Jointly Learning to Align and Translate," </w:t>
      </w:r>
      <w:r>
        <w:rPr>
          <w:rFonts w:ascii="Times New Roman" w:cs="Times New Roman" w:eastAsia="Times New Roman" w:hAnsi="Times New Roman"/>
          <w:color w:val="1F2937"/>
          <w:sz w:val="22"/>
          <w:szCs w:val="22"/>
        </w:rPr>
        <w:t xml:space="preserve">in </w:t>
      </w:r>
      <w:r>
        <w:rPr>
          <w:rFonts w:ascii="Times New Roman" w:cs="Times New Roman" w:eastAsia="Times New Roman" w:hAnsi="Times New Roman"/>
          <w:i/>
          <w:iCs/>
          <w:color w:val="1F2937"/>
          <w:sz w:val="22"/>
          <w:szCs w:val="22"/>
        </w:rPr>
        <w:t xml:space="preserve">Proceedings of the International Conference on Learning Representations (ICLR)</w:t>
      </w:r>
      <w:r>
        <w:rPr>
          <w:rFonts w:ascii="Times New Roman" w:cs="Times New Roman" w:eastAsia="Times New Roman" w:hAnsi="Times New Roman"/>
          <w:color w:val="1F2937"/>
          <w:sz w:val="22"/>
          <w:szCs w:val="22"/>
        </w:rPr>
        <w:t xml:space="preserve">, 2015. arXiv:1409.0473.</w:t>
      </w:r>
    </w:p>
    <w:p>
      <w:pPr>
        <w:spacing w:after="120" w:before="120" w:line="320"/>
        <w:jc w:val="both"/>
      </w:pPr>
      <w:r>
        <w:rPr>
          <w:rFonts w:ascii="Times New Roman" w:cs="Times New Roman" w:eastAsia="Times New Roman" w:hAnsi="Times New Roman"/>
          <w:b/>
          <w:bCs/>
          <w:color w:val="1F2937"/>
          <w:sz w:val="22"/>
          <w:szCs w:val="22"/>
        </w:rPr>
        <w:t xml:space="preserve">[3]  </w:t>
      </w:r>
      <w:r>
        <w:rPr>
          <w:rFonts w:ascii="Times New Roman" w:cs="Times New Roman" w:eastAsia="Times New Roman" w:hAnsi="Times New Roman"/>
          <w:color w:val="1F2937"/>
          <w:sz w:val="22"/>
          <w:szCs w:val="22"/>
        </w:rPr>
        <w:t xml:space="preserve">A. Radford, J. Wu, R. Child, D. Luan, D. Amodei, and I. Sutskever, </w:t>
      </w:r>
      <w:r>
        <w:rPr>
          <w:rFonts w:ascii="Times New Roman" w:cs="Times New Roman" w:eastAsia="Times New Roman" w:hAnsi="Times New Roman"/>
          <w:i/>
          <w:iCs/>
          <w:color w:val="1F2937"/>
          <w:sz w:val="22"/>
          <w:szCs w:val="22"/>
        </w:rPr>
        <w:t xml:space="preserve">"Language Models are Unsupervised Multitask Learners," </w:t>
      </w:r>
      <w:r>
        <w:rPr>
          <w:rFonts w:ascii="Times New Roman" w:cs="Times New Roman" w:eastAsia="Times New Roman" w:hAnsi="Times New Roman"/>
          <w:i/>
          <w:iCs/>
          <w:color w:val="1F2937"/>
          <w:sz w:val="22"/>
          <w:szCs w:val="22"/>
        </w:rPr>
        <w:t xml:space="preserve">OpenAI Technical Report</w:t>
      </w:r>
      <w:r>
        <w:rPr>
          <w:rFonts w:ascii="Times New Roman" w:cs="Times New Roman" w:eastAsia="Times New Roman" w:hAnsi="Times New Roman"/>
          <w:color w:val="1F2937"/>
          <w:sz w:val="22"/>
          <w:szCs w:val="22"/>
        </w:rPr>
        <w:t xml:space="preserve">, 2019.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tabs>
        <w:tab w:val="right" w:pos="9360"/>
      </w:tabs>
    </w:pPr>
    <w:r>
      <w:rPr>
        <w:rFonts w:ascii="Times New Roman" w:cs="Times New Roman" w:eastAsia="Times New Roman" w:hAnsi="Times New Roman"/>
        <w:i/>
        <w:iCs/>
        <w:color w:val="6B7280"/>
        <w:sz w:val="18"/>
        <w:szCs w:val="18"/>
      </w:rPr>
      <w:t xml:space="preserve">Shiva Kiran Dadishetty  ·  Version 1.0</w:t>
    </w:r>
    <w:r>
      <w:rPr>
        <w:rFonts w:ascii="Times New Roman" w:cs="Times New Roman" w:eastAsia="Times New Roman" w:hAnsi="Times New Roman"/>
        <w:i/>
        <w:iCs/>
        <w:color w:val="6B7280"/>
        <w:sz w:val="18"/>
        <w:szCs w:val="18"/>
      </w:rPr>
      <w:t xml:space="preserve">	Page </w:t>
    </w:r>
    <w:r>
      <w:rPr>
        <w:rFonts w:ascii="Times New Roman" w:cs="Times New Roman" w:eastAsia="Times New Roman" w:hAnsi="Times New Roman"/>
        <w:b/>
        <w:bCs/>
        <w:i/>
        <w:iCs/>
        <w:color w:val="6B7280"/>
        <w:sz w:val="18"/>
        <w:szCs w:val="18"/>
      </w:rPr>
      <w:fldChar w:fldCharType="begin"/>
      <w:instrText xml:space="preserve">PAGE</w:instrText>
      <w:fldChar w:fldCharType="separate"/>
      <w:fldChar w:fldCharType="end"/>
    </w:r>
    <w:r>
      <w:rPr>
        <w:rFonts w:ascii="Times New Roman" w:cs="Times New Roman" w:eastAsia="Times New Roman" w:hAnsi="Times New Roman"/>
        <w:i/>
        <w:iCs/>
        <w:color w:val="6B7280"/>
        <w:sz w:val="18"/>
        <w:szCs w:val="18"/>
      </w:rPr>
      <w:t xml:space="preserve"> of </w:t>
    </w:r>
    <w:r>
      <w:rPr>
        <w:rFonts w:ascii="Times New Roman" w:cs="Times New Roman" w:eastAsia="Times New Roman" w:hAnsi="Times New Roman"/>
        <w:i/>
        <w:iCs/>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tabs>
        <w:tab w:val="right" w:pos="9360"/>
      </w:tabs>
    </w:pPr>
    <w:r>
      <w:rPr>
        <w:rFonts w:ascii="Times New Roman" w:cs="Times New Roman" w:eastAsia="Times New Roman" w:hAnsi="Times New Roman"/>
        <w:i/>
        <w:iCs/>
        <w:color w:val="6B7280"/>
        <w:sz w:val="18"/>
        <w:szCs w:val="18"/>
      </w:rPr>
      <w:t xml:space="preserve">Topic 8  —  Simplified Self-Attention</w:t>
    </w:r>
    <w:r>
      <w:rPr>
        <w:rFonts w:ascii="Times New Roman" w:cs="Times New Roman" w:eastAsia="Times New Roman" w:hAnsi="Times New Roman"/>
        <w:i/>
        <w:iCs/>
        <w:color w:val="6B7280"/>
        <w:sz w:val="18"/>
        <w:szCs w:val="18"/>
      </w:rPr>
      <w:t xml:space="preserve">	Building LLMs from Scratch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D3B6E"/>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D3B6E"/>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duaq9zpcpikj8jdcia9p" Type="http://schemas.openxmlformats.org/officeDocument/2006/relationships/hyperlink" Target="https://github.com/shivakiran-ai/llm-from-scratch"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2026-04-17T07:42:22.428Z</dcterms:created>
  <dcterms:modified xsi:type="dcterms:W3CDTF">2026-04-17T07:42:22.429Z</dcterms:modified>
</cp:coreProperties>
</file>

<file path=docProps/custom.xml><?xml version="1.0" encoding="utf-8"?>
<Properties xmlns="http://schemas.openxmlformats.org/officeDocument/2006/custom-properties" xmlns:vt="http://schemas.openxmlformats.org/officeDocument/2006/docPropsVTypes"/>
</file>