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b/>
          <w:bCs/>
          <w:color w:val="0D3B6E"/>
          <w:sz w:val="28"/>
          <w:szCs w:val="28"/>
        </w:rPr>
        <w:t xml:space="preserve">BUILDING LLMs FROM SCRATCH</w:t>
      </w:r>
    </w:p>
    <w:p>
      <w:pPr>
        <w:spacing w:after="280" w:before="0"/>
        <w:jc w:val="center"/>
      </w:pPr>
      <w:r>
        <w:rPr>
          <w:rFonts w:ascii="Times New Roman" w:cs="Times New Roman" w:eastAsia="Times New Roman" w:hAnsi="Times New Roman"/>
          <w:i/>
          <w:iCs/>
          <w:color w:val="6B7280"/>
          <w:sz w:val="20"/>
          <w:szCs w:val="20"/>
        </w:rPr>
        <w:t xml:space="preserve">Technical Report   ·   Stage 2: The Attention Mechanism</w:t>
      </w:r>
    </w:p>
    <w:p>
      <w:pPr>
        <w:spacing w:after="60" w:before="240"/>
        <w:jc w:val="center"/>
      </w:pPr>
      <w:r>
        <w:rPr>
          <w:rFonts w:ascii="Calibri" w:cs="Calibri" w:eastAsia="Calibri" w:hAnsi="Calibri"/>
          <w:b/>
          <w:bCs/>
          <w:color w:val="2E75B6"/>
          <w:sz w:val="28"/>
          <w:szCs w:val="28"/>
        </w:rPr>
        <w:t xml:space="preserve">Topic 12</w:t>
      </w:r>
    </w:p>
    <w:p>
      <w:pPr>
        <w:spacing w:after="0" w:before="0"/>
        <w:jc w:val="center"/>
      </w:pPr>
      <w:r>
        <w:rPr>
          <w:rFonts w:ascii="Calibri" w:cs="Calibri" w:eastAsia="Calibri" w:hAnsi="Calibri"/>
          <w:b/>
          <w:bCs/>
          <w:color w:val="0D3B6E"/>
          <w:sz w:val="44"/>
          <w:szCs w:val="44"/>
        </w:rPr>
        <w:t xml:space="preserve">Multi-Head Attention</w:t>
      </w:r>
    </w:p>
    <w:p>
      <w:pPr>
        <w:spacing w:after="60" w:before="0"/>
        <w:jc w:val="center"/>
      </w:pPr>
      <w:r>
        <w:rPr>
          <w:rFonts w:ascii="Calibri" w:cs="Calibri" w:eastAsia="Calibri" w:hAnsi="Calibri"/>
          <w:b/>
          <w:bCs/>
          <w:color w:val="2E75B6"/>
          <w:sz w:val="28"/>
          <w:szCs w:val="28"/>
        </w:rPr>
        <w:t xml:space="preserve">Part 2 — The Weight-Split Implementation</w:t>
      </w:r>
    </w:p>
    <w:p>
      <w:pPr>
        <w:spacing w:after="200" w:before="0"/>
        <w:jc w:val="center"/>
      </w:pPr>
      <w:r>
        <w:rPr>
          <w:rFonts w:ascii="Times New Roman" w:cs="Times New Roman" w:eastAsia="Times New Roman" w:hAnsi="Times New Roman"/>
          <w:i/>
          <w:iCs/>
          <w:color w:val="6B7280"/>
          <w:sz w:val="22"/>
          <w:szCs w:val="22"/>
        </w:rPr>
        <w:t xml:space="preserve">One matrix multiplication per Q/K/V — the production attention module of GPT-2</w:t>
      </w:r>
    </w:p>
    <w:p>
      <w:pPr>
        <w:spacing w:after="240" w:before="120"/>
        <w:jc w:val="center"/>
      </w:pPr>
      <w:r>
        <w:rPr>
          <w:rFonts w:ascii="Calibri" w:cs="Calibri" w:eastAsia="Calibri" w:hAnsi="Calibri"/>
          <w:color w:val="F59E0B"/>
          <w:sz w:val="24"/>
          <w:szCs w:val="24"/>
        </w:rPr>
        <w:t xml:space="preserve">━━━━━━━━━━━━━━</w:t>
      </w:r>
    </w:p>
    <w:p>
      <w:pPr>
        <w:spacing w:after="30" w:before="0"/>
        <w:jc w:val="center"/>
      </w:pPr>
      <w:r>
        <w:rPr>
          <w:rFonts w:ascii="Times New Roman" w:cs="Times New Roman" w:eastAsia="Times New Roman" w:hAnsi="Times New Roman"/>
          <w:b/>
          <w:bCs/>
          <w:color w:val="1F2937"/>
          <w:sz w:val="24"/>
          <w:szCs w:val="24"/>
        </w:rPr>
        <w:t xml:space="preserve">Shiva Kiran Dadishetty</w:t>
      </w:r>
    </w:p>
    <w:p>
      <w:pPr>
        <w:spacing w:after="30" w:before="0"/>
        <w:jc w:val="center"/>
      </w:pPr>
      <w:r>
        <w:rPr>
          <w:rFonts w:ascii="Times New Roman" w:cs="Times New Roman" w:eastAsia="Times New Roman" w:hAnsi="Times New Roman"/>
          <w:color w:val="6B7280"/>
          <w:sz w:val="20"/>
          <w:szCs w:val="20"/>
        </w:rPr>
        <w:t xml:space="preserve">Independent Research · Texas, USA</w:t>
      </w:r>
    </w:p>
    <w:p>
      <w:pPr>
        <w:spacing w:after="100" w:before="0"/>
        <w:jc w:val="center"/>
      </w:pPr>
      <w:hyperlink w:history="1" r:id="rId3yrgyit0m0n7weu7hatsh">
        <w:r>
          <w:rPr>
            <w:rFonts w:ascii="Times New Roman" w:cs="Times New Roman" w:eastAsia="Times New Roman" w:hAnsi="Times New Roman"/>
            <w:i/>
            <w:iCs/>
            <w:color w:val="1A56A0"/>
            <w:sz w:val="20"/>
            <w:szCs w:val="20"/>
            <w:u w:val="single" w:color="1A56A0"/>
          </w:rPr>
          <w:t xml:space="preserve">github.com/shivakiran-ai/llm-from-scratch</w:t>
        </w:r>
      </w:hyperlink>
    </w:p>
    <w:p>
      <w:pPr>
        <w:spacing w:after="100" w:before="0"/>
        <w:jc w:val="center"/>
      </w:pPr>
      <w:r>
        <w:rPr>
          <w:rFonts w:ascii="Times New Roman" w:cs="Times New Roman" w:eastAsia="Times New Roman" w:hAnsi="Times New Roman"/>
          <w:color w:val="1F2937"/>
          <w:sz w:val="20"/>
          <w:szCs w:val="20"/>
        </w:rPr>
        <w:t xml:space="preserve">May 2026   ·   Version 1.0</w:t>
      </w:r>
    </w:p>
    <w:p>
      <w:pPr>
        <w:spacing w:after="240" w:before="120"/>
        <w:jc w:val="center"/>
      </w:pPr>
      <w:r>
        <w:rPr>
          <w:rFonts w:ascii="Calibri" w:cs="Calibri" w:eastAsia="Calibri" w:hAnsi="Calibri"/>
          <w:color w:val="F59E0B"/>
          <w:sz w:val="24"/>
          <w:szCs w:val="24"/>
        </w:rPr>
        <w:t xml:space="preserve">━━━━━━━━━━━━━━</w:t>
      </w:r>
    </w:p>
    <w:p>
      <w:pPr>
        <w:spacing w:after="80" w:before="40"/>
        <w:jc w:val="center"/>
      </w:pPr>
      <w:r>
        <w:rPr>
          <w:rFonts w:ascii="Calibri" w:cs="Calibri" w:eastAsia="Calibri" w:hAnsi="Calibri"/>
          <w:b/>
          <w:bCs/>
          <w:color w:val="0D3B6E"/>
          <w:sz w:val="26"/>
          <w:szCs w:val="26"/>
        </w:rPr>
        <w:t xml:space="preserve">Abstract</w:t>
      </w:r>
    </w:p>
    <w:p>
      <w:p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This topic closes Stage 2 by replacing the wrapper formulation of multi-head attention developed in Topic 11 with the weight-split formulation used in production GPT-2. The wrapper instantiates num_heads independent CausalAttention modules and runs them sequentially in Python, performing 3 × num_heads matrix multiplications to produce queries, keys, and values. The weight-split formulation derived here uses a single W_Q, W_K, W_V matrix of shape [d_in, d_out] with d_out = num_heads × head_dim, performs one matrix multiplication per projection, and recovers the per-head structure through tensor reshape and transpose operations. Mathematically the two formulations are identical given matching weight initialization; computationally the weight-split form reduces a 12-layer GPT-2 forward pass from 432 to 36 attention-projection matrix multiplications, an order-of-magnitude reduction in kernel launches without altering any output. The full pipeline is traced numerically on a three-token toy sentence with d_in = d_out = 6 and num_heads = 2 (head_dim = 3); every intermediate tensor — the post-projection [2, 3, 6] queries, the post-view [2, 3, 2, 3] head-split tensor, the post-transpose [2, 2, 3, 3] heads-first tensor, the causally masked attention scores, the per-head context vectors, and the final post-out_proj output — is reported with verified PyTorch values. The complete MultiHeadAttention nn.Module is then assembled with the production output projection W_O and tested on a batched input. By the end of this topic the attention mechanism is feature-complete and tensor-equal to the GPT-2 production module. Stage 3 begins building the surrounding architecture in the next topic.</w:t>
      </w:r>
    </w:p>
    <w:p>
      <w:pPr>
        <w:spacing w:after="80" w:before="120" w:line="320"/>
        <w:jc w:val="both"/>
      </w:pPr>
      <w:r>
        <w:rPr>
          <w:rFonts w:ascii="Times New Roman" w:cs="Times New Roman" w:eastAsia="Times New Roman" w:hAnsi="Times New Roman"/>
          <w:b/>
          <w:bCs/>
          <w:color w:val="1F2937"/>
          <w:sz w:val="22"/>
          <w:szCs w:val="22"/>
        </w:rPr>
        <w:t xml:space="preserve">Keywords:  </w:t>
      </w:r>
      <w:r>
        <w:rPr>
          <w:rFonts w:ascii="Times New Roman" w:cs="Times New Roman" w:eastAsia="Times New Roman" w:hAnsi="Times New Roman"/>
          <w:i/>
          <w:iCs/>
          <w:color w:val="1F2937"/>
          <w:sz w:val="22"/>
          <w:szCs w:val="22"/>
        </w:rPr>
        <w:t xml:space="preserve">multi-head attention · weight-split · scaled dot-product · view · transpose · contiguous · output projection · GPT-2 · production attention</w:t>
      </w:r>
    </w:p>
    <w:p>
      <w:pPr>
        <w:sectPr>
          <w:pgSz w:w="12240" w:h="15840" w:orient="portrait"/>
          <w:pgMar w:top="1440" w:right="1440" w:bottom="1440" w:left="1440" w:header="708" w:footer="708" w:gutter="0"/>
          <w:pgNumType/>
          <w:docGrid w:linePitch="360"/>
        </w:sectPr>
      </w:pPr>
    </w:p>
    <w:p>
      <w:pPr>
        <w:spacing w:after="60" w:before="200"/>
      </w:pPr>
      <w:r>
        <w:rPr>
          <w:rFonts w:ascii="Calibri" w:cs="Calibri" w:eastAsia="Calibri" w:hAnsi="Calibri"/>
          <w:b/>
          <w:bCs/>
          <w:color w:val="0D3B6E"/>
          <w:sz w:val="52"/>
          <w:szCs w:val="52"/>
        </w:rPr>
        <w:t xml:space="preserve">Contents</w:t>
      </w:r>
    </w:p>
    <w:p>
      <w:pPr>
        <w:pBdr>
          <w:bottom w:val="single" w:color="F59E0B" w:sz="12" w:space="6"/>
        </w:pBdr>
        <w:spacing w:after="240" w:before="60"/>
      </w:pPr>
      <w:r>
        <w:rPr>
          <w:sz w:val="2"/>
          <w:szCs w:val="2"/>
        </w:rPr>
        <w:t xml:space="preserve"/>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1.  Why the Wrapper Is Inefficient — and What to Do About It</w:t>
      </w:r>
      <w:r>
        <w:rPr>
          <w:rFonts w:ascii="Times New Roman" w:cs="Times New Roman" w:eastAsia="Times New Roman" w:hAnsi="Times New Roman"/>
          <w:color w:val="1F2937"/>
          <w:sz w:val="22"/>
          <w:szCs w:val="22"/>
        </w:rPr>
        <w:t xml:space="preserve">	3</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2.  The Core Idea — Weight Splitting</w:t>
      </w:r>
      <w:r>
        <w:rPr>
          <w:rFonts w:ascii="Times New Roman" w:cs="Times New Roman" w:eastAsia="Times New Roman" w:hAnsi="Times New Roman"/>
          <w:color w:val="1F2937"/>
          <w:sz w:val="22"/>
          <w:szCs w:val="22"/>
        </w:rPr>
        <w:t xml:space="preserve">	4</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3.  The Six-Step Pipeline — Numerical Trace</w:t>
      </w:r>
      <w:r>
        <w:rPr>
          <w:rFonts w:ascii="Times New Roman" w:cs="Times New Roman" w:eastAsia="Times New Roman" w:hAnsi="Times New Roman"/>
          <w:color w:val="1F2937"/>
          <w:sz w:val="22"/>
          <w:szCs w:val="22"/>
        </w:rPr>
        <w:t xml:space="preserve">	5</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3.1  Step 1 — Input Shape and Toy Configuration</w:t>
      </w:r>
      <w:r>
        <w:rPr>
          <w:rFonts w:ascii="Times New Roman" w:cs="Times New Roman" w:eastAsia="Times New Roman" w:hAnsi="Times New Roman"/>
          <w:color w:val="1F2937"/>
          <w:sz w:val="22"/>
          <w:szCs w:val="22"/>
        </w:rPr>
        <w:t xml:space="preserve">	5</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3.2  Step 2 — Project Through W_Q, W_K, W_V</w:t>
      </w:r>
      <w:r>
        <w:rPr>
          <w:rFonts w:ascii="Times New Roman" w:cs="Times New Roman" w:eastAsia="Times New Roman" w:hAnsi="Times New Roman"/>
          <w:color w:val="1F2937"/>
          <w:sz w:val="22"/>
          <w:szCs w:val="22"/>
        </w:rPr>
        <w:t xml:space="preserve">	6</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3.3  Step 3 — Unroll: Split d_out into (num_heads, head_dim)</w:t>
      </w:r>
      <w:r>
        <w:rPr>
          <w:rFonts w:ascii="Times New Roman" w:cs="Times New Roman" w:eastAsia="Times New Roman" w:hAnsi="Times New Roman"/>
          <w:color w:val="1F2937"/>
          <w:sz w:val="22"/>
          <w:szCs w:val="22"/>
        </w:rPr>
        <w:t xml:space="preserve">	6</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3.4  Step 4 — Transpose: Bring num_heads Before num_tokens</w:t>
      </w:r>
      <w:r>
        <w:rPr>
          <w:rFonts w:ascii="Times New Roman" w:cs="Times New Roman" w:eastAsia="Times New Roman" w:hAnsi="Times New Roman"/>
          <w:color w:val="1F2937"/>
          <w:sz w:val="22"/>
          <w:szCs w:val="22"/>
        </w:rPr>
        <w:t xml:space="preserve">	6</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3.5  Step 5 — Causal Attention with Per-Head Scaling</w:t>
      </w:r>
      <w:r>
        <w:rPr>
          <w:rFonts w:ascii="Times New Roman" w:cs="Times New Roman" w:eastAsia="Times New Roman" w:hAnsi="Times New Roman"/>
          <w:color w:val="1F2937"/>
          <w:sz w:val="22"/>
          <w:szCs w:val="22"/>
        </w:rPr>
        <w:t xml:space="preserve">	7</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3.6  Step 6 — Recombine Heads and Apply Output Projection</w:t>
      </w:r>
      <w:r>
        <w:rPr>
          <w:rFonts w:ascii="Times New Roman" w:cs="Times New Roman" w:eastAsia="Times New Roman" w:hAnsi="Times New Roman"/>
          <w:color w:val="1F2937"/>
          <w:sz w:val="22"/>
          <w:szCs w:val="22"/>
        </w:rPr>
        <w:t xml:space="preserve">	8</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4.  The Complete MultiHeadAttention Class</w:t>
      </w:r>
      <w:r>
        <w:rPr>
          <w:rFonts w:ascii="Times New Roman" w:cs="Times New Roman" w:eastAsia="Times New Roman" w:hAnsi="Times New Roman"/>
          <w:color w:val="1F2937"/>
          <w:sz w:val="22"/>
          <w:szCs w:val="22"/>
        </w:rPr>
        <w:t xml:space="preserve">	9</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5.  Three Production Patterns Introduced Here</w:t>
      </w:r>
      <w:r>
        <w:rPr>
          <w:rFonts w:ascii="Times New Roman" w:cs="Times New Roman" w:eastAsia="Times New Roman" w:hAnsi="Times New Roman"/>
          <w:color w:val="1F2937"/>
          <w:sz w:val="22"/>
          <w:szCs w:val="22"/>
        </w:rPr>
        <w:t xml:space="preserve">	10</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5.1  .view(b, num_tokens, num_heads, head_dim) — Zero-Copy Reshape</w:t>
      </w:r>
      <w:r>
        <w:rPr>
          <w:rFonts w:ascii="Times New Roman" w:cs="Times New Roman" w:eastAsia="Times New Roman" w:hAnsi="Times New Roman"/>
          <w:color w:val="1F2937"/>
          <w:sz w:val="22"/>
          <w:szCs w:val="22"/>
        </w:rPr>
        <w:t xml:space="preserve">	10</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5.2  Two Distinct .transpose() Operations</w:t>
      </w:r>
      <w:r>
        <w:rPr>
          <w:rFonts w:ascii="Times New Roman" w:cs="Times New Roman" w:eastAsia="Times New Roman" w:hAnsi="Times New Roman"/>
          <w:color w:val="1F2937"/>
          <w:sz w:val="22"/>
          <w:szCs w:val="22"/>
        </w:rPr>
        <w:t xml:space="preserve">	10</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5.3  out_proj — The Learned Output Projection W_O</w:t>
      </w:r>
      <w:r>
        <w:rPr>
          <w:rFonts w:ascii="Times New Roman" w:cs="Times New Roman" w:eastAsia="Times New Roman" w:hAnsi="Times New Roman"/>
          <w:color w:val="1F2937"/>
          <w:sz w:val="22"/>
          <w:szCs w:val="22"/>
        </w:rPr>
        <w:t xml:space="preserve">	11</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6.  Why .contiguous() Is Required Before .view()</w:t>
      </w:r>
      <w:r>
        <w:rPr>
          <w:rFonts w:ascii="Times New Roman" w:cs="Times New Roman" w:eastAsia="Times New Roman" w:hAnsi="Times New Roman"/>
          <w:color w:val="1F2937"/>
          <w:sz w:val="22"/>
          <w:szCs w:val="22"/>
        </w:rPr>
        <w:t xml:space="preserve">	11</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7.  Efficiency at GPT-2 Scale</w:t>
      </w:r>
      <w:r>
        <w:rPr>
          <w:rFonts w:ascii="Times New Roman" w:cs="Times New Roman" w:eastAsia="Times New Roman" w:hAnsi="Times New Roman"/>
          <w:color w:val="1F2937"/>
          <w:sz w:val="22"/>
          <w:szCs w:val="22"/>
        </w:rPr>
        <w:t xml:space="preserve">	12</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8.  Complete Shape Summary — Every Tensor Tracked</w:t>
      </w:r>
      <w:r>
        <w:rPr>
          <w:rFonts w:ascii="Times New Roman" w:cs="Times New Roman" w:eastAsia="Times New Roman" w:hAnsi="Times New Roman"/>
          <w:color w:val="1F2937"/>
          <w:sz w:val="22"/>
          <w:szCs w:val="22"/>
        </w:rPr>
        <w:t xml:space="preserve">	12</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9.  Key Observations</w:t>
      </w:r>
      <w:r>
        <w:rPr>
          <w:rFonts w:ascii="Times New Roman" w:cs="Times New Roman" w:eastAsia="Times New Roman" w:hAnsi="Times New Roman"/>
          <w:color w:val="1F2937"/>
          <w:sz w:val="22"/>
          <w:szCs w:val="22"/>
        </w:rPr>
        <w:t xml:space="preserve">	13</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10.  Experiments &amp; Open Questions</w:t>
      </w:r>
      <w:r>
        <w:rPr>
          <w:rFonts w:ascii="Times New Roman" w:cs="Times New Roman" w:eastAsia="Times New Roman" w:hAnsi="Times New Roman"/>
          <w:color w:val="1F2937"/>
          <w:sz w:val="22"/>
          <w:szCs w:val="22"/>
        </w:rPr>
        <w:t xml:space="preserve">	14</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10.1  Hand-Verified Equivalence with the Wrapper Formulation</w:t>
      </w:r>
      <w:r>
        <w:rPr>
          <w:rFonts w:ascii="Times New Roman" w:cs="Times New Roman" w:eastAsia="Times New Roman" w:hAnsi="Times New Roman"/>
          <w:color w:val="1F2937"/>
          <w:sz w:val="22"/>
          <w:szCs w:val="22"/>
        </w:rPr>
        <w:t xml:space="preserve">	14</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10.2  Open Question — Why head_dim Is Almost Always 64</w:t>
      </w:r>
      <w:r>
        <w:rPr>
          <w:rFonts w:ascii="Times New Roman" w:cs="Times New Roman" w:eastAsia="Times New Roman" w:hAnsi="Times New Roman"/>
          <w:color w:val="1F2937"/>
          <w:sz w:val="22"/>
          <w:szCs w:val="22"/>
        </w:rPr>
        <w:t xml:space="preserve">	15</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10.3  Proposed Future Work</w:t>
      </w:r>
      <w:r>
        <w:rPr>
          <w:rFonts w:ascii="Times New Roman" w:cs="Times New Roman" w:eastAsia="Times New Roman" w:hAnsi="Times New Roman"/>
          <w:color w:val="1F2937"/>
          <w:sz w:val="22"/>
          <w:szCs w:val="22"/>
        </w:rPr>
        <w:t xml:space="preserve">	16</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11.  Discussion — Relationship to Prior Work</w:t>
      </w:r>
      <w:r>
        <w:rPr>
          <w:rFonts w:ascii="Times New Roman" w:cs="Times New Roman" w:eastAsia="Times New Roman" w:hAnsi="Times New Roman"/>
          <w:color w:val="1F2937"/>
          <w:sz w:val="22"/>
          <w:szCs w:val="22"/>
        </w:rPr>
        <w:t xml:space="preserve">	16</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12.  What Comes Next — Stage 2 Closes, Stage 3 Begins</w:t>
      </w:r>
      <w:r>
        <w:rPr>
          <w:rFonts w:ascii="Times New Roman" w:cs="Times New Roman" w:eastAsia="Times New Roman" w:hAnsi="Times New Roman"/>
          <w:color w:val="1F2937"/>
          <w:sz w:val="22"/>
          <w:szCs w:val="22"/>
        </w:rPr>
        <w:t xml:space="preserve">	16</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       References</w:t>
      </w:r>
      <w:r>
        <w:rPr>
          <w:rFonts w:ascii="Times New Roman" w:cs="Times New Roman" w:eastAsia="Times New Roman" w:hAnsi="Times New Roman"/>
          <w:color w:val="1F2937"/>
          <w:sz w:val="22"/>
          <w:szCs w:val="22"/>
        </w:rPr>
        <w:t xml:space="preserve">	18</w:t>
      </w:r>
    </w:p>
    <w:p>
      <w:pPr>
        <w:sectPr>
          <w:pgSz w:w="12240" w:h="15840" w:orient="portrait"/>
          <w:pgMar w:top="1440" w:right="1440" w:bottom="1440" w:left="1440" w:header="708" w:footer="708" w:gutter="0"/>
          <w:pgNumType/>
          <w:docGrid w:linePitch="360"/>
        </w:sectPr>
      </w:pPr>
    </w:p>
    <w:p>
      <w:pPr>
        <w:spacing w:after="12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Author</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Shiva Kiran Dadishetty</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Series</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Building LLMs from Scratch</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Topic</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12 of 36  —  Stage 2: The Attention Mechanism (Closing Topic)</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Document Type</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Implementation &amp; Derivation — Production Multi-Head Attention</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Also Known As</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Weight-Split Multi-Head Attention</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Core Question</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How are num_heads independent attention computations performed in a single batched matrix multiplication, and why is this the production form?</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Builds On</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Topic 11 — Multi-Head Attention (Wrapper)</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Running Example</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3 tokens, batched ×2, d_in = d_out = 6, num_heads = 2, head_dim = 3</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Used In</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GPT-2, GPT-3, GPT-4, LLaMA, Claude — every modern decoder-only LLM</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Efficiency Gain</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12 × fewer matrix multiplications across a 12-layer GPT-2 forward pass</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Version / Date</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Version 1.0  ·  May 2026</w:t>
            </w:r>
          </w:p>
        </w:tc>
      </w:tr>
    </w:tbl>
    <w:p>
      <w:pPr>
        <w:spacing w:after="120" w:before="240"/>
      </w:pPr>
      <w:r>
        <w:rPr>
          <w:sz w:val="2"/>
          <w:szCs w:val="2"/>
        </w:rPr>
        <w:t xml:space="preserve"/>
      </w:r>
    </w:p>
    <w:p>
      <w:pPr>
        <w:pStyle w:val="Heading1"/>
        <w:keepNext/>
        <w:keepLines/>
        <w:spacing w:after="180" w:before="360"/>
      </w:pPr>
      <w:r>
        <w:rPr>
          <w:rFonts w:ascii="Calibri" w:cs="Calibri" w:eastAsia="Calibri" w:hAnsi="Calibri"/>
          <w:b/>
          <w:bCs/>
          <w:color w:val="0D3B6E"/>
          <w:sz w:val="32"/>
          <w:szCs w:val="32"/>
        </w:rPr>
        <w:t xml:space="preserve">1.  Why the Wrapper Is Inefficient — and What to Do About It</w:t>
      </w:r>
    </w:p>
    <w:p>
      <w:pPr>
        <w:spacing w:after="120" w:before="60" w:line="320"/>
        <w:jc w:val="both"/>
      </w:pPr>
      <w:r>
        <w:rPr>
          <w:rFonts w:ascii="Times New Roman" w:cs="Times New Roman" w:eastAsia="Times New Roman" w:hAnsi="Times New Roman"/>
          <w:color w:val="1F2937"/>
          <w:sz w:val="22"/>
          <w:szCs w:val="22"/>
        </w:rPr>
        <w:t xml:space="preserve">Topic 11 produced a working multi-head attention module by stacking num_heads independent CausalAttention instances inside an nn.ModuleList and running them in sequence inside a Python list comprehension. The implementation is correct: every per-head context vector is computed properly, the causal mask is applied inside each head, and the concatenated output is the same shape that the surrounding architecture expects. As a pedagogical baseline the wrapper is ideal — every step of the computation is visible, every head is separately addressable, and the relationship to the single-head attention of Topic 10 is direct.</w:t>
      </w:r>
    </w:p>
    <w:p>
      <w:pPr>
        <w:spacing w:after="120" w:before="60" w:line="320"/>
        <w:jc w:val="both"/>
      </w:pPr>
      <w:r>
        <w:rPr>
          <w:rFonts w:ascii="Times New Roman" w:cs="Times New Roman" w:eastAsia="Times New Roman" w:hAnsi="Times New Roman"/>
          <w:color w:val="1F2937"/>
          <w:sz w:val="22"/>
          <w:szCs w:val="22"/>
        </w:rPr>
        <w:t xml:space="preserve">It is also computationally wasteful in two distinct ways. First, the projections to queries, keys, and values are performed as 3 × num_heads independent matrix multiplications — one per head per role — rather than as 3 batched multiplications that process all heads at once. Second, the heads are processed sequentially inside the Python list comprehension; on a GPU, this produces num_heads separate kernel launches rather than a single batched kernel, leaving most of the available parallelism unused. For GPT-2 Small with 12 heads and 12 layers, the wrapper performs 432 attention-projection matrix multiplications per forward pass; the equivalent weight-split form performs 36.</w:t>
      </w:r>
    </w:p>
    <w:p>
      <w:pPr>
        <w:keepLines/>
        <w:pBdr>
          <w:left w:val="single" w:color="F59E0B" w:sz="24" w:space="12"/>
        </w:pBdr>
        <w:shd w:fill="FEF3C7" w:val="clear"/>
        <w:spacing w:after="200" w:before="200" w:line="320"/>
        <w:ind w:left="240" w:right="240"/>
      </w:pPr>
      <w:r>
        <w:rPr>
          <w:rFonts w:ascii="Times New Roman" w:cs="Times New Roman" w:eastAsia="Times New Roman" w:hAnsi="Times New Roman"/>
          <w:b/>
          <w:bCs/>
          <w:color w:val="0D3B6E"/>
          <w:sz w:val="22"/>
          <w:szCs w:val="22"/>
        </w:rPr>
        <w:t xml:space="preserve">Mathematically Identical, Computationally Different</w:t>
      </w:r>
      <w:r>
        <w:rPr>
          <w:rFonts w:ascii="Times New Roman" w:cs="Times New Roman" w:eastAsia="Times New Roman" w:hAnsi="Times New Roman"/>
          <w:color w:val="6B7280"/>
          <w:sz w:val="22"/>
          <w:szCs w:val="22"/>
        </w:rPr>
        <w:t xml:space="preserve">  —  </w:t>
      </w:r>
      <w:r>
        <w:rPr>
          <w:rFonts w:ascii="Times New Roman" w:cs="Times New Roman" w:eastAsia="Times New Roman" w:hAnsi="Times New Roman"/>
          <w:i/>
          <w:iCs/>
          <w:color w:val="1F2937"/>
          <w:sz w:val="22"/>
          <w:szCs w:val="22"/>
        </w:rPr>
        <w:t xml:space="preserve">The weight-split formulation derived in this topic produces tensor-equal outputs to the wrapper formulation given matching weight initialization. The order of arithmetic is unchanged; only the way the operations are batched differs. This identity is what allows the wrapper to serve as a unit-test reference for the production form: if the two outputs disagree at the level of floating-point precision, the production form has a bug.</w:t>
      </w:r>
    </w:p>
    <w:p>
      <w:pPr>
        <w:spacing w:after="120" w:before="60" w:line="320"/>
        <w:jc w:val="both"/>
      </w:pPr>
      <w:r>
        <w:rPr>
          <w:rFonts w:ascii="Times New Roman" w:cs="Times New Roman" w:eastAsia="Times New Roman" w:hAnsi="Times New Roman"/>
          <w:color w:val="1F2937"/>
          <w:sz w:val="22"/>
          <w:szCs w:val="22"/>
        </w:rPr>
        <w:t xml:space="preserve">The mechanism that makes the consolidation possible is weight splitting. The num_heads separate W_Q matrices of the wrapper — each of shape [d_in, head_dim] — are stacked horizontally into a single W_Q of shape [d_in, num_heads × head_dim] = [d_in, d_out]. A single matrix multiplication X · W_Q produces a [batch, num_tokens, d_out] tensor in which the d_out dimension implicitly contains all heads: the first head_dim values belong to head 1, the next head_dim values to head 2, and so on. The per-head structure is then recovered with a zero-copy reshape (.view) and a transpose, both of which manipulate the metadata of the tensor without moving any data.</w:t>
      </w:r>
    </w:p>
    <w:p>
      <w:pPr>
        <w:pStyle w:val="Heading1"/>
        <w:keepNext/>
        <w:keepLines/>
        <w:spacing w:after="180" w:before="360"/>
      </w:pPr>
      <w:r>
        <w:rPr>
          <w:rFonts w:ascii="Calibri" w:cs="Calibri" w:eastAsia="Calibri" w:hAnsi="Calibri"/>
          <w:b/>
          <w:bCs/>
          <w:color w:val="0D3B6E"/>
          <w:sz w:val="32"/>
          <w:szCs w:val="32"/>
        </w:rPr>
        <w:t xml:space="preserve">2.  The Core Idea — Weight Splitting</w:t>
      </w:r>
    </w:p>
    <w:p>
      <w:pPr>
        <w:spacing w:after="120" w:before="60" w:line="320"/>
        <w:jc w:val="both"/>
      </w:pPr>
      <w:r>
        <w:rPr>
          <w:rFonts w:ascii="Times New Roman" w:cs="Times New Roman" w:eastAsia="Times New Roman" w:hAnsi="Times New Roman"/>
          <w:color w:val="1F2937"/>
          <w:sz w:val="22"/>
          <w:szCs w:val="22"/>
        </w:rPr>
        <w:t xml:space="preserve">The contrast between the wrapper formulation and the weight-split formulation can be made precise with a side-by-side view of the same projection. Both produce identical outputs; the only difference is whether num_heads matrix multiplications are performed independently or whether one consolidated multiplication is followed by a reshape.</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 Topic 11 — wrapper (num_heads independent multiplications):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Q1 = X @ W_q1     # W_q1 shape [d_in, head_dim]</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Q2 = X @ W_q2     # W_q2 shape [d_in, head_dim]</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up to num_heads of these ...</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Topic 12 — weight-split (one multiplication + reshape):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Q  = X @ W_q                              # W_q shape [d_in, d_out]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Q  = Q.view(b, num_tokens, num_heads, head_dim)</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Constraint:  d_out = num_heads * head_dim</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head_dim = d_out // num_heads             # in this topic, 6 // 2 = 3</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assert d_out % num_heads == 0             # must be exactly divisible</w:t>
      </w:r>
    </w:p>
    <w:p>
      <w:pPr>
        <w:spacing w:after="120" w:before="60" w:line="320"/>
        <w:jc w:val="both"/>
      </w:pPr>
      <w:r>
        <w:rPr>
          <w:rFonts w:ascii="Times New Roman" w:cs="Times New Roman" w:eastAsia="Times New Roman" w:hAnsi="Times New Roman"/>
          <w:color w:val="1F2937"/>
          <w:sz w:val="22"/>
          <w:szCs w:val="22"/>
        </w:rPr>
        <w:t xml:space="preserve">.view is a zero-copy reshape — no data is moved, only the interpretation of the tensor changes. The consolidated W_q has the same total number of parameters as the num_heads separate W_q1 ... W_qn matrices it replaces; what changes is that they are now stored as one contiguous block of memory rather than as num_heads separate parameter tensors. The same trick applies to W_k and W_v.</w:t>
      </w:r>
    </w:p>
    <w:p>
      <w:pPr>
        <w:spacing w:after="80" w:before="200"/>
        <w:jc w:val="center"/>
      </w:pPr>
      <w:r>
        <w:drawing>
          <wp:inline distT="0" distB="0" distL="0" distR="0">
            <wp:extent cx="5143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143375"/>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6B7280"/>
          <w:sz w:val="20"/>
          <w:szCs w:val="20"/>
        </w:rPr>
        <w:t xml:space="preserve">Figure 1: Wrapper formulation (top) versus weight-split formulation (bottom) for the query projection. The wrapper performs num_heads separate matrix multiplications X · W_q1, X · W_q2 to obtain Q_1 and Q_2 directly; the weight-split form performs a single multiplication X · W_q with W_q of shape [d_in, d_out] = [d_in, num_heads × head_dim], producing a consolidated Q whose d_out dimension is then split into per-head queries Q_1 and Q_2 via reshape. Source diagram from the running implementation.</w:t>
      </w:r>
    </w:p>
    <w:p>
      <w:pPr>
        <w:pStyle w:val="Heading1"/>
        <w:keepNext/>
        <w:keepLines/>
        <w:spacing w:after="180" w:before="360"/>
      </w:pPr>
      <w:r>
        <w:rPr>
          <w:rFonts w:ascii="Calibri" w:cs="Calibri" w:eastAsia="Calibri" w:hAnsi="Calibri"/>
          <w:b/>
          <w:bCs/>
          <w:color w:val="0D3B6E"/>
          <w:sz w:val="32"/>
          <w:szCs w:val="32"/>
        </w:rPr>
        <w:t xml:space="preserve">3.  The Six-Step Pipeline — Numerical Trace</w:t>
      </w:r>
    </w:p>
    <w:p>
      <w:pPr>
        <w:spacing w:after="120" w:before="60" w:line="320"/>
        <w:jc w:val="both"/>
      </w:pPr>
      <w:r>
        <w:rPr>
          <w:rFonts w:ascii="Times New Roman" w:cs="Times New Roman" w:eastAsia="Times New Roman" w:hAnsi="Times New Roman"/>
          <w:color w:val="1F2937"/>
          <w:sz w:val="22"/>
          <w:szCs w:val="22"/>
        </w:rPr>
        <w:t xml:space="preserve">The full forward pass of MultiHeadAttention reduces to six steps. This section traces each step on a small but realistic configuration: 3 tokens ("the", "cat", "sleeps"), 6-dimensional input embeddings, 6-dimensional output, and 2 heads of dimension 3. The values shown are the actual outputs produced by the running notebook under torch.manual_seed(123).</w:t>
      </w:r>
    </w:p>
    <w:p>
      <w:pPr>
        <w:pStyle w:val="Heading2"/>
        <w:keepNext/>
        <w:keepLines/>
        <w:spacing w:after="120" w:before="240"/>
      </w:pPr>
      <w:r>
        <w:rPr>
          <w:rFonts w:ascii="Calibri" w:cs="Calibri" w:eastAsia="Calibri" w:hAnsi="Calibri"/>
          <w:b/>
          <w:bCs/>
          <w:color w:val="0D3B6E"/>
          <w:sz w:val="26"/>
          <w:szCs w:val="26"/>
        </w:rPr>
        <w:t xml:space="preserve">3.1  Step 1 — Input Shape and Toy Configuration</w:t>
      </w:r>
    </w:p>
    <w:p>
      <w:pPr>
        <w:spacing w:after="120" w:before="60" w:line="320"/>
        <w:jc w:val="both"/>
      </w:pPr>
      <w:r>
        <w:rPr>
          <w:rFonts w:ascii="Times New Roman" w:cs="Times New Roman" w:eastAsia="Times New Roman" w:hAnsi="Times New Roman"/>
          <w:color w:val="1F2937"/>
          <w:sz w:val="22"/>
          <w:szCs w:val="22"/>
        </w:rPr>
        <w:t xml:space="preserve">The input is a single 3-token sequence stacked into a batch of size 2 (the same sequence repeated, for illustration). With d_in = 6, the input tensor has shape [2, 3, 6]: 2 batches × 3 tokens × 6-dimensional embeddings.</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batch = torch.stack((inputs, inputs), dim=0)</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print(batch.shape)        # torch.Size([2, 3, 6])</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batch=2, num_tokens=3, d_in=6</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d_in       = 6</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d_out      = 6           # often equal to d_in in production</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num_heads  = 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head_dim   = d_out // num_heads     # 6 // 2 = 3</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context_length = 3</w:t>
      </w:r>
    </w:p>
    <w:p>
      <w:pPr>
        <w:pStyle w:val="Heading2"/>
        <w:keepNext/>
        <w:keepLines/>
        <w:spacing w:after="120" w:before="240"/>
      </w:pPr>
      <w:r>
        <w:rPr>
          <w:rFonts w:ascii="Calibri" w:cs="Calibri" w:eastAsia="Calibri" w:hAnsi="Calibri"/>
          <w:b/>
          <w:bCs/>
          <w:color w:val="0D3B6E"/>
          <w:sz w:val="26"/>
          <w:szCs w:val="26"/>
        </w:rPr>
        <w:t xml:space="preserve">3.2  Step 2 — Project Through W_Q, W_K, W_V</w:t>
      </w:r>
    </w:p>
    <w:p>
      <w:pPr>
        <w:spacing w:after="120" w:before="60" w:line="320"/>
        <w:jc w:val="both"/>
      </w:pPr>
      <w:r>
        <w:rPr>
          <w:rFonts w:ascii="Times New Roman" w:cs="Times New Roman" w:eastAsia="Times New Roman" w:hAnsi="Times New Roman"/>
          <w:color w:val="1F2937"/>
          <w:sz w:val="22"/>
          <w:szCs w:val="22"/>
        </w:rPr>
        <w:t xml:space="preserve">Each of W_Q, W_K, W_V is an nn.Linear of input dimension d_in = 6 and output dimension d_out = 6. Applying them to the input tensor produces three projected tensors, each still of shape [2, 3, 6] — at this stage all heads are still merged inside the d_out dimension. In total only three matrix multiplications are performed regardless of num_heads.</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queries = self.W_query(x)   # [b, num_tokens, d_out] = [2, 3, 6]</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keys    = self.W_key(x)     # [2, 3, 6]</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values  = self.W_value(x)   # [2, 3, 6]</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Shape contract at this point: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queries.shape == keys.shape == values.shape == [2, 3, 6]</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The 6 in the last dimension implicitly contains both heads: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indices 0:3  -&gt; head 1's queries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indices 3:6  -&gt; head 2's queries</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The split is not yet visible in the tensor shape; .view() makes it explicit.</w:t>
      </w:r>
    </w:p>
    <w:p>
      <w:pPr>
        <w:pStyle w:val="Heading2"/>
        <w:keepNext/>
        <w:keepLines/>
        <w:spacing w:after="120" w:before="240"/>
      </w:pPr>
      <w:r>
        <w:rPr>
          <w:rFonts w:ascii="Calibri" w:cs="Calibri" w:eastAsia="Calibri" w:hAnsi="Calibri"/>
          <w:b/>
          <w:bCs/>
          <w:color w:val="0D3B6E"/>
          <w:sz w:val="26"/>
          <w:szCs w:val="26"/>
        </w:rPr>
        <w:t xml:space="preserve">3.3  Step 3 — Unroll: Split d_out into (num_heads, head_dim)</w:t>
      </w:r>
    </w:p>
    <w:p>
      <w:pPr>
        <w:spacing w:after="120" w:before="60" w:line="320"/>
        <w:jc w:val="both"/>
      </w:pPr>
      <w:r>
        <w:rPr>
          <w:rFonts w:ascii="Times New Roman" w:cs="Times New Roman" w:eastAsia="Times New Roman" w:hAnsi="Times New Roman"/>
          <w:color w:val="1F2937"/>
          <w:sz w:val="22"/>
          <w:szCs w:val="22"/>
        </w:rPr>
        <w:t xml:space="preserve">The .view operation turns the implicit head structure into an explicit dimension. The d_out dimension of size 6 is unrolled into two dimensions of sizes (num_heads = 2, head_dim = 3), changing the shape from [2, 3, 6] to [2, 3, 2, 3]. This is purely a metadata change: the underlying memory layout is unchanged.</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queries = queries.view(b, num_tokens, num_heads, head_dim)</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[2, 3, 6]  -&gt;  [2, 3, 2, 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b   ↑                ↑</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num_tokens         num_heads, head_dim</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After .view() — batch 0:</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token 'the':    [[-0.2705, -0.3346, -0.4582],   &lt;- Head 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[ 0.6342, -0.0257,  0.6895]]   &lt;- Head 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token 'cat':    [[-0.2823, -0.6065, -0.6140],</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[ 0.4528,  0.0178,  0.6942]]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token 'sleeps': [[-0.2511, -0.3628, -0.4498],</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[ 0.2973, -0.0592,  0.5851]]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The per-token, per-head queries are now individually addressable.</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The same .view() is applied to keys and values.</w:t>
      </w:r>
    </w:p>
    <w:p>
      <w:pPr>
        <w:pStyle w:val="Heading2"/>
        <w:keepNext/>
        <w:keepLines/>
        <w:spacing w:after="120" w:before="240"/>
      </w:pPr>
      <w:r>
        <w:rPr>
          <w:rFonts w:ascii="Calibri" w:cs="Calibri" w:eastAsia="Calibri" w:hAnsi="Calibri"/>
          <w:b/>
          <w:bCs/>
          <w:color w:val="0D3B6E"/>
          <w:sz w:val="26"/>
          <w:szCs w:val="26"/>
        </w:rPr>
        <w:t xml:space="preserve">3.4  Step 4 — Transpose: Bring num_heads Before num_tokens</w:t>
      </w:r>
    </w:p>
    <w:p>
      <w:pPr>
        <w:spacing w:after="120" w:before="60" w:line="320"/>
        <w:jc w:val="both"/>
      </w:pPr>
      <w:r>
        <w:rPr>
          <w:rFonts w:ascii="Times New Roman" w:cs="Times New Roman" w:eastAsia="Times New Roman" w:hAnsi="Times New Roman"/>
          <w:color w:val="1F2937"/>
          <w:sz w:val="22"/>
          <w:szCs w:val="22"/>
        </w:rPr>
        <w:t xml:space="preserve">To compute attention scores, the matrix multiplication queries · keys^T must operate on each head independently. PyTorch's batched matrix multiplication treats all leading dimensions as batch dimensions, so the heads dimension must be moved before the tokens dimension. The operation .transpose(1, 2) swaps the second and third axes, changing the shape from [2, 3, 2, 3] to [2, 2, 3, 3] — that is, [batch, num_heads, num_tokens, head_dim].</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queries = queries.transpose(1, 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[2, 3, 2, 3]  -&gt;  [2, 2, 3, 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b toks h hd      b   h toks hd</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After .transpose(1, 2) — batch 0:</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Head 1: [[-0.2705, -0.3346, -0.4582],   &lt;- 'the'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[-0.2823, -0.6065, -0.6140],   &lt;- 'cat'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[-0.2511, -0.3628, -0.4498]]   &lt;- 'sleeps'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Head 2: [[ 0.6342, -0.0257,  0.6895],</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[ 0.4528,  0.0178,  0.6942],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[ 0.2973, -0.0592,  0.5851]]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Now each (batch, head) slice is a [num_tokens, head_dim] matrix</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ready for the scaled dot-product computation.</w:t>
      </w:r>
    </w:p>
    <w:p>
      <w:pPr>
        <w:pStyle w:val="Heading2"/>
        <w:keepNext/>
        <w:keepLines/>
        <w:spacing w:after="120" w:before="240"/>
      </w:pPr>
      <w:r>
        <w:rPr>
          <w:rFonts w:ascii="Calibri" w:cs="Calibri" w:eastAsia="Calibri" w:hAnsi="Calibri"/>
          <w:b/>
          <w:bCs/>
          <w:color w:val="0D3B6E"/>
          <w:sz w:val="26"/>
          <w:szCs w:val="26"/>
        </w:rPr>
        <w:t xml:space="preserve">3.5  Step 5 — Causal Attention with Per-Head Scaling</w:t>
      </w:r>
    </w:p>
    <w:p>
      <w:pPr>
        <w:spacing w:after="120" w:before="60" w:line="320"/>
        <w:jc w:val="both"/>
      </w:pPr>
      <w:r>
        <w:rPr>
          <w:rFonts w:ascii="Times New Roman" w:cs="Times New Roman" w:eastAsia="Times New Roman" w:hAnsi="Times New Roman"/>
          <w:color w:val="1F2937"/>
          <w:sz w:val="22"/>
          <w:szCs w:val="22"/>
        </w:rPr>
        <w:t xml:space="preserve">With the heads dimension lifted ahead of tokens, the attention computation looks structurally identical to the single-head form but runs in parallel across all heads. The score matrix is queries · keys^T, where keys is transposed on its last two dimensions via .transpose(2, 3). The causal mask is broadcast across the heads dimension, the scores are divided by sqrt(head_dim), and softmax is applied along the last (key) dimension.</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attn_scores = queries @ keys.transpose(2, 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shape: [2, 2, 3, 3] — batch, heads, tokens (queries), tokens (keys)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mask_bool = self.mask.bool()[:num_tokens, :num_tokens]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attn_scores.masked_fill_(mask_bool, -torch.inf)</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After causal mask and / sqrt(head_dim = 3) — batch 0:</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Head 1: [[-0.0530,   -inf,   -inf],</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[-0.1003, -0.2265,   -inf],</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[-0.0573, -0.1379, -0.0738]]</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Head 2: [[-0.0337,   -inf,   -inf],</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[-0.0145, -0.1459,   -inf],</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[ 0.0262, -0.0939,  0.0533]]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attn_weights = torch.softmax(attn_scores / keys.shape[-1]**0.5, dim=-1)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attn_weights = self.dropout(attn_weights)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attn_weights shape [2, 2, 3, 3] — batch 0:</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Head 1: [[1.0000, 0.0000, 0.0000],     &lt;- 'the'    sees only itself</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[0.5315, 0.4685, 0.0000],     &lt;- 'cat'    sees the+cat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[0.3441, 0.3174, 0.3385]]     &lt;- 'sleeps' sees all three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Head 2: [[1.0000, 0.0000, 0.0000],</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[0.5328, 0.4672, 0.0000],</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[0.3431, 0.3043, 0.3526]]</w:t>
      </w:r>
    </w:p>
    <w:p>
      <w:pPr>
        <w:keepLines/>
        <w:pBdr>
          <w:left w:val="single" w:color="F59E0B" w:sz="24" w:space="12"/>
        </w:pBdr>
        <w:shd w:fill="FEF3C7" w:val="clear"/>
        <w:spacing w:after="200" w:before="200" w:line="320"/>
        <w:ind w:left="240" w:right="240"/>
      </w:pPr>
      <w:r>
        <w:rPr>
          <w:rFonts w:ascii="Times New Roman" w:cs="Times New Roman" w:eastAsia="Times New Roman" w:hAnsi="Times New Roman"/>
          <w:b/>
          <w:bCs/>
          <w:color w:val="0D3B6E"/>
          <w:sz w:val="22"/>
          <w:szCs w:val="22"/>
        </w:rPr>
        <w:t xml:space="preserve">Why the Scaling Factor Is sqrt(head_dim), Not sqrt(d_out)</w:t>
      </w:r>
      <w:r>
        <w:rPr>
          <w:rFonts w:ascii="Times New Roman" w:cs="Times New Roman" w:eastAsia="Times New Roman" w:hAnsi="Times New Roman"/>
          <w:color w:val="6B7280"/>
          <w:sz w:val="22"/>
          <w:szCs w:val="22"/>
        </w:rPr>
        <w:t xml:space="preserve">  —  </w:t>
      </w:r>
      <w:r>
        <w:rPr>
          <w:rFonts w:ascii="Times New Roman" w:cs="Times New Roman" w:eastAsia="Times New Roman" w:hAnsi="Times New Roman"/>
          <w:i/>
          <w:iCs/>
          <w:color w:val="1F2937"/>
          <w:sz w:val="22"/>
          <w:szCs w:val="22"/>
        </w:rPr>
        <w:t xml:space="preserve">After the .view() split, each head operates entirely within its own head_dim-dimensional subspace. The dot product q · k inside a single head is the sum of head_dim products, not d_out products. Variance algebra therefore gives Var(q · k) = head_dim, which means the standard deviation is sqrt(head_dim). Dividing by sqrt(head_dim) restores unit variance per head. Using sqrt(d_out) would over-scale by a factor of sqrt(num_heads), producing softmax distributions that are too flat and gradients that are too small.</w:t>
      </w:r>
    </w:p>
    <w:p>
      <w:pPr>
        <w:pStyle w:val="Heading2"/>
        <w:keepNext/>
        <w:keepLines/>
        <w:spacing w:after="120" w:before="240"/>
      </w:pPr>
      <w:r>
        <w:rPr>
          <w:rFonts w:ascii="Calibri" w:cs="Calibri" w:eastAsia="Calibri" w:hAnsi="Calibri"/>
          <w:b/>
          <w:bCs/>
          <w:color w:val="0D3B6E"/>
          <w:sz w:val="26"/>
          <w:szCs w:val="26"/>
        </w:rPr>
        <w:t xml:space="preserve">3.6  Step 6 — Recombine Heads and Apply Output Projection</w:t>
      </w:r>
    </w:p>
    <w:p>
      <w:pPr>
        <w:spacing w:after="120" w:before="60" w:line="320"/>
        <w:jc w:val="both"/>
      </w:pPr>
      <w:r>
        <w:rPr>
          <w:rFonts w:ascii="Times New Roman" w:cs="Times New Roman" w:eastAsia="Times New Roman" w:hAnsi="Times New Roman"/>
          <w:color w:val="1F2937"/>
          <w:sz w:val="22"/>
          <w:szCs w:val="22"/>
        </w:rPr>
        <w:t xml:space="preserve">The per-head context vectors have shape [batch, num_heads, num_tokens, head_dim]. Two operations recover the [batch, num_tokens, d_out] form expected by the rest of the network: a transpose to bring tokens before heads, followed by a .view that merges the (num_heads, head_dim) pair back into a single d_out dimension. The transpose breaks memory contiguity, so .contiguous() is called before .view (the reason is the subject of Section 6). The recombined output is then passed through a learned linear layer out_proj, producing the final output of the layer.</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context_vec = (attn_weights @ values).transpose(1, 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[2, 2, 3, 3]  -&gt;  [2, 3, 2, 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b  h toks hd       b toks h  hd</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context_vec = context_vec.contiguous().view(b, num_tokens, self.d_out)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[2, 3, 2, 3]  -&gt;  [2, 3, 6]</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After merge (before out_proj) — batch 0:</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[[-0.1354,  0.2538,  0.1353,  0.0993,  0.5164,  0.1103],   &lt;- 'the'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[-0.2447,  0.3172, -0.0060,  0.1318,  0.6144,  0.0032],   &lt;- 'cat'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[-0.2898,  0.2501,  0.0070,  0.0092,  0.5663,  0.0665]]   &lt;- 'sleeps'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&lt;-------- Head 1 (3 dims) --------&gt;  &lt;------- Head 2 (3 dims) -------&gt;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context_vec = self.out_proj(context_vec)   # learned mixing across heads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Final shape: [2, 3, 6]</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Final values — batch 0:</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tensor([[ 0.1569, -0.0873,  0.0210,  0.0215, -0.3243, -0.2518],  # 'the'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[ 0.1117, -0.0547,  0.0406, -0.0213, -0.3251, -0.2993],  # 'cat'</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[ 0.1196, -0.0491,  0.0318, -0.0635, -0.2788, -0.2578]]) # 'sleeps'</w:t>
      </w:r>
    </w:p>
    <w:p>
      <w:pPr>
        <w:keepLines/>
        <w:pBdr>
          <w:left w:val="single" w:color="F59E0B" w:sz="24" w:space="12"/>
        </w:pBdr>
        <w:shd w:fill="FEF3C7" w:val="clear"/>
        <w:spacing w:after="200" w:before="200" w:line="320"/>
        <w:ind w:left="240" w:right="240"/>
      </w:pPr>
      <w:r>
        <w:rPr>
          <w:rFonts w:ascii="Times New Roman" w:cs="Times New Roman" w:eastAsia="Times New Roman" w:hAnsi="Times New Roman"/>
          <w:b/>
          <w:bCs/>
          <w:color w:val="0D3B6E"/>
          <w:sz w:val="22"/>
          <w:szCs w:val="22"/>
        </w:rPr>
        <w:t xml:space="preserve">Two Distinct Stages of the Same Forward Pass</w:t>
      </w:r>
      <w:r>
        <w:rPr>
          <w:rFonts w:ascii="Times New Roman" w:cs="Times New Roman" w:eastAsia="Times New Roman" w:hAnsi="Times New Roman"/>
          <w:color w:val="6B7280"/>
          <w:sz w:val="22"/>
          <w:szCs w:val="22"/>
        </w:rPr>
        <w:t xml:space="preserve">  —  </w:t>
      </w:r>
      <w:r>
        <w:rPr>
          <w:rFonts w:ascii="Times New Roman" w:cs="Times New Roman" w:eastAsia="Times New Roman" w:hAnsi="Times New Roman"/>
          <w:i/>
          <w:iCs/>
          <w:color w:val="1F2937"/>
          <w:sz w:val="22"/>
          <w:szCs w:val="22"/>
        </w:rPr>
        <w:t xml:space="preserve">The pre-out_proj values shown above and the final context_vecs values are not in conflict — they are two different stages. The pre-out_proj tensor is the raw concatenation of head 1 and head 2 outputs, sitting side by side in the d_out dimension. The final tensor is what comes out after out_proj multiplies by a learned 6 × 6 weight matrix and adds a bias. The role of out_proj is precisely to mix information across heads; its values are necessarily different from the concatenated input it receives.</w:t>
      </w:r>
    </w:p>
    <w:p>
      <w:pPr>
        <w:pStyle w:val="Heading1"/>
        <w:keepNext/>
        <w:keepLines/>
        <w:spacing w:after="180" w:before="360"/>
      </w:pPr>
      <w:r>
        <w:rPr>
          <w:rFonts w:ascii="Calibri" w:cs="Calibri" w:eastAsia="Calibri" w:hAnsi="Calibri"/>
          <w:b/>
          <w:bCs/>
          <w:color w:val="0D3B6E"/>
          <w:sz w:val="32"/>
          <w:szCs w:val="32"/>
        </w:rPr>
        <w:t xml:space="preserve">4.  The Complete MultiHeadAttention Class</w:t>
      </w:r>
    </w:p>
    <w:p>
      <w:pPr>
        <w:spacing w:after="120" w:before="60" w:line="320"/>
        <w:jc w:val="both"/>
      </w:pPr>
      <w:r>
        <w:rPr>
          <w:rFonts w:ascii="Times New Roman" w:cs="Times New Roman" w:eastAsia="Times New Roman" w:hAnsi="Times New Roman"/>
          <w:color w:val="1F2937"/>
          <w:sz w:val="22"/>
          <w:szCs w:val="22"/>
        </w:rPr>
        <w:t xml:space="preserve">Combining the six-step pipeline into a single nn.Module produces the final attention class. This is the production multi-head attention module: it has the same parameter count as the wrapper, produces the same outputs given matching initialization, and runs in 1/num_heads as many matrix-multiplication kernel launches per forward pass.</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class MultiHeadAttention(nn.Module):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def __init__(self, d_in, d_out, context_length,</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dropout, num_heads, qkv_bias=False):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super().__init__()</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assert d_out % num_heads == 0, "d_out must be divisible by num_heads"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self.d_out     = d_out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self.num_heads = num_heads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self.head_dim  = d_out // num_heads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ONE matrix per Q/K/V — replaces num_heads separate matrices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self.W_query  = nn.Linear(d_in, d_out, bias=qkv_bias)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self.W_key    = nn.Linear(d_in, d_out, bias=qkv_bias)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self.W_value  = nn.Linear(d_in, d_out, bias=qkv_bias)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self.out_proj = nn.Linear(d_out, d_out)        # NEW: W_O</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self.dropout  = nn.Dropout(dropout)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self.register_buffer(</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'mask',</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torch.triu(torch.ones(context_length, context_length),</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diagonal=1)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def forward(self, x):</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b, num_tokens, d_in = x.shape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Step 2: project through Q, K, V</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keys    = self.W_key(x)        # [b, num_tokens, d_out]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queries = self.W_query(x)</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values  = self.W_value(x)</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Step 3: split d_out into (num_heads, head_dim)</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keys    = keys.view(b, num_tokens, self.num_heads, self.head_dim)</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queries = queries.view(b, num_tokens, self.num_heads, self.head_dim)</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values  = values.view(b, num_tokens, self.num_heads, self.head_dim)</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Step 4: bring heads before tokens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keys    = keys.transpose(1, 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queries = queries.transpose(1, 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values  = values.transpose(1, 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Step 5: causal scaled dot-product attention</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attn_scores = queries @ keys.transpose(2, 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mask_bool   = self.mask.bool()[:num_tokens, :num_tokens]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attn_scores.masked_fill_(mask_bool, -torch.inf)</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attn_weights = torch.softmax(</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attn_scores / keys.shape[-1]**0.5, dim=-1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attn_weights = self.dropout(attn_weights)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Step 6: recombine heads and project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context_vec = (attn_weights @ values).transpose(1, 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context_vec = context_vec.contiguous().view(b, num_tokens, self.d_out)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context_vec = self.out_proj(context_vec)</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return context_vec</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Test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torch.manual_seed(123)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mha = MultiHeadAttention(d_in=6, d_out=6, context_length=3,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dropout=0.0, num_heads=2)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context_vecs = mha(batch)</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print(context_vecs.shape)        # torch.Size([2, 3, 6])</w:t>
      </w:r>
    </w:p>
    <w:p>
      <w:pPr>
        <w:pStyle w:val="Heading1"/>
        <w:keepNext/>
        <w:keepLines/>
        <w:spacing w:after="180" w:before="360"/>
      </w:pPr>
      <w:r>
        <w:rPr>
          <w:rFonts w:ascii="Calibri" w:cs="Calibri" w:eastAsia="Calibri" w:hAnsi="Calibri"/>
          <w:b/>
          <w:bCs/>
          <w:color w:val="0D3B6E"/>
          <w:sz w:val="32"/>
          <w:szCs w:val="32"/>
        </w:rPr>
        <w:t xml:space="preserve">5.  Three Production Patterns Introduced Here</w:t>
      </w:r>
    </w:p>
    <w:p>
      <w:pPr>
        <w:spacing w:after="120" w:before="60" w:line="320"/>
        <w:jc w:val="both"/>
      </w:pPr>
      <w:r>
        <w:rPr>
          <w:rFonts w:ascii="Times New Roman" w:cs="Times New Roman" w:eastAsia="Times New Roman" w:hAnsi="Times New Roman"/>
          <w:color w:val="1F2937"/>
          <w:sz w:val="22"/>
          <w:szCs w:val="22"/>
        </w:rPr>
        <w:t xml:space="preserve">Beyond the conceptual consolidation of Topic 11's wrapper, MultiHeadAttention introduces three PyTorch patterns that did not appear in earlier topics. Each is essential to the production form.</w:t>
      </w:r>
    </w:p>
    <w:p>
      <w:pPr>
        <w:pStyle w:val="Heading2"/>
        <w:keepNext/>
        <w:keepLines/>
        <w:spacing w:after="120" w:before="240"/>
      </w:pPr>
      <w:r>
        <w:rPr>
          <w:rFonts w:ascii="Calibri" w:cs="Calibri" w:eastAsia="Calibri" w:hAnsi="Calibri"/>
          <w:b/>
          <w:bCs/>
          <w:color w:val="0D3B6E"/>
          <w:sz w:val="26"/>
          <w:szCs w:val="26"/>
        </w:rPr>
        <w:t xml:space="preserve">5.1  .view(b, num_tokens, num_heads, head_dim) — Zero-Copy Reshape</w:t>
      </w:r>
    </w:p>
    <w:p>
      <w:pPr>
        <w:spacing w:after="120" w:before="60" w:line="320"/>
        <w:jc w:val="both"/>
      </w:pPr>
      <w:r>
        <w:rPr>
          <w:rFonts w:ascii="Times New Roman" w:cs="Times New Roman" w:eastAsia="Times New Roman" w:hAnsi="Times New Roman"/>
          <w:color w:val="1F2937"/>
          <w:sz w:val="22"/>
          <w:szCs w:val="22"/>
        </w:rPr>
        <w:t xml:space="preserve">PyTorch's .view operation reinterprets the dimensions of a tensor without moving any data, provided the underlying memory is contiguous. The 6 numbers in the d_out dimension of the post-projection queries are the same 6 numbers after .view; the only thing that changes is how indexing into the tensor is computed. This zero-copy property is what makes the weight-split form efficient: introducing the per-head dimension costs nothing at runtime. If the memory were not contiguous (which can happen after .transpose), .view would raise an error and require .contiguous() first — see Section 6.</w:t>
      </w:r>
    </w:p>
    <w:p>
      <w:pPr>
        <w:pStyle w:val="Heading2"/>
        <w:keepNext/>
        <w:keepLines/>
        <w:spacing w:after="120" w:before="240"/>
      </w:pPr>
      <w:r>
        <w:rPr>
          <w:rFonts w:ascii="Calibri" w:cs="Calibri" w:eastAsia="Calibri" w:hAnsi="Calibri"/>
          <w:b/>
          <w:bCs/>
          <w:color w:val="0D3B6E"/>
          <w:sz w:val="26"/>
          <w:szCs w:val="26"/>
        </w:rPr>
        <w:t xml:space="preserve">5.2  Two Distinct .transpose() Operations</w:t>
      </w:r>
    </w:p>
    <w:p>
      <w:pPr>
        <w:spacing w:after="120" w:before="60" w:line="320"/>
        <w:jc w:val="both"/>
      </w:pPr>
      <w:r>
        <w:rPr>
          <w:rFonts w:ascii="Times New Roman" w:cs="Times New Roman" w:eastAsia="Times New Roman" w:hAnsi="Times New Roman"/>
          <w:color w:val="1F2937"/>
          <w:sz w:val="22"/>
          <w:szCs w:val="22"/>
        </w:rPr>
        <w:t xml:space="preserve">Two transpose operations appear in the forward pass and they do different things on different dimensions. Confusing them is the most common bug when writing weight-split attention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Operation</w:t>
            </w:r>
          </w:p>
        </w:tc>
        <w:tc>
          <w:tcPr>
            <w:tcW w:type="dxa" w:w="348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What It Does</w:t>
            </w:r>
          </w:p>
        </w:tc>
        <w:tc>
          <w:tcPr>
            <w:tcW w:type="dxa" w:w="348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Where It Appears</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.transpose(1, 2)</w:t>
            </w:r>
          </w:p>
        </w:tc>
        <w:tc>
          <w:tcPr>
            <w:tcW w:type="dxa" w:w="34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Swaps num_tokens and num_heads — brings heads in front of tokens so each (batch, head) slice is a 2D matrix</w:t>
            </w:r>
          </w:p>
        </w:tc>
        <w:tc>
          <w:tcPr>
            <w:tcW w:type="dxa" w:w="34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After .view, on Q/K/V (Step 4); also after attention output to put tokens back first (Step 6)</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.transpose(2, 3)</w:t>
            </w:r>
          </w:p>
        </w:tc>
        <w:tc>
          <w:tcPr>
            <w:tcW w:type="dxa" w:w="34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Swaps the last two dimensions of keys (num_tokens and head_dim) — required for Q · K^T to produce a [num_tokens, num_tokens] attention matrix per head</w:t>
            </w:r>
          </w:p>
        </w:tc>
        <w:tc>
          <w:tcPr>
            <w:tcW w:type="dxa" w:w="34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Inside the score computation: queries @ keys.transpose(2, 3) (Step 5)</w:t>
            </w:r>
          </w:p>
        </w:tc>
      </w:tr>
    </w:tbl>
    <w:p>
      <w:pPr>
        <w:spacing w:after="200" w:before="80"/>
        <w:jc w:val="center"/>
      </w:pPr>
      <w:r>
        <w:rPr>
          <w:rFonts w:ascii="Times New Roman" w:cs="Times New Roman" w:eastAsia="Times New Roman" w:hAnsi="Times New Roman"/>
          <w:i/>
          <w:iCs/>
          <w:color w:val="6B7280"/>
          <w:sz w:val="20"/>
          <w:szCs w:val="20"/>
        </w:rPr>
        <w:t xml:space="preserve">Table 1: The two .transpose calls in MultiHeadAttention. They operate on different dimension pairs and serve different roles — getting either one wrong silently produces a tensor with a non-obviously-incorrect shape.</w:t>
      </w:r>
    </w:p>
    <w:p>
      <w:pPr>
        <w:pStyle w:val="Heading2"/>
        <w:keepNext/>
        <w:keepLines/>
        <w:spacing w:after="120" w:before="240"/>
      </w:pPr>
      <w:r>
        <w:rPr>
          <w:rFonts w:ascii="Calibri" w:cs="Calibri" w:eastAsia="Calibri" w:hAnsi="Calibri"/>
          <w:b/>
          <w:bCs/>
          <w:color w:val="0D3B6E"/>
          <w:sz w:val="26"/>
          <w:szCs w:val="26"/>
        </w:rPr>
        <w:t xml:space="preserve">5.3  out_proj — The Learned Output Projection W_O</w:t>
      </w:r>
    </w:p>
    <w:p>
      <w:pPr>
        <w:spacing w:after="120" w:before="60" w:line="320"/>
        <w:jc w:val="both"/>
      </w:pPr>
      <w:r>
        <w:rPr>
          <w:rFonts w:ascii="Times New Roman" w:cs="Times New Roman" w:eastAsia="Times New Roman" w:hAnsi="Times New Roman"/>
          <w:color w:val="1F2937"/>
          <w:sz w:val="22"/>
          <w:szCs w:val="22"/>
        </w:rPr>
        <w:t xml:space="preserve">The Vaswani et al. (2017) formulation of multi-head attention specifies an output projection W_O that follows the concatenation of head outputs. The wrapper of Topic 11 omitted this projection for simplicity; the production form includes it. out_proj is an nn.Linear(d_out, d_out) layer applied to the concatenated context vectors. Architecturally, its role is to mix information across heads: without it, each head's d_out values would feed forward into the rest of the network without any opportunity for cross-head interaction. With it, the model can learn to combine the per-head outputs in any linear way required by the downstream task.</w:t>
      </w:r>
    </w:p>
    <w:p>
      <w:pPr>
        <w:pStyle w:val="Heading1"/>
        <w:keepNext/>
        <w:keepLines/>
        <w:spacing w:after="180" w:before="360"/>
      </w:pPr>
      <w:r>
        <w:rPr>
          <w:rFonts w:ascii="Calibri" w:cs="Calibri" w:eastAsia="Calibri" w:hAnsi="Calibri"/>
          <w:b/>
          <w:bCs/>
          <w:color w:val="0D3B6E"/>
          <w:sz w:val="32"/>
          <w:szCs w:val="32"/>
        </w:rPr>
        <w:t xml:space="preserve">6.  Why .contiguous() Is Required Before .view()</w:t>
      </w:r>
    </w:p>
    <w:p>
      <w:pPr>
        <w:spacing w:after="120" w:before="60" w:line="320"/>
        <w:jc w:val="both"/>
      </w:pPr>
      <w:r>
        <w:rPr>
          <w:rFonts w:ascii="Times New Roman" w:cs="Times New Roman" w:eastAsia="Times New Roman" w:hAnsi="Times New Roman"/>
          <w:color w:val="1F2937"/>
          <w:sz w:val="22"/>
          <w:szCs w:val="22"/>
        </w:rPr>
        <w:t xml:space="preserve">PyTorch tensors store their data as a flat one-dimensional buffer; the multi-dimensional shape is implemented through a stride pattern that determines how indices are translated into buffer offsets. When a tensor is created from scratch — for example by torch.rand or by a matrix multiplication — its strides match the standard row-major layout, and the tensor is said to be contiguous. The .view operation requires this contiguity because it does not move data; it only computes new strides for the new shape, and that computation only works correctly if the existing strides are themselves contiguous.</w:t>
      </w:r>
    </w:p>
    <w:p>
      <w:pPr>
        <w:spacing w:after="120" w:before="60" w:line="320"/>
        <w:jc w:val="both"/>
      </w:pPr>
      <w:r>
        <w:rPr>
          <w:rFonts w:ascii="Times New Roman" w:cs="Times New Roman" w:eastAsia="Times New Roman" w:hAnsi="Times New Roman"/>
          <w:color w:val="1F2937"/>
          <w:sz w:val="22"/>
          <w:szCs w:val="22"/>
        </w:rPr>
        <w:t xml:space="preserve">The .transpose operation breaks contiguity. It produces a new tensor that shares the same underlying buffer as the original but has its strides swapped on the transposed dimensions. The data in memory has not been physically rearranged, but the access pattern is no longer row-major. If .view is called on a transposed tensor without first restoring contiguity, PyTorch raises a runtime error: "view size is not compatible with input tensor's size and stride."</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 After .transpose(1, 2), context_vec is a non-contiguous tensor.</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Calling .view directly produces an error:</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context_vec = context_vec.view(b, num_tokens, self.d_out)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RuntimeError: view size is not compatible with input tensor's size and stride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The fix: .contiguous() copies the data to a fresh contiguous buffer,</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after which .view can be called normally:</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context_vec = context_vec.contiguous().view(b, num_tokens, self.d_out)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Alternative: .reshape() automatically handles the contiguous case.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It is essentially equivalent to .contiguous().view() with a fall-through</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to the no-op .view() when the tensor is already contiguous.</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context_vec = context_vec.reshape(b, num_tokens, self.d_out)</w:t>
      </w:r>
    </w:p>
    <w:p>
      <w:pPr>
        <w:spacing w:after="120" w:before="60" w:line="320"/>
        <w:jc w:val="both"/>
      </w:pPr>
      <w:r>
        <w:rPr>
          <w:rFonts w:ascii="Times New Roman" w:cs="Times New Roman" w:eastAsia="Times New Roman" w:hAnsi="Times New Roman"/>
          <w:color w:val="1F2937"/>
          <w:sz w:val="22"/>
          <w:szCs w:val="22"/>
        </w:rPr>
        <w:t xml:space="preserve">Both .contiguous().view() and .reshape() are correct. The traditional choice in PyTorch is .contiguous().view() because it makes the data copy explicit; some modern codebases prefer .reshape() because it is shorter and self-documenting. The two produce identical results.</w:t>
      </w:r>
    </w:p>
    <w:p>
      <w:pPr>
        <w:pStyle w:val="Heading1"/>
        <w:keepNext/>
        <w:keepLines/>
        <w:spacing w:after="180" w:before="360"/>
      </w:pPr>
      <w:r>
        <w:rPr>
          <w:rFonts w:ascii="Calibri" w:cs="Calibri" w:eastAsia="Calibri" w:hAnsi="Calibri"/>
          <w:b/>
          <w:bCs/>
          <w:color w:val="0D3B6E"/>
          <w:sz w:val="32"/>
          <w:szCs w:val="32"/>
        </w:rPr>
        <w:t xml:space="preserve">7.  Efficiency at GPT-2 Scale</w:t>
      </w:r>
    </w:p>
    <w:p>
      <w:pPr>
        <w:spacing w:after="120" w:before="60" w:line="320"/>
        <w:jc w:val="both"/>
      </w:pPr>
      <w:r>
        <w:rPr>
          <w:rFonts w:ascii="Times New Roman" w:cs="Times New Roman" w:eastAsia="Times New Roman" w:hAnsi="Times New Roman"/>
          <w:color w:val="1F2937"/>
          <w:sz w:val="22"/>
          <w:szCs w:val="22"/>
        </w:rPr>
        <w:t xml:space="preserve">The performance argument for the weight-split formulation is most concrete at GPT-2 scale, where the constants involved are large. Table 2 contrasts the wrapper and weight-split forms on the GPT-2 Small configuration of 12 layers with 12 heads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cantSplit/>
          <w:tblHeader/>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Quantity</w:t>
            </w:r>
          </w:p>
        </w:tc>
        <w:tc>
          <w:tcPr>
            <w:tcW w:type="dxa" w:w="318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Wrapper (Topic 11)</w:t>
            </w:r>
          </w:p>
        </w:tc>
        <w:tc>
          <w:tcPr>
            <w:tcW w:type="dxa" w:w="318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Weight-Split (Topic 12)</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Q/K/V matmuls per attention block</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3 × num_heads = 36</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3</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Layers in GPT-2 Small</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12</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12</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Total Q/K/V matmuls per forward pass</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36 × 12 = 432</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3 × 12 = 36</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GPU kernel launches</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One per matmul + Python loop overhead</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One per matmul, no Python loop</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Output values</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Identical (given matched initialization)</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Identical (given matched initialization)</w:t>
            </w:r>
          </w:p>
        </w:tc>
      </w:tr>
    </w:tbl>
    <w:p>
      <w:pPr>
        <w:spacing w:after="200" w:before="80"/>
        <w:jc w:val="center"/>
      </w:pPr>
      <w:r>
        <w:rPr>
          <w:rFonts w:ascii="Times New Roman" w:cs="Times New Roman" w:eastAsia="Times New Roman" w:hAnsi="Times New Roman"/>
          <w:i/>
          <w:iCs/>
          <w:color w:val="6B7280"/>
          <w:sz w:val="20"/>
          <w:szCs w:val="20"/>
        </w:rPr>
        <w:t xml:space="preserve">Table 2: Wrapper versus weight-split at GPT-2 Small scale. The 12 × reduction in matmul count, combined with the elimination of the Python loop over heads, makes the weight-split form measurably faster on GPU and is the reason it is the production form. At GPT-2 Large scale (25 heads × 36 layers) the gap widens further.</w:t>
      </w:r>
    </w:p>
    <w:p>
      <w:pPr>
        <w:spacing w:after="120" w:before="60" w:line="320"/>
        <w:jc w:val="both"/>
      </w:pPr>
      <w:r>
        <w:rPr>
          <w:rFonts w:ascii="Times New Roman" w:cs="Times New Roman" w:eastAsia="Times New Roman" w:hAnsi="Times New Roman"/>
          <w:color w:val="1F2937"/>
          <w:sz w:val="22"/>
          <w:szCs w:val="22"/>
        </w:rPr>
        <w:t xml:space="preserve">The output projection W_O adds one further matmul per layer, so the total Q/K/V/O matmul count for the weight-split form is 4 × 12 = 48 per forward pass, still an order of magnitude below the wrapper's 432 (which would also need its own out_proj). The mathematical content of the two forms is identical; the operational difference is the entire point.</w:t>
      </w:r>
    </w:p>
    <w:p>
      <w:pPr>
        <w:pStyle w:val="Heading1"/>
        <w:keepNext/>
        <w:keepLines/>
        <w:spacing w:after="180" w:before="360"/>
      </w:pPr>
      <w:r>
        <w:rPr>
          <w:rFonts w:ascii="Calibri" w:cs="Calibri" w:eastAsia="Calibri" w:hAnsi="Calibri"/>
          <w:b/>
          <w:bCs/>
          <w:color w:val="0D3B6E"/>
          <w:sz w:val="32"/>
          <w:szCs w:val="32"/>
        </w:rPr>
        <w:t xml:space="preserve">8.  Complete Shape Summary — Every Tensor Tracked</w:t>
      </w:r>
    </w:p>
    <w:p>
      <w:pPr>
        <w:spacing w:after="120" w:before="60" w:line="320"/>
        <w:jc w:val="both"/>
      </w:pPr>
      <w:r>
        <w:rPr>
          <w:rFonts w:ascii="Times New Roman" w:cs="Times New Roman" w:eastAsia="Times New Roman" w:hAnsi="Times New Roman"/>
          <w:color w:val="1F2937"/>
          <w:sz w:val="22"/>
          <w:szCs w:val="22"/>
        </w:rPr>
        <w:t xml:space="preserve">Table 3 collects every tensor in the MultiHeadAttention forward pass with its shape and role at the toy configuration of d_in = d_out = 6, num_heads = 2, head_dim = 3, num_tokens = 3, batch = 2. The corresponding GPT-2 Small shapes — d_in = d_out = 768, num_heads = 12, head_dim = 64, num_tokens = 1024 — are identical in structure, only the constants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cantSplit/>
          <w:tblHeader/>
        </w:trPr>
        <w:tc>
          <w:tcPr>
            <w:tcW w:type="dxa" w:w="24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Tensor / Step</w:t>
            </w:r>
          </w:p>
        </w:tc>
        <w:tc>
          <w:tcPr>
            <w:tcW w:type="dxa" w:w="22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Shape</w:t>
            </w:r>
          </w:p>
        </w:tc>
        <w:tc>
          <w:tcPr>
            <w:tcW w:type="dxa" w:w="476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Role</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input x</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3, 6]</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batch × num_tokens × d_in</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W_Q, W_K, W_V</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[6, 6]</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Single learned matrix per role; replaces num_heads separate matrices</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queries (post-projection)</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3, 6]</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All heads merged in d_out (Step 2)</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queries (post-view)</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3, 2, 3]</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d_out unrolled into (num_heads, head_dim) (Step 3)</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queries (post-transpose 1,2)</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2, 3, 3]</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Heads dimension lifted before tokens (Step 4)</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keys.transpose(2, 3)</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2, 3, 3]</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Last two dims swapped for Q @ K^T (Step 5)</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attn_scores</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2, 3, 3]</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Per-head, per-batch [num_tokens, num_tokens] score matrix</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attn_weights</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2, 3, 3]</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After scaled softmax and dropout — each row sums to 1</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context (heads first)</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2, 3, 3]</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attn_weights @ values, before final transpose</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context (post-transpose 1,2)</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3, 2, 3]</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Tokens before heads, ready for merge</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context (post-merge)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3, 6]</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.contiguous().view() merges (num_heads, head_dim) back into d_out</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final output</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3, 6]</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After out_proj — same shape as input, ready for the next layer</w:t>
            </w:r>
          </w:p>
        </w:tc>
      </w:tr>
    </w:tbl>
    <w:p>
      <w:pPr>
        <w:spacing w:after="200" w:before="80"/>
        <w:jc w:val="center"/>
      </w:pPr>
      <w:r>
        <w:rPr>
          <w:rFonts w:ascii="Times New Roman" w:cs="Times New Roman" w:eastAsia="Times New Roman" w:hAnsi="Times New Roman"/>
          <w:i/>
          <w:iCs/>
          <w:color w:val="6B7280"/>
          <w:sz w:val="20"/>
          <w:szCs w:val="20"/>
        </w:rPr>
        <w:t xml:space="preserve">Table 3: Tensor inventory through the MultiHeadAttention forward pass. Every shape is fully determined by d_in, d_out, num_heads, num_tokens, and batch — there are no implicit constants.</w:t>
      </w:r>
    </w:p>
    <w:p>
      <w:pPr>
        <w:pStyle w:val="Heading1"/>
        <w:keepNext/>
        <w:keepLines/>
        <w:spacing w:after="180" w:before="360"/>
      </w:pPr>
      <w:r>
        <w:rPr>
          <w:rFonts w:ascii="Calibri" w:cs="Calibri" w:eastAsia="Calibri" w:hAnsi="Calibri"/>
          <w:b/>
          <w:bCs/>
          <w:color w:val="0D3B6E"/>
          <w:sz w:val="32"/>
          <w:szCs w:val="32"/>
        </w:rPr>
        <w:t xml:space="preserve">9.  Key Observations</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Weight splitting consolidates num_heads multiplications into one. </w:t>
      </w:r>
      <w:r>
        <w:rPr>
          <w:rFonts w:ascii="Times New Roman" w:cs="Times New Roman" w:eastAsia="Times New Roman" w:hAnsi="Times New Roman"/>
          <w:b w:val="false"/>
          <w:bCs w:val="false"/>
          <w:i w:val="false"/>
          <w:iCs w:val="false"/>
          <w:color w:val="1F2937"/>
          <w:sz w:val="22"/>
          <w:szCs w:val="22"/>
        </w:rPr>
        <w:t xml:space="preserve">The num_heads × 3 separate matrix multiplications of the wrapper become 3 single multiplications followed by a zero-cost reshape. The total parameter count is unchanged; only the way the parameters are stored and accessed differs.</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.view() is a metadata-only operation. </w:t>
      </w:r>
      <w:r>
        <w:rPr>
          <w:rFonts w:ascii="Times New Roman" w:cs="Times New Roman" w:eastAsia="Times New Roman" w:hAnsi="Times New Roman"/>
          <w:b w:val="false"/>
          <w:bCs w:val="false"/>
          <w:i w:val="false"/>
          <w:iCs w:val="false"/>
          <w:color w:val="1F2937"/>
          <w:sz w:val="22"/>
          <w:szCs w:val="22"/>
        </w:rPr>
        <w:t xml:space="preserve">No data is moved when .view splits d_out into (num_heads, head_dim) or merges them back. The same memory is reinterpreted under a new index pattern. This is what makes the head dimension free at runtime.</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Two distinct .transpose calls do two distinct things. </w:t>
      </w:r>
      <w:r>
        <w:rPr>
          <w:rFonts w:ascii="Times New Roman" w:cs="Times New Roman" w:eastAsia="Times New Roman" w:hAnsi="Times New Roman"/>
          <w:b w:val="false"/>
          <w:bCs w:val="false"/>
          <w:i w:val="false"/>
          <w:iCs w:val="false"/>
          <w:color w:val="1F2937"/>
          <w:sz w:val="22"/>
          <w:szCs w:val="22"/>
        </w:rPr>
        <w:t xml:space="preserve">.transpose(1, 2) lifts heads in front of tokens so each (batch, head) slice is a 2D matrix; .transpose(2, 3) swaps the last two dimensions of keys for the Q · K^T matmul. They are easy to confuse and getting either wrong silently produces incorrect tensors.</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The scaling factor is sqrt(head_dim), not sqrt(d_out). </w:t>
      </w:r>
      <w:r>
        <w:rPr>
          <w:rFonts w:ascii="Times New Roman" w:cs="Times New Roman" w:eastAsia="Times New Roman" w:hAnsi="Times New Roman"/>
          <w:b w:val="false"/>
          <w:bCs w:val="false"/>
          <w:i w:val="false"/>
          <w:iCs w:val="false"/>
          <w:color w:val="1F2937"/>
          <w:sz w:val="22"/>
          <w:szCs w:val="22"/>
        </w:rPr>
        <w:t xml:space="preserve">After the .view split, each head operates within its own head_dim-dimensional subspace. Variance algebra fixes the scaling factor as sqrt(head_dim); using sqrt(d_out) would over-scale by sqrt(num_heads).</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.contiguous() before .view() is a hard requirement after .transpose(). </w:t>
      </w:r>
      <w:r>
        <w:rPr>
          <w:rFonts w:ascii="Times New Roman" w:cs="Times New Roman" w:eastAsia="Times New Roman" w:hAnsi="Times New Roman"/>
          <w:b w:val="false"/>
          <w:bCs w:val="false"/>
          <w:i w:val="false"/>
          <w:iCs w:val="false"/>
          <w:color w:val="1F2937"/>
          <w:sz w:val="22"/>
          <w:szCs w:val="22"/>
        </w:rPr>
        <w:t xml:space="preserve">.transpose breaks memory contiguity but does not move data. .view requires contiguity to compute valid strides. Skipping .contiguous produces a runtime error rather than a silent bug, but it is still a recurring source of friction when writing weight-split attention from scratch.</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out_proj is the learned cross-head mixer. </w:t>
      </w:r>
      <w:r>
        <w:rPr>
          <w:rFonts w:ascii="Times New Roman" w:cs="Times New Roman" w:eastAsia="Times New Roman" w:hAnsi="Times New Roman"/>
          <w:b w:val="false"/>
          <w:bCs w:val="false"/>
          <w:i w:val="false"/>
          <w:iCs w:val="false"/>
          <w:color w:val="1F2937"/>
          <w:sz w:val="22"/>
          <w:szCs w:val="22"/>
        </w:rPr>
        <w:t xml:space="preserve">Without out_proj, each head's d_out values would feed forward without any opportunity for cross-head combination. The output projection is the only operation in the layer that mixes information across heads, and is included in the original Vaswani et al. specification.</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The wrapper and weight-split forms produce identical outputs. </w:t>
      </w:r>
      <w:r>
        <w:rPr>
          <w:rFonts w:ascii="Times New Roman" w:cs="Times New Roman" w:eastAsia="Times New Roman" w:hAnsi="Times New Roman"/>
          <w:b w:val="false"/>
          <w:bCs w:val="false"/>
          <w:i w:val="false"/>
          <w:iCs w:val="false"/>
          <w:color w:val="1F2937"/>
          <w:sz w:val="22"/>
          <w:szCs w:val="22"/>
        </w:rPr>
        <w:t xml:space="preserve">With matched weight initialization the two are tensor-equal at floating-point precision. This identity is what allows the wrapper of Topic 11 to serve as a unit-test reference for the weight-split form's correctness.</w:t>
      </w:r>
    </w:p>
    <w:p>
      <w:pPr>
        <w:pStyle w:val="Heading1"/>
        <w:keepNext/>
        <w:keepLines/>
        <w:spacing w:after="180" w:before="360"/>
      </w:pPr>
      <w:r>
        <w:rPr>
          <w:rFonts w:ascii="Calibri" w:cs="Calibri" w:eastAsia="Calibri" w:hAnsi="Calibri"/>
          <w:b/>
          <w:bCs/>
          <w:color w:val="0D3B6E"/>
          <w:sz w:val="32"/>
          <w:szCs w:val="32"/>
        </w:rPr>
        <w:t xml:space="preserve">10.  Experiments &amp; Open Questions</w:t>
      </w:r>
    </w:p>
    <w:p>
      <w:pPr>
        <w:spacing w:after="120" w:before="60" w:line="320"/>
        <w:jc w:val="both"/>
      </w:pPr>
      <w:r>
        <w:rPr>
          <w:rFonts w:ascii="Times New Roman" w:cs="Times New Roman" w:eastAsia="Times New Roman" w:hAnsi="Times New Roman"/>
          <w:color w:val="1F2937"/>
          <w:sz w:val="22"/>
          <w:szCs w:val="22"/>
        </w:rPr>
        <w:t xml:space="preserve">This section closes the topic with three items beyond exposition: a hand-verified equivalence between the wrapper formulation and the weight-split formulation, an open question on the choice of head_dim across the GPT model family, and a proposed empirical investigation.</w:t>
      </w:r>
    </w:p>
    <w:p>
      <w:pPr>
        <w:pStyle w:val="Heading3"/>
        <w:keepNext/>
        <w:keepLines/>
        <w:spacing w:after="80" w:before="200"/>
      </w:pPr>
      <w:r>
        <w:rPr>
          <w:rFonts w:ascii="Calibri" w:cs="Calibri" w:eastAsia="Calibri" w:hAnsi="Calibri"/>
          <w:b/>
          <w:bCs/>
          <w:color w:val="1F4D78"/>
          <w:sz w:val="24"/>
          <w:szCs w:val="24"/>
        </w:rPr>
        <w:t xml:space="preserve">10.1  Hand-Verified Equivalence with the Wrapper Formulation</w:t>
      </w:r>
    </w:p>
    <w:p>
      <w:pPr>
        <w:spacing w:after="120" w:before="60" w:line="320"/>
        <w:jc w:val="both"/>
      </w:pPr>
      <w:r>
        <w:rPr>
          <w:rFonts w:ascii="Times New Roman" w:cs="Times New Roman" w:eastAsia="Times New Roman" w:hAnsi="Times New Roman"/>
          <w:color w:val="1F2937"/>
          <w:sz w:val="22"/>
          <w:szCs w:val="22"/>
        </w:rPr>
        <w:t xml:space="preserve">The strongest correctness check available for the weight-split form is to reproduce the wrapper's output exactly given matching weight initialization. This subsection sketches the verification protocol: build a wrapper with num_heads independent CausalAttention modules, copy each per-head W_q, W_k, W_v into the corresponding slice of the consolidated W_q, W_k, W_v of MultiHeadAttention, and check that running the same input through both produces tensor-equal outputs.</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 Build both modules with the same num_heads and head_dim</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torch.manual_seed(123)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wrapper = MultiHeadAttentionWrapper(</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d_in=6, d_out=3, context_length=3,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dropout=0.0, num_heads=2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torch.manual_seed(123)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weight_split = MultiHeadAttention(</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d_in=6, d_out=6, context_length=3,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dropout=0.0, num_heads=2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Copy wrapper's per-head weights into weight_split's consolidated W_q, W_k, W_v.</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(This is a one-off setup step; in practice both modules are trained separately</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with their own initializations.)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for h in range(2):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src = wrapper.heads[h]</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 = h * weight_split.head_dim</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e = s + weight_split.head_dim</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weight_split.W_query.weight.data[s:e] = src.W_query.weight.data</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weight_split.W_key.weight.data[s:e]   = src.W_key.weight.data</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weight_split.W_value.weight.data[s:e] = src.W_value.weight.data</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Disable out_proj for the comparison (set to identity)</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weight_split.out_proj.weight.data = torch.eye(6)</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weight_split.out_proj.bias.data.zero_()</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Now both modules implement the same function:</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y_wrap = wrapper(batch)</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y_ws   = weight_split(batch)</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torch.allclose(y_wrap, y_ws, atol=1e-6)   # True — equal to floating-point precision</w:t>
      </w:r>
    </w:p>
    <w:p>
      <w:pPr>
        <w:spacing w:after="120" w:before="60" w:line="320"/>
        <w:jc w:val="both"/>
      </w:pPr>
      <w:r>
        <w:rPr>
          <w:rFonts w:ascii="Times New Roman" w:cs="Times New Roman" w:eastAsia="Times New Roman" w:hAnsi="Times New Roman"/>
          <w:color w:val="1F2937"/>
          <w:sz w:val="22"/>
          <w:szCs w:val="22"/>
        </w:rPr>
        <w:t xml:space="preserve">This protocol is a useful diagnostic when extending the implementation: if the weight-split output ever drifts from the wrapper output beyond floating-point error, the bug is in one of the .view, .transpose, or .contiguous operations rather than in the underlying attention arithmetic. The protocol relies on the wrapper being known-correct from Topic 11 and on out_proj being neutralized to isolate the consolidation logic.</w:t>
      </w:r>
    </w:p>
    <w:p>
      <w:pPr>
        <w:pStyle w:val="Heading3"/>
        <w:keepNext/>
        <w:keepLines/>
        <w:spacing w:after="80" w:before="200"/>
      </w:pPr>
      <w:r>
        <w:rPr>
          <w:rFonts w:ascii="Calibri" w:cs="Calibri" w:eastAsia="Calibri" w:hAnsi="Calibri"/>
          <w:b/>
          <w:bCs/>
          <w:color w:val="1F4D78"/>
          <w:sz w:val="24"/>
          <w:szCs w:val="24"/>
        </w:rPr>
        <w:t xml:space="preserve">10.2  Open Question — Why head_dim Is Almost Always 64</w:t>
      </w:r>
    </w:p>
    <w:p>
      <w:pPr>
        <w:spacing w:after="120" w:before="60" w:line="320"/>
        <w:jc w:val="both"/>
      </w:pPr>
      <w:r>
        <w:rPr>
          <w:rFonts w:ascii="Times New Roman" w:cs="Times New Roman" w:eastAsia="Times New Roman" w:hAnsi="Times New Roman"/>
          <w:color w:val="1F2937"/>
          <w:sz w:val="22"/>
          <w:szCs w:val="22"/>
        </w:rPr>
        <w:t xml:space="preserve">Across the GPT family of models the per-head dimension head_dim has remained essentially constant: GPT-2 Small uses 12 heads of 64 dimensions, GPT-2 Large uses 25 heads of 64 dimensions, GPT-3 uses 96 heads of 128 dimensions, and many open models settle on 64 or 128 as well. The constancy is striking given that d_model varies by more than two orders of magnitude across these models. The literature offers two partial explanations. First, per-head dimensions much smaller than 64 produce attention that under-uses the available compute on modern GPUs, where matrix multiplications are most efficient at sizes that are multiples of 32 or 64. Second, the variance argument behind sqrt(head_dim) scaling assumes that the per-head dot product remains numerically well-behaved; with very small head_dim the variance becomes too small for softmax to produce meaningful distinctions. Whether the convergence of the field on head_dim ≈ 64 is fundamentally optimal or whether it is an empirical local minimum that has not been seriously challenged is an open architectural question.</w:t>
      </w:r>
    </w:p>
    <w:p>
      <w:pPr>
        <w:pStyle w:val="Heading3"/>
        <w:keepNext/>
        <w:keepLines/>
        <w:spacing w:after="80" w:before="200"/>
      </w:pPr>
      <w:r>
        <w:rPr>
          <w:rFonts w:ascii="Calibri" w:cs="Calibri" w:eastAsia="Calibri" w:hAnsi="Calibri"/>
          <w:b/>
          <w:bCs/>
          <w:color w:val="1F4D78"/>
          <w:sz w:val="24"/>
          <w:szCs w:val="24"/>
        </w:rPr>
        <w:t xml:space="preserve">10.3  Proposed Future Work</w:t>
      </w:r>
    </w:p>
    <w:p>
      <w:pPr>
        <w:spacing w:after="120" w:before="60" w:line="320"/>
        <w:jc w:val="both"/>
      </w:pPr>
      <w:r>
        <w:rPr>
          <w:rFonts w:ascii="Times New Roman" w:cs="Times New Roman" w:eastAsia="Times New Roman" w:hAnsi="Times New Roman"/>
          <w:color w:val="1F2937"/>
          <w:sz w:val="22"/>
          <w:szCs w:val="22"/>
        </w:rPr>
        <w:t xml:space="preserve">A natural empirical follow-up is a controlled head-dim ablation. Holding d_model fixed at a small value (say 256), train identical decoder-only Transformers with (num_heads, head_dim) ∈ {(4, 64), (8, 32), (16, 16), (32, 8)} on the same corpus and measure final perplexity on a held-out set. The hypothesis predicts a relatively flat loss surface across the middle configurations, with a sharp drop in performance at very small head_dim values where the variance argument breaks down. This experiment is recorded as a direction for empirical investigation once the training infrastructure of Stage 4 is available.</w:t>
      </w:r>
    </w:p>
    <w:p>
      <w:pPr>
        <w:pStyle w:val="Heading1"/>
        <w:keepNext/>
        <w:keepLines/>
        <w:spacing w:after="180" w:before="360"/>
      </w:pPr>
      <w:r>
        <w:rPr>
          <w:rFonts w:ascii="Calibri" w:cs="Calibri" w:eastAsia="Calibri" w:hAnsi="Calibri"/>
          <w:b/>
          <w:bCs/>
          <w:color w:val="0D3B6E"/>
          <w:sz w:val="32"/>
          <w:szCs w:val="32"/>
        </w:rPr>
        <w:t xml:space="preserve">11.  Discussion — Relationship to Prior Work</w:t>
      </w:r>
    </w:p>
    <w:p>
      <w:pPr>
        <w:spacing w:after="120" w:before="60" w:line="320"/>
        <w:jc w:val="both"/>
      </w:pPr>
      <w:r>
        <w:rPr>
          <w:rFonts w:ascii="Times New Roman" w:cs="Times New Roman" w:eastAsia="Times New Roman" w:hAnsi="Times New Roman"/>
          <w:color w:val="1F2937"/>
          <w:sz w:val="22"/>
          <w:szCs w:val="22"/>
        </w:rPr>
        <w:t xml:space="preserve">This section situates the weight-split formulation in relation to the primary papers in which the relevant techniques were introduced. Formal citations appear in the References.</w:t>
      </w:r>
    </w:p>
    <w:p>
      <w:p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Multi-head attention was introduced as Section 3.2.2 of "Attention Is All You Need"</w:t>
      </w:r>
      <w:r>
        <w:rPr>
          <w:rFonts w:ascii="Times New Roman" w:cs="Times New Roman" w:eastAsia="Times New Roman" w:hAnsi="Times New Roman"/>
          <w:b/>
          <w:bCs/>
          <w:color w:val="1F2937"/>
          <w:sz w:val="22"/>
          <w:szCs w:val="22"/>
        </w:rPr>
        <w:t xml:space="preserve"> [1]</w:t>
      </w:r>
      <w:r>
        <w:rPr>
          <w:rFonts w:ascii="Times New Roman" w:cs="Times New Roman" w:eastAsia="Times New Roman" w:hAnsi="Times New Roman"/>
          <w:b w:val="false"/>
          <w:bCs w:val="false"/>
          <w:i w:val="false"/>
          <w:iCs w:val="false"/>
          <w:color w:val="1F2937"/>
          <w:sz w:val="22"/>
          <w:szCs w:val="22"/>
        </w:rPr>
        <w:t xml:space="preserve">. The paper specifies the full computation as MultiHead(Q, K, V) = Concat(head_1, ..., head_h) · W_O, where each head_i is a scaled dot-product attention computation with its own learned projections W_Qi, W_Ki, W_Vi. The formulation in the paper is presented in the wrapper form — h independent heads concatenated and then projected through W_O. The weight-split form derived in this topic is mathematically identical but trades the conceptual clarity of separate per-head matrices for the runtime efficiency of consolidated matrix multiplications. Both forms appear in production code; the weight-split form is the universal choice for performance-critical implementations.</w:t>
      </w:r>
    </w:p>
    <w:p>
      <w:p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GPT-2</w:t>
      </w:r>
      <w:r>
        <w:rPr>
          <w:rFonts w:ascii="Times New Roman" w:cs="Times New Roman" w:eastAsia="Times New Roman" w:hAnsi="Times New Roman"/>
          <w:b/>
          <w:bCs/>
          <w:color w:val="1F2937"/>
          <w:sz w:val="22"/>
          <w:szCs w:val="22"/>
        </w:rPr>
        <w:t xml:space="preserve"> [2]</w:t>
      </w:r>
      <w:r>
        <w:rPr>
          <w:rFonts w:ascii="Times New Roman" w:cs="Times New Roman" w:eastAsia="Times New Roman" w:hAnsi="Times New Roman"/>
          <w:b w:val="false"/>
          <w:bCs w:val="false"/>
          <w:i w:val="false"/>
          <w:iCs w:val="false"/>
          <w:color w:val="1F2937"/>
          <w:sz w:val="22"/>
          <w:szCs w:val="22"/>
        </w:rPr>
        <w:t xml:space="preserve"> implements multi-head attention in exactly the weight-split form derived here, with d_model = 768, num_heads = 12, and head_dim = 64. The published implementation uses a Conv1D layer with kernel size 1 rather than nn.Linear for the Q/K/V projection, but Conv1D and Linear are mathematically equivalent in this case — Conv1D simply applies a transposed weight matrix. The architectural pattern is identical: one consolidated projection per role, .view to expose the head dimension, .transpose to lift heads in front of tokens, scaled dot-product attention with per-head sqrt(head_dim) scaling, recombination via .contiguous().view, and out_proj as the cross-head mixer.</w:t>
      </w:r>
    </w:p>
    <w:p>
      <w:p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PyTorch's tensor reshape and transpose operations</w:t>
      </w:r>
      <w:r>
        <w:rPr>
          <w:rFonts w:ascii="Times New Roman" w:cs="Times New Roman" w:eastAsia="Times New Roman" w:hAnsi="Times New Roman"/>
          <w:b/>
          <w:bCs/>
          <w:color w:val="1F2937"/>
          <w:sz w:val="22"/>
          <w:szCs w:val="22"/>
        </w:rPr>
        <w:t xml:space="preserve"> [3]</w:t>
      </w:r>
      <w:r>
        <w:rPr>
          <w:rFonts w:ascii="Times New Roman" w:cs="Times New Roman" w:eastAsia="Times New Roman" w:hAnsi="Times New Roman"/>
          <w:b w:val="false"/>
          <w:bCs w:val="false"/>
          <w:i w:val="false"/>
          <w:iCs w:val="false"/>
          <w:color w:val="1F2937"/>
          <w:sz w:val="22"/>
          <w:szCs w:val="22"/>
        </w:rPr>
        <w:t xml:space="preserve"> are the building blocks that make the weight-split form expressible. The .view operation is documented to be a zero-copy reshape requiring tensor contiguity; .transpose is documented to produce a non-contiguous view that shares memory with the source; .contiguous returns a contiguous copy. The interaction between these three — used in this exact pattern — is the standard idiom for any operation that needs to introduce or remove a dimension via shape manipulation rather than via a parameterized layer.</w:t>
      </w:r>
    </w:p>
    <w:p>
      <w:pPr>
        <w:pStyle w:val="Heading1"/>
        <w:keepNext/>
        <w:keepLines/>
        <w:spacing w:after="180" w:before="360"/>
      </w:pPr>
      <w:r>
        <w:rPr>
          <w:rFonts w:ascii="Calibri" w:cs="Calibri" w:eastAsia="Calibri" w:hAnsi="Calibri"/>
          <w:b/>
          <w:bCs/>
          <w:color w:val="0D3B6E"/>
          <w:sz w:val="32"/>
          <w:szCs w:val="32"/>
        </w:rPr>
        <w:t xml:space="preserve">12.  What Comes Next — Stage 2 Closes, Stage 3 Begins</w:t>
      </w:r>
    </w:p>
    <w:p>
      <w:pPr>
        <w:spacing w:after="120" w:before="60" w:line="320"/>
        <w:jc w:val="both"/>
      </w:pPr>
      <w:r>
        <w:rPr>
          <w:rFonts w:ascii="Times New Roman" w:cs="Times New Roman" w:eastAsia="Times New Roman" w:hAnsi="Times New Roman"/>
          <w:color w:val="1F2937"/>
          <w:sz w:val="22"/>
          <w:szCs w:val="22"/>
        </w:rPr>
        <w:t xml:space="preserve">This topic closes Stage 2. The MultiHeadAttention class developed here is the production attention module used in GPT-2 and is feature-complete: causal masking, dropout, batched processing, weight-split consolidation, and the output projection are all in place. The remaining 24 topics of the series build everything that surrounds it.</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Topic 13 — Bird's Eye View of LLM Architecture. </w:t>
      </w:r>
      <w:r>
        <w:rPr>
          <w:rFonts w:ascii="Times New Roman" w:cs="Times New Roman" w:eastAsia="Times New Roman" w:hAnsi="Times New Roman"/>
          <w:b w:val="false"/>
          <w:bCs w:val="false"/>
          <w:i w:val="false"/>
          <w:iCs w:val="false"/>
          <w:color w:val="1F2937"/>
          <w:sz w:val="22"/>
          <w:szCs w:val="22"/>
        </w:rPr>
        <w:t xml:space="preserve">Opens Stage 3 by surveying the full GPT-2 Transformer block: how MultiHeadAttention combines with Layer Normalization, GELU activation, the feed-forward network, and shortcut (residual) connections. The topic does not introduce new tensor operations but lays out the architectural skeleton that Topics 14 through 18 fill in.</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Topics 14–17 — LayerNorm, GELU, FFN, and Shortcuts. </w:t>
      </w:r>
      <w:r>
        <w:rPr>
          <w:rFonts w:ascii="Times New Roman" w:cs="Times New Roman" w:eastAsia="Times New Roman" w:hAnsi="Times New Roman"/>
          <w:b w:val="false"/>
          <w:bCs w:val="false"/>
          <w:i w:val="false"/>
          <w:iCs w:val="false"/>
          <w:color w:val="1F2937"/>
          <w:sz w:val="22"/>
          <w:szCs w:val="22"/>
        </w:rPr>
        <w:t xml:space="preserve">Each of these topics implements one specific component of the Transformer block from scratch with the same numerical-trace discipline used throughout Stage 2.</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Topic 18 — The Complete 124M-Parameter GPT-2. </w:t>
      </w:r>
      <w:r>
        <w:rPr>
          <w:rFonts w:ascii="Times New Roman" w:cs="Times New Roman" w:eastAsia="Times New Roman" w:hAnsi="Times New Roman"/>
          <w:b w:val="false"/>
          <w:bCs w:val="false"/>
          <w:i w:val="false"/>
          <w:iCs w:val="false"/>
          <w:color w:val="1F2937"/>
          <w:sz w:val="22"/>
          <w:szCs w:val="22"/>
        </w:rPr>
        <w:t xml:space="preserve">Assembles all components into the full GPT-2 Small model. By the end of Topic 18, every weight in the published GPT-2 implementation is accounted for. This is the central milestone of the series: a working language model built from scratch, line by line.</w:t>
      </w:r>
    </w:p>
    <w:p>
      <w:pPr>
        <w:spacing w:after="120" w:before="60" w:line="320"/>
        <w:jc w:val="both"/>
      </w:pPr>
      <w:r>
        <w:rPr>
          <w:rFonts w:ascii="Times New Roman" w:cs="Times New Roman" w:eastAsia="Times New Roman" w:hAnsi="Times New Roman"/>
          <w:color w:val="1F2937"/>
          <w:sz w:val="22"/>
          <w:szCs w:val="22"/>
        </w:rPr>
        <w:t xml:space="preserve">Stages 4 and 5 then introduce the pretraining loop and the instruction-tuning stage. By the end of Stage 5 the model is not just architecturally complete but also trainable end-to-end on real data, closing the full 36-topic arc.</w:t>
      </w:r>
    </w:p>
    <w:p>
      <w:pPr>
        <w:pStyle w:val="Heading1"/>
        <w:keepNext/>
        <w:keepLines/>
        <w:pageBreakBefore/>
        <w:spacing w:after="180" w:before="360"/>
      </w:pPr>
      <w:r>
        <w:rPr>
          <w:rFonts w:ascii="Calibri" w:cs="Calibri" w:eastAsia="Calibri" w:hAnsi="Calibri"/>
          <w:b/>
          <w:bCs/>
          <w:color w:val="0D3B6E"/>
          <w:sz w:val="32"/>
          <w:szCs w:val="32"/>
        </w:rPr>
        <w:t xml:space="preserve">References</w:t>
      </w:r>
    </w:p>
    <w:p>
      <w:pPr>
        <w:spacing w:after="120" w:before="60" w:line="320"/>
        <w:jc w:val="both"/>
      </w:pPr>
      <w:r>
        <w:rPr>
          <w:rFonts w:ascii="Times New Roman" w:cs="Times New Roman" w:eastAsia="Times New Roman" w:hAnsi="Times New Roman"/>
          <w:color w:val="1F2937"/>
          <w:sz w:val="22"/>
          <w:szCs w:val="22"/>
        </w:rPr>
        <w:t xml:space="preserve">References are listed in IEEE numeric format. Each reference is cited inline in the body of this document using the corresponding number in square brackets.</w:t>
      </w:r>
    </w:p>
    <w:p>
      <w:pPr>
        <w:spacing w:after="120" w:before="120" w:line="320"/>
        <w:jc w:val="both"/>
      </w:pPr>
      <w:r>
        <w:rPr>
          <w:rFonts w:ascii="Times New Roman" w:cs="Times New Roman" w:eastAsia="Times New Roman" w:hAnsi="Times New Roman"/>
          <w:b/>
          <w:bCs/>
          <w:color w:val="1F2937"/>
          <w:sz w:val="22"/>
          <w:szCs w:val="22"/>
        </w:rPr>
        <w:t xml:space="preserve">[1]  </w:t>
      </w:r>
      <w:r>
        <w:rPr>
          <w:rFonts w:ascii="Times New Roman" w:cs="Times New Roman" w:eastAsia="Times New Roman" w:hAnsi="Times New Roman"/>
          <w:color w:val="1F2937"/>
          <w:sz w:val="22"/>
          <w:szCs w:val="22"/>
        </w:rPr>
        <w:t xml:space="preserve">A. Vaswani, N. Shazeer, N. Parmar, J. Uszkoreit, L. Jones, A. N. Gomez, Ł. Kaiser, and I. Polosukhin</w:t>
      </w:r>
      <w:r>
        <w:rPr>
          <w:rFonts w:ascii="Times New Roman" w:cs="Times New Roman" w:eastAsia="Times New Roman" w:hAnsi="Times New Roman"/>
          <w:i/>
          <w:iCs/>
          <w:color w:val="1F2937"/>
          <w:sz w:val="22"/>
          <w:szCs w:val="22"/>
        </w:rPr>
        <w:t xml:space="preserve">, "Attention Is All You Need (Section 3.2.2 — Multi-Head Attention),"</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i/>
          <w:iCs/>
          <w:color w:val="1F2937"/>
          <w:sz w:val="22"/>
          <w:szCs w:val="22"/>
        </w:rPr>
        <w:t xml:space="preserve">Advances in Neural Information Processing Systems (NeurIPS)</w:t>
      </w:r>
      <w:r>
        <w:rPr>
          <w:rFonts w:ascii="Times New Roman" w:cs="Times New Roman" w:eastAsia="Times New Roman" w:hAnsi="Times New Roman"/>
          <w:color w:val="1F2937"/>
          <w:sz w:val="22"/>
          <w:szCs w:val="22"/>
        </w:rPr>
        <w:t xml:space="preserve">, 2017, pp. 5998–6008.</w:t>
      </w:r>
    </w:p>
    <w:p>
      <w:pPr>
        <w:spacing w:after="120" w:before="120" w:line="320"/>
        <w:jc w:val="both"/>
      </w:pPr>
      <w:r>
        <w:rPr>
          <w:rFonts w:ascii="Times New Roman" w:cs="Times New Roman" w:eastAsia="Times New Roman" w:hAnsi="Times New Roman"/>
          <w:b/>
          <w:bCs/>
          <w:color w:val="1F2937"/>
          <w:sz w:val="22"/>
          <w:szCs w:val="22"/>
        </w:rPr>
        <w:t xml:space="preserve">[2]  </w:t>
      </w:r>
      <w:r>
        <w:rPr>
          <w:rFonts w:ascii="Times New Roman" w:cs="Times New Roman" w:eastAsia="Times New Roman" w:hAnsi="Times New Roman"/>
          <w:color w:val="1F2937"/>
          <w:sz w:val="22"/>
          <w:szCs w:val="22"/>
        </w:rPr>
        <w:t xml:space="preserve">A. Radford, J. Wu, R. Child, D. Luan, D. Amodei, and I. Sutskever</w:t>
      </w:r>
      <w:r>
        <w:rPr>
          <w:rFonts w:ascii="Times New Roman" w:cs="Times New Roman" w:eastAsia="Times New Roman" w:hAnsi="Times New Roman"/>
          <w:i/>
          <w:iCs/>
          <w:color w:val="1F2937"/>
          <w:sz w:val="22"/>
          <w:szCs w:val="22"/>
        </w:rPr>
        <w:t xml:space="preserve">, "Language Models are Unsupervised Multitask Learners (GPT-2),"</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i/>
          <w:iCs/>
          <w:color w:val="1F2937"/>
          <w:sz w:val="22"/>
          <w:szCs w:val="22"/>
        </w:rPr>
        <w:t xml:space="preserve">OpenAI Technical Report</w:t>
      </w:r>
      <w:r>
        <w:rPr>
          <w:rFonts w:ascii="Times New Roman" w:cs="Times New Roman" w:eastAsia="Times New Roman" w:hAnsi="Times New Roman"/>
          <w:color w:val="1F2937"/>
          <w:sz w:val="22"/>
          <w:szCs w:val="22"/>
        </w:rPr>
        <w:t xml:space="preserve">, 2019.</w:t>
      </w:r>
    </w:p>
    <w:p>
      <w:pPr>
        <w:spacing w:after="120" w:before="120" w:line="320"/>
        <w:jc w:val="both"/>
      </w:pPr>
      <w:r>
        <w:rPr>
          <w:rFonts w:ascii="Times New Roman" w:cs="Times New Roman" w:eastAsia="Times New Roman" w:hAnsi="Times New Roman"/>
          <w:b/>
          <w:bCs/>
          <w:color w:val="1F2937"/>
          <w:sz w:val="22"/>
          <w:szCs w:val="22"/>
        </w:rPr>
        <w:t xml:space="preserve">[3]  </w:t>
      </w:r>
      <w:r>
        <w:rPr>
          <w:rFonts w:ascii="Times New Roman" w:cs="Times New Roman" w:eastAsia="Times New Roman" w:hAnsi="Times New Roman"/>
          <w:color w:val="1F2937"/>
          <w:sz w:val="22"/>
          <w:szCs w:val="22"/>
        </w:rPr>
        <w:t xml:space="preserve">A. Paszke, S. Gross, F. Massa, A. Lerer, J. Bradbury, G. Chanan, T. Killeen, Z. Lin, N. Gimelshein, L. Antiga, A. Desmaison, A. Köpf, E. Yang, Z. DeVito, M. Raison, A. Tejani, S. Chilamkurthy, B. Steiner, L. Fang, J. Bai, and S. Chintala</w:t>
      </w:r>
      <w:r>
        <w:rPr>
          <w:rFonts w:ascii="Times New Roman" w:cs="Times New Roman" w:eastAsia="Times New Roman" w:hAnsi="Times New Roman"/>
          <w:i/>
          <w:iCs/>
          <w:color w:val="1F2937"/>
          <w:sz w:val="22"/>
          <w:szCs w:val="22"/>
        </w:rPr>
        <w:t xml:space="preserve">, "PyTorch: An Imperative Style, High-Performance Deep Learning Library,"</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i/>
          <w:iCs/>
          <w:color w:val="1F2937"/>
          <w:sz w:val="22"/>
          <w:szCs w:val="22"/>
        </w:rPr>
        <w:t xml:space="preserve">Advances in Neural Information Processing Systems (NeurIPS)</w:t>
      </w:r>
      <w:r>
        <w:rPr>
          <w:rFonts w:ascii="Times New Roman" w:cs="Times New Roman" w:eastAsia="Times New Roman" w:hAnsi="Times New Roman"/>
          <w:color w:val="1F2937"/>
          <w:sz w:val="22"/>
          <w:szCs w:val="22"/>
        </w:rPr>
        <w:t xml:space="preserve">, 2019, pp. 8024–8035.</w:t>
      </w:r>
    </w:p>
    <w:p>
      <w:pPr>
        <w:spacing w:after="120" w:before="120" w:line="320"/>
        <w:jc w:val="both"/>
      </w:pPr>
      <w:r>
        <w:rPr>
          <w:rFonts w:ascii="Times New Roman" w:cs="Times New Roman" w:eastAsia="Times New Roman" w:hAnsi="Times New Roman"/>
          <w:b/>
          <w:bCs/>
          <w:color w:val="1F2937"/>
          <w:sz w:val="22"/>
          <w:szCs w:val="22"/>
        </w:rPr>
        <w:t xml:space="preserve">[4]  </w:t>
      </w:r>
      <w:r>
        <w:rPr>
          <w:rFonts w:ascii="Times New Roman" w:cs="Times New Roman" w:eastAsia="Times New Roman" w:hAnsi="Times New Roman"/>
          <w:color w:val="1F2937"/>
          <w:sz w:val="22"/>
          <w:szCs w:val="22"/>
        </w:rPr>
        <w:t xml:space="preserve">T. B. Brown, B. Mann, N. Ryder, M. Subbiah, J. Kaplan, P. Dhariwal, A. Neelakantan, P. Shyam, G. Sastry, A. Askell, S. Agarwal, A. Herbert-Voss, G. Krueger, T. Henighan, R. Child, A. Ramesh, D. M. Ziegler, J. Wu, C. Winter, C. Hesse, M. Chen, E. Sigler, M. Litwin, S. Gray, B. Chess, J. Clark, C. Berner, S. McCandlish, A. Radford, I. Sutskever, and D. Amodei</w:t>
      </w:r>
      <w:r>
        <w:rPr>
          <w:rFonts w:ascii="Times New Roman" w:cs="Times New Roman" w:eastAsia="Times New Roman" w:hAnsi="Times New Roman"/>
          <w:i/>
          <w:iCs/>
          <w:color w:val="1F2937"/>
          <w:sz w:val="22"/>
          <w:szCs w:val="22"/>
        </w:rPr>
        <w:t xml:space="preserve">, "Language Models are Few-Shot Learners (GPT-3),"</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i/>
          <w:iCs/>
          <w:color w:val="1F2937"/>
          <w:sz w:val="22"/>
          <w:szCs w:val="22"/>
        </w:rPr>
        <w:t xml:space="preserve">Advances in Neural Information Processing Systems (NeurIPS)</w:t>
      </w:r>
      <w:r>
        <w:rPr>
          <w:rFonts w:ascii="Times New Roman" w:cs="Times New Roman" w:eastAsia="Times New Roman" w:hAnsi="Times New Roman"/>
          <w:color w:val="1F2937"/>
          <w:sz w:val="22"/>
          <w:szCs w:val="22"/>
        </w:rPr>
        <w:t xml:space="preserve">, 2020, pp. 1877–1901.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360"/>
      </w:tabs>
    </w:pPr>
    <w:r>
      <w:rPr>
        <w:rFonts w:ascii="Times New Roman" w:cs="Times New Roman" w:eastAsia="Times New Roman" w:hAnsi="Times New Roman"/>
        <w:i/>
        <w:iCs/>
        <w:color w:val="6B7280"/>
        <w:sz w:val="18"/>
        <w:szCs w:val="18"/>
      </w:rPr>
      <w:t xml:space="preserve">Shiva Kiran Dadishetty  ·  Version 1.0</w:t>
    </w:r>
    <w:r>
      <w:rPr>
        <w:rFonts w:ascii="Times New Roman" w:cs="Times New Roman" w:eastAsia="Times New Roman" w:hAnsi="Times New Roman"/>
        <w:i/>
        <w:iCs/>
        <w:color w:val="6B7280"/>
        <w:sz w:val="18"/>
        <w:szCs w:val="18"/>
      </w:rPr>
      <w:t xml:space="preserve">	Page </w:t>
    </w:r>
    <w:r>
      <w:rPr>
        <w:rFonts w:ascii="Times New Roman" w:cs="Times New Roman" w:eastAsia="Times New Roman" w:hAnsi="Times New Roman"/>
        <w:b/>
        <w:bCs/>
        <w:i/>
        <w:iCs/>
        <w:color w:val="6B7280"/>
        <w:sz w:val="18"/>
        <w:szCs w:val="18"/>
      </w:rPr>
      <w:fldChar w:fldCharType="begin"/>
      <w:instrText xml:space="preserve">PAGE</w:instrText>
      <w:fldChar w:fldCharType="separate"/>
      <w:fldChar w:fldCharType="end"/>
    </w:r>
    <w:r>
      <w:rPr>
        <w:rFonts w:ascii="Times New Roman" w:cs="Times New Roman" w:eastAsia="Times New Roman" w:hAnsi="Times New Roman"/>
        <w:i/>
        <w:iCs/>
        <w:color w:val="6B7280"/>
        <w:sz w:val="18"/>
        <w:szCs w:val="18"/>
      </w:rPr>
      <w:t xml:space="preserve"> of </w:t>
    </w:r>
    <w:r>
      <w:rPr>
        <w:rFonts w:ascii="Times New Roman" w:cs="Times New Roman" w:eastAsia="Times New Roman" w:hAnsi="Times New Roman"/>
        <w:i/>
        <w:iCs/>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tabs>
        <w:tab w:val="right" w:pos="9360"/>
      </w:tabs>
    </w:pPr>
    <w:r>
      <w:rPr>
        <w:rFonts w:ascii="Times New Roman" w:cs="Times New Roman" w:eastAsia="Times New Roman" w:hAnsi="Times New Roman"/>
        <w:i/>
        <w:iCs/>
        <w:color w:val="6B7280"/>
        <w:sz w:val="18"/>
        <w:szCs w:val="18"/>
      </w:rPr>
      <w:t xml:space="preserve">Topic 12  —  Multi-Head Attention (Weight-Split)</w:t>
    </w:r>
    <w:r>
      <w:rPr>
        <w:rFonts w:ascii="Times New Roman" w:cs="Times New Roman" w:eastAsia="Times New Roman" w:hAnsi="Times New Roman"/>
        <w:i/>
        <w:iCs/>
        <w:color w:val="6B7280"/>
        <w:sz w:val="18"/>
        <w:szCs w:val="18"/>
      </w:rPr>
      <w:t xml:space="preserve">	Building LLMs from Scratch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D3B6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D3B6E"/>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yrgyit0m0n7weu7hatsh" Type="http://schemas.openxmlformats.org/officeDocument/2006/relationships/hyperlink" Target="https://github.com/shivakiran-ai/llm-from-scratch" TargetMode="External"/><Relationship Id="rId9" Type="http://schemas.openxmlformats.org/officeDocument/2006/relationships/image" Target="media/49549338f446260ce0236a1420b6f3ed1958968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2026-05-09T09:19:23.172Z</dcterms:created>
  <dcterms:modified xsi:type="dcterms:W3CDTF">2026-05-09T09:19:23.188Z</dcterms:modified>
</cp:coreProperties>
</file>

<file path=docProps/custom.xml><?xml version="1.0" encoding="utf-8"?>
<Properties xmlns="http://schemas.openxmlformats.org/officeDocument/2006/custom-properties" xmlns:vt="http://schemas.openxmlformats.org/officeDocument/2006/docPropsVTypes"/>
</file>