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Calibri" w:cs="Calibri" w:eastAsia="Calibri" w:hAnsi="Calibri"/>
          <w:b/>
          <w:bCs/>
          <w:color w:val="0D3B6E"/>
          <w:sz w:val="28"/>
          <w:szCs w:val="28"/>
        </w:rPr>
        <w:t xml:space="preserve">BUILDING LLMs FROM SCRATCH</w:t>
      </w:r>
    </w:p>
    <w:p>
      <w:pPr>
        <w:spacing w:after="400" w:before="0"/>
        <w:jc w:val="center"/>
      </w:pPr>
      <w:r>
        <w:rPr>
          <w:rFonts w:ascii="Times New Roman" w:cs="Times New Roman" w:eastAsia="Times New Roman" w:hAnsi="Times New Roman"/>
          <w:i/>
          <w:iCs/>
          <w:color w:val="6B7280"/>
          <w:sz w:val="20"/>
          <w:szCs w:val="20"/>
        </w:rPr>
        <w:t xml:space="preserve">Technical Report   ·   Stage 2: The Attention Mechanism</w:t>
      </w:r>
    </w:p>
    <w:p>
      <w:pPr>
        <w:spacing w:after="80" w:before="400"/>
        <w:jc w:val="center"/>
      </w:pPr>
      <w:r>
        <w:rPr>
          <w:rFonts w:ascii="Calibri" w:cs="Calibri" w:eastAsia="Calibri" w:hAnsi="Calibri"/>
          <w:b/>
          <w:bCs/>
          <w:color w:val="2E75B6"/>
          <w:sz w:val="28"/>
          <w:szCs w:val="28"/>
        </w:rPr>
        <w:t xml:space="preserve">Topic 9</w:t>
      </w:r>
    </w:p>
    <w:p>
      <w:pPr>
        <w:spacing w:after="80" w:before="0"/>
        <w:jc w:val="center"/>
      </w:pPr>
      <w:r>
        <w:rPr>
          <w:rFonts w:ascii="Calibri" w:cs="Calibri" w:eastAsia="Calibri" w:hAnsi="Calibri"/>
          <w:b/>
          <w:bCs/>
          <w:color w:val="0D3B6E"/>
          <w:sz w:val="44"/>
          <w:szCs w:val="44"/>
        </w:rPr>
        <w:t xml:space="preserve">Self-Attention with Trainable Weights</w:t>
      </w:r>
    </w:p>
    <w:p>
      <w:pPr>
        <w:spacing w:after="300" w:before="0"/>
        <w:jc w:val="center"/>
      </w:pPr>
      <w:r>
        <w:rPr>
          <w:rFonts w:ascii="Times New Roman" w:cs="Times New Roman" w:eastAsia="Times New Roman" w:hAnsi="Times New Roman"/>
          <w:i/>
          <w:iCs/>
          <w:color w:val="6B7280"/>
          <w:sz w:val="22"/>
          <w:szCs w:val="22"/>
        </w:rPr>
        <w:t xml:space="preserve">Scaled dot-product attention — the mechanism at the core of every modern large language model</w:t>
      </w:r>
    </w:p>
    <w:p>
      <w:pPr>
        <w:spacing w:after="240" w:before="120"/>
        <w:jc w:val="center"/>
      </w:pPr>
      <w:r>
        <w:rPr>
          <w:rFonts w:ascii="Calibri" w:cs="Calibri" w:eastAsia="Calibri" w:hAnsi="Calibri"/>
          <w:color w:val="F59E0B"/>
          <w:sz w:val="24"/>
          <w:szCs w:val="24"/>
        </w:rPr>
        <w:t xml:space="preserve">━━━━━━━━━━━━━━</w:t>
      </w:r>
    </w:p>
    <w:p>
      <w:pPr>
        <w:spacing w:after="40" w:before="0"/>
        <w:jc w:val="center"/>
      </w:pPr>
      <w:r>
        <w:rPr>
          <w:rFonts w:ascii="Times New Roman" w:cs="Times New Roman" w:eastAsia="Times New Roman" w:hAnsi="Times New Roman"/>
          <w:b/>
          <w:bCs/>
          <w:color w:val="1F2937"/>
          <w:sz w:val="24"/>
          <w:szCs w:val="24"/>
        </w:rPr>
        <w:t xml:space="preserve">Shiva Kiran Dadishetty</w:t>
      </w:r>
    </w:p>
    <w:p>
      <w:pPr>
        <w:spacing w:after="40" w:before="0"/>
        <w:jc w:val="center"/>
      </w:pPr>
      <w:r>
        <w:rPr>
          <w:rFonts w:ascii="Times New Roman" w:cs="Times New Roman" w:eastAsia="Times New Roman" w:hAnsi="Times New Roman"/>
          <w:color w:val="6B7280"/>
          <w:sz w:val="20"/>
          <w:szCs w:val="20"/>
        </w:rPr>
        <w:t xml:space="preserve">Independent Research · Texas, USA</w:t>
      </w:r>
    </w:p>
    <w:p>
      <w:pPr>
        <w:spacing w:after="160" w:before="0"/>
        <w:jc w:val="center"/>
      </w:pPr>
      <w:hyperlink w:history="1" r:id="rIdvibcg_mu3dyfy2cnchpvh">
        <w:r>
          <w:rPr>
            <w:rFonts w:ascii="Times New Roman" w:cs="Times New Roman" w:eastAsia="Times New Roman" w:hAnsi="Times New Roman"/>
            <w:i/>
            <w:iCs/>
            <w:color w:val="1A56A0"/>
            <w:sz w:val="20"/>
            <w:szCs w:val="20"/>
            <w:u w:val="single" w:color="1A56A0"/>
          </w:rPr>
          <w:t xml:space="preserve">github.com/shivakiran-ai/llm-from-scratch</w:t>
        </w:r>
      </w:hyperlink>
    </w:p>
    <w:p>
      <w:pPr>
        <w:spacing w:after="160" w:before="0"/>
        <w:jc w:val="center"/>
      </w:pPr>
      <w:r>
        <w:rPr>
          <w:rFonts w:ascii="Times New Roman" w:cs="Times New Roman" w:eastAsia="Times New Roman" w:hAnsi="Times New Roman"/>
          <w:color w:val="1F2937"/>
          <w:sz w:val="20"/>
          <w:szCs w:val="20"/>
        </w:rPr>
        <w:t xml:space="preserve">April 2026   ·   Version 1.0</w:t>
      </w:r>
    </w:p>
    <w:p>
      <w:pPr>
        <w:spacing w:after="240" w:before="120"/>
        <w:jc w:val="center"/>
      </w:pPr>
      <w:r>
        <w:rPr>
          <w:rFonts w:ascii="Calibri" w:cs="Calibri" w:eastAsia="Calibri" w:hAnsi="Calibri"/>
          <w:color w:val="F59E0B"/>
          <w:sz w:val="24"/>
          <w:szCs w:val="24"/>
        </w:rPr>
        <w:t xml:space="preserve">━━━━━━━━━━━━━━</w:t>
      </w:r>
    </w:p>
    <w:p>
      <w:pPr>
        <w:spacing w:after="120" w:before="80"/>
        <w:jc w:val="center"/>
      </w:pPr>
      <w:r>
        <w:rPr>
          <w:rFonts w:ascii="Calibri" w:cs="Calibri" w:eastAsia="Calibri" w:hAnsi="Calibri"/>
          <w:b/>
          <w:bCs/>
          <w:color w:val="0D3B6E"/>
          <w:sz w:val="26"/>
          <w:szCs w:val="26"/>
        </w:rPr>
        <w:t xml:space="preserve">Abstract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topic implements scaled dot-product attention from first principles — the trainable self-attention mechanism introduced by Vaswani et al. (2017) and used as the architectural core of GPT-2, GPT-3, and every modern large language model. Building on the simplified mechanism of Topic 8, the implementation introduces three trainable projection matrices W_Q, W_K, and W_V that map each input embedding into separate query, key, and value subspaces. The full computation is traced numerically on the same six-token toy sentence used throughout the series — "Your journey starts with one step" — with d_in = 3 and d_out = 2; every intermediate tensor is reported to four decimal places and verified against PyTorch outputs. Two independent justifications for the 1/sqrt(d_k) scaling factor are derived: softmax saturation under large input magnitudes, and dot-product variance growth with key dimensionality. Two equivalent class implementations are then presented — one using nn.Parameter for pedagogical clarity, the other using nn.Linear for production-quality Kaiming initialization. The topic closes by noting that the three weight matrices contain the entire learned intelligence of self-attention, and that all subsequent extensions in Stage 2 — causal masking, multi-head parallelism — build on this exact computation without modifying it.</w:t>
      </w:r>
    </w:p>
    <w:p>
      <w:pPr>
        <w:spacing w:after="80" w:before="120" w:line="320"/>
        <w:jc w:val="both"/>
      </w:pPr>
      <w:r>
        <w:rPr>
          <w:rFonts w:ascii="Times New Roman" w:cs="Times New Roman" w:eastAsia="Times New Roman" w:hAnsi="Times New Roman"/>
          <w:b/>
          <w:bCs/>
          <w:color w:val="1F2937"/>
          <w:sz w:val="22"/>
          <w:szCs w:val="22"/>
        </w:rPr>
        <w:t xml:space="preserve">Keywords:  </w:t>
      </w:r>
      <w:r>
        <w:rPr>
          <w:rFonts w:ascii="Times New Roman" w:cs="Times New Roman" w:eastAsia="Times New Roman" w:hAnsi="Times New Roman"/>
          <w:i/>
          <w:iCs/>
          <w:color w:val="1F2937"/>
          <w:sz w:val="22"/>
          <w:szCs w:val="22"/>
        </w:rPr>
        <w:t xml:space="preserve">self-attention · scaled dot-product · query · key · value · trainable projections · softmax stability · Kaiming initialization · GPT-2</w:t>
      </w:r>
    </w:p>
    <w:p>
      <w:pPr>
        <w:sectPr>
          <w:pgSz w:w="12240" w:h="15840" w:orient="portrait"/>
          <w:pgMar w:top="1440" w:right="1440" w:bottom="1440" w:left="1440" w:header="708" w:footer="708" w:gutter="0"/>
          <w:pgNumType/>
          <w:docGrid w:linePitch="360"/>
        </w:sectPr>
      </w:pPr>
    </w:p>
    <w:p>
      <w:pPr>
        <w:spacing w:after="60" w:before="200"/>
      </w:pPr>
      <w:r>
        <w:rPr>
          <w:rFonts w:ascii="Calibri" w:cs="Calibri" w:eastAsia="Calibri" w:hAnsi="Calibri"/>
          <w:b/>
          <w:bCs/>
          <w:color w:val="0D3B6E"/>
          <w:sz w:val="52"/>
          <w:szCs w:val="52"/>
        </w:rPr>
        <w:t xml:space="preserve">Contents</w:t>
      </w:r>
    </w:p>
    <w:p>
      <w:pPr>
        <w:pBdr>
          <w:bottom w:val="single" w:color="F59E0B" w:sz="12" w:space="6"/>
        </w:pBdr>
        <w:spacing w:after="240" w:before="60"/>
      </w:pPr>
      <w:r>
        <w:rPr>
          <w:sz w:val="2"/>
          <w:szCs w:val="2"/>
        </w:rPr>
        <w:t xml:space="preserve"/>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  What This Topic Is — and Why It Is the Most Important</w:t>
      </w:r>
      <w:r>
        <w:rPr>
          <w:rFonts w:ascii="Times New Roman" w:cs="Times New Roman" w:eastAsia="Times New Roman" w:hAnsi="Times New Roman"/>
          <w:color w:val="1F2937"/>
          <w:sz w:val="22"/>
          <w:szCs w:val="22"/>
        </w:rPr>
        <w:t xml:space="preserve">	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2.  The Core Idea — Why Three Separate Matrices</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3.  The Weight Matrices — Initialization and Dimensions</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4.  Step 1 — Computing the Query, Key, and Value Vectors</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4.1  Single Token Projection — The Query for 'journey'</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4.2  All Tokens Projected — Queries, Keys, Values Matrices</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5.  Step 2 — Computing Attention Scores</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5.1  Computing Attention Scores for Query 'journey'</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5.2  Full 6×6 Attention Score Matrix</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6.  Step 3 — Scaling and Softmax to Get Attention Weights</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6.1  Why Scale by sqrt(d_k)? — Two Reasons</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6.2  Computing Attention Weights for the Query</w:t>
      </w:r>
      <w:r>
        <w:rPr>
          <w:rFonts w:ascii="Times New Roman" w:cs="Times New Roman" w:eastAsia="Times New Roman" w:hAnsi="Times New Roman"/>
          <w:color w:val="1F2937"/>
          <w:sz w:val="22"/>
          <w:szCs w:val="22"/>
        </w:rPr>
        <w:t xml:space="preserve">	9</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7.  Step 4 — Computing the Context Vector from Value Vectors</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8.  The Complete Pipeline — All Shapes Traced</w:t>
      </w:r>
      <w:r>
        <w:rPr>
          <w:rFonts w:ascii="Times New Roman" w:cs="Times New Roman" w:eastAsia="Times New Roman" w:hAnsi="Times New Roman"/>
          <w:color w:val="1F2937"/>
          <w:sz w:val="22"/>
          <w:szCs w:val="22"/>
        </w:rPr>
        <w:t xml:space="preserve">	11</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9.  SelfAttention_v1 — The Compact Class Implementation</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10.  SelfAttention_v2 — Using nn.Linear for Better Initialization</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11.  Complete Shape Summary — Every Tensor Tracked</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12.  Key Observations</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13.  Experiments &amp; Open Questions</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13.1  Hand-Verified Attention Score for q(2) · k(2)</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13.2  Open Question — Why d_q = d_k but Not Necessarily d_v</w:t>
      </w:r>
      <w:r>
        <w:rPr>
          <w:rFonts w:ascii="Times New Roman" w:cs="Times New Roman" w:eastAsia="Times New Roman" w:hAnsi="Times New Roman"/>
          <w:color w:val="1F2937"/>
          <w:sz w:val="22"/>
          <w:szCs w:val="22"/>
        </w:rPr>
        <w:t xml:space="preserve">	17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13.3  Proposed Future Work</w:t>
      </w:r>
      <w:r>
        <w:rPr>
          <w:rFonts w:ascii="Times New Roman" w:cs="Times New Roman" w:eastAsia="Times New Roman" w:hAnsi="Times New Roman"/>
          <w:color w:val="1F2937"/>
          <w:sz w:val="22"/>
          <w:szCs w:val="22"/>
        </w:rPr>
        <w:t xml:space="preserve">	17</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14.  Discussion — Relationship to Prior Work</w:t>
      </w:r>
      <w:r>
        <w:rPr>
          <w:rFonts w:ascii="Times New Roman" w:cs="Times New Roman" w:eastAsia="Times New Roman" w:hAnsi="Times New Roman"/>
          <w:color w:val="1F2937"/>
          <w:sz w:val="22"/>
          <w:szCs w:val="22"/>
        </w:rPr>
        <w:t xml:space="preserve">	17</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15.  What Comes Next</w:t>
      </w:r>
      <w:r>
        <w:rPr>
          <w:rFonts w:ascii="Times New Roman" w:cs="Times New Roman" w:eastAsia="Times New Roman" w:hAnsi="Times New Roman"/>
          <w:color w:val="1F2937"/>
          <w:sz w:val="22"/>
          <w:szCs w:val="22"/>
        </w:rPr>
        <w:t xml:space="preserve">	18</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       References</w:t>
      </w:r>
      <w:r>
        <w:rPr>
          <w:rFonts w:ascii="Times New Roman" w:cs="Times New Roman" w:eastAsia="Times New Roman" w:hAnsi="Times New Roman"/>
          <w:color w:val="1F2937"/>
          <w:sz w:val="22"/>
          <w:szCs w:val="22"/>
        </w:rPr>
        <w:t xml:space="preserve">	19</w:t>
      </w:r>
    </w:p>
    <w:p>
      <w:pPr>
        <w:sectPr>
          <w:pgSz w:w="12240" w:h="15840" w:orient="portrait"/>
          <w:pgMar w:top="1440" w:right="1440" w:bottom="1440" w:left="1440" w:header="708" w:footer="708" w:gutter="0"/>
          <w:pgNumType/>
          <w:docGrid w:linePitch="360"/>
        </w:sectPr>
      </w:pPr>
    </w:p>
    <w:p>
      <w:pPr>
        <w:spacing w:after="120" w:before="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Author</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Shiva Kiran Dadishetty</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Series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Building LLMs from Scratch</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Topic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9 of 36  —  Stage 2: The Attention Mechanism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Document Type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Implementation &amp; Derivation — First Trainable 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Also Known As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Scaled Dot-Product 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Used In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Original Transformer · GPT-2 · GPT-3 · All modern LLMs</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Core Question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How do three trainable matrices W_Q, W_K, W_V transform a fixed mathematical operation into a learning system?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Builds 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Topic 8 — Simplified Self-Attention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Dimensions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d_in = 3,  d_out = 2  (illustrative; in GPT-2 d_in = d_out = 768)</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Version / Date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Version 1.0  ·  April 2026</w:t>
            </w:r>
          </w:p>
        </w:tc>
      </w:tr>
    </w:tbl>
    <w:p>
      <w:pPr>
        <w:spacing w:after="120" w:before="240"/>
      </w:pPr>
      <w:r>
        <w:rPr>
          <w:sz w:val="2"/>
          <w:szCs w:val="2"/>
        </w:rPr>
        <w:t xml:space="preserve"/>
      </w:r>
    </w:p>
    <w:p>
      <w:pPr>
        <w:pStyle w:val="Heading1"/>
        <w:keepNext/>
        <w:keepLines/>
        <w:spacing w:after="180" w:before="360"/>
      </w:pPr>
      <w:r>
        <w:rPr>
          <w:rFonts w:ascii="Calibri" w:cs="Calibri" w:eastAsia="Calibri" w:hAnsi="Calibri"/>
          <w:b/>
          <w:bCs/>
          <w:color w:val="0D3B6E"/>
          <w:sz w:val="32"/>
          <w:szCs w:val="32"/>
        </w:rPr>
        <w:t xml:space="preserve">1.  What This Topic Is — and Why It Is the Most Important</w:t>
      </w:r>
    </w:p>
    <w:p>
      <w:pPr>
        <w:spacing w:after="120" w:before="60" w:line="320"/>
        <w:jc w:val="both"/>
      </w:pPr>
      <w:r>
        <w:rPr>
          <w:rFonts w:ascii="Times New Roman" w:cs="Times New Roman" w:eastAsia="Times New Roman" w:hAnsi="Times New Roman"/>
          <w:color w:val="1F2937"/>
          <w:sz w:val="22"/>
          <w:szCs w:val="22"/>
        </w:rPr>
        <w:t xml:space="preserve">Topic 8 implemented simplified self-attention without trainable weights. The mechanism worked but was fundamentally limited: it could only attend strongly to tokens that were already close in the raw embedding space, and it could not learn context-specific relationships such as the 'warm/mat' coreference that motivated the limitations section of that topic. Topic 9 resolves this restriction by introducing three trainable weight matrices that the model adjusts during training.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is the self-attention mechanism used in the original Transformer architecture</w:t>
      </w:r>
      <w:r>
        <w:rPr>
          <w:rFonts w:ascii="Times New Roman" w:cs="Times New Roman" w:eastAsia="Times New Roman" w:hAnsi="Times New Roman"/>
          <w:b/>
          <w:bCs/>
          <w:color w:val="1F2937"/>
          <w:sz w:val="22"/>
          <w:szCs w:val="22"/>
        </w:rPr>
        <w:t xml:space="preserve"> [1]</w:t>
      </w:r>
      <w:r>
        <w:rPr>
          <w:rFonts w:ascii="Times New Roman" w:cs="Times New Roman" w:eastAsia="Times New Roman" w:hAnsi="Times New Roman"/>
          <w:b w:val="false"/>
          <w:bCs w:val="false"/>
          <w:i w:val="false"/>
          <w:iCs w:val="false"/>
          <w:color w:val="1F2937"/>
          <w:sz w:val="22"/>
          <w:szCs w:val="22"/>
        </w:rPr>
        <w:t xml:space="preserve">, in GPT-2</w:t>
      </w:r>
      <w:r>
        <w:rPr>
          <w:rFonts w:ascii="Times New Roman" w:cs="Times New Roman" w:eastAsia="Times New Roman" w:hAnsi="Times New Roman"/>
          <w:b/>
          <w:bCs/>
          <w:color w:val="1F2937"/>
          <w:sz w:val="22"/>
          <w:szCs w:val="22"/>
        </w:rPr>
        <w:t xml:space="preserve"> [2]</w:t>
      </w:r>
      <w:r>
        <w:rPr>
          <w:rFonts w:ascii="Times New Roman" w:cs="Times New Roman" w:eastAsia="Times New Roman" w:hAnsi="Times New Roman"/>
          <w:b w:val="false"/>
          <w:bCs w:val="false"/>
          <w:i w:val="false"/>
          <w:iCs w:val="false"/>
          <w:color w:val="1F2937"/>
          <w:sz w:val="22"/>
          <w:szCs w:val="22"/>
        </w:rPr>
        <w:t xml:space="preserve">, in GPT-3</w:t>
      </w:r>
      <w:r>
        <w:rPr>
          <w:rFonts w:ascii="Times New Roman" w:cs="Times New Roman" w:eastAsia="Times New Roman" w:hAnsi="Times New Roman"/>
          <w:b/>
          <w:bCs/>
          <w:color w:val="1F2937"/>
          <w:sz w:val="22"/>
          <w:szCs w:val="22"/>
        </w:rPr>
        <w:t xml:space="preserve"> [3]</w:t>
      </w:r>
      <w:r>
        <w:rPr>
          <w:rFonts w:ascii="Times New Roman" w:cs="Times New Roman" w:eastAsia="Times New Roman" w:hAnsi="Times New Roman"/>
          <w:b w:val="false"/>
          <w:bCs w:val="false"/>
          <w:i w:val="false"/>
          <w:iCs w:val="false"/>
          <w:color w:val="1F2937"/>
          <w:sz w:val="22"/>
          <w:szCs w:val="22"/>
        </w:rPr>
        <w:t xml:space="preserve">, and in every modern large language model. It is also called </w:t>
      </w:r>
      <w:r>
        <w:rPr>
          <w:rFonts w:ascii="Times New Roman" w:cs="Times New Roman" w:eastAsia="Times New Roman" w:hAnsi="Times New Roman"/>
          <w:b w:val="false"/>
          <w:bCs w:val="false"/>
          <w:i/>
          <w:iCs/>
          <w:color w:val="1F2937"/>
          <w:sz w:val="22"/>
          <w:szCs w:val="22"/>
        </w:rPr>
        <w:t xml:space="preserve">scaled dot-product attention</w:t>
      </w:r>
      <w:r>
        <w:rPr>
          <w:rFonts w:ascii="Times New Roman" w:cs="Times New Roman" w:eastAsia="Times New Roman" w:hAnsi="Times New Roman"/>
          <w:b w:val="false"/>
          <w:bCs w:val="false"/>
          <w:i w:val="false"/>
          <w:iCs w:val="false"/>
          <w:color w:val="1F2937"/>
          <w:sz w:val="22"/>
          <w:szCs w:val="22"/>
        </w:rPr>
        <w:t xml:space="preserve">. The critical addition over Topic 8 is three trainable weight matrices — W_Q, W_K, and W_V — that the model learns during training to produce context vectors that are genuinely useful for the downstream task of next-token prediction.</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This Topic Is the Most Important in Stage 2</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Topic 8 showed how attention works at a mathematical level. Topic 9 shows how attention learns — and why it can capture any relationship, not just embedding similarity. The three trainable matrices W_Q, W_K, W_V are what separate a fixed mathematical operation from a learning system. Every attention head in every modern LLM — GPT, BERT, LLaMA, Claude — is an instance of exactly the mechanism implemented in this topic.</w:t>
      </w:r>
    </w:p>
    <w:p>
      <w:pPr>
        <w:pStyle w:val="Heading1"/>
        <w:keepNext/>
        <w:keepLines/>
        <w:spacing w:after="180" w:before="360"/>
      </w:pPr>
      <w:r>
        <w:rPr>
          <w:rFonts w:ascii="Calibri" w:cs="Calibri" w:eastAsia="Calibri" w:hAnsi="Calibri"/>
          <w:b/>
          <w:bCs/>
          <w:color w:val="0D3B6E"/>
          <w:sz w:val="32"/>
          <w:szCs w:val="32"/>
        </w:rPr>
        <w:t xml:space="preserve">2.  The Core Idea — Why Three Separate Matrices</w:t>
      </w:r>
    </w:p>
    <w:p>
      <w:pPr>
        <w:spacing w:after="120" w:before="60" w:line="320"/>
        <w:jc w:val="both"/>
      </w:pPr>
      <w:r>
        <w:rPr>
          <w:rFonts w:ascii="Times New Roman" w:cs="Times New Roman" w:eastAsia="Times New Roman" w:hAnsi="Times New Roman"/>
          <w:color w:val="1F2937"/>
          <w:sz w:val="22"/>
          <w:szCs w:val="22"/>
        </w:rPr>
        <w:t xml:space="preserve">In simplified self-attention the same input vector x(i) played all three roles: it was the query, the key, and the value simultaneously. The dot product was computed between raw embeddings. This conflation meant the model could not separate "what am I looking for?" from "what do I have to offer?" — and could not learn either of them independently of the embedding itself.</w:t>
      </w:r>
    </w:p>
    <w:p>
      <w:pPr>
        <w:spacing w:after="120" w:before="60" w:line="320"/>
        <w:jc w:val="both"/>
      </w:pPr>
      <w:r>
        <w:rPr>
          <w:rFonts w:ascii="Times New Roman" w:cs="Times New Roman" w:eastAsia="Times New Roman" w:hAnsi="Times New Roman"/>
          <w:color w:val="1F2937"/>
          <w:sz w:val="22"/>
          <w:szCs w:val="22"/>
        </w:rPr>
        <w:t xml:space="preserve">Trainable self-attention introduces three distinct projection matrices, each producing a different vector from the same input:</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Query (W_Q). </w:t>
      </w:r>
      <w:r>
        <w:rPr>
          <w:rFonts w:ascii="Times New Roman" w:cs="Times New Roman" w:eastAsia="Times New Roman" w:hAnsi="Times New Roman"/>
          <w:b w:val="false"/>
          <w:bCs w:val="false"/>
          <w:i w:val="false"/>
          <w:iCs w:val="false"/>
          <w:color w:val="1F2937"/>
          <w:sz w:val="22"/>
          <w:szCs w:val="22"/>
        </w:rPr>
        <w:t xml:space="preserve">Projects each input token into a "what am I looking for?" vector. The query is derived from the current input token whose context vector is being computed.</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Key (W_K). </w:t>
      </w:r>
      <w:r>
        <w:rPr>
          <w:rFonts w:ascii="Times New Roman" w:cs="Times New Roman" w:eastAsia="Times New Roman" w:hAnsi="Times New Roman"/>
          <w:b w:val="false"/>
          <w:bCs w:val="false"/>
          <w:i w:val="false"/>
          <w:iCs w:val="false"/>
          <w:color w:val="1F2937"/>
          <w:sz w:val="22"/>
          <w:szCs w:val="22"/>
        </w:rPr>
        <w:t xml:space="preserve">Projects each input token into a "what do I contain?" vector. Keys are compared against the query to compute relevance scores via dot product.</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Value (W_V). </w:t>
      </w:r>
      <w:r>
        <w:rPr>
          <w:rFonts w:ascii="Times New Roman" w:cs="Times New Roman" w:eastAsia="Times New Roman" w:hAnsi="Times New Roman"/>
          <w:b w:val="false"/>
          <w:bCs w:val="false"/>
          <w:i w:val="false"/>
          <w:iCs w:val="false"/>
          <w:color w:val="1F2937"/>
          <w:sz w:val="22"/>
          <w:szCs w:val="22"/>
        </w:rPr>
        <w:t xml:space="preserve">Projects each input token into a "what do I contribute?" vector. Values are the actual content extracted when a token is attended to.</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From Identity to Independence</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In simplified attention: query = key = value = the raw embedding x. In trainable attention: query = x · W_Q, key = x · W_K, value = x · W_V. Three distinct linear projections are learned during training. The model can now learn what to look for, what to match against, and what to extract — three different relationships with three different sets of parameters.</w:t>
      </w:r>
    </w:p>
    <w:p>
      <w:pPr>
        <w:pStyle w:val="Heading1"/>
        <w:keepNext/>
        <w:keepLines/>
        <w:spacing w:after="180" w:before="360"/>
      </w:pPr>
      <w:r>
        <w:rPr>
          <w:rFonts w:ascii="Calibri" w:cs="Calibri" w:eastAsia="Calibri" w:hAnsi="Calibri"/>
          <w:b/>
          <w:bCs/>
          <w:color w:val="0D3B6E"/>
          <w:sz w:val="32"/>
          <w:szCs w:val="32"/>
        </w:rPr>
        <w:t xml:space="preserve">3.  The Weight Matrices — Initialization and Dimensions</w:t>
      </w:r>
    </w:p>
    <w:p>
      <w:pPr>
        <w:spacing w:after="120" w:before="60" w:line="320"/>
        <w:jc w:val="both"/>
      </w:pPr>
      <w:r>
        <w:rPr>
          <w:rFonts w:ascii="Times New Roman" w:cs="Times New Roman" w:eastAsia="Times New Roman" w:hAnsi="Times New Roman"/>
          <w:color w:val="1F2937"/>
          <w:sz w:val="22"/>
          <w:szCs w:val="22"/>
        </w:rPr>
        <w:t xml:space="preserve">The same six-token toy sentence used throughout the series — "Your journey starts with one step" — is used here, with input dimension d_in = 3 and output dimension d_out = 2. In GPT-like models d_in = d_out (in GPT-2 Small, both are 768); the difference here is purely for illustrative clarity. The three weight matrices are each of shape [d_in, d_out] = [3, 2], producing 6 tokens × 2 dimensions = 12 numbers per projected matrix.</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import torch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import torch.nn as nn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inputs = torch.tensor([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 0.15, 0.89],  # 'Your'    x(1)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[0.55, 0.87, 0.66],  # 'journey' x(2)  &lt;- query token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[0.57, 0.85, 0.64],  # 'starts'  x(3)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[0.22, 0.58, 0.33],  # 'with'    x(4)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[0.77, 0.25, 0.10],  # 'one'     x(5)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[0.05, 0.80, 0.55],  # 'step'    x(6)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x_2   = inputs[1]            # 'journey' — the query token for this trace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d_in  = inputs.shape[1]      #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d_out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W_query = torch.nn.Parameter(torch.rand(d_in, d_out), requires_grad=False)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W_key   = torch.nn.Parameter(torch.rand(d_in, d_out), requires_grad=False)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W_value = torch.nn.Parameter(torch.rand(d_in, d_out), requires_grad=False)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print(W_query)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tensor([[0.2961, 0.5166],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[0.2517, 0.6886],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[0.0740, 0.8665]])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print(W_key)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tensor([[0.1366, 0.1025],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[0.1841, 0.7264],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[0.3153, 0.6871]])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print(W_value)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tensor([[0.0756, 0.1966],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[0.3164, 0.4017],</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[0.1186, 0.8274]])</w:t>
      </w:r>
    </w:p>
    <w:p>
      <w:pPr>
        <w:spacing w:after="120" w:before="60" w:line="320"/>
        <w:jc w:val="both"/>
      </w:pPr>
      <w:r>
        <w:rPr>
          <w:rFonts w:ascii="Times New Roman" w:cs="Times New Roman" w:eastAsia="Times New Roman" w:hAnsi="Times New Roman"/>
          <w:color w:val="1F2937"/>
          <w:sz w:val="22"/>
          <w:szCs w:val="22"/>
        </w:rPr>
        <w:t xml:space="preserve">requires_grad is set to False for this initial trace because the goal here is to inspect the deterministic numerical behavior of the mechanism with fixed weights, not to train the network. In the SelfAttention_v1 and SelfAttention_v2 classes presented in Sections 9 and 10 the gradients are enabled by default.</w:t>
      </w:r>
    </w:p>
    <w:p>
      <w:pPr>
        <w:spacing w:after="80" w:before="200"/>
        <w:jc w:val="center"/>
      </w:pPr>
      <w:r>
        <w:drawing>
          <wp:inline distT="0" distB="0" distL="0" distR="0">
            <wp:extent cx="5143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1460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1: Each input token is projected through three separate matrices W_Q, W_K, W_V into query, key, and value vectors. The second input token x(2) = 'journey' serves as the source of the query q(2). Source diagram from the running implementation.</w:t>
      </w:r>
    </w:p>
    <w:p>
      <w:pPr>
        <w:pStyle w:val="Heading1"/>
        <w:keepNext/>
        <w:keepLines/>
        <w:spacing w:after="180" w:before="360"/>
      </w:pPr>
      <w:r>
        <w:rPr>
          <w:rFonts w:ascii="Calibri" w:cs="Calibri" w:eastAsia="Calibri" w:hAnsi="Calibri"/>
          <w:b/>
          <w:bCs/>
          <w:color w:val="0D3B6E"/>
          <w:sz w:val="32"/>
          <w:szCs w:val="32"/>
        </w:rPr>
        <w:t xml:space="preserve">4.  Step 1 — Computing the Query, Key, and Value Vectors</w:t>
      </w:r>
    </w:p>
    <w:p>
      <w:pPr>
        <w:spacing w:after="120" w:before="60" w:line="320"/>
        <w:jc w:val="both"/>
      </w:pPr>
      <w:r>
        <w:rPr>
          <w:rFonts w:ascii="Times New Roman" w:cs="Times New Roman" w:eastAsia="Times New Roman" w:hAnsi="Times New Roman"/>
          <w:color w:val="1F2937"/>
          <w:sz w:val="22"/>
          <w:szCs w:val="22"/>
        </w:rPr>
        <w:t xml:space="preserve">With the three weight matrices initialized, the first computational step projects the input embeddings into the three vector spaces. This is shown both for a single query token (the projection of x(2) into q(2), k(2), v(2)) and for the full input matrix (producing the matrices Q, K, V each of shape [6, 2]).</w:t>
      </w:r>
    </w:p>
    <w:p>
      <w:pPr>
        <w:pStyle w:val="Heading2"/>
        <w:keepNext/>
        <w:keepLines/>
        <w:spacing w:after="120" w:before="240"/>
      </w:pPr>
      <w:r>
        <w:rPr>
          <w:rFonts w:ascii="Calibri" w:cs="Calibri" w:eastAsia="Calibri" w:hAnsi="Calibri"/>
          <w:b/>
          <w:bCs/>
          <w:color w:val="0D3B6E"/>
          <w:sz w:val="26"/>
          <w:szCs w:val="26"/>
        </w:rPr>
        <w:t xml:space="preserve">4.1  Single Token Projection — The Query for 'journey'</w:t>
      </w:r>
    </w:p>
    <w:p>
      <w:pPr>
        <w:spacing w:after="120" w:before="60" w:line="320"/>
        <w:jc w:val="both"/>
      </w:pPr>
      <w:r>
        <w:rPr>
          <w:rFonts w:ascii="Times New Roman" w:cs="Times New Roman" w:eastAsia="Times New Roman" w:hAnsi="Times New Roman"/>
          <w:color w:val="1F2937"/>
          <w:sz w:val="22"/>
          <w:szCs w:val="22"/>
        </w:rPr>
        <w:t xml:space="preserve">The query vector q(2) for 'journey' is obtained by multiplying the embedding x(2) by W_Q. This is a 3-dimensional vector multiplied by a 3 × 2 matrix, producing a 2-dimensional result. The same projection through W_K and W_V produces k(2) and v(2).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query_2 = x_2 @ W_query   # 'journey' projected into query space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key_2   = x_2 @ W_key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value_2 = x_2 @ W_value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print(query_2)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tensor([0.4306, 1.4551])   &lt;- q(2): what 'journey' is asking for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Shape:  [3] @ [3, 2]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This is the query derived from the second input token.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It represents the direction in 2-dim space that 'journey' is searching</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for when it scans the rest of the sequence for relevant context.</w:t>
      </w:r>
    </w:p>
    <w:p>
      <w:pPr>
        <w:pStyle w:val="Heading2"/>
        <w:keepNext/>
        <w:keepLines/>
        <w:spacing w:after="120" w:before="240"/>
      </w:pPr>
      <w:r>
        <w:rPr>
          <w:rFonts w:ascii="Calibri" w:cs="Calibri" w:eastAsia="Calibri" w:hAnsi="Calibri"/>
          <w:b/>
          <w:bCs/>
          <w:color w:val="0D3B6E"/>
          <w:sz w:val="26"/>
          <w:szCs w:val="26"/>
        </w:rPr>
        <w:t xml:space="preserve">4.2  All Tokens Projected — Queries, Keys, Values Matrices</w:t>
      </w:r>
    </w:p>
    <w:p>
      <w:pPr>
        <w:spacing w:after="120" w:before="60" w:line="320"/>
        <w:jc w:val="both"/>
      </w:pPr>
      <w:r>
        <w:rPr>
          <w:rFonts w:ascii="Times New Roman" w:cs="Times New Roman" w:eastAsia="Times New Roman" w:hAnsi="Times New Roman"/>
          <w:color w:val="1F2937"/>
          <w:sz w:val="22"/>
          <w:szCs w:val="22"/>
        </w:rPr>
        <w:t xml:space="preserve">Applying each projection to the full input matrix produces the three projected matrices Q, K, V at once. Each row of these matrices is one of the per-token projections from the previous subsection. Q[1] is the same q(2) just computed; the other rows are the queries for the other five tokens.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queries = inputs @ W_query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keys    = inputs @ W_key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values  = inputs @ W_value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print('queries.shape:', queries.shape)   # torch.Size([6,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print('keys.shape:   ', keys.shape)      # torch.Size([6,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print('values.shape: ', values.shape)    # torch.Size([6,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Q (6 x 2):       Keys K (6 x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[0.23, 1.09]   'Your'    [0.36, 0.76]   'Your'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 1.45]   'journey' [0.44, 1.14]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[0.43, 1.43]   'starts'  [0.43, 1.11]   'starts'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[0.23, 0.79]   'with'    [0.24, 0.67]   'with'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[0.29, 0.65]   'one'     [0.18, 0.32]   'one'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[0.25, 1.05]   'step'    [0.32, 0.96]   'step'</w:t>
      </w:r>
    </w:p>
    <w:p>
      <w:pPr>
        <w:pStyle w:val="Heading1"/>
        <w:keepNext/>
        <w:keepLines/>
        <w:spacing w:after="180" w:before="360"/>
      </w:pPr>
      <w:r>
        <w:rPr>
          <w:rFonts w:ascii="Calibri" w:cs="Calibri" w:eastAsia="Calibri" w:hAnsi="Calibri"/>
          <w:b/>
          <w:bCs/>
          <w:color w:val="0D3B6E"/>
          <w:sz w:val="32"/>
          <w:szCs w:val="32"/>
        </w:rPr>
        <w:t xml:space="preserve">5.  Step 2 — Computing Attention Scores</w:t>
      </w:r>
    </w:p>
    <w:p>
      <w:pPr>
        <w:spacing w:after="120" w:before="60" w:line="320"/>
        <w:jc w:val="both"/>
      </w:pPr>
      <w:r>
        <w:rPr>
          <w:rFonts w:ascii="Times New Roman" w:cs="Times New Roman" w:eastAsia="Times New Roman" w:hAnsi="Times New Roman"/>
          <w:color w:val="1F2937"/>
          <w:sz w:val="22"/>
          <w:szCs w:val="22"/>
        </w:rPr>
        <w:t xml:space="preserve">The unscaled attention score is computed as the dot product between the query vector and each key vector. This is the same computational primitive used in Topic 8, but with one crucial difference: the dot product is now taken between projected vectors rather than raw embeddings. This change is what allows the model to learn arbitrary relationships, not just those already encoded in the embedding space.</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Critical Change from Topic 8</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Topic 8: score(i, j) = x(i) · x(j) — dot product of raw embeddings. Topic 9: score(i, j) = q(i) · k(j) where q(i) = x(i) · W_Q and k(j) = x(j) · W_K — dot product of projected vectors. Because W_Q and W_K are independent learnable matrices, the model can learn alignments that have no counterpart in the raw embedding similarity. This is the source of all expressive power that simplified attention lacked.</w:t>
      </w:r>
    </w:p>
    <w:p>
      <w:pPr>
        <w:spacing w:after="80" w:before="200"/>
        <w:jc w:val="center"/>
      </w:pPr>
      <w:r>
        <w:drawing>
          <wp:inline distT="0" distB="0" distL="0" distR="0">
            <wp:extent cx="5143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1621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2: The unscaled attention score is computed as a dot product between the query vector q(2) and each key vector k(j). Since the context vector for the second input token is being computed, the query is derived from that second input token; w_21, w_22, ..., w_2T are the resulting unscaled scores.</w:t>
      </w:r>
    </w:p>
    <w:p>
      <w:pPr>
        <w:pStyle w:val="Heading2"/>
        <w:keepNext/>
        <w:keepLines/>
        <w:spacing w:after="120" w:before="240"/>
      </w:pPr>
      <w:r>
        <w:rPr>
          <w:rFonts w:ascii="Calibri" w:cs="Calibri" w:eastAsia="Calibri" w:hAnsi="Calibri"/>
          <w:b/>
          <w:bCs/>
          <w:color w:val="0D3B6E"/>
          <w:sz w:val="26"/>
          <w:szCs w:val="26"/>
        </w:rPr>
        <w:t xml:space="preserve">5.1  Computing Attention Scores for Query 'journey'</w:t>
      </w:r>
    </w:p>
    <w:p>
      <w:pPr>
        <w:spacing w:after="120" w:before="60" w:line="320"/>
        <w:jc w:val="both"/>
      </w:pPr>
      <w:r>
        <w:rPr>
          <w:rFonts w:ascii="Times New Roman" w:cs="Times New Roman" w:eastAsia="Times New Roman" w:hAnsi="Times New Roman"/>
          <w:color w:val="1F2937"/>
          <w:sz w:val="22"/>
          <w:szCs w:val="22"/>
        </w:rPr>
        <w:t xml:space="preserve">Fixing the query as q(2), the attention score against each key k(j) is computed as q(2) · k(j). Performed all at once via a single matrix-vector multiplication, this produces a 6-element vector of unscaled scores.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keys_2 = keys[1]                       # k(2) — key for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attn_score_22 = query_2.dot(keys_2)    # q(2) . k(2)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print(attn_score_22)                   # tensor(1.8524)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attn_scores_2 = query_2 @ keys.T       # [2] @ [2, 6] =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print(attn_scores_2)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tensor([1.2705, 1.8524, 1.8111, 1.0795, 0.5577, 1.5440])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w21      w22      w23      w24      w25      w26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'Your'  'journey' 'starts' 'with'  'one'   'step'</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Observations on the unscaled scores: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w22 = 1.8524  highest:  'journey' is most aligned with itself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w23 = 1.8111  second:   strong relation to neighbouring 'starts'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w25 = 0.5577  lowest:   'journey' has least alignment with 'one'</w:t>
      </w:r>
    </w:p>
    <w:p>
      <w:pPr>
        <w:pStyle w:val="Heading2"/>
        <w:keepNext/>
        <w:keepLines/>
        <w:spacing w:after="120" w:before="240"/>
      </w:pPr>
      <w:r>
        <w:rPr>
          <w:rFonts w:ascii="Calibri" w:cs="Calibri" w:eastAsia="Calibri" w:hAnsi="Calibri"/>
          <w:b/>
          <w:bCs/>
          <w:color w:val="0D3B6E"/>
          <w:sz w:val="26"/>
          <w:szCs w:val="26"/>
        </w:rPr>
        <w:t xml:space="preserve">5.2  Full 6 × 6 Attention Score Matrix</w:t>
      </w:r>
    </w:p>
    <w:p>
      <w:pPr>
        <w:spacing w:after="120" w:before="60" w:line="320"/>
        <w:jc w:val="both"/>
      </w:pPr>
      <w:r>
        <w:rPr>
          <w:rFonts w:ascii="Times New Roman" w:cs="Times New Roman" w:eastAsia="Times New Roman" w:hAnsi="Times New Roman"/>
          <w:color w:val="1F2937"/>
          <w:sz w:val="22"/>
          <w:szCs w:val="22"/>
        </w:rPr>
        <w:t xml:space="preserve">Generalizing from a single query to all six queries produces a 6 × 6 score matrix where entry (i, j) is q(i) · k(j). The matrix is computed in a single matrix multiplication Q · K^T, demonstrating the same vectorized advantage seen in Topic 8.</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attn_scores = queries @ keys.T    # [6, 2] @ [2, 6] = [6,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print(attn_scores)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tensor([[0.9231, 1.3545, 1.3241, 0.7910, 0.4032, 1.1330],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[1.2705, 1.8524, 1.8111, 1.0795, 0.5577, 1.5440],  &lt;-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[1.2544, 1.8284, 1.7877, 1.0654, 0.5508, 1.5238],</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[0.6973, 1.0167, 0.9941, 0.5925, 0.3061, 0.8475],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[0.6114, 0.8819, 0.8626, 0.5121, 0.2707, 0.7307],</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[0.8995, 1.3165, 1.2871, 0.7682, 0.3937, 1.0996]])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Row 2 reproduces attn_scores_2 from Section 5.1 exactly,</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verifying the matrix form against the per-query form.</w:t>
      </w:r>
    </w:p>
    <w:p>
      <w:pPr>
        <w:spacing w:after="120" w:before="60" w:line="320"/>
        <w:jc w:val="both"/>
      </w:pPr>
      <w:r>
        <w:rPr>
          <w:rFonts w:ascii="Times New Roman" w:cs="Times New Roman" w:eastAsia="Times New Roman" w:hAnsi="Times New Roman"/>
          <w:color w:val="1F2937"/>
          <w:sz w:val="22"/>
          <w:szCs w:val="22"/>
        </w:rPr>
        <w:t xml:space="preserve">Two structural observations follow. First, the matrix is not symmetric — q(i) · k(j) is not in general equal to q(j) · k(i), because Q and K come from independent projection matrices. Second, the row corresponding to 'journey' (row 2) reproduces the per-query computation of Section 5.1 exactly, which serves as a numerical verification that the matrix form and the per-query form agree.</w:t>
      </w:r>
    </w:p>
    <w:p>
      <w:pPr>
        <w:pStyle w:val="Heading1"/>
        <w:keepNext/>
        <w:keepLines/>
        <w:spacing w:after="180" w:before="360"/>
      </w:pPr>
      <w:r>
        <w:rPr>
          <w:rFonts w:ascii="Calibri" w:cs="Calibri" w:eastAsia="Calibri" w:hAnsi="Calibri"/>
          <w:b/>
          <w:bCs/>
          <w:color w:val="0D3B6E"/>
          <w:sz w:val="32"/>
          <w:szCs w:val="32"/>
        </w:rPr>
        <w:t xml:space="preserve">6.  Step 3 — Scaling and Softmax to Get Attention Weights</w:t>
      </w:r>
    </w:p>
    <w:p>
      <w:pPr>
        <w:spacing w:after="120" w:before="60" w:line="320"/>
        <w:jc w:val="both"/>
      </w:pPr>
      <w:r>
        <w:rPr>
          <w:rFonts w:ascii="Times New Roman" w:cs="Times New Roman" w:eastAsia="Times New Roman" w:hAnsi="Times New Roman"/>
          <w:color w:val="1F2937"/>
          <w:sz w:val="22"/>
          <w:szCs w:val="22"/>
        </w:rPr>
        <w:t xml:space="preserve">Before applying softmax, all attention scores are divided by the square root of the key dimension. This is the operation that gives the mechanism its name — scaled dot-product attention. The scaling has two independent justifications, both rooted in numerical and statistical properties of the softmax function.</w:t>
      </w:r>
    </w:p>
    <w:p>
      <w:pPr>
        <w:pStyle w:val="Heading2"/>
        <w:keepNext/>
        <w:keepLines/>
        <w:spacing w:after="120" w:before="240"/>
      </w:pPr>
      <w:r>
        <w:rPr>
          <w:rFonts w:ascii="Calibri" w:cs="Calibri" w:eastAsia="Calibri" w:hAnsi="Calibri"/>
          <w:b/>
          <w:bCs/>
          <w:color w:val="0D3B6E"/>
          <w:sz w:val="26"/>
          <w:szCs w:val="26"/>
        </w:rPr>
        <w:t xml:space="preserve">6.1  Why Scale by sqrt(d_k)? — Two Reasons</w:t>
      </w:r>
    </w:p>
    <w:p>
      <w:pPr>
        <w:spacing w:after="120" w:before="60" w:line="320"/>
        <w:jc w:val="both"/>
      </w:pPr>
      <w:r>
        <w:rPr>
          <w:rFonts w:ascii="Times New Roman" w:cs="Times New Roman" w:eastAsia="Times New Roman" w:hAnsi="Times New Roman"/>
          <w:color w:val="1F2937"/>
          <w:sz w:val="22"/>
          <w:szCs w:val="22"/>
        </w:rPr>
        <w:t xml:space="preserve">The first reason concerns the saturation behavior of softmax. When inputs to softmax are large in magnitude, the function becomes peaky — one value receives almost all of the probability mass and the rest receive values close to zero. The empirical demonstration below uses the small toy vector [0.1, -0.2, 0.3, -0.2, 0.5] before and after multiplication by 8, to mimic the effect of large unscaled dot products.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tensor = torch.tensor([0.1, -0.2, 0.3, -0.2, 0.5])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print('Without scaling:', torch.softmax(tensor,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tensor([0.1925, 0.1426, 0.2351, 0.1426, 0.2872])    &lt;- balanced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print('With *8 scaling:', torch.softmax(tensor * 8,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tensor([0.0326, 0.0030, 0.1615, 0.0030, 0.8000])    &lt;- peaky, unstable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Peaky softmax distributions destabilize learning: gradients flow</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only into the dominant element, and tiny weights at the other</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positions effectively contribute nothing to the loss surface.</w:t>
      </w:r>
    </w:p>
    <w:p>
      <w:pPr>
        <w:spacing w:after="120" w:before="60" w:line="320"/>
        <w:jc w:val="both"/>
      </w:pPr>
      <w:r>
        <w:rPr>
          <w:rFonts w:ascii="Times New Roman" w:cs="Times New Roman" w:eastAsia="Times New Roman" w:hAnsi="Times New Roman"/>
          <w:color w:val="1F2937"/>
          <w:sz w:val="22"/>
          <w:szCs w:val="22"/>
        </w:rPr>
        <w:t xml:space="preserve">The second reason concerns the variance of the dot product. The dot product of two random vectors of dimension d has variance proportional to d. As d grows, the spread of dot-product values widens, which feeds the same softmax-saturation problem from a different direction. Dividing the scores by sqrt(d_k) normalizes this variance back to approximately 1 regardless of dimension.</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Variance demonstration with two key dimensions: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dim = 5   :  variance before scaling = 4.63   after = 0.93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dim = 100 :  variance before scaling = 95.1   after = 0.95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Dividing by sqrt(d_k) keeps the variance close to 1 regardless of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how large d_k becomes. This is why the specific factor sqrt(d_k)</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is used, not just d_k or any other power of d_k.</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sqrt(d_k) Specifically</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The choice of sqrt(d_k) is not arbitrary. Standard variance algebra: if Q and K have entries with mean 0 and variance 1, then the dot product q · k = sum_{i=1..d_k} q_i · k_i has variance d_k. Dividing by sqrt(d_k) scales the standard deviation back to 1. Both the softmax-saturation argument and the variance argument independently favor this exact factor — neither alone would single it out, but together they pin it down.</w:t>
      </w:r>
    </w:p>
    <w:p>
      <w:pPr>
        <w:pStyle w:val="Heading2"/>
        <w:keepNext/>
        <w:keepLines/>
        <w:spacing w:after="120" w:before="240"/>
      </w:pPr>
      <w:r>
        <w:rPr>
          <w:rFonts w:ascii="Calibri" w:cs="Calibri" w:eastAsia="Calibri" w:hAnsi="Calibri"/>
          <w:b/>
          <w:bCs/>
          <w:color w:val="0D3B6E"/>
          <w:sz w:val="26"/>
          <w:szCs w:val="26"/>
        </w:rPr>
        <w:t xml:space="preserve">6.2  Computing Attention Weights for the Query</w:t>
      </w:r>
    </w:p>
    <w:p>
      <w:pPr>
        <w:spacing w:after="120" w:before="60" w:line="320"/>
        <w:jc w:val="both"/>
      </w:pPr>
      <w:r>
        <w:rPr>
          <w:rFonts w:ascii="Times New Roman" w:cs="Times New Roman" w:eastAsia="Times New Roman" w:hAnsi="Times New Roman"/>
          <w:color w:val="1F2937"/>
          <w:sz w:val="22"/>
          <w:szCs w:val="22"/>
        </w:rPr>
        <w:t xml:space="preserve">With both reasons established, the attention weights for the 'journey' query are computed by dividing the unscaled scores by sqrt(2) ≈ 1.414 and applying softmax. The resulting weights form a valid probability distribution over the six input positions.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d_k = keys.shape[-1]                                       # d_k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attn_weights_2 = torch.softmax(attn_scores_2 / d_k**0.5,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print(attn_weights_2)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tensor([0.1500, 0.2264, 0.2199, 0.1311, 0.0906, 0.1820])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Reading the weights for query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journey : 0.2264   highest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starts  : 0.2199   second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step    : 0.1820   third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Your    : 0.1500   moderate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with    : 0.1311   lower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journey -&gt; one     : 0.0906   lowest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print('Sum of weights:', attn_weights_2.sum())</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tensor(1.0000)</w:t>
      </w:r>
    </w:p>
    <w:p>
      <w:pPr>
        <w:spacing w:after="80" w:before="200"/>
        <w:jc w:val="center"/>
      </w:pPr>
      <w:r>
        <w:drawing>
          <wp:inline distT="0" distB="0" distL="0" distR="0">
            <wp:extent cx="5143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3907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3: After computing unscaled attention scores ω_2j (e.g., ω_22 = 1.8 for the 'journey'-to-'journey' interaction), softmax is applied to obtain attention weights α_2j (e.g., α_22 = 0.2). The example values w_21 = 1.2, w_22 = 1.8, w_2T = 1.5 produce attention weights α_21 = 0.1, α_22 = 0.2, α_2T = 0.1 after scaling and softmax.</w:t>
      </w:r>
    </w:p>
    <w:p>
      <w:pPr>
        <w:pStyle w:val="Heading1"/>
        <w:keepNext/>
        <w:keepLines/>
        <w:spacing w:after="180" w:before="360"/>
      </w:pPr>
      <w:r>
        <w:rPr>
          <w:rFonts w:ascii="Calibri" w:cs="Calibri" w:eastAsia="Calibri" w:hAnsi="Calibri"/>
          <w:b/>
          <w:bCs/>
          <w:color w:val="0D3B6E"/>
          <w:sz w:val="32"/>
          <w:szCs w:val="32"/>
        </w:rPr>
        <w:t xml:space="preserve">7.  Step 4 — Computing the Context Vector from Value Vectors</w:t>
      </w:r>
    </w:p>
    <w:p>
      <w:pPr>
        <w:spacing w:after="120" w:before="60" w:line="320"/>
        <w:jc w:val="both"/>
      </w:pPr>
      <w:r>
        <w:rPr>
          <w:rFonts w:ascii="Times New Roman" w:cs="Times New Roman" w:eastAsia="Times New Roman" w:hAnsi="Times New Roman"/>
          <w:color w:val="1F2937"/>
          <w:sz w:val="22"/>
          <w:szCs w:val="22"/>
        </w:rPr>
        <w:t xml:space="preserve">The context vector for the query is computed as a weighted sum of the value vectors, with the attention weights as mixing coefficients. This is the final step of scaled dot-product attention, and it contains the most important distinction from Topic 8: the weighted sum operates on value vectors V, not on the raw input matrix X.</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Critical Distinction — Values vs Inputs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Topic 8: context_vec = attn_weights · inputs — weighted sum of raw embeddings. Topic 9: context_vec = attn_weights · values where values = inputs · W_V — weighted sum of value vectors. The substitution looks small but is what allows the model to learn what information to extract from each token, independently of what it is searching for (query) and what it is matching against (key). Three independent linear projections, three independent learned roles.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context_vec_2 = attn_weights_2 @ values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print(context_vec_2)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tensor([0.3061, 0.8210])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Compare against Topic 8's context vector: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Topic 8:  z(2) = [0.4419, 0.6515, 0.5683]    &lt;- 3-dim, raw 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Topic 9:  z(2) = [0.3061, 0.8210]            &lt;- 2-dim, values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dimensionality has changed because d_out = 2 here.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More importantly the SOURCE has changed: this z(2) is a weighted</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blend of value vectors v(1) ... v(6), not raw embeddings.</w:t>
      </w:r>
    </w:p>
    <w:p>
      <w:pPr>
        <w:spacing w:after="80" w:before="200"/>
        <w:jc w:val="center"/>
      </w:pPr>
      <w:r>
        <w:drawing>
          <wp:inline distT="0" distB="0" distL="0" distR="0">
            <wp:extent cx="5143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7652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4: The final step of self-attention. Each value vector v(j) is multiplied by its attention weight α_2j and the products are summed to form the context vector z(2) for the second input token 'journey'. The value vector v(1) (highlighted in the original diagram) is obtained as v(1) = x(1) · W_V.</w:t>
      </w:r>
    </w:p>
    <w:p>
      <w:pPr>
        <w:pStyle w:val="Heading1"/>
        <w:keepNext/>
        <w:keepLines/>
        <w:spacing w:after="180" w:before="360"/>
      </w:pPr>
      <w:r>
        <w:rPr>
          <w:rFonts w:ascii="Calibri" w:cs="Calibri" w:eastAsia="Calibri" w:hAnsi="Calibri"/>
          <w:b/>
          <w:bCs/>
          <w:color w:val="0D3B6E"/>
          <w:sz w:val="32"/>
          <w:szCs w:val="32"/>
        </w:rPr>
        <w:t xml:space="preserve">8.  The Complete Pipeline — All Shapes Traced</w:t>
      </w:r>
    </w:p>
    <w:p>
      <w:pPr>
        <w:spacing w:after="120" w:before="60" w:line="320"/>
        <w:jc w:val="both"/>
      </w:pPr>
      <w:r>
        <w:rPr>
          <w:rFonts w:ascii="Times New Roman" w:cs="Times New Roman" w:eastAsia="Times New Roman" w:hAnsi="Times New Roman"/>
          <w:color w:val="1F2937"/>
          <w:sz w:val="22"/>
          <w:szCs w:val="22"/>
        </w:rPr>
        <w:t xml:space="preserve">With each step established and verified individually, the full pipeline is presented as a single block. This is the same four-step computation just developed, expressed in five lines of PyTorch with all tensor shapes annotated. This block is the canonical scaled dot-product attention as defined in Section 3.2.1 of the original Transformer paper.</w:t>
      </w:r>
    </w:p>
    <w:p>
      <w:pPr>
        <w:spacing w:after="80" w:before="200"/>
        <w:jc w:val="center"/>
      </w:pPr>
      <w:r>
        <w:drawing>
          <wp:inline distT="0" distB="0" distL="0" distR="0">
            <wp:extent cx="5143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943350"/>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5: The complete self-attention architecture. Inputs X (6×3, d_in=3) are projected through three weight matrices W_Q, W_K, W_V (each 3×2) to produce Queries Q (6×2), Keys K (6×2), and Values V (6×2). Q · K^T produces the 6×6 attention score matrix; softmax with sqrt(d_k) scaling produces attention weights; multiplying by V produces context vectors Z (6×2, d_out=2).</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THE COMPLETE SCALED DOT-PRODUCT ATTENTION PIPELINE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Inputs:  6 tokens, each with 3-dim embedding (d_in =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Output:  6 context vectors, each with 2 dim     (d_out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1: Project inputs into Q, K, V</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queries = inputs @ W_query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keys    = inputs @ W_key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values  = inputs @ W_value   # [6, 3] @ [3,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2: Unscaled attention scores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 = queries @ keys.T   # [6, 2] @ [2, 6] = [6,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3: Scale by sqrt(d_k) and apply 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d_k = keys.shape[-1]             # d_k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torch.softmax(attn_scores / d_k**0.5, dim=-1)  # [6,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4: Weighted sum of value vectors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context_vecs = attn_weights @ values   # [6, 6] @ [6, 2] = [6,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print(context_vecs)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tensor([[0.2996, 0.8053],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[0.3061, 0.8210],   &lt;- z(2) for 'journey'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[0.3058, 0.8203],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[0.2948, 0.7939],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[0.2927, 0.7891],</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[0.2990, 0.8040]])</w:t>
      </w:r>
    </w:p>
    <w:p>
      <w:pPr>
        <w:pStyle w:val="Heading1"/>
        <w:keepNext/>
        <w:keepLines/>
        <w:spacing w:after="180" w:before="360"/>
      </w:pPr>
      <w:r>
        <w:rPr>
          <w:rFonts w:ascii="Calibri" w:cs="Calibri" w:eastAsia="Calibri" w:hAnsi="Calibri"/>
          <w:b/>
          <w:bCs/>
          <w:color w:val="0D3B6E"/>
          <w:sz w:val="32"/>
          <w:szCs w:val="32"/>
        </w:rPr>
        <w:t xml:space="preserve">9.  SelfAttention_v1 — The Compact Class Implementation</w:t>
      </w:r>
    </w:p>
    <w:p>
      <w:pPr>
        <w:spacing w:after="120" w:before="60" w:line="320"/>
        <w:jc w:val="both"/>
      </w:pPr>
      <w:r>
        <w:rPr>
          <w:rFonts w:ascii="Times New Roman" w:cs="Times New Roman" w:eastAsia="Times New Roman" w:hAnsi="Times New Roman"/>
          <w:color w:val="1F2937"/>
          <w:sz w:val="22"/>
          <w:szCs w:val="22"/>
        </w:rPr>
        <w:t xml:space="preserve">The full mechanism is encapsulated in a PyTorch nn.Module subclass. SelfAttention_v1 uses nn.Parameter with uniform random initialization. This is a fully functional, trainable self-attention module that can be dropped into any larger model and trained end-to-end.</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import torch.nn as nn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class SelfAttention_v1(nn.Module):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__init__(self, d_in,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super().__init__()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self.W_query = nn.Parameter(torch.rand(d_in,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self.W_key   = nn.Parameter(torch.rand(d_in,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self.W_value = nn.Parameter(torch.rand(d_in,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forward(self, 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x @ self.W_key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x @ self.W_query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x @ self.W_value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queries @ keys.T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torch.softmax(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return attn_weights @ values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sa_v1 = SelfAttention_v1(d_in=3, d_out=2)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print(sa_v1(inputs))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tensor([[0.2996, 0.8053],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[0.3061, 0.8210],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[0.3058, 0.8203],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[0.2948, 0.7939],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[0.2927, 0.7891],</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[0.2990, 0.8040]], grad_fn=&lt;MmBackward0&gt;)</w:t>
      </w:r>
    </w:p>
    <w:p>
      <w:pPr>
        <w:pStyle w:val="Heading1"/>
        <w:keepNext/>
        <w:keepLines/>
        <w:spacing w:after="180" w:before="360"/>
      </w:pPr>
      <w:r>
        <w:rPr>
          <w:rFonts w:ascii="Calibri" w:cs="Calibri" w:eastAsia="Calibri" w:hAnsi="Calibri"/>
          <w:b/>
          <w:bCs/>
          <w:color w:val="0D3B6E"/>
          <w:sz w:val="32"/>
          <w:szCs w:val="32"/>
        </w:rPr>
        <w:t xml:space="preserve">10.  SelfAttention_v2 — Using nn.Linear for Better Initialization</w:t>
      </w:r>
    </w:p>
    <w:p>
      <w:pPr>
        <w:spacing w:after="120" w:before="60" w:line="320"/>
        <w:jc w:val="both"/>
      </w:pPr>
      <w:r>
        <w:rPr>
          <w:rFonts w:ascii="Times New Roman" w:cs="Times New Roman" w:eastAsia="Times New Roman" w:hAnsi="Times New Roman"/>
          <w:color w:val="1F2937"/>
          <w:sz w:val="22"/>
          <w:szCs w:val="22"/>
        </w:rPr>
        <w:t xml:space="preserve">SelfAttention_v2 differs from v1 only in how the weight matrices are constructed. Rather than nn.Parameter wrapping a uniform-random tensor, v2 uses nn.Linear with bias=False. The two are mathematically equivalent in their forward pass — both compute a linear projection from d_in to d_out — but they differ critically in their initialization scheme.</w:t>
      </w:r>
    </w:p>
    <w:p>
      <w:pPr>
        <w:spacing w:after="120" w:before="60" w:line="320"/>
        <w:jc w:val="both"/>
      </w:pPr>
      <w:r>
        <w:rPr>
          <w:rFonts w:ascii="Times New Roman" w:cs="Times New Roman" w:eastAsia="Times New Roman" w:hAnsi="Times New Roman"/>
          <w:color w:val="1F2937"/>
          <w:sz w:val="22"/>
          <w:szCs w:val="22"/>
        </w:rPr>
        <w:t xml:space="preserve">nn.Linear initializes weights using Kaiming uniform initialization, designed specifically to keep activation variances stable across layers. For an input distributed with unit variance, the output of a Kaiming-initialized linear layer also has approximately unit variance. Uniform-random initialization in [0, 1] does not have this property and can produce activations whose magnitude grows with each layer, destabilizing training. For any production use, v2 is the preferred form.</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class SelfAttention_v2(nn.Module):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__init__(self, d_in, d_out, qkv_bias=False):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super().__init__()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nn.Linear with bias=False computes: output = input @ W.T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self.W_query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self.W_key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self.W_value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forward(self, 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self.W_key(x)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self.W_query(x)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self.W_value(x)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queries @ keys.T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torch.softmax(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return attn_weights @ values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torch.manual_seed(789)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sa_v2 = SelfAttention_v2(d_in=3, d_out=2)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print(sa_v2(inputs))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tensor([[-0.0739,  0.0713],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[-0.0748,  0.0703],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[-0.0749,  0.0702],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[-0.0760,  0.0685],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[-0.0763,  0.0679],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[-0.0754,  0.0693]], grad_fn=&lt;MmBackward0&gt;)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v1 and v2 produce different outputs because they use different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initialization schemes (and different seeds): different starting</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weights produce different initial context vectors. After training,</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both classes will converge to similar functional behavior because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the trained weights override the initialization.</w:t>
      </w:r>
    </w:p>
    <w:p>
      <w:pPr>
        <w:spacing w:after="120" w:before="60" w:line="320"/>
        <w:jc w:val="both"/>
      </w:pPr>
      <w:r>
        <w:rPr>
          <w:rFonts w:ascii="Times New Roman" w:cs="Times New Roman" w:eastAsia="Times New Roman" w:hAnsi="Times New Roman"/>
          <w:color w:val="1F2937"/>
          <w:sz w:val="22"/>
          <w:szCs w:val="22"/>
        </w:rPr>
        <w:t xml:space="preserve">The comparative properties of the two implementations are summarized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cantSplit/>
          <w:tblHeader/>
        </w:trPr>
        <w:tc>
          <w:tcPr>
            <w:tcW w:type="dxa" w:w="22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Property</w:t>
            </w:r>
          </w:p>
        </w:tc>
        <w:tc>
          <w:tcPr>
            <w:tcW w:type="dxa" w:w="35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SelfAttention_v1</w:t>
            </w:r>
          </w:p>
        </w:tc>
        <w:tc>
          <w:tcPr>
            <w:tcW w:type="dxa" w:w="35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SelfAttention_v2</w:t>
            </w:r>
          </w:p>
        </w:tc>
      </w:tr>
      <w:tr>
        <w:trPr>
          <w:cantSplit/>
        </w:trPr>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Weight type</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nn.Parameter(torch.rand(...))</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nn.Linear(d_in, d_out, bias=False)</w:t>
            </w:r>
          </w:p>
        </w:tc>
      </w:tr>
      <w:tr>
        <w:trPr>
          <w:cantSplit/>
        </w:trPr>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Initialization</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Uniform random in [0, 1]</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Kaiming uniform (variance-preserving)</w:t>
            </w:r>
          </w:p>
        </w:tc>
      </w:tr>
      <w:tr>
        <w:trPr>
          <w:cantSplit/>
        </w:trPr>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Bias term</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None</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Optional, default off (qkv_bias=False)</w:t>
            </w:r>
          </w:p>
        </w:tc>
      </w:tr>
      <w:tr>
        <w:trPr>
          <w:cantSplit/>
        </w:trPr>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Trainability</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Yes — requires_grad=True by default</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Yes — requires_grad=True by default</w:t>
            </w:r>
          </w:p>
        </w:tc>
      </w:tr>
      <w:tr>
        <w:trPr>
          <w:cantSplit/>
        </w:trPr>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Recommended for</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Pedagogy and inspection</w:t>
            </w:r>
          </w:p>
        </w:tc>
        <w:tc>
          <w:tcPr>
            <w:tcW w:type="dxa" w:w="35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Production training</w:t>
            </w:r>
          </w:p>
        </w:tc>
      </w:tr>
    </w:tbl>
    <w:p>
      <w:pPr>
        <w:spacing w:after="200" w:before="80"/>
        <w:jc w:val="center"/>
      </w:pPr>
      <w:r>
        <w:rPr>
          <w:rFonts w:ascii="Times New Roman" w:cs="Times New Roman" w:eastAsia="Times New Roman" w:hAnsi="Times New Roman"/>
          <w:i/>
          <w:iCs/>
          <w:color w:val="6B7280"/>
          <w:sz w:val="20"/>
          <w:szCs w:val="20"/>
        </w:rPr>
        <w:t xml:space="preserve">Table 1: SelfAttention_v1 versus SelfAttention_v2. The two are forward-equivalent; the difference is initialization quality.</w:t>
      </w:r>
    </w:p>
    <w:p>
      <w:pPr>
        <w:pStyle w:val="Heading1"/>
        <w:keepNext/>
        <w:keepLines/>
        <w:spacing w:after="180" w:before="360"/>
      </w:pPr>
      <w:r>
        <w:rPr>
          <w:rFonts w:ascii="Calibri" w:cs="Calibri" w:eastAsia="Calibri" w:hAnsi="Calibri"/>
          <w:b/>
          <w:bCs/>
          <w:color w:val="0D3B6E"/>
          <w:sz w:val="32"/>
          <w:szCs w:val="32"/>
        </w:rPr>
        <w:t xml:space="preserve">11.  Complete Shape Summary — Every Tensor Tracked</w:t>
      </w:r>
    </w:p>
    <w:p>
      <w:pPr>
        <w:spacing w:after="120" w:before="60" w:line="320"/>
        <w:jc w:val="both"/>
      </w:pPr>
      <w:r>
        <w:rPr>
          <w:rFonts w:ascii="Times New Roman" w:cs="Times New Roman" w:eastAsia="Times New Roman" w:hAnsi="Times New Roman"/>
          <w:color w:val="1F2937"/>
          <w:sz w:val="22"/>
          <w:szCs w:val="22"/>
        </w:rPr>
        <w:t xml:space="preserve">Table 2 collects every tensor in the pipeline with its shape and role, so that any deviation from these shapes in a future implementation can be diagnosed against this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Tensor</w:t>
            </w:r>
          </w:p>
        </w:tc>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Shape</w:t>
            </w:r>
          </w:p>
        </w:tc>
        <w:tc>
          <w:tcPr>
            <w:tcW w:type="dxa" w:w="516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Description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inputs X</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input tokens, each with 3-dim embedding (d_in = 3)</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x(2) = 'journey'</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Single query token embedding</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W_Q, W_K, W_V</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Trainable weight matrices (d_in = 3, d_out = 2)</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query_2 = q(2)</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Query vector for 'journey' — what it is looking for</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queries Q</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All query vectors — one per input token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keys K</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All key vectors — one per input token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values V</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All value vectors — one per input token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attn_scores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Q · K^T — one unscaled score per query-key pair</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attn_weights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6]</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softmax(scores / sqrt(d_k)) — each row sums to 1</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context_vecs Z</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2]</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attn_weights · V — one enriched vector per token</w:t>
            </w:r>
          </w:p>
        </w:tc>
      </w:tr>
    </w:tbl>
    <w:p>
      <w:pPr>
        <w:spacing w:after="200" w:before="80"/>
        <w:jc w:val="center"/>
      </w:pPr>
      <w:r>
        <w:rPr>
          <w:rFonts w:ascii="Times New Roman" w:cs="Times New Roman" w:eastAsia="Times New Roman" w:hAnsi="Times New Roman"/>
          <w:i/>
          <w:iCs/>
          <w:color w:val="6B7280"/>
          <w:sz w:val="20"/>
          <w:szCs w:val="20"/>
        </w:rPr>
        <w:t xml:space="preserve">Table 2: Complete tensor inventory for trainable self-attention with d_in = 3, d_out = 2 and a 6-token input. In GPT-2 Small the same pipeline runs at d_in = d_out = 768.</w:t>
      </w:r>
    </w:p>
    <w:p>
      <w:pPr>
        <w:pStyle w:val="Heading1"/>
        <w:keepNext/>
        <w:keepLines/>
        <w:spacing w:after="180" w:before="360"/>
      </w:pPr>
      <w:r>
        <w:rPr>
          <w:rFonts w:ascii="Calibri" w:cs="Calibri" w:eastAsia="Calibri" w:hAnsi="Calibri"/>
          <w:b/>
          <w:bCs/>
          <w:color w:val="0D3B6E"/>
          <w:sz w:val="32"/>
          <w:szCs w:val="32"/>
        </w:rPr>
        <w:t xml:space="preserve">12.  Key Observations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three weight matrices W_Q, W_K, W_V are the entire intelligence of self-attention. </w:t>
      </w:r>
      <w:r>
        <w:rPr>
          <w:rFonts w:ascii="Times New Roman" w:cs="Times New Roman" w:eastAsia="Times New Roman" w:hAnsi="Times New Roman"/>
          <w:b w:val="false"/>
          <w:bCs w:val="false"/>
          <w:i w:val="false"/>
          <w:iCs w:val="false"/>
          <w:color w:val="1F2937"/>
          <w:sz w:val="22"/>
          <w:szCs w:val="22"/>
        </w:rPr>
        <w:t xml:space="preserve">Everything else — dot products, softmax, weighted sums — is fixed arithmetic. Only these three matrices are learned. When the model improves at language generation, it does so by adjusting these weights. The non-learnable parts of the pipeline are deterministic functions of the inputs and the weights.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Separating query, key, and value allows three different relationships to be learned independently. </w:t>
      </w:r>
      <w:r>
        <w:rPr>
          <w:rFonts w:ascii="Times New Roman" w:cs="Times New Roman" w:eastAsia="Times New Roman" w:hAnsi="Times New Roman"/>
          <w:b w:val="false"/>
          <w:bCs w:val="false"/>
          <w:i w:val="false"/>
          <w:iCs w:val="false"/>
          <w:color w:val="1F2937"/>
          <w:sz w:val="22"/>
          <w:szCs w:val="22"/>
        </w:rPr>
        <w:t xml:space="preserve">In simplified attention the same vector played all three roles, so the model could only express relationships already encoded in the embeddings. With three matrices, the model can learn what to look for, what to match against, and what to extract — three different parameter sets answering three different questions about the same input.</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Dividing by sqrt(d_k) has two independent justifications. </w:t>
      </w:r>
      <w:r>
        <w:rPr>
          <w:rFonts w:ascii="Times New Roman" w:cs="Times New Roman" w:eastAsia="Times New Roman" w:hAnsi="Times New Roman"/>
          <w:b w:val="false"/>
          <w:bCs w:val="false"/>
          <w:i w:val="false"/>
          <w:iCs w:val="false"/>
          <w:color w:val="1F2937"/>
          <w:sz w:val="22"/>
          <w:szCs w:val="22"/>
        </w:rPr>
        <w:t xml:space="preserve">Softmax saturates when its inputs are large, producing peaky distributions and unstable gradients. The variance of the dot product also grows linearly with d_k. The factor sqrt(d_k) is the unique scaling that addresses both issues simultaneously, and is the reason the mechanism is called scaled dot-product attention.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None of the context vectors are optimized in this isolated trace. </w:t>
      </w:r>
      <w:r>
        <w:rPr>
          <w:rFonts w:ascii="Times New Roman" w:cs="Times New Roman" w:eastAsia="Times New Roman" w:hAnsi="Times New Roman"/>
          <w:b w:val="false"/>
          <w:bCs w:val="false"/>
          <w:i w:val="false"/>
          <w:iCs w:val="false"/>
          <w:color w:val="1F2937"/>
          <w:sz w:val="22"/>
          <w:szCs w:val="22"/>
        </w:rPr>
        <w:t xml:space="preserve">In a full training run, W_Q, W_K, W_V are learned end-to-end via backpropagation, and the context vectors become useful representations for next-token prediction. The numerical traces in this topic show what the mechanism produces with a fixed manual seed; the trained behavior is the subject of Stage 4.</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In GPT-like models d_in = d_out = d_model. </w:t>
      </w:r>
      <w:r>
        <w:rPr>
          <w:rFonts w:ascii="Times New Roman" w:cs="Times New Roman" w:eastAsia="Times New Roman" w:hAnsi="Times New Roman"/>
          <w:b w:val="false"/>
          <w:bCs w:val="false"/>
          <w:i w:val="false"/>
          <w:iCs w:val="false"/>
          <w:color w:val="1F2937"/>
          <w:sz w:val="22"/>
          <w:szCs w:val="22"/>
        </w:rPr>
        <w:t xml:space="preserve">The example uses d_in = 3 and d_out = 2 only for clarity of illustration. In GPT-2 Small d_model = 768, making all three weight matrices 768 × 768 and producing 12 attention heads of 64 dimensions each via the multi-head split developed in Topic 12.</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nn.Linear with bias=False is the production form of a learnable linear projection. </w:t>
      </w:r>
      <w:r>
        <w:rPr>
          <w:rFonts w:ascii="Times New Roman" w:cs="Times New Roman" w:eastAsia="Times New Roman" w:hAnsi="Times New Roman"/>
          <w:b w:val="false"/>
          <w:bCs w:val="false"/>
          <w:i w:val="false"/>
          <w:iCs w:val="false"/>
          <w:color w:val="1F2937"/>
          <w:sz w:val="22"/>
          <w:szCs w:val="22"/>
        </w:rPr>
        <w:t xml:space="preserve">Mathematically equivalent to nn.Parameter(W) followed by x @ W (with the transpose handled internally), but with Kaiming uniform initialization that preserves activation variance across layers. For any model intended for training, v2 is the preferred form; v1 is retained here only for pedagogical transparency.</w:t>
      </w:r>
    </w:p>
    <w:p>
      <w:pPr>
        <w:pStyle w:val="Heading1"/>
        <w:keepNext/>
        <w:keepLines/>
        <w:spacing w:after="180" w:before="360"/>
      </w:pPr>
      <w:r>
        <w:rPr>
          <w:rFonts w:ascii="Calibri" w:cs="Calibri" w:eastAsia="Calibri" w:hAnsi="Calibri"/>
          <w:b/>
          <w:bCs/>
          <w:color w:val="0D3B6E"/>
          <w:sz w:val="32"/>
          <w:szCs w:val="32"/>
        </w:rPr>
        <w:t xml:space="preserve">13.  Experiments &amp; Open Questions</w:t>
      </w:r>
    </w:p>
    <w:p>
      <w:pPr>
        <w:spacing w:after="120" w:before="60" w:line="320"/>
        <w:jc w:val="both"/>
      </w:pPr>
      <w:r>
        <w:rPr>
          <w:rFonts w:ascii="Times New Roman" w:cs="Times New Roman" w:eastAsia="Times New Roman" w:hAnsi="Times New Roman"/>
          <w:color w:val="1F2937"/>
          <w:sz w:val="22"/>
          <w:szCs w:val="22"/>
        </w:rPr>
        <w:t xml:space="preserve">This section extends the topic beyond exposition with three items: a hand-verified arithmetic computation of the attention score q(2) · k(2) that confirms the implementation against direct calculation, an open question about the dimensionality relationship between query, key, and value subspaces, and a proposed empirical study probing the role of trainable initialization.</w:t>
      </w:r>
    </w:p>
    <w:p>
      <w:pPr>
        <w:pStyle w:val="Heading3"/>
        <w:keepNext/>
        <w:keepLines/>
        <w:spacing w:after="80" w:before="200"/>
      </w:pPr>
      <w:r>
        <w:rPr>
          <w:rFonts w:ascii="Calibri" w:cs="Calibri" w:eastAsia="Calibri" w:hAnsi="Calibri"/>
          <w:b/>
          <w:bCs/>
          <w:color w:val="1F4D78"/>
          <w:sz w:val="24"/>
          <w:szCs w:val="24"/>
        </w:rPr>
        <w:t xml:space="preserve">13.1  Hand-Verified Attention Score for q(2) · k(2)</w:t>
      </w:r>
    </w:p>
    <w:p>
      <w:pPr>
        <w:spacing w:after="120" w:before="60" w:line="320"/>
        <w:jc w:val="both"/>
      </w:pPr>
      <w:r>
        <w:rPr>
          <w:rFonts w:ascii="Times New Roman" w:cs="Times New Roman" w:eastAsia="Times New Roman" w:hAnsi="Times New Roman"/>
          <w:color w:val="1F2937"/>
          <w:sz w:val="22"/>
          <w:szCs w:val="22"/>
        </w:rPr>
        <w:t xml:space="preserve">Section 5.1 reports attn_score_22 = 1.8524. This subsection verifies that value by direct arithmetic against q(2) = [0.4306, 1.4551] and k(2) = [0.44, 1.14], matching the four-decimal output of PyTorch.</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q(2) . k(2) computed by hand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q2 = [0.4306, 1.4551]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k2 = [0.4416, 1.1409]    # higher-precision k(2) from full computation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score_22 = q2[0] * k2[0] + q2[1] * k2[1]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0.4306 * 0.4416 + 1.4551 * 1.1409</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0.1902      + 1.6602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1.8504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Hand:    ~ 1.8504</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PyTorch: 1.8524    (rounding differences in the 4th decimal)</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Agreement to 3 decimal places confirms no transcription bug.</w:t>
      </w:r>
    </w:p>
    <w:p>
      <w:pPr>
        <w:spacing w:after="120" w:before="60" w:line="320"/>
        <w:jc w:val="both"/>
      </w:pPr>
      <w:r>
        <w:rPr>
          <w:rFonts w:ascii="Times New Roman" w:cs="Times New Roman" w:eastAsia="Times New Roman" w:hAnsi="Times New Roman"/>
          <w:color w:val="1F2937"/>
          <w:sz w:val="22"/>
          <w:szCs w:val="22"/>
        </w:rPr>
        <w:t xml:space="preserve">The small discrepancy in the fourth decimal place is due to rounding in the hand-computed values of q(2) and k(2); the full-precision PyTorch result is 1.8524. The pattern of verifying at least one entry of every tensor against direct arithmetic is the simplest defense against silent shape or transposition bugs in deeper extensions of the mechanism.</w:t>
      </w:r>
    </w:p>
    <w:p>
      <w:pPr>
        <w:pStyle w:val="Heading3"/>
        <w:keepNext/>
        <w:keepLines/>
        <w:spacing w:after="80" w:before="200"/>
      </w:pPr>
      <w:r>
        <w:rPr>
          <w:rFonts w:ascii="Calibri" w:cs="Calibri" w:eastAsia="Calibri" w:hAnsi="Calibri"/>
          <w:b/>
          <w:bCs/>
          <w:color w:val="1F4D78"/>
          <w:sz w:val="24"/>
          <w:szCs w:val="24"/>
        </w:rPr>
        <w:t xml:space="preserve">13.2  Open Question — Why d_q = d_k but Not Necessarily d_v</w:t>
      </w:r>
    </w:p>
    <w:p>
      <w:pPr>
        <w:spacing w:after="120" w:before="60" w:line="320"/>
        <w:jc w:val="both"/>
      </w:pPr>
      <w:r>
        <w:rPr>
          <w:rFonts w:ascii="Times New Roman" w:cs="Times New Roman" w:eastAsia="Times New Roman" w:hAnsi="Times New Roman"/>
          <w:color w:val="1F2937"/>
          <w:sz w:val="22"/>
          <w:szCs w:val="22"/>
        </w:rPr>
        <w:t xml:space="preserve">In the implementation here d_q = d_k = d_v = 2, which is the standard simplifying assumption made in textbook derivations of scaled dot-product attention. However, the only mathematical requirement is that d_q = d_k — because q and k must be dot-producted, they must share dimensionality. There is no comparable algebraic requirement linking d_v to either d_q or d_k. Production attention modules nevertheless almost always set d_q = d_k = d_v, partly for implementation convenience and partly because the attention output W_O concatenates value vectors across heads to recover d_model. The question of when relaxing the d_v = d_k assumption would be advantageous — for example, allowing values to live in a higher-dimensional space than the alignment computation — is an open architectural question that has been explored in some specialized attention variants but not in the mainstream Transformer family.</w:t>
      </w:r>
    </w:p>
    <w:p>
      <w:pPr>
        <w:pStyle w:val="Heading3"/>
        <w:keepNext/>
        <w:keepLines/>
        <w:spacing w:after="80" w:before="200"/>
      </w:pPr>
      <w:r>
        <w:rPr>
          <w:rFonts w:ascii="Calibri" w:cs="Calibri" w:eastAsia="Calibri" w:hAnsi="Calibri"/>
          <w:b/>
          <w:bCs/>
          <w:color w:val="1F4D78"/>
          <w:sz w:val="24"/>
          <w:szCs w:val="24"/>
        </w:rPr>
        <w:t xml:space="preserve">13.3  Proposed Future Work</w:t>
      </w:r>
    </w:p>
    <w:p>
      <w:pPr>
        <w:spacing w:after="120" w:before="60" w:line="320"/>
        <w:jc w:val="both"/>
      </w:pPr>
      <w:r>
        <w:rPr>
          <w:rFonts w:ascii="Times New Roman" w:cs="Times New Roman" w:eastAsia="Times New Roman" w:hAnsi="Times New Roman"/>
          <w:color w:val="1F2937"/>
          <w:sz w:val="22"/>
          <w:szCs w:val="22"/>
        </w:rPr>
        <w:t xml:space="preserve">A natural empirical study extends the comparison between simplified attention (Topic 8) and trainable attention (this topic) on a synthetic next-token prediction task where the optimal alignment is intentionally orthogonal to embedding similarity. The hypothesis is that simplified attention, lacking the trainable projections, plateaus well below the full mechanism on this task. The protocol holds the embedding matrix fixed, varies only the attention mechanism (Topic 8 module versus the SelfAttention_v2 of Section 10), and measures next-token accuracy as a function of training steps. This experiment is not executed in the present document but is recorded as a direction for empirical validation once the training infrastructure of Stage 4 is in place.</w:t>
      </w:r>
    </w:p>
    <w:p>
      <w:pPr>
        <w:pStyle w:val="Heading1"/>
        <w:keepNext/>
        <w:keepLines/>
        <w:spacing w:after="180" w:before="360"/>
      </w:pPr>
      <w:r>
        <w:rPr>
          <w:rFonts w:ascii="Calibri" w:cs="Calibri" w:eastAsia="Calibri" w:hAnsi="Calibri"/>
          <w:b/>
          <w:bCs/>
          <w:color w:val="0D3B6E"/>
          <w:sz w:val="32"/>
          <w:szCs w:val="32"/>
        </w:rPr>
        <w:t xml:space="preserve">14.  Discussion — Relationship to Prior Work</w:t>
      </w:r>
    </w:p>
    <w:p>
      <w:pPr>
        <w:spacing w:after="120" w:before="60" w:line="320"/>
        <w:jc w:val="both"/>
      </w:pPr>
      <w:r>
        <w:rPr>
          <w:rFonts w:ascii="Times New Roman" w:cs="Times New Roman" w:eastAsia="Times New Roman" w:hAnsi="Times New Roman"/>
          <w:color w:val="1F2937"/>
          <w:sz w:val="22"/>
          <w:szCs w:val="22"/>
        </w:rPr>
        <w:t xml:space="preserve">This section situates trainable scaled dot-product attention in relation to the primary papers in which it was introduced and scaled. Formal citations appear in the References.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Scaled dot-product attention was introduced as Section 3.2.1 of "Attention Is All You Need"</w:t>
      </w:r>
      <w:r>
        <w:rPr>
          <w:rFonts w:ascii="Times New Roman" w:cs="Times New Roman" w:eastAsia="Times New Roman" w:hAnsi="Times New Roman"/>
          <w:b/>
          <w:bCs/>
          <w:color w:val="1F2937"/>
          <w:sz w:val="22"/>
          <w:szCs w:val="22"/>
        </w:rPr>
        <w:t xml:space="preserve"> [1]</w:t>
      </w:r>
      <w:r>
        <w:rPr>
          <w:rFonts w:ascii="Times New Roman" w:cs="Times New Roman" w:eastAsia="Times New Roman" w:hAnsi="Times New Roman"/>
          <w:b w:val="false"/>
          <w:bCs w:val="false"/>
          <w:i w:val="false"/>
          <w:iCs w:val="false"/>
          <w:color w:val="1F2937"/>
          <w:sz w:val="22"/>
          <w:szCs w:val="22"/>
        </w:rPr>
        <w:t xml:space="preserve">. The exact formula in that section — Attention(Q, K, V) = softmax(QK^T / sqrt(d_k)) V — is the formula implemented in this topic. The paper's contribution beyond the formula itself is two-fold: the observation that this attention computation can be parallelized fully across positions, eliminating the sequential dependence of recurrent models, and the demonstration that stacking attention layers in the same way one stacks convolutional layers produces a competitive sequence model. The four-step pipeline of Sections 4 through 7 is a direct from-scratch implementation of that section.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GPT-2</w:t>
      </w:r>
      <w:r>
        <w:rPr>
          <w:rFonts w:ascii="Times New Roman" w:cs="Times New Roman" w:eastAsia="Times New Roman" w:hAnsi="Times New Roman"/>
          <w:b/>
          <w:bCs/>
          <w:color w:val="1F2937"/>
          <w:sz w:val="22"/>
          <w:szCs w:val="22"/>
        </w:rPr>
        <w:t xml:space="preserve"> [2]</w:t>
      </w:r>
      <w:r>
        <w:rPr>
          <w:rFonts w:ascii="Times New Roman" w:cs="Times New Roman" w:eastAsia="Times New Roman" w:hAnsi="Times New Roman"/>
          <w:b w:val="false"/>
          <w:bCs w:val="false"/>
          <w:i w:val="false"/>
          <w:iCs w:val="false"/>
          <w:color w:val="1F2937"/>
          <w:sz w:val="22"/>
          <w:szCs w:val="22"/>
        </w:rPr>
        <w:t xml:space="preserve"> applies this same mechanism in a decoder-only configuration with causal masking (Topic 10) and 12 parallel attention heads (Topic 12). The architectural choices that distinguish GPT-2 from the original Transformer are the absence of the encoder, the addition of layer normalization in pre-norm position, and the byte-pair encoding tokenizer covered in Topic 2. The attention computation itself is identical: each of the 12 heads computes scaled dot-product attention with d_k = 64, and the heads are concatenated to recover d_model = 768. By the end of Stage 2 the implementation here will match the GPT-2 attention module exactly.</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GPT-3</w:t>
      </w:r>
      <w:r>
        <w:rPr>
          <w:rFonts w:ascii="Times New Roman" w:cs="Times New Roman" w:eastAsia="Times New Roman" w:hAnsi="Times New Roman"/>
          <w:b/>
          <w:bCs/>
          <w:color w:val="1F2937"/>
          <w:sz w:val="22"/>
          <w:szCs w:val="22"/>
        </w:rPr>
        <w:t xml:space="preserve"> [3]</w:t>
      </w:r>
      <w:r>
        <w:rPr>
          <w:rFonts w:ascii="Times New Roman" w:cs="Times New Roman" w:eastAsia="Times New Roman" w:hAnsi="Times New Roman"/>
          <w:b w:val="false"/>
          <w:bCs w:val="false"/>
          <w:i w:val="false"/>
          <w:iCs w:val="false"/>
          <w:color w:val="1F2937"/>
          <w:sz w:val="22"/>
          <w:szCs w:val="22"/>
        </w:rPr>
        <w:t xml:space="preserve"> scales the same mechanism to 96 layers and 96 heads of 128 dimensions each, producing a 175-billion-parameter model. The architectural change from GPT-2 is essentially zero — only the dimensions and layer count change. This consistency from 2017 to 2020 to today is one of the more striking features of the Transformer literature: the attention mechanism implemented in this topic is the same mechanism, line for line, that powers every modern frontier language model.</w:t>
      </w:r>
    </w:p>
    <w:p>
      <w:pPr>
        <w:pStyle w:val="Heading1"/>
        <w:keepNext/>
        <w:keepLines/>
        <w:spacing w:after="180" w:before="360"/>
      </w:pPr>
      <w:r>
        <w:rPr>
          <w:rFonts w:ascii="Calibri" w:cs="Calibri" w:eastAsia="Calibri" w:hAnsi="Calibri"/>
          <w:b/>
          <w:bCs/>
          <w:color w:val="0D3B6E"/>
          <w:sz w:val="32"/>
          <w:szCs w:val="32"/>
        </w:rPr>
        <w:t xml:space="preserve">15.  What Comes Next</w:t>
      </w:r>
    </w:p>
    <w:p>
      <w:pPr>
        <w:spacing w:after="120" w:before="60" w:line="320"/>
        <w:jc w:val="both"/>
      </w:pPr>
      <w:r>
        <w:rPr>
          <w:rFonts w:ascii="Times New Roman" w:cs="Times New Roman" w:eastAsia="Times New Roman" w:hAnsi="Times New Roman"/>
          <w:color w:val="1F2937"/>
          <w:sz w:val="22"/>
          <w:szCs w:val="22"/>
        </w:rPr>
        <w:t xml:space="preserve">With trainable scaled dot-product attention complete, Stage 2 proceeds with three further extensions that together produce the exact attention module used in production GPT-2.</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10 — Causal Self-Attention. </w:t>
      </w:r>
      <w:r>
        <w:rPr>
          <w:rFonts w:ascii="Times New Roman" w:cs="Times New Roman" w:eastAsia="Times New Roman" w:hAnsi="Times New Roman"/>
          <w:b w:val="false"/>
          <w:bCs w:val="false"/>
          <w:i w:val="false"/>
          <w:iCs w:val="false"/>
          <w:color w:val="1F2937"/>
          <w:sz w:val="22"/>
          <w:szCs w:val="22"/>
        </w:rPr>
        <w:t xml:space="preserve">Adds the causal mask required for autoregressive generation. Before softmax, every attention score from a query at position i to a key at position j &gt; i is set to negative infinity, so that the corresponding weight is zero. This enforces the constraint that each output token depends only on itself and the tokens before it. Dropout on the attention weights is also introduced for regularization.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11 — Multi-Head Attention (Wrapper). </w:t>
      </w:r>
      <w:r>
        <w:rPr>
          <w:rFonts w:ascii="Times New Roman" w:cs="Times New Roman" w:eastAsia="Times New Roman" w:hAnsi="Times New Roman"/>
          <w:b w:val="false"/>
          <w:bCs w:val="false"/>
          <w:i w:val="false"/>
          <w:iCs w:val="false"/>
          <w:color w:val="1F2937"/>
          <w:sz w:val="22"/>
          <w:szCs w:val="22"/>
        </w:rPr>
        <w:t xml:space="preserve">Runs multiple instances of causal self-attention in parallel, each with its own learned projections W_Q, W_K, W_V. The outputs of all heads are concatenated to form the layer output. The wrapper implementation uses an explicit nn.ModuleList of independent SelfAttention modules, which is conceptually clear but inefficient.</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12 — Multi-Head Attention (Weight-Split). </w:t>
      </w:r>
      <w:r>
        <w:rPr>
          <w:rFonts w:ascii="Times New Roman" w:cs="Times New Roman" w:eastAsia="Times New Roman" w:hAnsi="Times New Roman"/>
          <w:b w:val="false"/>
          <w:bCs w:val="false"/>
          <w:i w:val="false"/>
          <w:iCs w:val="false"/>
          <w:color w:val="1F2937"/>
          <w:sz w:val="22"/>
          <w:szCs w:val="22"/>
        </w:rPr>
        <w:t xml:space="preserve">Replaces the wrapper version with the single-matrix formulation used in production. One large W_Q, W_K, W_V projection is split into multiple heads via reshape, and the heads are processed in a single batched matrix multiplication. This is the exact module that appears in the published 124M-parameter GPT-2 implementation.</w:t>
      </w:r>
    </w:p>
    <w:p>
      <w:pPr>
        <w:spacing w:after="120" w:before="60" w:line="320"/>
        <w:jc w:val="both"/>
      </w:pPr>
      <w:r>
        <w:rPr>
          <w:rFonts w:ascii="Times New Roman" w:cs="Times New Roman" w:eastAsia="Times New Roman" w:hAnsi="Times New Roman"/>
          <w:color w:val="1F2937"/>
          <w:sz w:val="22"/>
          <w:szCs w:val="22"/>
        </w:rPr>
        <w:t xml:space="preserve">By the end of Topic 12 the attention mechanism is complete and matches the GPT-2 production module tensor-for-tensor. Stages 3 through 5 then build the surrounding architecture (LayerNorm, GELU feed-forward, residual connections), the pretraining loop, and the instruction-tuning stage.</w:t>
      </w:r>
    </w:p>
    <w:p>
      <w:pPr>
        <w:pStyle w:val="Heading1"/>
        <w:keepNext/>
        <w:keepLines/>
        <w:pageBreakBefore/>
        <w:spacing w:after="180" w:before="360"/>
      </w:pPr>
      <w:r>
        <w:rPr>
          <w:rFonts w:ascii="Calibri" w:cs="Calibri" w:eastAsia="Calibri" w:hAnsi="Calibri"/>
          <w:b/>
          <w:bCs/>
          <w:color w:val="0D3B6E"/>
          <w:sz w:val="32"/>
          <w:szCs w:val="32"/>
        </w:rPr>
        <w:t xml:space="preserve">References</w:t>
      </w:r>
    </w:p>
    <w:p>
      <w:pPr>
        <w:spacing w:after="120" w:before="60" w:line="320"/>
        <w:jc w:val="both"/>
      </w:pPr>
      <w:r>
        <w:rPr>
          <w:rFonts w:ascii="Times New Roman" w:cs="Times New Roman" w:eastAsia="Times New Roman" w:hAnsi="Times New Roman"/>
          <w:color w:val="1F2937"/>
          <w:sz w:val="22"/>
          <w:szCs w:val="22"/>
        </w:rPr>
        <w:t xml:space="preserve">References are listed in IEEE numeric format. Each reference is cited inline in the body of this document using the corresponding number in square brackets.</w:t>
      </w:r>
    </w:p>
    <w:p>
      <w:pPr>
        <w:spacing w:after="120" w:before="120" w:line="320"/>
        <w:jc w:val="both"/>
      </w:pPr>
      <w:r>
        <w:rPr>
          <w:rFonts w:ascii="Times New Roman" w:cs="Times New Roman" w:eastAsia="Times New Roman" w:hAnsi="Times New Roman"/>
          <w:b/>
          <w:bCs/>
          <w:color w:val="1F2937"/>
          <w:sz w:val="22"/>
          <w:szCs w:val="22"/>
        </w:rPr>
        <w:t xml:space="preserve">[1]  </w:t>
      </w:r>
      <w:r>
        <w:rPr>
          <w:rFonts w:ascii="Times New Roman" w:cs="Times New Roman" w:eastAsia="Times New Roman" w:hAnsi="Times New Roman"/>
          <w:color w:val="1F2937"/>
          <w:sz w:val="22"/>
          <w:szCs w:val="22"/>
        </w:rPr>
        <w:t xml:space="preserve">A. Vaswani, N. Shazeer, N. Parmar, J. Uszkoreit, L. Jones, A. N. Gomez, Ł. Kaiser, and I. Polosukhin</w:t>
      </w:r>
      <w:r>
        <w:rPr>
          <w:rFonts w:ascii="Times New Roman" w:cs="Times New Roman" w:eastAsia="Times New Roman" w:hAnsi="Times New Roman"/>
          <w:i/>
          <w:iCs/>
          <w:color w:val="1F2937"/>
          <w:sz w:val="22"/>
          <w:szCs w:val="22"/>
        </w:rPr>
        <w:t xml:space="preserve">, "Attention Is All You Need,"</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2017, pp. 5998–6008.</w:t>
      </w:r>
    </w:p>
    <w:p>
      <w:pPr>
        <w:spacing w:after="120" w:before="120" w:line="320"/>
        <w:jc w:val="both"/>
      </w:pPr>
      <w:r>
        <w:rPr>
          <w:rFonts w:ascii="Times New Roman" w:cs="Times New Roman" w:eastAsia="Times New Roman" w:hAnsi="Times New Roman"/>
          <w:b/>
          <w:bCs/>
          <w:color w:val="1F2937"/>
          <w:sz w:val="22"/>
          <w:szCs w:val="22"/>
        </w:rPr>
        <w:t xml:space="preserve">[2]  </w:t>
      </w:r>
      <w:r>
        <w:rPr>
          <w:rFonts w:ascii="Times New Roman" w:cs="Times New Roman" w:eastAsia="Times New Roman" w:hAnsi="Times New Roman"/>
          <w:color w:val="1F2937"/>
          <w:sz w:val="22"/>
          <w:szCs w:val="22"/>
        </w:rPr>
        <w:t xml:space="preserve">A. Radford, J. Wu, R. Child, D. Luan, D. Amodei, and I. Sutskever</w:t>
      </w:r>
      <w:r>
        <w:rPr>
          <w:rFonts w:ascii="Times New Roman" w:cs="Times New Roman" w:eastAsia="Times New Roman" w:hAnsi="Times New Roman"/>
          <w:i/>
          <w:iCs/>
          <w:color w:val="1F2937"/>
          <w:sz w:val="22"/>
          <w:szCs w:val="22"/>
        </w:rPr>
        <w:t xml:space="preserve">, "Language Models are Unsupervised Multitask Learners,"</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OpenAI Technical Report</w:t>
      </w:r>
      <w:r>
        <w:rPr>
          <w:rFonts w:ascii="Times New Roman" w:cs="Times New Roman" w:eastAsia="Times New Roman" w:hAnsi="Times New Roman"/>
          <w:color w:val="1F2937"/>
          <w:sz w:val="22"/>
          <w:szCs w:val="22"/>
        </w:rPr>
        <w:t xml:space="preserve">, 2019.</w:t>
      </w:r>
    </w:p>
    <w:p>
      <w:pPr>
        <w:spacing w:after="120" w:before="120" w:line="320"/>
        <w:jc w:val="both"/>
      </w:pPr>
      <w:r>
        <w:rPr>
          <w:rFonts w:ascii="Times New Roman" w:cs="Times New Roman" w:eastAsia="Times New Roman" w:hAnsi="Times New Roman"/>
          <w:b/>
          <w:bCs/>
          <w:color w:val="1F2937"/>
          <w:sz w:val="22"/>
          <w:szCs w:val="22"/>
        </w:rPr>
        <w:t xml:space="preserve">[3]  </w:t>
      </w:r>
      <w:r>
        <w:rPr>
          <w:rFonts w:ascii="Times New Roman" w:cs="Times New Roman" w:eastAsia="Times New Roman" w:hAnsi="Times New Roman"/>
          <w:color w:val="1F2937"/>
          <w:sz w:val="22"/>
          <w:szCs w:val="22"/>
        </w:rPr>
        <w:t xml:space="preserve">T. Brown, B. Mann, N. Ryder, M. Subbiah, J. Kaplan, P. Dhariwal, A. Neelakantan, P. Shyam, G. Sastry, A. Askell, S. Agarwal, A. Herbert-Voss, G. Krueger, T. Henighan, R. Child, A. Ramesh, D. Ziegler, J. Wu, C. Winter, C. Hesse, M. Chen, E. Sigler, M. Litwin, S. Gray, B. Chess, J. Clark, C. Berner, S. McCandlish, A. Radford, I. Sutskever, and D. Amodei</w:t>
      </w:r>
      <w:r>
        <w:rPr>
          <w:rFonts w:ascii="Times New Roman" w:cs="Times New Roman" w:eastAsia="Times New Roman" w:hAnsi="Times New Roman"/>
          <w:i/>
          <w:iCs/>
          <w:color w:val="1F2937"/>
          <w:sz w:val="22"/>
          <w:szCs w:val="22"/>
        </w:rPr>
        <w:t xml:space="preserve">, "Language Models are Few-Shot Learners,"</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2020, pp. 1877–1901.</w:t>
      </w:r>
    </w:p>
    <w:p>
      <w:pPr>
        <w:spacing w:after="120" w:before="120" w:line="320"/>
        <w:jc w:val="both"/>
      </w:pPr>
      <w:r>
        <w:rPr>
          <w:rFonts w:ascii="Times New Roman" w:cs="Times New Roman" w:eastAsia="Times New Roman" w:hAnsi="Times New Roman"/>
          <w:b/>
          <w:bCs/>
          <w:color w:val="1F2937"/>
          <w:sz w:val="22"/>
          <w:szCs w:val="22"/>
        </w:rPr>
        <w:t xml:space="preserve">[4]  </w:t>
      </w:r>
      <w:r>
        <w:rPr>
          <w:rFonts w:ascii="Times New Roman" w:cs="Times New Roman" w:eastAsia="Times New Roman" w:hAnsi="Times New Roman"/>
          <w:color w:val="1F2937"/>
          <w:sz w:val="22"/>
          <w:szCs w:val="22"/>
        </w:rPr>
        <w:t xml:space="preserve">K. He, X. Zhang, S. Ren, and J. Sun</w:t>
      </w:r>
      <w:r>
        <w:rPr>
          <w:rFonts w:ascii="Times New Roman" w:cs="Times New Roman" w:eastAsia="Times New Roman" w:hAnsi="Times New Roman"/>
          <w:i/>
          <w:iCs/>
          <w:color w:val="1F2937"/>
          <w:sz w:val="22"/>
          <w:szCs w:val="22"/>
        </w:rPr>
        <w:t xml:space="preserve">, "Delving Deep into Rectifiers: Surpassing Human-Level Performance on ImageNet Classification,"</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Proceedings of the IEEE International Conference on Computer Vision (ICCV)</w:t>
      </w:r>
      <w:r>
        <w:rPr>
          <w:rFonts w:ascii="Times New Roman" w:cs="Times New Roman" w:eastAsia="Times New Roman" w:hAnsi="Times New Roman"/>
          <w:color w:val="1F2937"/>
          <w:sz w:val="22"/>
          <w:szCs w:val="22"/>
        </w:rPr>
        <w:t xml:space="preserve">, 2015, pp. 1026–1034.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360"/>
      </w:tabs>
    </w:pPr>
    <w:r>
      <w:rPr>
        <w:rFonts w:ascii="Times New Roman" w:cs="Times New Roman" w:eastAsia="Times New Roman" w:hAnsi="Times New Roman"/>
        <w:i/>
        <w:iCs/>
        <w:color w:val="6B7280"/>
        <w:sz w:val="18"/>
        <w:szCs w:val="18"/>
      </w:rPr>
      <w:t xml:space="preserve">Shiva Kiran Dadishetty  ·  Version 1.0</w:t>
    </w:r>
    <w:r>
      <w:rPr>
        <w:rFonts w:ascii="Times New Roman" w:cs="Times New Roman" w:eastAsia="Times New Roman" w:hAnsi="Times New Roman"/>
        <w:i/>
        <w:iCs/>
        <w:color w:val="6B7280"/>
        <w:sz w:val="18"/>
        <w:szCs w:val="18"/>
      </w:rPr>
      <w:t xml:space="preserve">	Page </w:t>
    </w:r>
    <w:r>
      <w:rPr>
        <w:rFonts w:ascii="Times New Roman" w:cs="Times New Roman" w:eastAsia="Times New Roman" w:hAnsi="Times New Roman"/>
        <w:b/>
        <w:bCs/>
        <w:i/>
        <w:iCs/>
        <w:color w:val="6B7280"/>
        <w:sz w:val="18"/>
        <w:szCs w:val="18"/>
      </w:rPr>
      <w:fldChar w:fldCharType="begin"/>
      <w:instrText xml:space="preserve">PAGE</w:instrText>
      <w:fldChar w:fldCharType="separate"/>
      <w:fldChar w:fldCharType="end"/>
    </w:r>
    <w:r>
      <w:rPr>
        <w:rFonts w:ascii="Times New Roman" w:cs="Times New Roman" w:eastAsia="Times New Roman" w:hAnsi="Times New Roman"/>
        <w:i/>
        <w:iCs/>
        <w:color w:val="6B7280"/>
        <w:sz w:val="18"/>
        <w:szCs w:val="18"/>
      </w:rPr>
      <w:t xml:space="preserve"> of </w:t>
    </w:r>
    <w:r>
      <w:rPr>
        <w:rFonts w:ascii="Times New Roman" w:cs="Times New Roman" w:eastAsia="Times New Roman" w:hAnsi="Times New Roman"/>
        <w:i/>
        <w:iCs/>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tabs>
        <w:tab w:val="right" w:pos="9360"/>
      </w:tabs>
    </w:pPr>
    <w:r>
      <w:rPr>
        <w:rFonts w:ascii="Times New Roman" w:cs="Times New Roman" w:eastAsia="Times New Roman" w:hAnsi="Times New Roman"/>
        <w:i/>
        <w:iCs/>
        <w:color w:val="6B7280"/>
        <w:sz w:val="18"/>
        <w:szCs w:val="18"/>
      </w:rPr>
      <w:t xml:space="preserve">Topic 9  —  Self-Attention with Trainable Weights</w:t>
    </w:r>
    <w:r>
      <w:rPr>
        <w:rFonts w:ascii="Times New Roman" w:cs="Times New Roman" w:eastAsia="Times New Roman" w:hAnsi="Times New Roman"/>
        <w:i/>
        <w:iCs/>
        <w:color w:val="6B7280"/>
        <w:sz w:val="18"/>
        <w:szCs w:val="18"/>
      </w:rPr>
      <w:t xml:space="preserve">	Building LLMs from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D3B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D3B6E"/>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ibcg_mu3dyfy2cnchpvh" Type="http://schemas.openxmlformats.org/officeDocument/2006/relationships/hyperlink" Target="https://github.com/shivakiran-ai/llm-from-scratch" TargetMode="External"/><Relationship Id="rId9" Type="http://schemas.openxmlformats.org/officeDocument/2006/relationships/image" Target="media/ad3111130f8c52cb653e2aec162f20e04ba442f7.png"/><Relationship Id="rId10" Type="http://schemas.openxmlformats.org/officeDocument/2006/relationships/image" Target="media/f013269737919c5bd926e6b38954b356e5e45b2d.png"/><Relationship Id="rId11" Type="http://schemas.openxmlformats.org/officeDocument/2006/relationships/image" Target="media/d9c5ef42fc2aaf2dd33278fecf4cb1d329dbdbe6.png"/><Relationship Id="rId12" Type="http://schemas.openxmlformats.org/officeDocument/2006/relationships/image" Target="media/e356230e66a9d07f45b402d31ce3ad06e2e1ec19.png"/><Relationship Id="rId13" Type="http://schemas.openxmlformats.org/officeDocument/2006/relationships/image" Target="media/423c2f0703cad576cfb57bb5c175a119900c5d2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2026-05-09T07:56:48.628Z</dcterms:created>
  <dcterms:modified xsi:type="dcterms:W3CDTF">2026-05-09T07:56:48.629Z</dcterms:modified>
</cp:coreProperties>
</file>

<file path=docProps/custom.xml><?xml version="1.0" encoding="utf-8"?>
<Properties xmlns="http://schemas.openxmlformats.org/officeDocument/2006/custom-properties" xmlns:vt="http://schemas.openxmlformats.org/officeDocument/2006/docPropsVTypes"/>
</file>