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0D3B6E"/>
          <w:sz w:val="28"/>
          <w:szCs w:val="28"/>
        </w:rPr>
        <w:t xml:space="preserve">BUILDING LLMs FROM SCRATCH</w:t>
      </w:r>
    </w:p>
    <w:p>
      <w:pPr>
        <w:spacing w:after="400" w:before="0"/>
        <w:jc w:val="center"/>
      </w:pPr>
      <w:r>
        <w:rPr>
          <w:rFonts w:ascii="Times New Roman" w:cs="Times New Roman" w:eastAsia="Times New Roman" w:hAnsi="Times New Roman"/>
          <w:i/>
          <w:iCs/>
          <w:color w:val="6B7280"/>
          <w:sz w:val="20"/>
          <w:szCs w:val="20"/>
        </w:rPr>
        <w:t xml:space="preserve">Technical Report   ·   Stage 2: The Attention Mechanism</w:t>
      </w:r>
    </w:p>
    <w:p>
      <w:pPr>
        <w:spacing w:after="80" w:before="400"/>
        <w:jc w:val="center"/>
      </w:pPr>
      <w:r>
        <w:rPr>
          <w:rFonts w:ascii="Calibri" w:cs="Calibri" w:eastAsia="Calibri" w:hAnsi="Calibri"/>
          <w:b/>
          <w:bCs/>
          <w:color w:val="2E75B6"/>
          <w:sz w:val="28"/>
          <w:szCs w:val="28"/>
        </w:rPr>
        <w:t xml:space="preserve">Topic 11</w:t>
      </w:r>
    </w:p>
    <w:p>
      <w:pPr>
        <w:spacing w:after="0" w:before="0"/>
        <w:jc w:val="center"/>
      </w:pPr>
      <w:r>
        <w:rPr>
          <w:rFonts w:ascii="Calibri" w:cs="Calibri" w:eastAsia="Calibri" w:hAnsi="Calibri"/>
          <w:b/>
          <w:bCs/>
          <w:color w:val="0D3B6E"/>
          <w:sz w:val="48"/>
          <w:szCs w:val="48"/>
        </w:rPr>
        <w:t xml:space="preserve">Multi-Head Attention</w:t>
      </w:r>
    </w:p>
    <w:p>
      <w:pPr>
        <w:spacing w:after="80" w:before="0"/>
        <w:jc w:val="center"/>
      </w:pPr>
      <w:r>
        <w:rPr>
          <w:rFonts w:ascii="Calibri" w:cs="Calibri" w:eastAsia="Calibri" w:hAnsi="Calibri"/>
          <w:b/>
          <w:bCs/>
          <w:color w:val="2E75B6"/>
          <w:sz w:val="32"/>
          <w:szCs w:val="32"/>
        </w:rPr>
        <w:t xml:space="preserve">Part 1 — The Wrapper Implementation</w:t>
      </w:r>
    </w:p>
    <w:p>
      <w:pPr>
        <w:spacing w:after="300" w:before="0"/>
        <w:jc w:val="center"/>
      </w:pPr>
      <w:r>
        <w:rPr>
          <w:rFonts w:ascii="Times New Roman" w:cs="Times New Roman" w:eastAsia="Times New Roman" w:hAnsi="Times New Roman"/>
          <w:i/>
          <w:iCs/>
          <w:color w:val="6B7280"/>
          <w:sz w:val="22"/>
          <w:szCs w:val="22"/>
        </w:rPr>
        <w:t xml:space="preserve">Stacking parallel attention heads with nn.ModuleList</w:t>
      </w:r>
    </w:p>
    <w:p>
      <w:pPr>
        <w:spacing w:after="240" w:before="120"/>
        <w:jc w:val="center"/>
      </w:pPr>
      <w:r>
        <w:rPr>
          <w:rFonts w:ascii="Calibri" w:cs="Calibri" w:eastAsia="Calibri" w:hAnsi="Calibri"/>
          <w:color w:val="F59E0B"/>
          <w:sz w:val="24"/>
          <w:szCs w:val="24"/>
        </w:rPr>
        <w:t xml:space="preserve">━━━━━━━━━━━━━━</w:t>
      </w:r>
    </w:p>
    <w:p>
      <w:pPr>
        <w:spacing w:after="40" w:before="0"/>
        <w:jc w:val="center"/>
      </w:pPr>
      <w:r>
        <w:rPr>
          <w:rFonts w:ascii="Times New Roman" w:cs="Times New Roman" w:eastAsia="Times New Roman" w:hAnsi="Times New Roman"/>
          <w:b/>
          <w:bCs/>
          <w:color w:val="1F2937"/>
          <w:sz w:val="24"/>
          <w:szCs w:val="24"/>
        </w:rPr>
        <w:t xml:space="preserve">Shiva Kiran Dadishetty</w:t>
      </w:r>
    </w:p>
    <w:p>
      <w:pPr>
        <w:spacing w:after="40" w:before="0"/>
        <w:jc w:val="center"/>
      </w:pPr>
      <w:r>
        <w:rPr>
          <w:rFonts w:ascii="Times New Roman" w:cs="Times New Roman" w:eastAsia="Times New Roman" w:hAnsi="Times New Roman"/>
          <w:color w:val="6B7280"/>
          <w:sz w:val="20"/>
          <w:szCs w:val="20"/>
        </w:rPr>
        <w:t xml:space="preserve">Independent Research · Texas, USA</w:t>
      </w:r>
    </w:p>
    <w:p>
      <w:pPr>
        <w:spacing w:after="160" w:before="0"/>
        <w:jc w:val="center"/>
      </w:pPr>
      <w:hyperlink w:history="1" r:id="rIdtcxjljhjsiue4qfqj1pec">
        <w:r>
          <w:rPr>
            <w:rFonts w:ascii="Times New Roman" w:cs="Times New Roman" w:eastAsia="Times New Roman" w:hAnsi="Times New Roman"/>
            <w:i/>
            <w:iCs/>
            <w:color w:val="1A56A0"/>
            <w:sz w:val="20"/>
            <w:szCs w:val="20"/>
            <w:u w:val="single" w:color="1A56A0"/>
          </w:rPr>
          <w:t xml:space="preserve">github.com/shivakiran-ai/llm-from-scratch</w:t>
        </w:r>
      </w:hyperlink>
    </w:p>
    <w:p>
      <w:pPr>
        <w:spacing w:after="160" w:before="0"/>
        <w:jc w:val="center"/>
      </w:pPr>
      <w:r>
        <w:rPr>
          <w:rFonts w:ascii="Times New Roman" w:cs="Times New Roman" w:eastAsia="Times New Roman" w:hAnsi="Times New Roman"/>
          <w:color w:val="1F2937"/>
          <w:sz w:val="20"/>
          <w:szCs w:val="20"/>
        </w:rPr>
        <w:t xml:space="preserve">May 2026   ·   Version 1.0</w:t>
      </w:r>
    </w:p>
    <w:p>
      <w:pPr>
        <w:spacing w:after="240" w:before="120"/>
        <w:jc w:val="center"/>
      </w:pPr>
      <w:r>
        <w:rPr>
          <w:rFonts w:ascii="Calibri" w:cs="Calibri" w:eastAsia="Calibri" w:hAnsi="Calibri"/>
          <w:color w:val="F59E0B"/>
          <w:sz w:val="24"/>
          <w:szCs w:val="24"/>
        </w:rPr>
        <w:t xml:space="preserve">━━━━━━━━━━━━━━</w:t>
      </w:r>
    </w:p>
    <w:p>
      <w:pPr>
        <w:spacing w:after="120" w:before="80"/>
        <w:jc w:val="center"/>
      </w:pPr>
      <w:r>
        <w:rPr>
          <w:rFonts w:ascii="Calibri" w:cs="Calibri" w:eastAsia="Calibri" w:hAnsi="Calibri"/>
          <w:b/>
          <w:bCs/>
          <w:color w:val="0D3B6E"/>
          <w:sz w:val="26"/>
          <w:szCs w:val="26"/>
        </w:rPr>
        <w:t xml:space="preserve">Abstract</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This topic implements multi-head attention in its most pedagogically transparent form: a wrapper class that stacks num_heads independent CausalAttention instances developed in Topic 10 and concatenates their outputs. Multi-head attention is the architectural extension that allows each Transformer block to learn several distinct representational subspaces simultaneously rather than a single global view. Each head receives the same input but is initialized with its own independent W_Q, W_K, W_V projections and its own causal mask buffer; in the forward pass, each head is run in turn and the resulting context vectors are concatenated along the embedding dimension to produce the final output. The full computation is traced numerically on the same six-token toy sentence used throughout the series, with d_in = 3, d_out = 2, and num_heads = 2; every intermediate tensor — the per-head W_Q, W_K, W_V matrices, the attention scores, the per-head context vectors, and the concatenated output of shape [2, 6, 4] — is reported to four decimal places and matched against the running notebook output. The class is implemented using two production patterns introduced for the first time in this topic: nn.ModuleList for proper submodule registration, and torch.cat with dim=-1 for concatenation along the embedding axis. The wrapper formulation is mathematically identical to the weight-split formulation derived in Topic 12, but iterates over heads sequentially in Python rather than processing them in a single batched matrix multiplication. By the end of this topic, multi-head causal attention is correct and verified; Topic 12 will rewrite the same computation for production-quality throughput.</w:t>
      </w:r>
    </w:p>
    <w:p>
      <w:pPr>
        <w:spacing w:after="80" w:before="120" w:line="320"/>
        <w:jc w:val="both"/>
      </w:pPr>
      <w:r>
        <w:rPr>
          <w:rFonts w:ascii="Times New Roman" w:cs="Times New Roman" w:eastAsia="Times New Roman" w:hAnsi="Times New Roman"/>
          <w:b/>
          <w:bCs/>
          <w:color w:val="1F2937"/>
          <w:sz w:val="22"/>
          <w:szCs w:val="22"/>
        </w:rPr>
        <w:t xml:space="preserve">Keywords:  </w:t>
      </w:r>
      <w:r>
        <w:rPr>
          <w:rFonts w:ascii="Times New Roman" w:cs="Times New Roman" w:eastAsia="Times New Roman" w:hAnsi="Times New Roman"/>
          <w:i/>
          <w:iCs/>
          <w:color w:val="1F2937"/>
          <w:sz w:val="22"/>
          <w:szCs w:val="22"/>
        </w:rPr>
        <w:t xml:space="preserve">multi-head attention · parallel heads · representational subspaces · nn.ModuleList · torch.cat · concatenation · causal mask per head · embedding dimension preservation</w:t>
      </w:r>
    </w:p>
    <w:p>
      <w:pPr>
        <w:sectPr>
          <w:pgSz w:w="12240" w:h="15840" w:orient="portrait"/>
          <w:pgMar w:top="1440" w:right="1440" w:bottom="1440" w:left="1440" w:header="708" w:footer="708" w:gutter="0"/>
          <w:pgNumType/>
          <w:docGrid w:linePitch="360"/>
        </w:sectPr>
      </w:pPr>
    </w:p>
    <w:p>
      <w:pPr>
        <w:spacing w:after="60" w:before="200"/>
      </w:pPr>
      <w:r>
        <w:rPr>
          <w:rFonts w:ascii="Calibri" w:cs="Calibri" w:eastAsia="Calibri" w:hAnsi="Calibri"/>
          <w:b/>
          <w:bCs/>
          <w:color w:val="0D3B6E"/>
          <w:sz w:val="52"/>
          <w:szCs w:val="52"/>
        </w:rPr>
        <w:t xml:space="preserve">Contents</w:t>
      </w:r>
    </w:p>
    <w:p>
      <w:pPr>
        <w:pBdr>
          <w:bottom w:val="single" w:color="F59E0B" w:sz="12" w:space="6"/>
        </w:pBdr>
        <w:spacing w:after="240" w:before="60"/>
      </w:pPr>
      <w:r>
        <w:rPr>
          <w:sz w:val="2"/>
          <w:szCs w:val="2"/>
        </w:rPr>
        <w:t xml:space="preserve"/>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1.  Why Multiple Heads — The Core Extension</w:t>
      </w:r>
      <w:r>
        <w:rPr>
          <w:rFonts w:ascii="Times New Roman" w:cs="Times New Roman" w:eastAsia="Times New Roman" w:hAnsi="Times New Roman"/>
          <w:color w:val="1F2937"/>
          <w:sz w:val="22"/>
          <w:szCs w:val="22"/>
        </w:rPr>
        <w:t xml:space="preserve">	3</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2.  The GPT-2 Anatomy — Slice, Multi-Task, Re-Stitch</w:t>
      </w:r>
      <w:r>
        <w:rPr>
          <w:rFonts w:ascii="Times New Roman" w:cs="Times New Roman" w:eastAsia="Times New Roman" w:hAnsi="Times New Roman"/>
          <w:color w:val="1F2937"/>
          <w:sz w:val="22"/>
          <w:szCs w:val="22"/>
        </w:rPr>
        <w:t xml:space="preserve">	4</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3.  The Foundation — CausalAttention as Single-Head Building Block</w:t>
      </w:r>
      <w:r>
        <w:rPr>
          <w:rFonts w:ascii="Times New Roman" w:cs="Times New Roman" w:eastAsia="Times New Roman" w:hAnsi="Times New Roman"/>
          <w:color w:val="1F2937"/>
          <w:sz w:val="22"/>
          <w:szCs w:val="22"/>
        </w:rPr>
        <w:t xml:space="preserve">	5</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4.  Numerical Trace of One Head — "journey" Through the Pipeline</w:t>
      </w:r>
      <w:r>
        <w:rPr>
          <w:rFonts w:ascii="Times New Roman" w:cs="Times New Roman" w:eastAsia="Times New Roman" w:hAnsi="Times New Roman"/>
          <w:color w:val="1F2937"/>
          <w:sz w:val="22"/>
          <w:szCs w:val="22"/>
        </w:rPr>
        <w:t xml:space="preserve">	6</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4.1  Step 1 — The Three Weight Matrices</w:t>
      </w:r>
      <w:r>
        <w:rPr>
          <w:rFonts w:ascii="Times New Roman" w:cs="Times New Roman" w:eastAsia="Times New Roman" w:hAnsi="Times New Roman"/>
          <w:color w:val="1F2937"/>
          <w:sz w:val="22"/>
          <w:szCs w:val="22"/>
        </w:rPr>
        <w:t xml:space="preserve">	6</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4.2  Step 2 — Project to Queries, Keys, Values</w:t>
      </w:r>
      <w:r>
        <w:rPr>
          <w:rFonts w:ascii="Times New Roman" w:cs="Times New Roman" w:eastAsia="Times New Roman" w:hAnsi="Times New Roman"/>
          <w:color w:val="1F2937"/>
          <w:sz w:val="22"/>
          <w:szCs w:val="22"/>
        </w:rPr>
        <w:t xml:space="preserve">	7</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4.3  Step 3 — Attention Scores and Scaled Softmax</w:t>
      </w:r>
      <w:r>
        <w:rPr>
          <w:rFonts w:ascii="Times New Roman" w:cs="Times New Roman" w:eastAsia="Times New Roman" w:hAnsi="Times New Roman"/>
          <w:color w:val="1F2937"/>
          <w:sz w:val="22"/>
          <w:szCs w:val="22"/>
        </w:rPr>
        <w:t xml:space="preserve">	7</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4.4  Step 4 — Context Vector for the Query</w:t>
      </w:r>
      <w:r>
        <w:rPr>
          <w:rFonts w:ascii="Times New Roman" w:cs="Times New Roman" w:eastAsia="Times New Roman" w:hAnsi="Times New Roman"/>
          <w:color w:val="1F2937"/>
          <w:sz w:val="22"/>
          <w:szCs w:val="22"/>
        </w:rPr>
        <w:t xml:space="preserve">	8</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5.  Two Heads, Two Batches — The Concatenated Output</w:t>
      </w:r>
      <w:r>
        <w:rPr>
          <w:rFonts w:ascii="Times New Roman" w:cs="Times New Roman" w:eastAsia="Times New Roman" w:hAnsi="Times New Roman"/>
          <w:color w:val="1F2937"/>
          <w:sz w:val="22"/>
          <w:szCs w:val="22"/>
        </w:rPr>
        <w:t xml:space="preserve">	8</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6.  The Complete MultiHeadAttentionWrapper Class</w:t>
      </w:r>
      <w:r>
        <w:rPr>
          <w:rFonts w:ascii="Times New Roman" w:cs="Times New Roman" w:eastAsia="Times New Roman" w:hAnsi="Times New Roman"/>
          <w:color w:val="1F2937"/>
          <w:sz w:val="22"/>
          <w:szCs w:val="22"/>
        </w:rPr>
        <w:t xml:space="preserve">	9</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7.  Two Production Patterns Introduced Here</w:t>
      </w:r>
      <w:r>
        <w:rPr>
          <w:rFonts w:ascii="Times New Roman" w:cs="Times New Roman" w:eastAsia="Times New Roman" w:hAnsi="Times New Roman"/>
          <w:color w:val="1F2937"/>
          <w:sz w:val="22"/>
          <w:szCs w:val="22"/>
        </w:rPr>
        <w:t xml:space="preserve">	10</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7.1  nn.ModuleList — Proper Submodule Registration</w:t>
      </w:r>
      <w:r>
        <w:rPr>
          <w:rFonts w:ascii="Times New Roman" w:cs="Times New Roman" w:eastAsia="Times New Roman" w:hAnsi="Times New Roman"/>
          <w:color w:val="1F2937"/>
          <w:sz w:val="22"/>
          <w:szCs w:val="22"/>
        </w:rPr>
        <w:t xml:space="preserve">	10</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7.2  torch.cat with dim=-1 — Concatenating Along the Embedding Axis</w:t>
      </w:r>
      <w:r>
        <w:rPr>
          <w:rFonts w:ascii="Times New Roman" w:cs="Times New Roman" w:eastAsia="Times New Roman" w:hAnsi="Times New Roman"/>
          <w:color w:val="1F2937"/>
          <w:sz w:val="22"/>
          <w:szCs w:val="22"/>
        </w:rPr>
        <w:t xml:space="preserve">	10</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8.  Dimension Mathematics — Why d_out × num_heads = d_model</w:t>
      </w:r>
      <w:r>
        <w:rPr>
          <w:rFonts w:ascii="Times New Roman" w:cs="Times New Roman" w:eastAsia="Times New Roman" w:hAnsi="Times New Roman"/>
          <w:color w:val="1F2937"/>
          <w:sz w:val="22"/>
          <w:szCs w:val="22"/>
        </w:rPr>
        <w:t xml:space="preserve">	11</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9.  Complete Shape Summary — Every Tensor Tracked</w:t>
      </w:r>
      <w:r>
        <w:rPr>
          <w:rFonts w:ascii="Times New Roman" w:cs="Times New Roman" w:eastAsia="Times New Roman" w:hAnsi="Times New Roman"/>
          <w:color w:val="1F2937"/>
          <w:sz w:val="22"/>
          <w:szCs w:val="22"/>
        </w:rPr>
        <w:t xml:space="preserve">	12</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10.  Key Observations</w:t>
      </w:r>
      <w:r>
        <w:rPr>
          <w:rFonts w:ascii="Times New Roman" w:cs="Times New Roman" w:eastAsia="Times New Roman" w:hAnsi="Times New Roman"/>
          <w:color w:val="1F2937"/>
          <w:sz w:val="22"/>
          <w:szCs w:val="22"/>
        </w:rPr>
        <w:t xml:space="preserve">	12</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11.  Experiments &amp; Open Questions</w:t>
      </w:r>
      <w:r>
        <w:rPr>
          <w:rFonts w:ascii="Times New Roman" w:cs="Times New Roman" w:eastAsia="Times New Roman" w:hAnsi="Times New Roman"/>
          <w:color w:val="1F2937"/>
          <w:sz w:val="22"/>
          <w:szCs w:val="22"/>
        </w:rPr>
        <w:t xml:space="preserve">	13</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11.1  Hand-Verified Concatenation for the 'journey' Token</w:t>
      </w:r>
      <w:r>
        <w:rPr>
          <w:rFonts w:ascii="Times New Roman" w:cs="Times New Roman" w:eastAsia="Times New Roman" w:hAnsi="Times New Roman"/>
          <w:color w:val="1F2937"/>
          <w:sz w:val="22"/>
          <w:szCs w:val="22"/>
        </w:rPr>
        <w:t xml:space="preserve">	13</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11.2  Open Question — Do Different Heads Genuinely Specialize?</w:t>
      </w:r>
      <w:r>
        <w:rPr>
          <w:rFonts w:ascii="Times New Roman" w:cs="Times New Roman" w:eastAsia="Times New Roman" w:hAnsi="Times New Roman"/>
          <w:color w:val="1F2937"/>
          <w:sz w:val="22"/>
          <w:szCs w:val="22"/>
        </w:rPr>
        <w:t xml:space="preserve">	14</w:t>
      </w:r>
    </w:p>
    <w:p>
      <w:pPr>
        <w:tabs>
          <w:tab w:val="right" w:pos="9360" w:leader="dot"/>
        </w:tabs>
        <w:spacing w:after="80" w:before="80" w:line="300"/>
        <w:ind w:left="360"/>
      </w:pPr>
      <w:r>
        <w:rPr>
          <w:rFonts w:ascii="Times New Roman" w:cs="Times New Roman" w:eastAsia="Times New Roman" w:hAnsi="Times New Roman"/>
          <w:b w:val="false"/>
          <w:bCs w:val="false"/>
          <w:color w:val="1F2937"/>
          <w:sz w:val="22"/>
          <w:szCs w:val="22"/>
        </w:rPr>
        <w:t xml:space="preserve">11.3  Proposed Future Work</w:t>
      </w:r>
      <w:r>
        <w:rPr>
          <w:rFonts w:ascii="Times New Roman" w:cs="Times New Roman" w:eastAsia="Times New Roman" w:hAnsi="Times New Roman"/>
          <w:color w:val="1F2937"/>
          <w:sz w:val="22"/>
          <w:szCs w:val="22"/>
        </w:rPr>
        <w:t xml:space="preserve">	14</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12.  Discussion — Relationship to Prior Work</w:t>
      </w:r>
      <w:r>
        <w:rPr>
          <w:rFonts w:ascii="Times New Roman" w:cs="Times New Roman" w:eastAsia="Times New Roman" w:hAnsi="Times New Roman"/>
          <w:color w:val="1F2937"/>
          <w:sz w:val="22"/>
          <w:szCs w:val="22"/>
        </w:rPr>
        <w:t xml:space="preserve">	14</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13.  What Comes Next</w:t>
      </w:r>
      <w:r>
        <w:rPr>
          <w:rFonts w:ascii="Times New Roman" w:cs="Times New Roman" w:eastAsia="Times New Roman" w:hAnsi="Times New Roman"/>
          <w:color w:val="1F2937"/>
          <w:sz w:val="22"/>
          <w:szCs w:val="22"/>
        </w:rPr>
        <w:t xml:space="preserve">	15</w:t>
      </w:r>
    </w:p>
    <w:p>
      <w:pPr>
        <w:tabs>
          <w:tab w:val="right" w:pos="9360" w:leader="dot"/>
        </w:tabs>
        <w:spacing w:after="80" w:before="80" w:line="300"/>
        <w:ind w:left="0"/>
      </w:pPr>
      <w:r>
        <w:rPr>
          <w:rFonts w:ascii="Times New Roman" w:cs="Times New Roman" w:eastAsia="Times New Roman" w:hAnsi="Times New Roman"/>
          <w:b/>
          <w:bCs/>
          <w:color w:val="1F2937"/>
          <w:sz w:val="22"/>
          <w:szCs w:val="22"/>
        </w:rPr>
        <w:t xml:space="preserve">       References</w:t>
      </w:r>
      <w:r>
        <w:rPr>
          <w:rFonts w:ascii="Times New Roman" w:cs="Times New Roman" w:eastAsia="Times New Roman" w:hAnsi="Times New Roman"/>
          <w:color w:val="1F2937"/>
          <w:sz w:val="22"/>
          <w:szCs w:val="22"/>
        </w:rPr>
        <w:t xml:space="preserve">	16</w:t>
      </w:r>
    </w:p>
    <w:p>
      <w:pPr>
        <w:sectPr>
          <w:pgSz w:w="12240" w:h="15840" w:orient="portrait"/>
          <w:pgMar w:top="1440" w:right="1440" w:bottom="1440" w:left="1440" w:header="708" w:footer="708" w:gutter="0"/>
          <w:pgNumType/>
          <w:docGrid w:linePitch="360"/>
        </w:sectPr>
      </w:pPr>
    </w:p>
    <w:p>
      <w:pPr>
        <w:spacing w:after="120" w:before="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Author</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Shiva Kiran Dadishetty</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Series</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Building LLMs from Scratch</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Topic</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11 of 36  —  Stage 2: The Attention Mechanism</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Document Type</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Implementation &amp; Derivation — Multi-Head, Wrapper Form</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Also Known As</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Multi-Head Self-Attention (Wrapper Implementation)</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Core Question</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How do num_heads independent attention computations combine into a single layer output, and why is each head an independent learned subspace?</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Builds On</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Topic 10 — Causal Self-Attention</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Running Example</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"Your journey starts with one step" — d_in = 3, d_out = 2, num_heads = 2, batched ×2</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In GPT-2 Small</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d_model = 768, num_heads = 12, d_head = 64 across all 12 transformer layers</w:t>
            </w:r>
          </w:p>
        </w:tc>
      </w:tr>
      <w:tr>
        <w:trPr>
          <w:cantSplit/>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Version / Date</w:t>
            </w:r>
          </w:p>
        </w:tc>
        <w:tc>
          <w:tcPr>
            <w:tcW w:type="dxa" w:w="63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Version 1.0  ·  May 2026</w:t>
            </w:r>
          </w:p>
        </w:tc>
      </w:tr>
    </w:tbl>
    <w:p>
      <w:pPr>
        <w:spacing w:after="120" w:before="240"/>
      </w:pPr>
      <w:r>
        <w:rPr>
          <w:sz w:val="2"/>
          <w:szCs w:val="2"/>
        </w:rPr>
        <w:t xml:space="preserve"/>
      </w:r>
    </w:p>
    <w:p>
      <w:pPr>
        <w:pStyle w:val="Heading1"/>
        <w:keepNext/>
        <w:keepLines/>
        <w:spacing w:after="180" w:before="360"/>
      </w:pPr>
      <w:r>
        <w:rPr>
          <w:rFonts w:ascii="Calibri" w:cs="Calibri" w:eastAsia="Calibri" w:hAnsi="Calibri"/>
          <w:b/>
          <w:bCs/>
          <w:color w:val="0D3B6E"/>
          <w:sz w:val="32"/>
          <w:szCs w:val="32"/>
        </w:rPr>
        <w:t xml:space="preserve">1.  Why Multiple Heads — The Core Extension</w:t>
      </w:r>
    </w:p>
    <w:p>
      <w:pPr>
        <w:spacing w:after="120" w:before="60" w:line="320"/>
        <w:jc w:val="both"/>
      </w:pPr>
      <w:r>
        <w:rPr>
          <w:rFonts w:ascii="Times New Roman" w:cs="Times New Roman" w:eastAsia="Times New Roman" w:hAnsi="Times New Roman"/>
          <w:color w:val="1F2937"/>
          <w:sz w:val="22"/>
          <w:szCs w:val="22"/>
        </w:rPr>
        <w:t xml:space="preserve">The causal self-attention module developed in Topic 10 produces, for each input token, a single context vector by computing a single attention distribution over all visible positions. This is a powerful mechanism but it is also a single representational view of the sequence: every token-to-token relationship is summarized into one set of attention weights. A model that needs to attend simultaneously to multiple distinct types of relationships — syntax, semantics, coreference, position — has to compress all of those into the same attention distribution.</w:t>
      </w:r>
    </w:p>
    <w:p>
      <w:pPr>
        <w:spacing w:after="120" w:before="60" w:line="320"/>
        <w:jc w:val="both"/>
      </w:pPr>
      <w:r>
        <w:rPr>
          <w:rFonts w:ascii="Times New Roman" w:cs="Times New Roman" w:eastAsia="Times New Roman" w:hAnsi="Times New Roman"/>
          <w:color w:val="1F2937"/>
          <w:sz w:val="22"/>
          <w:szCs w:val="22"/>
        </w:rPr>
        <w:t xml:space="preserve">Multi-head attention removes that compression. Rather than running one attention computation, the layer runs num_heads independent attention computations in parallel. Each head has its own learned W_Q, W_K, W_V projections, its own attention score matrix, its own causal mask, and its own output context vector. Each head is therefore free to learn a distinct representational role: one head might specialize on local syntactic dependencies, another on long-range coreference, a third on tense agreement. The outputs of all heads are concatenated along the embedding dimension to produce the final layer output, which carries the combined information from all parallel views.</w:t>
      </w:r>
    </w:p>
    <w:p>
      <w:pPr>
        <w:keepLines/>
        <w:pBdr>
          <w:left w:val="single" w:color="F59E0B" w:sz="24" w:space="12"/>
        </w:pBdr>
        <w:shd w:fill="FEF3C7" w:val="clear"/>
        <w:spacing w:after="200" w:before="200" w:line="320"/>
        <w:ind w:left="240" w:right="240"/>
      </w:pPr>
      <w:r>
        <w:rPr>
          <w:rFonts w:ascii="Times New Roman" w:cs="Times New Roman" w:eastAsia="Times New Roman" w:hAnsi="Times New Roman"/>
          <w:b/>
          <w:bCs/>
          <w:color w:val="0D3B6E"/>
          <w:sz w:val="22"/>
          <w:szCs w:val="22"/>
        </w:rPr>
        <w:t xml:space="preserve">From One Perspective to Many</w:t>
      </w:r>
      <w:r>
        <w:rPr>
          <w:rFonts w:ascii="Times New Roman" w:cs="Times New Roman" w:eastAsia="Times New Roman" w:hAnsi="Times New Roman"/>
          <w:color w:val="6B7280"/>
          <w:sz w:val="22"/>
          <w:szCs w:val="22"/>
        </w:rPr>
        <w:t xml:space="preserve">  —  </w:t>
      </w:r>
      <w:r>
        <w:rPr>
          <w:rFonts w:ascii="Times New Roman" w:cs="Times New Roman" w:eastAsia="Times New Roman" w:hAnsi="Times New Roman"/>
          <w:i/>
          <w:iCs/>
          <w:color w:val="1F2937"/>
          <w:sz w:val="22"/>
          <w:szCs w:val="22"/>
        </w:rPr>
        <w:t xml:space="preserve">Single-head causal attention provides one set of weights describing all the relationships in the sequence. Multi-head attention provides num_heads independent sets of weights, each free to focus on a different aspect of the input. The model is no longer forced to compress every kind of dependency into a single attention distribution; the heads divide the labour. This is what allows a 12-head GPT-2 layer to attend to 12 different patterns of structure simultaneously without any of them interfering with the others.</w:t>
      </w:r>
    </w:p>
    <w:p>
      <w:pPr>
        <w:spacing w:after="120" w:before="60" w:line="320"/>
        <w:jc w:val="both"/>
      </w:pPr>
      <w:r>
        <w:rPr>
          <w:rFonts w:ascii="Times New Roman" w:cs="Times New Roman" w:eastAsia="Times New Roman" w:hAnsi="Times New Roman"/>
          <w:color w:val="1F2937"/>
          <w:sz w:val="22"/>
          <w:szCs w:val="22"/>
        </w:rPr>
        <w:t xml:space="preserve">Topic 11 implements this extension in its most pedagogically transparent form: a wrapper class that stores num_heads independent CausalAttention modules, runs each one in turn during the forward pass, and concatenates their outputs. The implementation is mathematically identical to the weight-split formulation that will be derived in Topic 12, but it iterates over heads sequentially in Python rather than processing them as a single batched matrix multiplication. The wrapper version is slower by a constant factor proportional to num_heads but is much easier to read and debug, which is why it is presented first.</w:t>
      </w:r>
    </w:p>
    <w:p>
      <w:pPr>
        <w:pStyle w:val="Heading1"/>
        <w:keepNext/>
        <w:keepLines/>
        <w:spacing w:after="180" w:before="360"/>
      </w:pPr>
      <w:r>
        <w:rPr>
          <w:rFonts w:ascii="Calibri" w:cs="Calibri" w:eastAsia="Calibri" w:hAnsi="Calibri"/>
          <w:b/>
          <w:bCs/>
          <w:color w:val="0D3B6E"/>
          <w:sz w:val="32"/>
          <w:szCs w:val="32"/>
        </w:rPr>
        <w:t xml:space="preserve">2.  The GPT-2 Anatomy — Slice, Multi-Task, Re-Stitch</w:t>
      </w:r>
    </w:p>
    <w:p>
      <w:pPr>
        <w:spacing w:after="120" w:before="60" w:line="320"/>
        <w:jc w:val="both"/>
      </w:pPr>
      <w:r>
        <w:rPr>
          <w:rFonts w:ascii="Times New Roman" w:cs="Times New Roman" w:eastAsia="Times New Roman" w:hAnsi="Times New Roman"/>
          <w:color w:val="1F2937"/>
          <w:sz w:val="22"/>
          <w:szCs w:val="22"/>
        </w:rPr>
        <w:t xml:space="preserve">In the toy implementation of this topic, two heads with d_out = 2 each are concatenated to produce a 4-dimensional output. In production GPT-2 Small the same mechanism scales to 12 heads with d_head = 64, producing a 768-dimensional output that matches the d_model = 768 input dimension. The full GPT-2 picture is best understood as three phases applied to each token, illustrated using the example sentence "The cat sat" and focusing on the token "sat".</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 THE SLICE  (input)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'sat' arrives as a 768-dimensional vector.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The 12 heads collectively cover all 768 dimensions: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Head  1 owns dimensions    1 –  64</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Head  2 owns dimensions   65 – 128</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Head 12 owns dimensions  705 – 768</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Each head sees a 64-dim slice of the same input.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THE MULTI-TASK  (parallel processing)</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Head 1 (Grammar):  Is 'sat' the verb for the noun 'cat'?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Head 2 (Tense):    Is this past, present, or future?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Head 3 (Logic):    Can a cat physically perform the action of sitting?</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All 12 run independently, each with its own W_Q, W_K, W_V.</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THE RE-STITCH  (output)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[Head1 (64)] + [Head2 (64)] + ... + [Head12 (64)] = 768 dim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'sat' is now a 768-wide vector containing 12 expert opinions</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about its role in the sentence — one from each head.</w:t>
      </w:r>
    </w:p>
    <w:p>
      <w:pPr>
        <w:spacing w:after="120" w:before="60" w:line="320"/>
        <w:jc w:val="both"/>
      </w:pPr>
      <w:r>
        <w:rPr>
          <w:rFonts w:ascii="Times New Roman" w:cs="Times New Roman" w:eastAsia="Times New Roman" w:hAnsi="Times New Roman"/>
          <w:color w:val="1F2937"/>
          <w:sz w:val="22"/>
          <w:szCs w:val="22"/>
        </w:rPr>
        <w:t xml:space="preserve">Two architectural choices in this design are worth noticing. First, every head is causally masked — none of them is allowed to look to the right of the current token, regardless of which aspect they specialize on. Multi-head provides diversity of what to look at; the causal mask provides a uniform constraint on the direction of attention. Second, the output dimension is exactly equal to the input dimension by construction (d_out × num_heads = d_model). This dimensional symmetry is what allows a Transformer block to be stacked: the output of one block is the same shape as the input of the next.</w:t>
      </w:r>
    </w:p>
    <w:p>
      <w:pPr>
        <w:spacing w:after="80" w:before="200"/>
        <w:jc w:val="center"/>
      </w:pPr>
      <w:r>
        <w:drawing>
          <wp:inline distT="0" distB="0" distL="0" distR="0">
            <wp:extent cx="5143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96227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6B7280"/>
          <w:sz w:val="20"/>
          <w:szCs w:val="20"/>
        </w:rPr>
        <w:t xml:space="preserve">Figure 1: Multi-head attention with two heads. The same input X is projected through two independent sets of weight matrices W_Q1/W_K1/W_V1 and W_Q2/W_K2/W_V2, producing two query/key/value triplets and two attention weight matrices (each masked causally and with dropout). The two context vector matrices Z_1 and Z_2 are then concatenated horizontally to produce the combined output Z. Source diagram from the running implementation.</w:t>
      </w:r>
    </w:p>
    <w:p>
      <w:pPr>
        <w:pStyle w:val="Heading1"/>
        <w:keepNext/>
        <w:keepLines/>
        <w:spacing w:after="180" w:before="360"/>
      </w:pPr>
      <w:r>
        <w:rPr>
          <w:rFonts w:ascii="Calibri" w:cs="Calibri" w:eastAsia="Calibri" w:hAnsi="Calibri"/>
          <w:b/>
          <w:bCs/>
          <w:color w:val="0D3B6E"/>
          <w:sz w:val="32"/>
          <w:szCs w:val="32"/>
        </w:rPr>
        <w:t xml:space="preserve">3.  The Foundation — CausalAttention as Single-Head Building Block</w:t>
      </w:r>
    </w:p>
    <w:p>
      <w:pPr>
        <w:spacing w:after="120" w:before="60" w:line="320"/>
        <w:jc w:val="both"/>
      </w:pPr>
      <w:r>
        <w:rPr>
          <w:rFonts w:ascii="Times New Roman" w:cs="Times New Roman" w:eastAsia="Times New Roman" w:hAnsi="Times New Roman"/>
          <w:color w:val="1F2937"/>
          <w:sz w:val="22"/>
          <w:szCs w:val="22"/>
        </w:rPr>
        <w:t xml:space="preserve">Each head inside the wrapper is an instance of the CausalAttention class developed in Topic 10. The wrapper does not modify or re-implement that class; it instantiates it num_heads times with independent random initializations and combines their outputs. Understanding the wrapper requires understanding what each instance does internally. The class is reproduced below for reference.</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class CausalAttention(nn.Module):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def __init__(self, d_in, d_out, context_length,</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dropout, qkv_bias=False):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super().__init__()</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self.d_out = d_out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self.W_query = nn.Linear(d_in, d_out, bias=qkv_bias)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self.W_key   = nn.Linear(d_in, d_out, bias=qkv_bias)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self.W_value = nn.Linear(d_in, d_out, bias=qkv_bias)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self.dropout = nn.Dropout(dropout)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self.register_buffer(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'mask',</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torch.triu(torch.ones(context_length, context_length),</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diagonal=1)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def forward(self, x):</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b, num_tokens, d_in = x.shape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keys    = self.W_key(x)</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queries = self.W_query(x)</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values  = self.W_value(x)</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attn_scores = queries @ keys.transpose(1, 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attn_scores.masked_fill_(</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self.mask.bool()[:num_tokens, :num_tokens], -torch.inf</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attn_weights = torch.softmax(</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attn_scores / keys.shape[-1]**0.5, dim=-1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attn_weights = self.dropout(attn_weights)</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return attn_weights @ values</w:t>
      </w:r>
    </w:p>
    <w:p>
      <w:pPr>
        <w:spacing w:after="120" w:before="60" w:line="320"/>
        <w:jc w:val="both"/>
      </w:pPr>
      <w:r>
        <w:rPr>
          <w:rFonts w:ascii="Times New Roman" w:cs="Times New Roman" w:eastAsia="Times New Roman" w:hAnsi="Times New Roman"/>
          <w:color w:val="1F2937"/>
          <w:sz w:val="22"/>
          <w:szCs w:val="22"/>
        </w:rPr>
        <w:t xml:space="preserve">Multi-head attention creates num_heads independent instances of this class. Each instance has its own W_query, W_key, W_value linear layers (with their own randomly initialized weights), its own dropout layer, and its own register_buffer mask. None of these are shared across heads. When the wrapper's forward pass is executed, each instance independently produces a context vector tensor of shape [batch, num_tokens, d_out]; the wrapper then concatenates these tensors along the last (embedding) dimension.</w:t>
      </w:r>
    </w:p>
    <w:p>
      <w:pPr>
        <w:pStyle w:val="Heading1"/>
        <w:keepNext/>
        <w:keepLines/>
        <w:spacing w:after="180" w:before="360"/>
      </w:pPr>
      <w:r>
        <w:rPr>
          <w:rFonts w:ascii="Calibri" w:cs="Calibri" w:eastAsia="Calibri" w:hAnsi="Calibri"/>
          <w:b/>
          <w:bCs/>
          <w:color w:val="0D3B6E"/>
          <w:sz w:val="32"/>
          <w:szCs w:val="32"/>
        </w:rPr>
        <w:t xml:space="preserve">4.  Numerical Trace of One Head — "journey" Through the Pipeline</w:t>
      </w:r>
    </w:p>
    <w:p>
      <w:pPr>
        <w:spacing w:after="120" w:before="60" w:line="320"/>
        <w:jc w:val="both"/>
      </w:pPr>
      <w:r>
        <w:rPr>
          <w:rFonts w:ascii="Times New Roman" w:cs="Times New Roman" w:eastAsia="Times New Roman" w:hAnsi="Times New Roman"/>
          <w:color w:val="1F2937"/>
          <w:sz w:val="22"/>
          <w:szCs w:val="22"/>
        </w:rPr>
        <w:t xml:space="preserve">Before assembling the full wrapper, this section traces the complete computation of a single head end-to-end with verified numerical values. The same six-token toy sentence used throughout the series is the input, and the seed torch.manual_seed(123) is used so the values match what the notebook produces. The reader can compare each tensor against the corresponding cell in the running notebook.</w:t>
      </w:r>
    </w:p>
    <w:p>
      <w:pPr>
        <w:pStyle w:val="Heading2"/>
        <w:keepNext/>
        <w:keepLines/>
        <w:spacing w:after="120" w:before="240"/>
      </w:pPr>
      <w:r>
        <w:rPr>
          <w:rFonts w:ascii="Calibri" w:cs="Calibri" w:eastAsia="Calibri" w:hAnsi="Calibri"/>
          <w:b/>
          <w:bCs/>
          <w:color w:val="0D3B6E"/>
          <w:sz w:val="26"/>
          <w:szCs w:val="26"/>
        </w:rPr>
        <w:t xml:space="preserve">4.1  Step 1 — The Three Weight Matrices</w:t>
      </w:r>
    </w:p>
    <w:p>
      <w:pPr>
        <w:spacing w:after="120" w:before="60" w:line="320"/>
        <w:jc w:val="both"/>
      </w:pPr>
      <w:r>
        <w:rPr>
          <w:rFonts w:ascii="Times New Roman" w:cs="Times New Roman" w:eastAsia="Times New Roman" w:hAnsi="Times New Roman"/>
          <w:color w:val="1F2937"/>
          <w:sz w:val="22"/>
          <w:szCs w:val="22"/>
        </w:rPr>
        <w:t xml:space="preserve">Each head has its own W_query, W_key, W_value of shape [d_in, d_out] = [3, 2]. The values below are the actual matrices produced by torch.rand under seed 123. In a num_heads = 2 wrapper, head 1 has these weights and head 2 has its own independent random draw.</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torch.manual_seed(123)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W_query = nn.Parameter(torch.rand(d_in, d_out), requires_grad=False)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W_key   = nn.Parameter(torch.rand(d_in, d_out), requires_grad=False)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W_value = nn.Parameter(torch.rand(d_in, d_out), requires_grad=False)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W_query:  [[0.2961, 0.5166],     # shape [3, 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[0.2517, 0.6886],</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[0.0740, 0.8665]]</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W_key:    [[0.1366, 0.1025],     # shape [3, 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[0.1841, 0.7264],</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[0.3153, 0.6871]]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W_value:  [[0.0756, 0.1966],     # shape [3, 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[0.3164, 0.4017],</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[0.1186, 0.8274]]</w:t>
      </w:r>
    </w:p>
    <w:p>
      <w:pPr>
        <w:pStyle w:val="Heading2"/>
        <w:keepNext/>
        <w:keepLines/>
        <w:spacing w:after="120" w:before="240"/>
      </w:pPr>
      <w:r>
        <w:rPr>
          <w:rFonts w:ascii="Calibri" w:cs="Calibri" w:eastAsia="Calibri" w:hAnsi="Calibri"/>
          <w:b/>
          <w:bCs/>
          <w:color w:val="0D3B6E"/>
          <w:sz w:val="26"/>
          <w:szCs w:val="26"/>
        </w:rPr>
        <w:t xml:space="preserve">4.2  Step 2 — Project to Queries, Keys, Values</w:t>
      </w:r>
    </w:p>
    <w:p>
      <w:pPr>
        <w:spacing w:after="120" w:before="60" w:line="320"/>
        <w:jc w:val="both"/>
      </w:pPr>
      <w:r>
        <w:rPr>
          <w:rFonts w:ascii="Times New Roman" w:cs="Times New Roman" w:eastAsia="Times New Roman" w:hAnsi="Times New Roman"/>
          <w:color w:val="1F2937"/>
          <w:sz w:val="22"/>
          <w:szCs w:val="22"/>
        </w:rPr>
        <w:t xml:space="preserve">Applying each projection to the full input matrix produces three matrices of shape [6, 2]. The query for the focus token x(2) = 'journey' is the second row of the queries matrix, and equals q(2) = [0.4306, 1.4551].</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x_2 = inputs[1]                  # 'journey'  -&gt;  [0.55, 0.87, 0.66]</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query_2 = x_2 @ W_query          # tensor([0.4306, 1.4551])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key_2   = x_2 @ W_key</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value_2 = x_2 @ W_value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Full sequence projections: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queries = inputs @ W_query       # shape [6, 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keys    = inputs @ W_key         # shape [6, 2]</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values  = inputs @ W_value       # shape [6, 2]</w:t>
      </w:r>
    </w:p>
    <w:p>
      <w:pPr>
        <w:pStyle w:val="Heading2"/>
        <w:keepNext/>
        <w:keepLines/>
        <w:spacing w:after="120" w:before="240"/>
      </w:pPr>
      <w:r>
        <w:rPr>
          <w:rFonts w:ascii="Calibri" w:cs="Calibri" w:eastAsia="Calibri" w:hAnsi="Calibri"/>
          <w:b/>
          <w:bCs/>
          <w:color w:val="0D3B6E"/>
          <w:sz w:val="26"/>
          <w:szCs w:val="26"/>
        </w:rPr>
        <w:t xml:space="preserve">4.3  Step 3 — Attention Scores and Scaled Softmax</w:t>
      </w:r>
    </w:p>
    <w:p>
      <w:pPr>
        <w:spacing w:after="120" w:before="60" w:line="320"/>
        <w:jc w:val="both"/>
      </w:pPr>
      <w:r>
        <w:rPr>
          <w:rFonts w:ascii="Times New Roman" w:cs="Times New Roman" w:eastAsia="Times New Roman" w:hAnsi="Times New Roman"/>
          <w:color w:val="1F2937"/>
          <w:sz w:val="22"/>
          <w:szCs w:val="22"/>
        </w:rPr>
        <w:t xml:space="preserve">Attention scores are computed as the dot product of every query with every key. The score for q(2) against k(2) (the diagonal entry for 'journey') is 1.8524, the highest in its row. Scaling by 1/sqrt(d_k) and applying softmax produces the attention weight distribution for the 'journey' query.</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 Single score: q(2) . k(2)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attn_score_22 = query_2.dot(keys[1])     # tensor(1.8524)</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All scores for q(2) against every key:</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attn_scores_2 = query_2 @ keys.T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tensor([1.2705, 1.8524, 1.8111, 1.0795, 0.5577, 1.5440])</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Your   journey  starts   with    one    step</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Full 6 x 6 attention score matrix:</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attn_scores = queries @ keys.T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tensor([[0.9231, 1.3545, 1.3241, 0.7910, 0.4032, 1.1330],   # Your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[1.2705, 1.8524, 1.8111, 1.0795, 0.5577, 1.5440],   # journey</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[1.2544, 1.8284, 1.7877, 1.0654, 0.5508, 1.5238],   # starts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[0.6973, 1.0167, 0.9941, 0.5925, 0.3061, 0.8475],   # with</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[0.6114, 0.8819, 0.8626, 0.5121, 0.2707, 0.7307],   # one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[0.8995, 1.3165, 1.2871, 0.7682, 0.3937, 1.0996]])  # step</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Scale by 1/sqrt(d_k = 2) and softmax row-wise: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d_k = keys.shape[-1]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attn_weights_2 = torch.softmax(attn_scores_2 / d_k**0.5, dim=-1)</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tensor([0.1500, 0.2264, 0.2199, 0.1311, 0.0906, 0.1820])  sum = 1.0</w:t>
      </w:r>
    </w:p>
    <w:p>
      <w:pPr>
        <w:pStyle w:val="Heading2"/>
        <w:keepNext/>
        <w:keepLines/>
        <w:spacing w:after="120" w:before="240"/>
      </w:pPr>
      <w:r>
        <w:rPr>
          <w:rFonts w:ascii="Calibri" w:cs="Calibri" w:eastAsia="Calibri" w:hAnsi="Calibri"/>
          <w:b/>
          <w:bCs/>
          <w:color w:val="0D3B6E"/>
          <w:sz w:val="26"/>
          <w:szCs w:val="26"/>
        </w:rPr>
        <w:t xml:space="preserve">4.4  Step 4 — Context Vector for the Query</w:t>
      </w:r>
    </w:p>
    <w:p>
      <w:pPr>
        <w:spacing w:after="120" w:before="60" w:line="320"/>
        <w:jc w:val="both"/>
      </w:pPr>
      <w:r>
        <w:rPr>
          <w:rFonts w:ascii="Times New Roman" w:cs="Times New Roman" w:eastAsia="Times New Roman" w:hAnsi="Times New Roman"/>
          <w:color w:val="1F2937"/>
          <w:sz w:val="22"/>
          <w:szCs w:val="22"/>
        </w:rPr>
        <w:t xml:space="preserve">The context vector for the 'journey' query is the weighted sum of value vectors with the attention weights as mixing coefficients. For this single head, z(2) is a 2-dimensional vector. In the wrapper, head 2 independently produces its own 2-dimensional vector for the same token, and the two are concatenated to produce a 4-dimensional combined output.</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context_vec_2 = attn_weights_2 @ values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tensor([0.3061, 0.8210])</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This is z(2) for query 'journey' from head 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Head 2 (independent W_Q2, W_K2, W_V2) produces a different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2-dimensional vector, also computed from the same input.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Note: this is the unmasked single-head trace (Topic 9 reproduced here).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Inside the multi-head wrapper, the same arithmetic runs but with the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causal mask of Topic 10 applied to attn_scores before softmax, and</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dropout applied to attn_weights after softmax.</w:t>
      </w:r>
    </w:p>
    <w:p>
      <w:pPr>
        <w:pStyle w:val="Heading1"/>
        <w:keepNext/>
        <w:keepLines/>
        <w:spacing w:after="180" w:before="360"/>
      </w:pPr>
      <w:r>
        <w:rPr>
          <w:rFonts w:ascii="Calibri" w:cs="Calibri" w:eastAsia="Calibri" w:hAnsi="Calibri"/>
          <w:b/>
          <w:bCs/>
          <w:color w:val="0D3B6E"/>
          <w:sz w:val="32"/>
          <w:szCs w:val="32"/>
        </w:rPr>
        <w:t xml:space="preserve">5.  Two Heads, Two Batches — The Concatenated Output</w:t>
      </w:r>
    </w:p>
    <w:p>
      <w:pPr>
        <w:spacing w:after="120" w:before="60" w:line="320"/>
        <w:jc w:val="both"/>
      </w:pPr>
      <w:r>
        <w:rPr>
          <w:rFonts w:ascii="Times New Roman" w:cs="Times New Roman" w:eastAsia="Times New Roman" w:hAnsi="Times New Roman"/>
          <w:color w:val="1F2937"/>
          <w:sz w:val="22"/>
          <w:szCs w:val="22"/>
        </w:rPr>
        <w:t xml:space="preserve">With single-head behaviour established, the wrapper runs a second head with its own independent weight matrices (drawn from the next state of the same random seed), and both heads operate on the same input. The two outputs are concatenated along the embedding axis. For a batch of 2 sequences of 6 tokens with d_out = 2 per head and num_heads = 2, the final output has shape [2, 6, 4].</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batch = torch.stack((inputs, inputs), dim=0)   # shape [2, 6, 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torch.manual_seed(123)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mha = MultiHeadAttentionWrapper(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d_in=3, d_out=2, context_length=6,</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dropout=0.0, num_heads=2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context_vecs = mha(batch)</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print(context_vecs.shape)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torch.Size([2, 6, 4])</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2 batches, 6 tokens, d_out * num_heads = 4</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print(context_vecs)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tensor([[[-0.4519,  0.2216,  0.4772,  0.1063],   # Your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[-0.5874,  0.0058,  0.5891,  0.3257],   # journey</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[-0.6300, -0.0632,  0.6202,  0.3860],   # starts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[-0.5675, -0.0843,  0.5478,  0.3589],   # with</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[-0.5526, -0.0981,  0.5321,  0.3428],   # one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[-0.5299, -0.1081,  0.5077,  0.3493]],  # step</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[identical for batch 2 — same input stacked twice]])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First 2 values per token  =  Head 1 output (Z_1)</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Last  2 values per token  =  Head 2 output (Z_2)</w:t>
      </w:r>
    </w:p>
    <w:p>
      <w:pPr>
        <w:spacing w:after="80" w:before="200"/>
        <w:jc w:val="center"/>
      </w:pPr>
      <w:r>
        <w:drawing>
          <wp:inline distT="0" distB="0" distL="0" distR="0">
            <wp:extent cx="5143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400300"/>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6B7280"/>
          <w:sz w:val="20"/>
          <w:szCs w:val="20"/>
        </w:rPr>
        <w:t xml:space="preserve">Figure 2: Concatenation along the embedding dimension. Each head produces a context-vector matrix of shape [num_tokens, d_out] = [6, 2]. Two such matrices, Z_1 and Z_2, are concatenated horizontally (dim = -1) to produce Z of shape [num_tokens, d_out × num_heads] = [6, 4]. The batch dimension (omitted here for clarity) sits in front of all of these shapes throughout.</w:t>
      </w:r>
    </w:p>
    <w:p>
      <w:pPr>
        <w:pStyle w:val="Heading1"/>
        <w:keepNext/>
        <w:keepLines/>
        <w:spacing w:after="180" w:before="360"/>
      </w:pPr>
      <w:r>
        <w:rPr>
          <w:rFonts w:ascii="Calibri" w:cs="Calibri" w:eastAsia="Calibri" w:hAnsi="Calibri"/>
          <w:b/>
          <w:bCs/>
          <w:color w:val="0D3B6E"/>
          <w:sz w:val="32"/>
          <w:szCs w:val="32"/>
        </w:rPr>
        <w:t xml:space="preserve">6.  The Complete MultiHeadAttentionWrapper Class</w:t>
      </w:r>
    </w:p>
    <w:p>
      <w:pPr>
        <w:spacing w:after="120" w:before="60" w:line="320"/>
        <w:jc w:val="both"/>
      </w:pPr>
      <w:r>
        <w:rPr>
          <w:rFonts w:ascii="Times New Roman" w:cs="Times New Roman" w:eastAsia="Times New Roman" w:hAnsi="Times New Roman"/>
          <w:color w:val="1F2937"/>
          <w:sz w:val="22"/>
          <w:szCs w:val="22"/>
        </w:rPr>
        <w:t xml:space="preserve">The wrapper class itself is small. It stores num_heads CausalAttention instances in an nn.ModuleList — see Section 7.1 for why the choice of container matters — and the forward pass runs each instance in sequence, collecting their outputs into a list, and concatenates them with torch.cat along dim=-1.</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import torch</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import torch.nn as nn</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class MultiHeadAttentionWrapper(nn.Module):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def __init__(self, d_in, d_out, context_length,</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dropout, num_heads, qkv_bias=False):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super().__init__()</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nn.ModuleList registers each head as a proper submodule.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Each head has its own W_query, W_key, W_value, and mask buffer.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self.heads = nn.ModuleList([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CausalAttention(d_in, d_out, context_length,</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dropout, qkv_bias)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for _ in range(num_heads)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def forward(self, x):</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Run each head independently, concatenate outputs along</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 the embedding (last) dimension.</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return torch.cat([head(x) for head in self.heads], dim=-1)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Test on a batch of two identical sequences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batch = torch.stack((inputs, inputs), dim=0)   # [2, 6, 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torch.manual_seed(123)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mha = MultiHeadAttentionWrapper(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d_in=3, d_out=2, context_length=6,</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dropout=0.0, num_heads=2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context_vecs = mha(batch)</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print(context_vecs.shape)        # torch.Size([2, 6, 4])</w:t>
      </w:r>
    </w:p>
    <w:p>
      <w:pPr>
        <w:spacing w:after="120" w:before="60" w:line="320"/>
        <w:jc w:val="both"/>
      </w:pPr>
      <w:r>
        <w:rPr>
          <w:rFonts w:ascii="Times New Roman" w:cs="Times New Roman" w:eastAsia="Times New Roman" w:hAnsi="Times New Roman"/>
          <w:color w:val="1F2937"/>
          <w:sz w:val="22"/>
          <w:szCs w:val="22"/>
        </w:rPr>
        <w:t xml:space="preserve">The forward pass uses a list comprehension that iterates over self.heads and applies each one to the same input x. This is correct but is the source of the wrapper's only weakness: the heads are processed sequentially in Python, not in parallel. On a CPU this is essentially unavoidable; on a GPU it produces num_heads separate kernel launches and forfeits much of the parallelism the hardware can offer. Topic 12 derives an equivalent implementation that processes all heads in a single batched matrix multiplication, eliminating the Python loop and producing the production form of the module.</w:t>
      </w:r>
    </w:p>
    <w:p>
      <w:pPr>
        <w:pStyle w:val="Heading1"/>
        <w:keepNext/>
        <w:keepLines/>
        <w:spacing w:after="180" w:before="360"/>
      </w:pPr>
      <w:r>
        <w:rPr>
          <w:rFonts w:ascii="Calibri" w:cs="Calibri" w:eastAsia="Calibri" w:hAnsi="Calibri"/>
          <w:b/>
          <w:bCs/>
          <w:color w:val="0D3B6E"/>
          <w:sz w:val="32"/>
          <w:szCs w:val="32"/>
        </w:rPr>
        <w:t xml:space="preserve">7.  Two Production Patterns Introduced Here</w:t>
      </w:r>
    </w:p>
    <w:p>
      <w:pPr>
        <w:spacing w:after="120" w:before="60" w:line="320"/>
        <w:jc w:val="both"/>
      </w:pPr>
      <w:r>
        <w:rPr>
          <w:rFonts w:ascii="Times New Roman" w:cs="Times New Roman" w:eastAsia="Times New Roman" w:hAnsi="Times New Roman"/>
          <w:color w:val="1F2937"/>
          <w:sz w:val="22"/>
          <w:szCs w:val="22"/>
        </w:rPr>
        <w:t xml:space="preserve">Beyond the conceptual extension to multiple heads, the wrapper class introduces two PyTorch patterns that did not appear in earlier topics. Each is small in isolation but each is a common source of bugs if used incorrectly.</w:t>
      </w:r>
    </w:p>
    <w:p>
      <w:pPr>
        <w:pStyle w:val="Heading2"/>
        <w:keepNext/>
        <w:keepLines/>
        <w:spacing w:after="120" w:before="240"/>
      </w:pPr>
      <w:r>
        <w:rPr>
          <w:rFonts w:ascii="Calibri" w:cs="Calibri" w:eastAsia="Calibri" w:hAnsi="Calibri"/>
          <w:b/>
          <w:bCs/>
          <w:color w:val="0D3B6E"/>
          <w:sz w:val="26"/>
          <w:szCs w:val="26"/>
        </w:rPr>
        <w:t xml:space="preserve">7.1  nn.ModuleList — Proper Submodule Registration</w:t>
      </w:r>
    </w:p>
    <w:p>
      <w:pPr>
        <w:spacing w:after="120" w:before="60" w:line="320"/>
        <w:jc w:val="both"/>
      </w:pPr>
      <w:r>
        <w:rPr>
          <w:rFonts w:ascii="Times New Roman" w:cs="Times New Roman" w:eastAsia="Times New Roman" w:hAnsi="Times New Roman"/>
          <w:color w:val="1F2937"/>
          <w:sz w:val="22"/>
          <w:szCs w:val="22"/>
        </w:rPr>
        <w:t xml:space="preserve">PyTorch needs to know about every learnable parameter in a model in order to send them to the optimizer, move them to GPU with .to(device), include them in saved state dicts, and apply gradient updates. A plain Python list of nn.Module instances does not provide this registration: PyTorch sees the list itself, not the modules inside it, and silently ignores the parameters. nn.ModuleList wraps a list in a way that exposes its contents to PyTorch's introspection.</w:t>
      </w:r>
    </w:p>
    <w:p>
      <w:pPr>
        <w:keepLines/>
        <w:pBdr>
          <w:left w:val="single" w:color="F59E0B" w:sz="24" w:space="12"/>
        </w:pBdr>
        <w:shd w:fill="FEF3C7" w:val="clear"/>
        <w:spacing w:after="200" w:before="200" w:line="320"/>
        <w:ind w:left="240" w:right="240"/>
      </w:pPr>
      <w:r>
        <w:rPr>
          <w:rFonts w:ascii="Times New Roman" w:cs="Times New Roman" w:eastAsia="Times New Roman" w:hAnsi="Times New Roman"/>
          <w:b/>
          <w:bCs/>
          <w:color w:val="0D3B6E"/>
          <w:sz w:val="22"/>
          <w:szCs w:val="22"/>
        </w:rPr>
        <w:t xml:space="preserve">Plain List vs ModuleList — A Silent Failure Mode</w:t>
      </w:r>
      <w:r>
        <w:rPr>
          <w:rFonts w:ascii="Times New Roman" w:cs="Times New Roman" w:eastAsia="Times New Roman" w:hAnsi="Times New Roman"/>
          <w:color w:val="6B7280"/>
          <w:sz w:val="22"/>
          <w:szCs w:val="22"/>
        </w:rPr>
        <w:t xml:space="preserve">  —  </w:t>
      </w:r>
      <w:r>
        <w:rPr>
          <w:rFonts w:ascii="Times New Roman" w:cs="Times New Roman" w:eastAsia="Times New Roman" w:hAnsi="Times New Roman"/>
          <w:i/>
          <w:iCs/>
          <w:color w:val="1F2937"/>
          <w:sz w:val="22"/>
          <w:szCs w:val="22"/>
        </w:rPr>
        <w:t xml:space="preserve">If self.heads = [CausalAttention(...) for _ in range(num_heads)] (plain list), the model trains without raising any error, but the per-head W_Q, W_K, W_V matrices never receive gradient updates. Loss decreases very slowly or not at all, and the model converges to gibberish. Using nn.ModuleList(...) is the only correct form; the wrapper rules apply to any container of submodules, not just lists. nn.Sequential and nn.ModuleDict have the same registration property for their respective use cases.</w:t>
      </w:r>
    </w:p>
    <w:p>
      <w:pPr>
        <w:pStyle w:val="Heading2"/>
        <w:keepNext/>
        <w:keepLines/>
        <w:spacing w:after="120" w:before="240"/>
      </w:pPr>
      <w:r>
        <w:rPr>
          <w:rFonts w:ascii="Calibri" w:cs="Calibri" w:eastAsia="Calibri" w:hAnsi="Calibri"/>
          <w:b/>
          <w:bCs/>
          <w:color w:val="0D3B6E"/>
          <w:sz w:val="26"/>
          <w:szCs w:val="26"/>
        </w:rPr>
        <w:t xml:space="preserve">7.2  torch.cat with dim=-1 — Concatenating Along the Embedding Axis</w:t>
      </w:r>
    </w:p>
    <w:p>
      <w:pPr>
        <w:spacing w:after="120" w:before="60" w:line="320"/>
        <w:jc w:val="both"/>
      </w:pPr>
      <w:r>
        <w:rPr>
          <w:rFonts w:ascii="Times New Roman" w:cs="Times New Roman" w:eastAsia="Times New Roman" w:hAnsi="Times New Roman"/>
          <w:color w:val="1F2937"/>
          <w:sz w:val="22"/>
          <w:szCs w:val="22"/>
        </w:rPr>
        <w:t xml:space="preserve">Each head produces a tensor of shape [batch, num_tokens, d_out]. The wrapper must combine num_heads such tensors into a single tensor of shape [batch, num_tokens, d_out × num_heads]. The correct concatenation axis is the last (embedding) one — selected by dim=-1, which always points to the final dimension regardless of how many leading dimensions the tensor has.</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 Each head produces output of shape [batch, num_tokens, d_out]: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head_1_output  -&gt;  [2, 6, 2]   (batch=2, tokens=6, d_out=2)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head_2_output  -&gt;  [2, 6, 2]</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Correct concatenation along the embedding axis: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torch.cat([head_1_output, head_2_output], dim=-1)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-&gt;  [2, 6, 4]   &lt;-  d_out * num_heads = 2 * 2 = 4</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Common bug: concatenating along the WRONG axis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torch.cat([head_1_output, head_2_output], dim=1)</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-&gt;  [2, 12, 2]  &lt;-  WRONG: stacks along token dimension</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and breaks every downstream</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operation that assumes 6 tokens.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Using dim=-1 instead of dim=2 is preferred because it works for any</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tensor whose embedding dim is always the last one, regardless of</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how many leading dimensions there are.</w:t>
      </w:r>
    </w:p>
    <w:p>
      <w:pPr>
        <w:pStyle w:val="Heading1"/>
        <w:keepNext/>
        <w:keepLines/>
        <w:spacing w:after="180" w:before="360"/>
      </w:pPr>
      <w:r>
        <w:rPr>
          <w:rFonts w:ascii="Calibri" w:cs="Calibri" w:eastAsia="Calibri" w:hAnsi="Calibri"/>
          <w:b/>
          <w:bCs/>
          <w:color w:val="0D3B6E"/>
          <w:sz w:val="32"/>
          <w:szCs w:val="32"/>
        </w:rPr>
        <w:t xml:space="preserve">8.  Dimension Mathematics — Why d_out × num_heads = d_model</w:t>
      </w:r>
    </w:p>
    <w:p>
      <w:pPr>
        <w:spacing w:after="120" w:before="60" w:line="320"/>
        <w:jc w:val="both"/>
      </w:pPr>
      <w:r>
        <w:rPr>
          <w:rFonts w:ascii="Times New Roman" w:cs="Times New Roman" w:eastAsia="Times New Roman" w:hAnsi="Times New Roman"/>
          <w:color w:val="1F2937"/>
          <w:sz w:val="22"/>
          <w:szCs w:val="22"/>
        </w:rPr>
        <w:t xml:space="preserve">The choice to concatenate (rather than, say, average or sum) the per-head outputs has a precise architectural consequence. For the output of a multi-head layer to match the input dimension, the per-head output dimension d_out must equal d_model / num_heads. This is the constraint that allows N identical Transformer blocks to be stacked: the output of block k is the same shape as the input to block k+1. Table 1 shows how the toy implementation in this topic and production GPT-2 Small both satisfy this 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cantSplit/>
          <w:tblHeader/>
        </w:trPr>
        <w:tc>
          <w:tcPr>
            <w:tcW w:type="dxa" w:w="30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Quantity</w:t>
            </w:r>
          </w:p>
        </w:tc>
        <w:tc>
          <w:tcPr>
            <w:tcW w:type="dxa" w:w="318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Toy Implementation</w:t>
            </w:r>
          </w:p>
        </w:tc>
        <w:tc>
          <w:tcPr>
            <w:tcW w:type="dxa" w:w="318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GPT-2 Small</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d_in (input embedding)</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3</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768</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num_heads</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12</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d_out (per head)</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64</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d_out × num_heads (output)</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 2 = 4</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64 × 12 = 768</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Output matches input?</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No (intentional, for clarity)</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Yes (768 = 768)</w:t>
            </w:r>
          </w:p>
        </w:tc>
      </w:tr>
      <w:tr>
        <w:trPr>
          <w:cantSplit/>
        </w:trPr>
        <w:tc>
          <w:tcPr>
            <w:tcW w:type="dxa" w:w="30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Stackable layers?</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Not without an extra projection</w:t>
            </w:r>
          </w:p>
        </w:tc>
        <w:tc>
          <w:tcPr>
            <w:tcW w:type="dxa" w:w="318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Yes — 12 identical blocks stacked</w:t>
            </w:r>
          </w:p>
        </w:tc>
      </w:tr>
    </w:tbl>
    <w:p>
      <w:pPr>
        <w:spacing w:after="200" w:before="80"/>
        <w:jc w:val="center"/>
      </w:pPr>
      <w:r>
        <w:rPr>
          <w:rFonts w:ascii="Times New Roman" w:cs="Times New Roman" w:eastAsia="Times New Roman" w:hAnsi="Times New Roman"/>
          <w:i/>
          <w:iCs/>
          <w:color w:val="6B7280"/>
          <w:sz w:val="20"/>
          <w:szCs w:val="20"/>
        </w:rPr>
        <w:t xml:space="preserve">Table 1: Dimension arithmetic for the toy implementation versus GPT-2 Small. In production, d_out is chosen specifically so that the concatenated output has the same dimensionality as the input, which allows identical Transformer blocks to be stacked into a deep network.</w:t>
      </w:r>
    </w:p>
    <w:p>
      <w:pPr>
        <w:spacing w:after="120" w:before="60" w:line="320"/>
        <w:jc w:val="both"/>
      </w:pPr>
      <w:r>
        <w:rPr>
          <w:rFonts w:ascii="Times New Roman" w:cs="Times New Roman" w:eastAsia="Times New Roman" w:hAnsi="Times New Roman"/>
          <w:color w:val="1F2937"/>
          <w:sz w:val="22"/>
          <w:szCs w:val="22"/>
        </w:rPr>
        <w:t xml:space="preserve">In the toy implementation here, d_in = 3 and d_out × num_heads = 4 are deliberately different to make the dimensional changes visible. In any real model, these two quantities must be equal. Topic 12 will adopt the production convention d_in = d_out × num_heads = d_model and add an output projection matrix W_O that maps the concatenated heads to the final layer output.</w:t>
      </w:r>
    </w:p>
    <w:p>
      <w:pPr>
        <w:pStyle w:val="Heading1"/>
        <w:keepNext/>
        <w:keepLines/>
        <w:spacing w:after="180" w:before="360"/>
      </w:pPr>
      <w:r>
        <w:rPr>
          <w:rFonts w:ascii="Calibri" w:cs="Calibri" w:eastAsia="Calibri" w:hAnsi="Calibri"/>
          <w:b/>
          <w:bCs/>
          <w:color w:val="0D3B6E"/>
          <w:sz w:val="32"/>
          <w:szCs w:val="32"/>
        </w:rPr>
        <w:t xml:space="preserve">9.  Complete Shape Summary — Every Tensor Tracked</w:t>
      </w:r>
    </w:p>
    <w:p>
      <w:pPr>
        <w:spacing w:after="120" w:before="60" w:line="320"/>
        <w:jc w:val="both"/>
      </w:pPr>
      <w:r>
        <w:rPr>
          <w:rFonts w:ascii="Times New Roman" w:cs="Times New Roman" w:eastAsia="Times New Roman" w:hAnsi="Times New Roman"/>
          <w:color w:val="1F2937"/>
          <w:sz w:val="22"/>
          <w:szCs w:val="22"/>
        </w:rPr>
        <w:t xml:space="preserve">Table 2 collects every tensor in the wrapper pipeline with its shape and role. Compared with the Topic 10 inventory, every per-head tensor remains the same shape; the only new shape is the concatenated context_vecs whose final dimension scales with num_heads.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cantSplit/>
          <w:tblHeader/>
        </w:trPr>
        <w:tc>
          <w:tcPr>
            <w:tcW w:type="dxa" w:w="24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Tensor</w:t>
            </w:r>
          </w:p>
        </w:tc>
        <w:tc>
          <w:tcPr>
            <w:tcW w:type="dxa" w:w="180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Shape</w:t>
            </w:r>
          </w:p>
        </w:tc>
        <w:tc>
          <w:tcPr>
            <w:tcW w:type="dxa" w:w="5160"/>
            <w:tcBorders>
              <w:top w:val="single" w:color="CCCCCC" w:sz="2"/>
              <w:left w:val="single" w:color="CCCCCC" w:sz="2"/>
              <w:bottom w:val="single" w:color="CCCCCC" w:sz="2"/>
              <w:right w:val="single" w:color="CCCCCC" w:sz="2"/>
            </w:tcBorders>
            <w:shd w:fill="F9FAFB"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Description</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batch (input)</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6, 3]</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sequences × 6 tokens × d_in = 3</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Each head: W_Q, W_K, W_V</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[3, 2]</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Independent per head — head_1 and head_2 each have their own random initialization</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Each head: queries</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6, 2]</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Input projected through W_query for that head</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Each head: keys</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6, 2]</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Input projected through W_key for that head</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Each head: values</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6, 2]</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Input projected through W_value for that head</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Each head: attn_scores</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6, 6]</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Q @ K^T per head, with -inf in the upper triangle after masking</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Each head: attn_weights</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6, 6]</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After softmax and dropout</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Each head: output</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6, 2]</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attn_weights @ values, the per-head context vector tensor</w:t>
            </w:r>
          </w:p>
        </w:tc>
      </w:tr>
      <w:tr>
        <w:trPr>
          <w:cantSplit/>
        </w:trPr>
        <w:tc>
          <w:tcPr>
            <w:tcW w:type="dxa" w:w="24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bCs/>
                <w:i w:val="false"/>
                <w:iCs w:val="false"/>
                <w:color w:val="1F2937"/>
                <w:sz w:val="22"/>
                <w:szCs w:val="22"/>
              </w:rPr>
              <w:t xml:space="preserve">context_vecs (after cat)</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[2, 6, 4]</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50"/>
              <w:bottom w:type="dxa" w:w="100"/>
              <w:right w:type="dxa" w:w="150"/>
            </w:tcMar>
          </w:tcPr>
          <w:p>
            <w:pPr>
              <w:spacing w:after="0" w:before="0" w:line="280"/>
            </w:pPr>
            <w:r>
              <w:rPr>
                <w:rFonts w:ascii="Times New Roman" w:cs="Times New Roman" w:eastAsia="Times New Roman" w:hAnsi="Times New Roman"/>
                <w:b w:val="false"/>
                <w:bCs w:val="false"/>
                <w:i w:val="false"/>
                <w:iCs w:val="false"/>
                <w:color w:val="1F2937"/>
                <w:sz w:val="22"/>
                <w:szCs w:val="22"/>
              </w:rPr>
              <w:t xml:space="preserve">torch.cat across 2 heads along dim = -1: d_out × num_heads = 4</w:t>
            </w:r>
          </w:p>
        </w:tc>
      </w:tr>
    </w:tbl>
    <w:p>
      <w:pPr>
        <w:spacing w:after="200" w:before="80"/>
        <w:jc w:val="center"/>
      </w:pPr>
      <w:r>
        <w:rPr>
          <w:rFonts w:ascii="Times New Roman" w:cs="Times New Roman" w:eastAsia="Times New Roman" w:hAnsi="Times New Roman"/>
          <w:i/>
          <w:iCs/>
          <w:color w:val="6B7280"/>
          <w:sz w:val="20"/>
          <w:szCs w:val="20"/>
        </w:rPr>
        <w:t xml:space="preserve">Table 2: Tensor inventory for the MultiHeadAttentionWrapper forward pass. In GPT-2 Small the per-head shapes are [batch, 1024, 64], and the concatenated output has shape [batch, 1024, 768].</w:t>
      </w:r>
    </w:p>
    <w:p>
      <w:pPr>
        <w:pStyle w:val="Heading1"/>
        <w:keepNext/>
        <w:keepLines/>
        <w:spacing w:after="180" w:before="360"/>
      </w:pPr>
      <w:r>
        <w:rPr>
          <w:rFonts w:ascii="Calibri" w:cs="Calibri" w:eastAsia="Calibri" w:hAnsi="Calibri"/>
          <w:b/>
          <w:bCs/>
          <w:color w:val="0D3B6E"/>
          <w:sz w:val="32"/>
          <w:szCs w:val="32"/>
        </w:rPr>
        <w:t xml:space="preserve">10.  Key Observations</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Multi-head attention is independent attention computations, not a different attention computation. </w:t>
      </w:r>
      <w:r>
        <w:rPr>
          <w:rFonts w:ascii="Times New Roman" w:cs="Times New Roman" w:eastAsia="Times New Roman" w:hAnsi="Times New Roman"/>
          <w:b w:val="false"/>
          <w:bCs w:val="false"/>
          <w:i w:val="false"/>
          <w:iCs w:val="false"/>
          <w:color w:val="1F2937"/>
          <w:sz w:val="22"/>
          <w:szCs w:val="22"/>
        </w:rPr>
        <w:t xml:space="preserve">Each head runs the full causal scaled dot-product mechanism from Topic 10, with its own random initialization, its own learning trajectory, and its own attention weights. The arithmetic of any one head is unchanged from Topic 10.</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Each head learns a distinct representational subspace. </w:t>
      </w:r>
      <w:r>
        <w:rPr>
          <w:rFonts w:ascii="Times New Roman" w:cs="Times New Roman" w:eastAsia="Times New Roman" w:hAnsi="Times New Roman"/>
          <w:b w:val="false"/>
          <w:bCs w:val="false"/>
          <w:i w:val="false"/>
          <w:iCs w:val="false"/>
          <w:color w:val="1F2937"/>
          <w:sz w:val="22"/>
          <w:szCs w:val="22"/>
        </w:rPr>
        <w:t xml:space="preserve">The independent W_Q, W_K, W_V projections allow each head to focus on a different kind of structure in the input — syntax, semantics, position, coreference. Diversity comes from the heads; the causal-mask constraint is shared.</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Output dimension grows as d_out × num_heads. </w:t>
      </w:r>
      <w:r>
        <w:rPr>
          <w:rFonts w:ascii="Times New Roman" w:cs="Times New Roman" w:eastAsia="Times New Roman" w:hAnsi="Times New Roman"/>
          <w:b w:val="false"/>
          <w:bCs w:val="false"/>
          <w:i w:val="false"/>
          <w:iCs w:val="false"/>
          <w:color w:val="1F2937"/>
          <w:sz w:val="22"/>
          <w:szCs w:val="22"/>
        </w:rPr>
        <w:t xml:space="preserve">In production the per-head dimension d_out is chosen specifically as d_model / num_heads so that the concatenated output has the same dimensionality as the input. This dimensional symmetry is what makes Transformer blocks stackable.</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nn.ModuleList is required, not optional. </w:t>
      </w:r>
      <w:r>
        <w:rPr>
          <w:rFonts w:ascii="Times New Roman" w:cs="Times New Roman" w:eastAsia="Times New Roman" w:hAnsi="Times New Roman"/>
          <w:b w:val="false"/>
          <w:bCs w:val="false"/>
          <w:i w:val="false"/>
          <w:iCs w:val="false"/>
          <w:color w:val="1F2937"/>
          <w:sz w:val="22"/>
          <w:szCs w:val="22"/>
        </w:rPr>
        <w:t xml:space="preserve">A plain Python list of submodules silently fails to register parameters with PyTorch. The model trains without errors but its head parameters never receive gradient updates. Using nn.ModuleList is the only correct way to store a variable-length collection of submodules.</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dim = -1 is the safe choice for embedding-axis concatenation. </w:t>
      </w:r>
      <w:r>
        <w:rPr>
          <w:rFonts w:ascii="Times New Roman" w:cs="Times New Roman" w:eastAsia="Times New Roman" w:hAnsi="Times New Roman"/>
          <w:b w:val="false"/>
          <w:bCs w:val="false"/>
          <w:i w:val="false"/>
          <w:iCs w:val="false"/>
          <w:color w:val="1F2937"/>
          <w:sz w:val="22"/>
          <w:szCs w:val="22"/>
        </w:rPr>
        <w:t xml:space="preserve">The negative-index dim = -1 always points to the last dimension regardless of how many leading dimensions a tensor has. Using dim = 2 instead would silently break in any code path where a fourth leading dimension was added.</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The wrapper is mathematically correct but operationally inefficient. </w:t>
      </w:r>
      <w:r>
        <w:rPr>
          <w:rFonts w:ascii="Times New Roman" w:cs="Times New Roman" w:eastAsia="Times New Roman" w:hAnsi="Times New Roman"/>
          <w:b w:val="false"/>
          <w:bCs w:val="false"/>
          <w:i w:val="false"/>
          <w:iCs w:val="false"/>
          <w:color w:val="1F2937"/>
          <w:sz w:val="22"/>
          <w:szCs w:val="22"/>
        </w:rPr>
        <w:t xml:space="preserve">The Python list comprehension over heads forces sequential execution and produces num_heads separate kernel launches on a GPU. Topic 12 derives an equivalent implementation that processes all heads in a single batched matrix multiplication, eliminating the Python loop and matching the form used in production GPT-2.</w:t>
      </w:r>
    </w:p>
    <w:p>
      <w:pPr>
        <w:pStyle w:val="Heading1"/>
        <w:keepNext/>
        <w:keepLines/>
        <w:spacing w:after="180" w:before="360"/>
      </w:pPr>
      <w:r>
        <w:rPr>
          <w:rFonts w:ascii="Calibri" w:cs="Calibri" w:eastAsia="Calibri" w:hAnsi="Calibri"/>
          <w:b/>
          <w:bCs/>
          <w:color w:val="0D3B6E"/>
          <w:sz w:val="32"/>
          <w:szCs w:val="32"/>
        </w:rPr>
        <w:t xml:space="preserve">11.  Experiments &amp; Open Questions</w:t>
      </w:r>
    </w:p>
    <w:p>
      <w:pPr>
        <w:spacing w:after="120" w:before="60" w:line="320"/>
        <w:jc w:val="both"/>
      </w:pPr>
      <w:r>
        <w:rPr>
          <w:rFonts w:ascii="Times New Roman" w:cs="Times New Roman" w:eastAsia="Times New Roman" w:hAnsi="Times New Roman"/>
          <w:color w:val="1F2937"/>
          <w:sz w:val="22"/>
          <w:szCs w:val="22"/>
        </w:rPr>
        <w:t xml:space="preserve">This section extends the topic with three items beyond exposition: a hand-verified concatenation that confirms the wrapper output against direct computation of each head, an open question on whether the heads of a trained Transformer genuinely specialize as the architectural intuition predicts, and a proposed empirical investigation.</w:t>
      </w:r>
    </w:p>
    <w:p>
      <w:pPr>
        <w:pStyle w:val="Heading3"/>
        <w:keepNext/>
        <w:keepLines/>
        <w:spacing w:after="80" w:before="200"/>
      </w:pPr>
      <w:r>
        <w:rPr>
          <w:rFonts w:ascii="Calibri" w:cs="Calibri" w:eastAsia="Calibri" w:hAnsi="Calibri"/>
          <w:b/>
          <w:bCs/>
          <w:color w:val="1F4D78"/>
          <w:sz w:val="24"/>
          <w:szCs w:val="24"/>
        </w:rPr>
        <w:t xml:space="preserve">11.1  Hand-Verified Concatenation for the 'journey' Token</w:t>
      </w:r>
    </w:p>
    <w:p>
      <w:pPr>
        <w:spacing w:after="120" w:before="60" w:line="320"/>
        <w:jc w:val="both"/>
      </w:pPr>
      <w:r>
        <w:rPr>
          <w:rFonts w:ascii="Times New Roman" w:cs="Times New Roman" w:eastAsia="Times New Roman" w:hAnsi="Times New Roman"/>
          <w:color w:val="1F2937"/>
          <w:sz w:val="22"/>
          <w:szCs w:val="22"/>
        </w:rPr>
        <w:t xml:space="preserve">Section 5 reports the row of context_vecs corresponding to 'journey' as [-0.5874, 0.0058, 0.5891, 0.3257]. This subsection verifies that result against the wrapper's design: the first two entries should equal the head-1 output for 'journey', and the last two entries should equal the head-2 output for the same token, with no mixing or transformation applied between them by the wrapper itself.</w:t>
      </w:r>
    </w:p>
    <w:p>
      <w:pPr>
        <w:keepLines/>
        <w:pBdr>
          <w:left w:val="single" w:color="2E75B6" w:sz="16" w:space="8"/>
        </w:pBdr>
        <w:shd w:fill="F3F4F6" w:val="clear"/>
        <w:spacing w:after="0" w:before="120" w:line="260"/>
        <w:ind w:left="120" w:right="120"/>
      </w:pPr>
      <w:r>
        <w:rPr>
          <w:rFonts w:ascii="Consolas" w:cs="Consolas" w:eastAsia="Consolas" w:hAnsi="Consolas"/>
          <w:color w:val="1F2937"/>
          <w:sz w:val="19"/>
          <w:szCs w:val="19"/>
        </w:rPr>
        <w:t xml:space="preserve"># Wrapper output for 'journey' (row 1 of the per-batch tensor):</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context_vecs[0, 1] = [-0.5874, 0.0058, 0.5891, 0.3257]</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Decomposition by head:</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head_1_output_for_journey = [-0.5874, 0.0058]    # first 2 entries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head_2_output_for_journey = [ 0.5891, 0.3257]    # last 2 entries</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Verification: running each head independently on the same input must</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reproduce these two slices exactly.</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torch.manual_seed(123)</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head_1 = CausalAttention(d_in=3, d_out=2, context_length=6, dropout=0.0)</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head_2 = CausalAttention(d_in=3, d_out=2, context_length=6, dropout=0.0)</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z_1 = head_1(batch)[0, 1]   # tensor([-0.5874,  0.0058])</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z_2 = head_2(batch)[0, 1]   # tensor([ 0.5891,  0.3257])</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torch.cat([z_1, z_2], dim=-1) reproduces context_vecs[0, 1] exactly.</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The wrapper performs no operation on the per-head outputs other than</w:t>
      </w:r>
    </w:p>
    <w:p>
      <w:pPr>
        <w:keepLines/>
        <w:pBdr>
          <w:left w:val="single" w:color="2E75B6" w:sz="16" w:space="8"/>
        </w:pBdr>
        <w:shd w:fill="F3F4F6" w:val="clear"/>
        <w:spacing w:after="0" w:before="0" w:line="260"/>
        <w:ind w:left="120" w:right="120"/>
      </w:pPr>
      <w:r>
        <w:rPr>
          <w:rFonts w:ascii="Consolas" w:cs="Consolas" w:eastAsia="Consolas" w:hAnsi="Consolas"/>
          <w:color w:val="1F2937"/>
          <w:sz w:val="19"/>
          <w:szCs w:val="19"/>
        </w:rPr>
        <w:t xml:space="preserve"># concatenation; this is what makes the wrapper an unambiguous baseline</w:t>
      </w:r>
    </w:p>
    <w:p>
      <w:pPr>
        <w:keepLines/>
        <w:pBdr>
          <w:left w:val="single" w:color="2E75B6" w:sz="16" w:space="8"/>
        </w:pBdr>
        <w:shd w:fill="F3F4F6" w:val="clear"/>
        <w:spacing w:after="120" w:before="0" w:line="260"/>
        <w:ind w:left="120" w:right="120"/>
      </w:pPr>
      <w:r>
        <w:rPr>
          <w:rFonts w:ascii="Consolas" w:cs="Consolas" w:eastAsia="Consolas" w:hAnsi="Consolas"/>
          <w:color w:val="1F2937"/>
          <w:sz w:val="19"/>
          <w:szCs w:val="19"/>
        </w:rPr>
        <w:t xml:space="preserve"># against which the more efficient Topic 12 implementation can be tested.</w:t>
      </w:r>
    </w:p>
    <w:p>
      <w:pPr>
        <w:spacing w:after="120" w:before="60" w:line="320"/>
        <w:jc w:val="both"/>
      </w:pPr>
      <w:r>
        <w:rPr>
          <w:rFonts w:ascii="Times New Roman" w:cs="Times New Roman" w:eastAsia="Times New Roman" w:hAnsi="Times New Roman"/>
          <w:color w:val="1F2937"/>
          <w:sz w:val="22"/>
          <w:szCs w:val="22"/>
        </w:rPr>
        <w:t xml:space="preserve">This decomposition serves as a unit test for the wrapper's correctness. If the per-head outputs computed independently do not match the corresponding slices of the wrapper output, then the wrapper's bookkeeping is broken — typically because nn.ModuleList was replaced with a plain list (Section 7.1) or the concatenation axis was wrong (Section 7.2).</w:t>
      </w:r>
    </w:p>
    <w:p>
      <w:pPr>
        <w:pStyle w:val="Heading3"/>
        <w:keepNext/>
        <w:keepLines/>
        <w:spacing w:after="80" w:before="200"/>
      </w:pPr>
      <w:r>
        <w:rPr>
          <w:rFonts w:ascii="Calibri" w:cs="Calibri" w:eastAsia="Calibri" w:hAnsi="Calibri"/>
          <w:b/>
          <w:bCs/>
          <w:color w:val="1F4D78"/>
          <w:sz w:val="24"/>
          <w:szCs w:val="24"/>
        </w:rPr>
        <w:t xml:space="preserve">11.2  Open Question — Do Different Heads Genuinely Specialize?</w:t>
      </w:r>
    </w:p>
    <w:p>
      <w:pPr>
        <w:spacing w:after="120" w:before="60" w:line="320"/>
        <w:jc w:val="both"/>
      </w:pPr>
      <w:r>
        <w:rPr>
          <w:rFonts w:ascii="Times New Roman" w:cs="Times New Roman" w:eastAsia="Times New Roman" w:hAnsi="Times New Roman"/>
          <w:color w:val="1F2937"/>
          <w:sz w:val="22"/>
          <w:szCs w:val="22"/>
        </w:rPr>
        <w:t xml:space="preserve">The architectural argument for multi-head attention is that each head learns a distinct representational role — one for syntax, one for coreference, one for tense, and so on. This is a plausible hypothesis but it is an empirical claim, not a theorem. The literature on attention-head specialization is genuinely mixed. Some studies report individual heads that consistently attend to specific syntactic relationships such as subject-verb dependencies; others report that the majority of heads contribute redundant information and can be pruned with little performance loss. The honest current answer appears to depend on training dataset size, model depth, and specific layer position: heads in early layers tend to specialize on positional and syntactic patterns, while heads in later layers blend into a more uniform representation. A controlled study correlating per-head attention patterns with downstream task accuracy across a model trained from scratch would help quantify how much of the multi-head capacity is being used in practice.</w:t>
      </w:r>
    </w:p>
    <w:p>
      <w:pPr>
        <w:pStyle w:val="Heading3"/>
        <w:keepNext/>
        <w:keepLines/>
        <w:spacing w:after="80" w:before="200"/>
      </w:pPr>
      <w:r>
        <w:rPr>
          <w:rFonts w:ascii="Calibri" w:cs="Calibri" w:eastAsia="Calibri" w:hAnsi="Calibri"/>
          <w:b/>
          <w:bCs/>
          <w:color w:val="1F4D78"/>
          <w:sz w:val="24"/>
          <w:szCs w:val="24"/>
        </w:rPr>
        <w:t xml:space="preserve">11.3  Proposed Future Work</w:t>
      </w:r>
    </w:p>
    <w:p>
      <w:pPr>
        <w:spacing w:after="120" w:before="60" w:line="320"/>
        <w:jc w:val="both"/>
      </w:pPr>
      <w:r>
        <w:rPr>
          <w:rFonts w:ascii="Times New Roman" w:cs="Times New Roman" w:eastAsia="Times New Roman" w:hAnsi="Times New Roman"/>
          <w:color w:val="1F2937"/>
          <w:sz w:val="22"/>
          <w:szCs w:val="22"/>
        </w:rPr>
        <w:t xml:space="preserve">A natural follow-up to this topic is a head-pruning experiment. After training a small Transformer to convergence on a synthetic next-token prediction task, individual heads are zeroed out one at a time and the resulting validation loss is recorded. Heads whose removal causes negligible loss increase are candidates for redundant heads; heads whose removal causes large degradation are candidates for specialized heads. The hypothesis predicts a power-law-like distribution: a small number of heads are essential, and most heads are interchangeable. This experiment is recorded as a direction for empirical validation once the training infrastructure of Stage 4 is available.</w:t>
      </w:r>
    </w:p>
    <w:p>
      <w:pPr>
        <w:pStyle w:val="Heading1"/>
        <w:keepNext/>
        <w:keepLines/>
        <w:spacing w:after="180" w:before="360"/>
      </w:pPr>
      <w:r>
        <w:rPr>
          <w:rFonts w:ascii="Calibri" w:cs="Calibri" w:eastAsia="Calibri" w:hAnsi="Calibri"/>
          <w:b/>
          <w:bCs/>
          <w:color w:val="0D3B6E"/>
          <w:sz w:val="32"/>
          <w:szCs w:val="32"/>
        </w:rPr>
        <w:t xml:space="preserve">12.  Discussion — Relationship to Prior Work</w:t>
      </w:r>
    </w:p>
    <w:p>
      <w:pPr>
        <w:spacing w:after="120" w:before="60" w:line="320"/>
        <w:jc w:val="both"/>
      </w:pPr>
      <w:r>
        <w:rPr>
          <w:rFonts w:ascii="Times New Roman" w:cs="Times New Roman" w:eastAsia="Times New Roman" w:hAnsi="Times New Roman"/>
          <w:color w:val="1F2937"/>
          <w:sz w:val="22"/>
          <w:szCs w:val="22"/>
        </w:rPr>
        <w:t xml:space="preserve">This section situates the wrapper formulation of multi-head attention in relation to the primary papers in which the relevant techniques were introduced. Formal citations appear in the References.</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Multi-head attention was introduced as Section 3.2.2 of "Attention Is All You Need"</w:t>
      </w:r>
      <w:r>
        <w:rPr>
          <w:rFonts w:ascii="Times New Roman" w:cs="Times New Roman" w:eastAsia="Times New Roman" w:hAnsi="Times New Roman"/>
          <w:b/>
          <w:bCs/>
          <w:color w:val="1F2937"/>
          <w:sz w:val="22"/>
          <w:szCs w:val="22"/>
        </w:rPr>
        <w:t xml:space="preserve"> [1]</w:t>
      </w:r>
      <w:r>
        <w:rPr>
          <w:rFonts w:ascii="Times New Roman" w:cs="Times New Roman" w:eastAsia="Times New Roman" w:hAnsi="Times New Roman"/>
          <w:b w:val="false"/>
          <w:bCs w:val="false"/>
          <w:i w:val="false"/>
          <w:iCs w:val="false"/>
          <w:color w:val="1F2937"/>
          <w:sz w:val="22"/>
          <w:szCs w:val="22"/>
        </w:rPr>
        <w:t xml:space="preserve">. The paper states that multi-head attention allows the model to jointly attend to information from different representation subspaces at different positions, and defines h parallel attention layers (heads) with d_k = d_v = d_model / h. The output of each head is a context vector of shape [num_tokens, d_v], and the h outputs are concatenated and projected through an output matrix W_O to produce the final layer output. The wrapper formulation here implements the concatenation step directly; the W_O projection is added in Topic 12 along with the weight-split formulation that processes all heads in a single matrix multiplication.</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GPT-2</w:t>
      </w:r>
      <w:r>
        <w:rPr>
          <w:rFonts w:ascii="Times New Roman" w:cs="Times New Roman" w:eastAsia="Times New Roman" w:hAnsi="Times New Roman"/>
          <w:b/>
          <w:bCs/>
          <w:color w:val="1F2937"/>
          <w:sz w:val="22"/>
          <w:szCs w:val="22"/>
        </w:rPr>
        <w:t xml:space="preserve"> [2]</w:t>
      </w:r>
      <w:r>
        <w:rPr>
          <w:rFonts w:ascii="Times New Roman" w:cs="Times New Roman" w:eastAsia="Times New Roman" w:hAnsi="Times New Roman"/>
          <w:b w:val="false"/>
          <w:bCs w:val="false"/>
          <w:i w:val="false"/>
          <w:iCs w:val="false"/>
          <w:color w:val="1F2937"/>
          <w:sz w:val="22"/>
          <w:szCs w:val="22"/>
        </w:rPr>
        <w:t xml:space="preserve"> applies multi-head causal self-attention exactly as developed here, scaled to d_model = 768 with num_heads = 12 and d_head = 64 across all 12 transformer layers. The implementation in the official GPT-2 release uses the weight-split formulation rather than a wrapper, which is why Topic 12 is the natural next step. However, the wrapper formulation produces tensor-equal outputs given matching weight initializations and serves as a reference implementation for verifying that a more efficient version is functionally correct.</w:t>
      </w:r>
    </w:p>
    <w:p>
      <w:pPr>
        <w:spacing w:after="120" w:before="60" w:line="320"/>
        <w:jc w:val="both"/>
      </w:pPr>
      <w:r>
        <w:rPr>
          <w:rFonts w:ascii="Times New Roman" w:cs="Times New Roman" w:eastAsia="Times New Roman" w:hAnsi="Times New Roman"/>
          <w:b w:val="false"/>
          <w:bCs w:val="false"/>
          <w:i w:val="false"/>
          <w:iCs w:val="false"/>
          <w:color w:val="1F2937"/>
          <w:sz w:val="22"/>
          <w:szCs w:val="22"/>
        </w:rPr>
        <w:t xml:space="preserve">PyTorch's nn.ModuleList container, used in the wrapper to register the heads, is the standard mechanism by which any model with a variable-length list of submodules exposes its parameters to the optimizer</w:t>
      </w:r>
      <w:r>
        <w:rPr>
          <w:rFonts w:ascii="Times New Roman" w:cs="Times New Roman" w:eastAsia="Times New Roman" w:hAnsi="Times New Roman"/>
          <w:b/>
          <w:bCs/>
          <w:color w:val="1F2937"/>
          <w:sz w:val="22"/>
          <w:szCs w:val="22"/>
        </w:rPr>
        <w:t xml:space="preserve"> [3]</w:t>
      </w:r>
      <w:r>
        <w:rPr>
          <w:rFonts w:ascii="Times New Roman" w:cs="Times New Roman" w:eastAsia="Times New Roman" w:hAnsi="Times New Roman"/>
          <w:b w:val="false"/>
          <w:bCs w:val="false"/>
          <w:i w:val="false"/>
          <w:iCs w:val="false"/>
          <w:color w:val="1F2937"/>
          <w:sz w:val="22"/>
          <w:szCs w:val="22"/>
        </w:rPr>
        <w:t xml:space="preserve">. The corresponding patterns nn.ModuleDict and nn.Sequential serve the same role for keyed and ordered collections respectively. The pattern of using a list comprehension inside nn.ModuleList is so common in PyTorch code that a practitioner reading the wrapper's __init__ will recognize the idiom immediately.</w:t>
      </w:r>
    </w:p>
    <w:p>
      <w:pPr>
        <w:pStyle w:val="Heading1"/>
        <w:keepNext/>
        <w:keepLines/>
        <w:spacing w:after="180" w:before="360"/>
      </w:pPr>
      <w:r>
        <w:rPr>
          <w:rFonts w:ascii="Calibri" w:cs="Calibri" w:eastAsia="Calibri" w:hAnsi="Calibri"/>
          <w:b/>
          <w:bCs/>
          <w:color w:val="0D3B6E"/>
          <w:sz w:val="32"/>
          <w:szCs w:val="32"/>
        </w:rPr>
        <w:t xml:space="preserve">13.  What Comes Next</w:t>
      </w:r>
    </w:p>
    <w:p>
      <w:pPr>
        <w:spacing w:after="120" w:before="60" w:line="320"/>
        <w:jc w:val="both"/>
      </w:pPr>
      <w:r>
        <w:rPr>
          <w:rFonts w:ascii="Times New Roman" w:cs="Times New Roman" w:eastAsia="Times New Roman" w:hAnsi="Times New Roman"/>
          <w:color w:val="1F2937"/>
          <w:sz w:val="22"/>
          <w:szCs w:val="22"/>
        </w:rPr>
        <w:t xml:space="preserve">With the wrapper version of multi-head causal attention complete, Stage 2 closes with one more topic that produces the production-quality form of the same module.</w:t>
      </w:r>
    </w:p>
    <w:p>
      <w:pPr>
        <w:pStyle w:val="ListParagraph"/>
        <w:numPr>
          <w:ilvl w:val="0"/>
          <w:numId w:val="2"/>
        </w:numPr>
        <w:spacing w:after="120" w:before="60" w:line="320"/>
        <w:jc w:val="both"/>
      </w:pPr>
      <w:r>
        <w:rPr>
          <w:rFonts w:ascii="Times New Roman" w:cs="Times New Roman" w:eastAsia="Times New Roman" w:hAnsi="Times New Roman"/>
          <w:b/>
          <w:bCs/>
          <w:i w:val="false"/>
          <w:iCs w:val="false"/>
          <w:color w:val="1F2937"/>
          <w:sz w:val="22"/>
          <w:szCs w:val="22"/>
        </w:rPr>
        <w:t xml:space="preserve">Topic 12 — Multi-Head Attention (Weight-Split). </w:t>
      </w:r>
      <w:r>
        <w:rPr>
          <w:rFonts w:ascii="Times New Roman" w:cs="Times New Roman" w:eastAsia="Times New Roman" w:hAnsi="Times New Roman"/>
          <w:b w:val="false"/>
          <w:bCs w:val="false"/>
          <w:i w:val="false"/>
          <w:iCs w:val="false"/>
          <w:color w:val="1F2937"/>
          <w:sz w:val="22"/>
          <w:szCs w:val="22"/>
        </w:rPr>
        <w:t xml:space="preserve">Replaces the wrapper's nn.ModuleList of independent CausalAttention modules with a single set of large W_Q, W_K, W_V projections of shape [d_model, d_model], processed in a single batched matrix multiplication. The heads are recovered via reshape and transpose rather than via separate Python instances. An additional output projection W_O of shape [d_model, d_model] is added, completing the production multi-head attention block as defined in Vaswani et al. Section 3.2.2 and used in GPT-2.</w:t>
      </w:r>
    </w:p>
    <w:p>
      <w:pPr>
        <w:spacing w:after="120" w:before="60" w:line="320"/>
        <w:jc w:val="both"/>
      </w:pPr>
      <w:r>
        <w:rPr>
          <w:rFonts w:ascii="Times New Roman" w:cs="Times New Roman" w:eastAsia="Times New Roman" w:hAnsi="Times New Roman"/>
          <w:color w:val="1F2937"/>
          <w:sz w:val="22"/>
          <w:szCs w:val="22"/>
        </w:rPr>
        <w:t xml:space="preserve">By the end of Topic 12 the attention mechanism is fully complete and matches the GPT-2 production module tensor-for-tensor. Stages 3 through 5 will then build the surrounding architecture (LayerNorm, GELU feed-forward, residual connections), the pretraining loop, and the instruction-tuning stage.</w:t>
      </w:r>
    </w:p>
    <w:p>
      <w:pPr>
        <w:pStyle w:val="Heading1"/>
        <w:keepNext/>
        <w:keepLines/>
        <w:pageBreakBefore/>
        <w:spacing w:after="180" w:before="360"/>
      </w:pPr>
      <w:r>
        <w:rPr>
          <w:rFonts w:ascii="Calibri" w:cs="Calibri" w:eastAsia="Calibri" w:hAnsi="Calibri"/>
          <w:b/>
          <w:bCs/>
          <w:color w:val="0D3B6E"/>
          <w:sz w:val="32"/>
          <w:szCs w:val="32"/>
        </w:rPr>
        <w:t xml:space="preserve">References</w:t>
      </w:r>
    </w:p>
    <w:p>
      <w:pPr>
        <w:spacing w:after="120" w:before="60" w:line="320"/>
        <w:jc w:val="both"/>
      </w:pPr>
      <w:r>
        <w:rPr>
          <w:rFonts w:ascii="Times New Roman" w:cs="Times New Roman" w:eastAsia="Times New Roman" w:hAnsi="Times New Roman"/>
          <w:color w:val="1F2937"/>
          <w:sz w:val="22"/>
          <w:szCs w:val="22"/>
        </w:rPr>
        <w:t xml:space="preserve">References are listed in IEEE numeric format. Each reference is cited inline in the body of this document using the corresponding number in square brackets.</w:t>
      </w:r>
    </w:p>
    <w:p>
      <w:pPr>
        <w:spacing w:after="120" w:before="120" w:line="320"/>
        <w:jc w:val="both"/>
      </w:pPr>
      <w:r>
        <w:rPr>
          <w:rFonts w:ascii="Times New Roman" w:cs="Times New Roman" w:eastAsia="Times New Roman" w:hAnsi="Times New Roman"/>
          <w:b/>
          <w:bCs/>
          <w:color w:val="1F2937"/>
          <w:sz w:val="22"/>
          <w:szCs w:val="22"/>
        </w:rPr>
        <w:t xml:space="preserve">[1]  </w:t>
      </w:r>
      <w:r>
        <w:rPr>
          <w:rFonts w:ascii="Times New Roman" w:cs="Times New Roman" w:eastAsia="Times New Roman" w:hAnsi="Times New Roman"/>
          <w:color w:val="1F2937"/>
          <w:sz w:val="22"/>
          <w:szCs w:val="22"/>
        </w:rPr>
        <w:t xml:space="preserve">A. Vaswani, N. Shazeer, N. Parmar, J. Uszkoreit, L. Jones, A. N. Gomez, Ł. Kaiser, and I. Polosukhin</w:t>
      </w:r>
      <w:r>
        <w:rPr>
          <w:rFonts w:ascii="Times New Roman" w:cs="Times New Roman" w:eastAsia="Times New Roman" w:hAnsi="Times New Roman"/>
          <w:i/>
          <w:iCs/>
          <w:color w:val="1F2937"/>
          <w:sz w:val="22"/>
          <w:szCs w:val="22"/>
        </w:rPr>
        <w:t xml:space="preserve">, "Attention Is All You Need (Section 3.2.2 — Multi-Head Attention),"</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i/>
          <w:iCs/>
          <w:color w:val="1F2937"/>
          <w:sz w:val="22"/>
          <w:szCs w:val="22"/>
        </w:rPr>
        <w:t xml:space="preserve">Advances in Neural Information Processing Systems (NeurIPS)</w:t>
      </w:r>
      <w:r>
        <w:rPr>
          <w:rFonts w:ascii="Times New Roman" w:cs="Times New Roman" w:eastAsia="Times New Roman" w:hAnsi="Times New Roman"/>
          <w:color w:val="1F2937"/>
          <w:sz w:val="22"/>
          <w:szCs w:val="22"/>
        </w:rPr>
        <w:t xml:space="preserve">, 2017, pp. 5998–6008.</w:t>
      </w:r>
    </w:p>
    <w:p>
      <w:pPr>
        <w:spacing w:after="120" w:before="120" w:line="320"/>
        <w:jc w:val="both"/>
      </w:pPr>
      <w:r>
        <w:rPr>
          <w:rFonts w:ascii="Times New Roman" w:cs="Times New Roman" w:eastAsia="Times New Roman" w:hAnsi="Times New Roman"/>
          <w:b/>
          <w:bCs/>
          <w:color w:val="1F2937"/>
          <w:sz w:val="22"/>
          <w:szCs w:val="22"/>
        </w:rPr>
        <w:t xml:space="preserve">[2]  </w:t>
      </w:r>
      <w:r>
        <w:rPr>
          <w:rFonts w:ascii="Times New Roman" w:cs="Times New Roman" w:eastAsia="Times New Roman" w:hAnsi="Times New Roman"/>
          <w:color w:val="1F2937"/>
          <w:sz w:val="22"/>
          <w:szCs w:val="22"/>
        </w:rPr>
        <w:t xml:space="preserve">A. Radford, J. Wu, R. Child, D. Luan, D. Amodei, and I. Sutskever</w:t>
      </w:r>
      <w:r>
        <w:rPr>
          <w:rFonts w:ascii="Times New Roman" w:cs="Times New Roman" w:eastAsia="Times New Roman" w:hAnsi="Times New Roman"/>
          <w:i/>
          <w:iCs/>
          <w:color w:val="1F2937"/>
          <w:sz w:val="22"/>
          <w:szCs w:val="22"/>
        </w:rPr>
        <w:t xml:space="preserve">, "Language Models are Unsupervised Multitask Learners,"</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i/>
          <w:iCs/>
          <w:color w:val="1F2937"/>
          <w:sz w:val="22"/>
          <w:szCs w:val="22"/>
        </w:rPr>
        <w:t xml:space="preserve">OpenAI Technical Report</w:t>
      </w:r>
      <w:r>
        <w:rPr>
          <w:rFonts w:ascii="Times New Roman" w:cs="Times New Roman" w:eastAsia="Times New Roman" w:hAnsi="Times New Roman"/>
          <w:color w:val="1F2937"/>
          <w:sz w:val="22"/>
          <w:szCs w:val="22"/>
        </w:rPr>
        <w:t xml:space="preserve">, 2019.</w:t>
      </w:r>
    </w:p>
    <w:p>
      <w:pPr>
        <w:spacing w:after="120" w:before="120" w:line="320"/>
        <w:jc w:val="both"/>
      </w:pPr>
      <w:r>
        <w:rPr>
          <w:rFonts w:ascii="Times New Roman" w:cs="Times New Roman" w:eastAsia="Times New Roman" w:hAnsi="Times New Roman"/>
          <w:b/>
          <w:bCs/>
          <w:color w:val="1F2937"/>
          <w:sz w:val="22"/>
          <w:szCs w:val="22"/>
        </w:rPr>
        <w:t xml:space="preserve">[3]  </w:t>
      </w:r>
      <w:r>
        <w:rPr>
          <w:rFonts w:ascii="Times New Roman" w:cs="Times New Roman" w:eastAsia="Times New Roman" w:hAnsi="Times New Roman"/>
          <w:color w:val="1F2937"/>
          <w:sz w:val="22"/>
          <w:szCs w:val="22"/>
        </w:rPr>
        <w:t xml:space="preserve">A. Paszke, S. Gross, F. Massa, A. Lerer, J. Bradbury, G. Chanan, T. Killeen, Z. Lin, N. Gimelshein, L. Antiga, A. Desmaison, A. Köpf, E. Yang, Z. DeVito, M. Raison, A. Tejani, S. Chilamkurthy, B. Steiner, L. Fang, J. Bai, and S. Chintala</w:t>
      </w:r>
      <w:r>
        <w:rPr>
          <w:rFonts w:ascii="Times New Roman" w:cs="Times New Roman" w:eastAsia="Times New Roman" w:hAnsi="Times New Roman"/>
          <w:i/>
          <w:iCs/>
          <w:color w:val="1F2937"/>
          <w:sz w:val="22"/>
          <w:szCs w:val="22"/>
        </w:rPr>
        <w:t xml:space="preserve">, "PyTorch: An Imperative Style, High-Performance Deep Learning Library,"</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i/>
          <w:iCs/>
          <w:color w:val="1F2937"/>
          <w:sz w:val="22"/>
          <w:szCs w:val="22"/>
        </w:rPr>
        <w:t xml:space="preserve">Advances in Neural Information Processing Systems (NeurIPS)</w:t>
      </w:r>
      <w:r>
        <w:rPr>
          <w:rFonts w:ascii="Times New Roman" w:cs="Times New Roman" w:eastAsia="Times New Roman" w:hAnsi="Times New Roman"/>
          <w:color w:val="1F2937"/>
          <w:sz w:val="22"/>
          <w:szCs w:val="22"/>
        </w:rPr>
        <w:t xml:space="preserve">, 2019, pp. 8024–8035.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pPr>
    <w:r>
      <w:rPr>
        <w:rFonts w:ascii="Times New Roman" w:cs="Times New Roman" w:eastAsia="Times New Roman" w:hAnsi="Times New Roman"/>
        <w:i/>
        <w:iCs/>
        <w:color w:val="6B7280"/>
        <w:sz w:val="18"/>
        <w:szCs w:val="18"/>
      </w:rPr>
      <w:t xml:space="preserve">Shiva Kiran Dadishetty  ·  Version 1.0</w:t>
    </w:r>
    <w:r>
      <w:rPr>
        <w:rFonts w:ascii="Times New Roman" w:cs="Times New Roman" w:eastAsia="Times New Roman" w:hAnsi="Times New Roman"/>
        <w:i/>
        <w:iCs/>
        <w:color w:val="6B7280"/>
        <w:sz w:val="18"/>
        <w:szCs w:val="18"/>
      </w:rPr>
      <w:t xml:space="preserve">	Page </w:t>
    </w:r>
    <w:r>
      <w:rPr>
        <w:rFonts w:ascii="Times New Roman" w:cs="Times New Roman" w:eastAsia="Times New Roman" w:hAnsi="Times New Roman"/>
        <w:b/>
        <w:bCs/>
        <w:i/>
        <w:iCs/>
        <w:color w:val="6B7280"/>
        <w:sz w:val="18"/>
        <w:szCs w:val="18"/>
      </w:rPr>
      <w:fldChar w:fldCharType="begin"/>
      <w:instrText xml:space="preserve">PAGE</w:instrText>
      <w:fldChar w:fldCharType="separate"/>
      <w:fldChar w:fldCharType="end"/>
    </w:r>
    <w:r>
      <w:rPr>
        <w:rFonts w:ascii="Times New Roman" w:cs="Times New Roman" w:eastAsia="Times New Roman" w:hAnsi="Times New Roman"/>
        <w:i/>
        <w:iCs/>
        <w:color w:val="6B7280"/>
        <w:sz w:val="18"/>
        <w:szCs w:val="18"/>
      </w:rPr>
      <w:t xml:space="preserve"> of </w:t>
    </w:r>
    <w:r>
      <w:rPr>
        <w:rFonts w:ascii="Times New Roman" w:cs="Times New Roman" w:eastAsia="Times New Roman" w:hAnsi="Times New Roman"/>
        <w:i/>
        <w:iCs/>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tabs>
        <w:tab w:val="right" w:pos="9360"/>
      </w:tabs>
    </w:pPr>
    <w:r>
      <w:rPr>
        <w:rFonts w:ascii="Times New Roman" w:cs="Times New Roman" w:eastAsia="Times New Roman" w:hAnsi="Times New Roman"/>
        <w:i/>
        <w:iCs/>
        <w:color w:val="6B7280"/>
        <w:sz w:val="18"/>
        <w:szCs w:val="18"/>
      </w:rPr>
      <w:t xml:space="preserve">Topic 11  —  Multi-Head Attention (Wrapper)</w:t>
    </w:r>
    <w:r>
      <w:rPr>
        <w:rFonts w:ascii="Times New Roman" w:cs="Times New Roman" w:eastAsia="Times New Roman" w:hAnsi="Times New Roman"/>
        <w:i/>
        <w:iCs/>
        <w:color w:val="6B7280"/>
        <w:sz w:val="18"/>
        <w:szCs w:val="18"/>
      </w:rPr>
      <w:t xml:space="preserve">	Building LLMs from Scratch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D3B6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D3B6E"/>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cxjljhjsiue4qfqj1pec" Type="http://schemas.openxmlformats.org/officeDocument/2006/relationships/hyperlink" Target="https://github.com/shivakiran-ai/llm-from-scratch" TargetMode="External"/><Relationship Id="rId9" Type="http://schemas.openxmlformats.org/officeDocument/2006/relationships/image" Target="media/8f86a7cd0de721096d8d1f796a1f801b9fbfc2c3.png"/><Relationship Id="rId10" Type="http://schemas.openxmlformats.org/officeDocument/2006/relationships/image" Target="media/ae726f6493020024cb2ba41a208f26aa2582d26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2026-05-09T08:45:51.463Z</dcterms:created>
  <dcterms:modified xsi:type="dcterms:W3CDTF">2026-05-09T08:45:51.463Z</dcterms:modified>
</cp:coreProperties>
</file>

<file path=docProps/custom.xml><?xml version="1.0" encoding="utf-8"?>
<Properties xmlns="http://schemas.openxmlformats.org/officeDocument/2006/custom-properties" xmlns:vt="http://schemas.openxmlformats.org/officeDocument/2006/docPropsVTypes"/>
</file>