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Calibri" w:cs="Calibri" w:eastAsia="Calibri" w:hAnsi="Calibri"/>
          <w:b/>
          <w:bCs/>
          <w:color w:val="0D3B6E"/>
          <w:sz w:val="28"/>
          <w:szCs w:val="28"/>
        </w:rPr>
        <w:t xml:space="preserve">BUILDING LLMs FROM SCRATCH</w:t>
      </w:r>
    </w:p>
    <w:p>
      <w:pPr>
        <w:spacing w:after="400" w:before="0"/>
        <w:jc w:val="center"/>
      </w:pPr>
      <w:r>
        <w:rPr>
          <w:rFonts w:ascii="Times New Roman" w:cs="Times New Roman" w:eastAsia="Times New Roman" w:hAnsi="Times New Roman"/>
          <w:i/>
          <w:iCs/>
          <w:color w:val="6B7280"/>
          <w:sz w:val="20"/>
          <w:szCs w:val="20"/>
        </w:rPr>
        <w:t xml:space="preserve">Technical Report   ·   Stage 2: The Attention Mechanism</w:t>
      </w:r>
    </w:p>
    <w:p>
      <w:pPr>
        <w:spacing w:after="80" w:before="400"/>
        <w:jc w:val="center"/>
      </w:pPr>
      <w:r>
        <w:rPr>
          <w:rFonts w:ascii="Calibri" w:cs="Calibri" w:eastAsia="Calibri" w:hAnsi="Calibri"/>
          <w:b/>
          <w:bCs/>
          <w:color w:val="2E75B6"/>
          <w:sz w:val="28"/>
          <w:szCs w:val="28"/>
        </w:rPr>
        <w:t xml:space="preserve">Topic 10</w:t>
      </w:r>
    </w:p>
    <w:p>
      <w:pPr>
        <w:spacing w:after="80" w:before="0"/>
        <w:jc w:val="center"/>
      </w:pPr>
      <w:r>
        <w:rPr>
          <w:rFonts w:ascii="Calibri" w:cs="Calibri" w:eastAsia="Calibri" w:hAnsi="Calibri"/>
          <w:b/>
          <w:bCs/>
          <w:color w:val="0D3B6E"/>
          <w:sz w:val="48"/>
          <w:szCs w:val="48"/>
        </w:rPr>
        <w:t xml:space="preserve">Causal Self-Attention</w:t>
      </w:r>
    </w:p>
    <w:p>
      <w:pPr>
        <w:spacing w:after="300" w:before="0"/>
        <w:jc w:val="center"/>
      </w:pPr>
      <w:r>
        <w:rPr>
          <w:rFonts w:ascii="Times New Roman" w:cs="Times New Roman" w:eastAsia="Times New Roman" w:hAnsi="Times New Roman"/>
          <w:i/>
          <w:iCs/>
          <w:color w:val="6B7280"/>
          <w:sz w:val="22"/>
          <w:szCs w:val="22"/>
        </w:rPr>
        <w:t xml:space="preserve">Masked attention — the autoregressive constraint that makes language generation possible</w:t>
      </w:r>
    </w:p>
    <w:p>
      <w:pPr>
        <w:spacing w:after="240" w:before="120"/>
        <w:jc w:val="center"/>
      </w:pPr>
      <w:r>
        <w:rPr>
          <w:rFonts w:ascii="Calibri" w:cs="Calibri" w:eastAsia="Calibri" w:hAnsi="Calibri"/>
          <w:color w:val="F59E0B"/>
          <w:sz w:val="24"/>
          <w:szCs w:val="24"/>
        </w:rPr>
        <w:t xml:space="preserve">━━━━━━━━━━━━━━</w:t>
      </w:r>
    </w:p>
    <w:p>
      <w:pPr>
        <w:spacing w:after="40" w:before="0"/>
        <w:jc w:val="center"/>
      </w:pPr>
      <w:r>
        <w:rPr>
          <w:rFonts w:ascii="Times New Roman" w:cs="Times New Roman" w:eastAsia="Times New Roman" w:hAnsi="Times New Roman"/>
          <w:b/>
          <w:bCs/>
          <w:color w:val="1F2937"/>
          <w:sz w:val="24"/>
          <w:szCs w:val="24"/>
        </w:rPr>
        <w:t xml:space="preserve">Shiva Kiran Dadishetty</w:t>
      </w:r>
    </w:p>
    <w:p>
      <w:pPr>
        <w:spacing w:after="40" w:before="0"/>
        <w:jc w:val="center"/>
      </w:pPr>
      <w:r>
        <w:rPr>
          <w:rFonts w:ascii="Times New Roman" w:cs="Times New Roman" w:eastAsia="Times New Roman" w:hAnsi="Times New Roman"/>
          <w:color w:val="6B7280"/>
          <w:sz w:val="20"/>
          <w:szCs w:val="20"/>
        </w:rPr>
        <w:t xml:space="preserve">Independent Research · Texas, USA</w:t>
      </w:r>
    </w:p>
    <w:p>
      <w:pPr>
        <w:spacing w:after="160" w:before="0"/>
        <w:jc w:val="center"/>
      </w:pPr>
      <w:hyperlink w:history="1" r:id="rIdwt2ndlvyzqbynlpnv2knu">
        <w:r>
          <w:rPr>
            <w:rFonts w:ascii="Times New Roman" w:cs="Times New Roman" w:eastAsia="Times New Roman" w:hAnsi="Times New Roman"/>
            <w:i/>
            <w:iCs/>
            <w:color w:val="1A56A0"/>
            <w:sz w:val="20"/>
            <w:szCs w:val="20"/>
            <w:u w:val="single" w:color="1A56A0"/>
          </w:rPr>
          <w:t xml:space="preserve">github.com/shivakiran-ai/llm-from-scratch</w:t>
        </w:r>
      </w:hyperlink>
    </w:p>
    <w:p>
      <w:pPr>
        <w:spacing w:after="160" w:before="0"/>
        <w:jc w:val="center"/>
      </w:pPr>
      <w:r>
        <w:rPr>
          <w:rFonts w:ascii="Times New Roman" w:cs="Times New Roman" w:eastAsia="Times New Roman" w:hAnsi="Times New Roman"/>
          <w:color w:val="1F2937"/>
          <w:sz w:val="20"/>
          <w:szCs w:val="20"/>
        </w:rPr>
        <w:t xml:space="preserve">May 2026   ·   Version 1.0</w:t>
      </w:r>
    </w:p>
    <w:p>
      <w:pPr>
        <w:spacing w:after="240" w:before="120"/>
        <w:jc w:val="center"/>
      </w:pPr>
      <w:r>
        <w:rPr>
          <w:rFonts w:ascii="Calibri" w:cs="Calibri" w:eastAsia="Calibri" w:hAnsi="Calibri"/>
          <w:color w:val="F59E0B"/>
          <w:sz w:val="24"/>
          <w:szCs w:val="24"/>
        </w:rPr>
        <w:t xml:space="preserve">━━━━━━━━━━━━━━</w:t>
      </w:r>
    </w:p>
    <w:p>
      <w:pPr>
        <w:spacing w:after="120" w:before="80"/>
        <w:jc w:val="center"/>
      </w:pPr>
      <w:r>
        <w:rPr>
          <w:rFonts w:ascii="Calibri" w:cs="Calibri" w:eastAsia="Calibri" w:hAnsi="Calibri"/>
          <w:b/>
          <w:bCs/>
          <w:color w:val="0D3B6E"/>
          <w:sz w:val="26"/>
          <w:szCs w:val="26"/>
        </w:rPr>
        <w:t xml:space="preserve">Abstract</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topic implements causal self-attention — the masked variant of the trainable attention mechanism developed in Topic 9 — and adds the architectural details required for production-quality usage: dropout regularization, batch processing, and proper buffer registration for non-trainable mask tensors. Causal masking is the operation that prevents each position from attending to positions to its right, enforcing the autoregressive constraint that next-token prediction relies on. Two equivalent masking strategies are presented and compared: a naive post-softmax multiplicative mask that requires explicit row renormalization, and the production-standard pre-softmax fill with negative infinity that exploits the identity exp(-inf) = 0 to handle masking and renormalization in a single softmax pass. The full computation is traced numerically on the same six-token toy sentence used throughout the series; every intermediate tensor — attention scores with negative infinity entries, the resulting causal weight matrix, the dropout-randomized weights — is reported to four decimal places. The complete CausalAttention nn.Module is then assembled, demonstrating three production patterns new to the series: register_buffer for fixed mask tensors, transpose(1, 2) for batched key transposition, and the in-place masked_fill_ operator for memory-efficient masking. By the end of this topic, the attention mechanism is ready for parallelization across multiple heads in Topics 11 and 12, after which it matches the GPT-2 production module exactly.</w:t>
      </w:r>
    </w:p>
    <w:p>
      <w:pPr>
        <w:spacing w:after="80" w:before="120" w:line="320"/>
        <w:jc w:val="both"/>
      </w:pPr>
      <w:r>
        <w:rPr>
          <w:rFonts w:ascii="Times New Roman" w:cs="Times New Roman" w:eastAsia="Times New Roman" w:hAnsi="Times New Roman"/>
          <w:b/>
          <w:bCs/>
          <w:color w:val="1F2937"/>
          <w:sz w:val="22"/>
          <w:szCs w:val="22"/>
        </w:rPr>
        <w:t xml:space="preserve">Keywords:  </w:t>
      </w:r>
      <w:r>
        <w:rPr>
          <w:rFonts w:ascii="Times New Roman" w:cs="Times New Roman" w:eastAsia="Times New Roman" w:hAnsi="Times New Roman"/>
          <w:i/>
          <w:iCs/>
          <w:color w:val="1F2937"/>
          <w:sz w:val="22"/>
          <w:szCs w:val="22"/>
        </w:rPr>
        <w:t xml:space="preserve">causal attention · masked attention · autoregressive · upper triangular mask · negative infinity · dropout · register_buffer · in-place operations · batched attention</w:t>
      </w:r>
    </w:p>
    <w:p>
      <w:pPr>
        <w:sectPr>
          <w:pgSz w:w="12240" w:h="15840" w:orient="portrait"/>
          <w:pgMar w:top="1440" w:right="1440" w:bottom="1440" w:left="1440" w:header="708" w:footer="708" w:gutter="0"/>
          <w:pgNumType/>
          <w:docGrid w:linePitch="360"/>
        </w:sectPr>
      </w:pPr>
    </w:p>
    <w:p>
      <w:pPr>
        <w:spacing w:after="60" w:before="200"/>
      </w:pPr>
      <w:r>
        <w:rPr>
          <w:rFonts w:ascii="Calibri" w:cs="Calibri" w:eastAsia="Calibri" w:hAnsi="Calibri"/>
          <w:b/>
          <w:bCs/>
          <w:color w:val="0D3B6E"/>
          <w:sz w:val="52"/>
          <w:szCs w:val="52"/>
        </w:rPr>
        <w:t xml:space="preserve">Contents</w:t>
      </w:r>
    </w:p>
    <w:p>
      <w:pPr>
        <w:pBdr>
          <w:bottom w:val="single" w:color="F59E0B" w:sz="12" w:space="6"/>
        </w:pBdr>
        <w:spacing w:after="240" w:before="60"/>
      </w:pPr>
      <w:r>
        <w:rPr>
          <w:sz w:val="2"/>
          <w:szCs w:val="2"/>
        </w:rPr>
        <w:t xml:space="preserve"/>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  Why Causal Masking Is Required</w:t>
      </w:r>
      <w:r>
        <w:rPr>
          <w:rFonts w:ascii="Times New Roman" w:cs="Times New Roman" w:eastAsia="Times New Roman" w:hAnsi="Times New Roman"/>
          <w:color w:val="1F2937"/>
          <w:sz w:val="22"/>
          <w:szCs w:val="22"/>
        </w:rPr>
        <w:t xml:space="preserve">	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2.  The Core Constraint — Visibility per Position</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3.  Approach 1 — Post-Softmax Multiplicative Mask</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3.1  Building the Lower-Triangular Mask</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3.2  Zeroing Future Positions and Renormalizing</w:t>
      </w:r>
      <w:r>
        <w:rPr>
          <w:rFonts w:ascii="Times New Roman" w:cs="Times New Roman" w:eastAsia="Times New Roman" w:hAnsi="Times New Roman"/>
          <w:color w:val="1F2937"/>
          <w:sz w:val="22"/>
          <w:szCs w:val="22"/>
        </w:rPr>
        <w:t xml:space="preserve">	5</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4.  Approach 2 — Pre-Softmax Negative-Infinity Mask</w:t>
      </w:r>
      <w:r>
        <w:rPr>
          <w:rFonts w:ascii="Times New Roman" w:cs="Times New Roman" w:eastAsia="Times New Roman" w:hAnsi="Times New Roman"/>
          <w:color w:val="1F2937"/>
          <w:sz w:val="22"/>
          <w:szCs w:val="22"/>
        </w:rPr>
        <w:t xml:space="preserve">	5</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4.1  The Upper-Triangular Mask and Why It Differs</w:t>
      </w:r>
      <w:r>
        <w:rPr>
          <w:rFonts w:ascii="Times New Roman" w:cs="Times New Roman" w:eastAsia="Times New Roman" w:hAnsi="Times New Roman"/>
          <w:color w:val="1F2937"/>
          <w:sz w:val="22"/>
          <w:szCs w:val="22"/>
        </w:rPr>
        <w:t xml:space="preserve">	5</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4.2  Filling with Negative Infinity Before Softmax</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5.  Comparing the Two Approaches</w:t>
      </w:r>
      <w:r>
        <w:rPr>
          <w:rFonts w:ascii="Times New Roman" w:cs="Times New Roman" w:eastAsia="Times New Roman" w:hAnsi="Times New Roman"/>
          <w:color w:val="1F2937"/>
          <w:sz w:val="22"/>
          <w:szCs w:val="22"/>
        </w:rPr>
        <w:t xml:space="preserve">	7</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6.  Dropout — Additional Regularization</w:t>
      </w:r>
      <w:r>
        <w:rPr>
          <w:rFonts w:ascii="Times New Roman" w:cs="Times New Roman" w:eastAsia="Times New Roman" w:hAnsi="Times New Roman"/>
          <w:color w:val="1F2937"/>
          <w:sz w:val="22"/>
          <w:szCs w:val="22"/>
        </w:rPr>
        <w:t xml:space="preserve">	7</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6.1  What Dropout Does and Why Values Are Scaled Up</w:t>
      </w:r>
      <w:r>
        <w:rPr>
          <w:rFonts w:ascii="Times New Roman" w:cs="Times New Roman" w:eastAsia="Times New Roman" w:hAnsi="Times New Roman"/>
          <w:color w:val="1F2937"/>
          <w:sz w:val="22"/>
          <w:szCs w:val="22"/>
        </w:rPr>
        <w:t xml:space="preserve">	8</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6.2  Dropout on Attention Weights — Numerical Trace</w:t>
      </w:r>
      <w:r>
        <w:rPr>
          <w:rFonts w:ascii="Times New Roman" w:cs="Times New Roman" w:eastAsia="Times New Roman" w:hAnsi="Times New Roman"/>
          <w:color w:val="1F2937"/>
          <w:sz w:val="22"/>
          <w:szCs w:val="22"/>
        </w:rPr>
        <w:t xml:space="preserve">	8</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7.  Batched Inputs and the Three-Dimensional Tensor</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8.  The Complete CausalAttention Class</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9.  Three Production Patterns Introduced Here</w:t>
      </w:r>
      <w:r>
        <w:rPr>
          <w:rFonts w:ascii="Times New Roman" w:cs="Times New Roman" w:eastAsia="Times New Roman" w:hAnsi="Times New Roman"/>
          <w:color w:val="1F2937"/>
          <w:sz w:val="22"/>
          <w:szCs w:val="22"/>
        </w:rPr>
        <w:t xml:space="preserve">	12</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10.  Complete Shape Summary — Every Tensor Tracked</w:t>
      </w:r>
      <w:r>
        <w:rPr>
          <w:rFonts w:ascii="Times New Roman" w:cs="Times New Roman" w:eastAsia="Times New Roman" w:hAnsi="Times New Roman"/>
          <w:color w:val="1F2937"/>
          <w:sz w:val="22"/>
          <w:szCs w:val="22"/>
        </w:rPr>
        <w:t xml:space="preserve">	12</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11.  Key Observations</w:t>
      </w:r>
      <w:r>
        <w:rPr>
          <w:rFonts w:ascii="Times New Roman" w:cs="Times New Roman" w:eastAsia="Times New Roman" w:hAnsi="Times New Roman"/>
          <w:color w:val="1F2937"/>
          <w:sz w:val="22"/>
          <w:szCs w:val="22"/>
        </w:rPr>
        <w:t xml:space="preserve">	13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12.  Experiments &amp; Open Questions</w:t>
      </w:r>
      <w:r>
        <w:rPr>
          <w:rFonts w:ascii="Times New Roman" w:cs="Times New Roman" w:eastAsia="Times New Roman" w:hAnsi="Times New Roman"/>
          <w:color w:val="1F2937"/>
          <w:sz w:val="22"/>
          <w:szCs w:val="22"/>
        </w:rPr>
        <w:t xml:space="preserve">	14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12.1  Hand-Verified Causal Attention Row for 'journey'</w:t>
      </w:r>
      <w:r>
        <w:rPr>
          <w:rFonts w:ascii="Times New Roman" w:cs="Times New Roman" w:eastAsia="Times New Roman" w:hAnsi="Times New Roman"/>
          <w:color w:val="1F2937"/>
          <w:sz w:val="22"/>
          <w:szCs w:val="22"/>
        </w:rPr>
        <w:t xml:space="preserve">	14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12.2  Open Question — Does Dropout on Attention Weights Help at Inference Time?</w:t>
      </w:r>
      <w:r>
        <w:rPr>
          <w:rFonts w:ascii="Times New Roman" w:cs="Times New Roman" w:eastAsia="Times New Roman" w:hAnsi="Times New Roman"/>
          <w:color w:val="1F2937"/>
          <w:sz w:val="22"/>
          <w:szCs w:val="22"/>
        </w:rPr>
        <w:t xml:space="preserve">	14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12.3  Proposed Future Work</w:t>
      </w:r>
      <w:r>
        <w:rPr>
          <w:rFonts w:ascii="Times New Roman" w:cs="Times New Roman" w:eastAsia="Times New Roman" w:hAnsi="Times New Roman"/>
          <w:color w:val="1F2937"/>
          <w:sz w:val="22"/>
          <w:szCs w:val="22"/>
        </w:rPr>
        <w:t xml:space="preserve">	15</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13.  Discussion — Relationship to Prior Work</w:t>
      </w:r>
      <w:r>
        <w:rPr>
          <w:rFonts w:ascii="Times New Roman" w:cs="Times New Roman" w:eastAsia="Times New Roman" w:hAnsi="Times New Roman"/>
          <w:color w:val="1F2937"/>
          <w:sz w:val="22"/>
          <w:szCs w:val="22"/>
        </w:rPr>
        <w:t xml:space="preserve">	15</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14.  What Comes Next</w:t>
      </w:r>
      <w:r>
        <w:rPr>
          <w:rFonts w:ascii="Times New Roman" w:cs="Times New Roman" w:eastAsia="Times New Roman" w:hAnsi="Times New Roman"/>
          <w:color w:val="1F2937"/>
          <w:sz w:val="22"/>
          <w:szCs w:val="22"/>
        </w:rPr>
        <w:t xml:space="preserve">	16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       References</w:t>
      </w:r>
      <w:r>
        <w:rPr>
          <w:rFonts w:ascii="Times New Roman" w:cs="Times New Roman" w:eastAsia="Times New Roman" w:hAnsi="Times New Roman"/>
          <w:color w:val="1F2937"/>
          <w:sz w:val="22"/>
          <w:szCs w:val="22"/>
        </w:rPr>
        <w:t xml:space="preserve">	17</w:t>
      </w:r>
    </w:p>
    <w:p>
      <w:pPr>
        <w:sectPr>
          <w:pgSz w:w="12240" w:h="15840" w:orient="portrait"/>
          <w:pgMar w:top="1440" w:right="1440" w:bottom="1440" w:left="1440" w:header="708" w:footer="708" w:gutter="0"/>
          <w:pgNumType/>
          <w:docGrid w:linePitch="360"/>
        </w:sectPr>
      </w:pPr>
    </w:p>
    <w:p>
      <w:pPr>
        <w:spacing w:after="120" w:before="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Author</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Shiva Kiran Dadishetty</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Series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Building LLMs from Scratch</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Topic</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10 of 36  —  Stage 2: The Attention Mechanism</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Document Type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Implementation &amp; Derivation — Adds Masking and Dropout</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Also Known As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Masked Self-Attention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Core Question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How does the model attend only to current and past tokens, and why is this required for autoregressive generation?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Builds 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Topic 9 — Self-Attention with Trainable Weights</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Running Example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"Your journey starts with one step" — 6 tokens, batched ×2, d_in = 3, d_out = 2</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Used In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Every decoder-only LLM — GPT-2, GPT-3, GPT-4, LLaMA, Claude</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Version / Date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Version 1.0  ·  May 2026</w:t>
            </w:r>
          </w:p>
        </w:tc>
      </w:tr>
    </w:tbl>
    <w:p>
      <w:pPr>
        <w:spacing w:after="120" w:before="240"/>
      </w:pPr>
      <w:r>
        <w:rPr>
          <w:sz w:val="2"/>
          <w:szCs w:val="2"/>
        </w:rPr>
        <w:t xml:space="preserve"/>
      </w:r>
    </w:p>
    <w:p>
      <w:pPr>
        <w:pStyle w:val="Heading1"/>
        <w:keepNext/>
        <w:keepLines/>
        <w:spacing w:after="180" w:before="360"/>
      </w:pPr>
      <w:r>
        <w:rPr>
          <w:rFonts w:ascii="Calibri" w:cs="Calibri" w:eastAsia="Calibri" w:hAnsi="Calibri"/>
          <w:b/>
          <w:bCs/>
          <w:color w:val="0D3B6E"/>
          <w:sz w:val="32"/>
          <w:szCs w:val="32"/>
        </w:rPr>
        <w:t xml:space="preserve">1.  Why Causal Masking Is Required</w:t>
      </w:r>
    </w:p>
    <w:p>
      <w:pPr>
        <w:spacing w:after="120" w:before="60" w:line="320"/>
        <w:jc w:val="both"/>
      </w:pPr>
      <w:r>
        <w:rPr>
          <w:rFonts w:ascii="Times New Roman" w:cs="Times New Roman" w:eastAsia="Times New Roman" w:hAnsi="Times New Roman"/>
          <w:color w:val="1F2937"/>
          <w:sz w:val="22"/>
          <w:szCs w:val="22"/>
        </w:rPr>
        <w:t xml:space="preserve">The trainable self-attention mechanism developed in Topic 9 is symmetric in time: every token attends to every other token, with no distinction between past, present, and future. This symmetry is appropriate for tasks such as classification or translation where the entire input is observed before any output is produced. It is, however, fundamentally incompatible with autoregressive language generation.</w:t>
      </w:r>
    </w:p>
    <w:p>
      <w:pPr>
        <w:spacing w:after="120" w:before="60" w:line="320"/>
        <w:jc w:val="both"/>
      </w:pPr>
      <w:r>
        <w:rPr>
          <w:rFonts w:ascii="Times New Roman" w:cs="Times New Roman" w:eastAsia="Times New Roman" w:hAnsi="Times New Roman"/>
          <w:color w:val="1F2937"/>
          <w:sz w:val="22"/>
          <w:szCs w:val="22"/>
        </w:rPr>
        <w:t xml:space="preserve">In autoregressive generation, the model must predict each token using only the tokens that come before it. If the model is allowed to attend to future tokens during training — as Topic 9's symmetric attention permits — it learns a function that is impossible to evaluate at inference time, because at inference the future tokens do not yet exist. The trained model would either produce garbage or, worse, exhibit train-time accuracy with no inference-time generalization at all. This failure mode is sometimes called label leakage or autoregressive cheating, and it is the specific problem that causal masking solves.</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Causal Masking Is Not Optional</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Causal masking is not a regularization or efficiency choice. It is the architectural constraint that aligns training with inference for autoregressive language models. Without it, the model trains on a problem whose information structure does not match generation, and the resulting weights have no inference-time meaning. Every decoder-only language model — GPT-2, GPT-3, LLaMA, Claude — uses causal masking; it is part of the definition of the architectural family.</w:t>
      </w:r>
    </w:p>
    <w:p>
      <w:pPr>
        <w:spacing w:after="120" w:before="60" w:line="320"/>
        <w:jc w:val="both"/>
      </w:pPr>
      <w:r>
        <w:rPr>
          <w:rFonts w:ascii="Times New Roman" w:cs="Times New Roman" w:eastAsia="Times New Roman" w:hAnsi="Times New Roman"/>
          <w:color w:val="1F2937"/>
          <w:sz w:val="22"/>
          <w:szCs w:val="22"/>
        </w:rPr>
        <w:t xml:space="preserve">Topic 10 introduces this mask in two equivalent forms, demonstrates the production-standard variant numerically on the running toy sentence, and adds two further extensions required for production usage: dropout regularization on the attention weights, and batch processing via a leading batch dimension on the input tensor. The result is the complete single-head causal attention module used by GPT-2.</w:t>
      </w:r>
    </w:p>
    <w:p>
      <w:pPr>
        <w:pStyle w:val="Heading1"/>
        <w:keepNext/>
        <w:keepLines/>
        <w:spacing w:after="180" w:before="360"/>
      </w:pPr>
      <w:r>
        <w:rPr>
          <w:rFonts w:ascii="Calibri" w:cs="Calibri" w:eastAsia="Calibri" w:hAnsi="Calibri"/>
          <w:b/>
          <w:bCs/>
          <w:color w:val="0D3B6E"/>
          <w:sz w:val="32"/>
          <w:szCs w:val="32"/>
        </w:rPr>
        <w:t xml:space="preserve">2.  The Core Constraint — Visibility per Position</w:t>
      </w:r>
    </w:p>
    <w:p>
      <w:pPr>
        <w:spacing w:after="120" w:before="60" w:line="320"/>
        <w:jc w:val="both"/>
      </w:pPr>
      <w:r>
        <w:rPr>
          <w:rFonts w:ascii="Times New Roman" w:cs="Times New Roman" w:eastAsia="Times New Roman" w:hAnsi="Times New Roman"/>
          <w:color w:val="1F2937"/>
          <w:sz w:val="22"/>
          <w:szCs w:val="22"/>
        </w:rPr>
        <w:t xml:space="preserve">The constraint that causal masking enforces can be stated row by row in the attention weight matrix. For an input of length T, position i may attend only to positions 1 through i — itself and everything before it. Position 1 attends only to itself; position 2 attends to positions 1 and 2; and so on. The last position T attends to all T positions and is the only row of the matrix that is unrestricted.</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Symmetric self-attention (Topic 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Every token attends to ALL T positions — past, present, future.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'Your'    can see: Your, journey, starts, with, one, step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can see: Your, journey, starts, with, one, step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Causal self-attention (Topic 10):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Each token attends ONLY to current and previous positions.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'Your'    can see: Your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can see: Your,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'starts'  can see: Your, journey, starts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'with'    can see: Your, journey, starts, with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'one'     can see: Your, journey, starts, with, one</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'step'    can see: Your, journey, starts, with, one, step</w:t>
      </w:r>
    </w:p>
    <w:p>
      <w:pPr>
        <w:spacing w:after="120" w:before="60" w:line="320"/>
        <w:jc w:val="both"/>
      </w:pPr>
      <w:r>
        <w:rPr>
          <w:rFonts w:ascii="Times New Roman" w:cs="Times New Roman" w:eastAsia="Times New Roman" w:hAnsi="Times New Roman"/>
          <w:color w:val="1F2937"/>
          <w:sz w:val="22"/>
          <w:szCs w:val="22"/>
        </w:rPr>
        <w:t xml:space="preserve">Visually, the attention weight matrix becomes lower-triangular: every entry strictly above the main diagonal is zero, and the entries on and below the diagonal sum to one within each row. The remaining sections derive two algorithms that produce this lower-triangular weight matrix, starting from a symmetric attention score matrix.</w:t>
      </w:r>
    </w:p>
    <w:p>
      <w:pPr>
        <w:pStyle w:val="Heading1"/>
        <w:keepNext/>
        <w:keepLines/>
        <w:spacing w:after="180" w:before="360"/>
      </w:pPr>
      <w:r>
        <w:rPr>
          <w:rFonts w:ascii="Calibri" w:cs="Calibri" w:eastAsia="Calibri" w:hAnsi="Calibri"/>
          <w:b/>
          <w:bCs/>
          <w:color w:val="0D3B6E"/>
          <w:sz w:val="32"/>
          <w:szCs w:val="32"/>
        </w:rPr>
        <w:t xml:space="preserve">3.  Approach 1 — Post-Softmax Multiplicative Mask</w:t>
      </w:r>
    </w:p>
    <w:p>
      <w:pPr>
        <w:spacing w:after="120" w:before="60" w:line="320"/>
        <w:jc w:val="both"/>
      </w:pPr>
      <w:r>
        <w:rPr>
          <w:rFonts w:ascii="Times New Roman" w:cs="Times New Roman" w:eastAsia="Times New Roman" w:hAnsi="Times New Roman"/>
          <w:color w:val="1F2937"/>
          <w:sz w:val="22"/>
          <w:szCs w:val="22"/>
        </w:rPr>
        <w:t xml:space="preserve">The most direct way to produce a causal attention weight matrix is to compute the symmetric weights first (as in Topic 9), then zero out future positions by element-wise multiplication with a lower-triangular mask of ones, and finally renormalize each row so it sums to one again. This approach is conceptually transparent and works correctly, but it requires a separate renormalization step after the masking and is therefore strictly more expensive than the alternative developed in Section 4.</w:t>
      </w:r>
    </w:p>
    <w:p>
      <w:pPr>
        <w:pStyle w:val="Heading2"/>
        <w:keepNext/>
        <w:keepLines/>
        <w:spacing w:after="120" w:before="240"/>
      </w:pPr>
      <w:r>
        <w:rPr>
          <w:rFonts w:ascii="Calibri" w:cs="Calibri" w:eastAsia="Calibri" w:hAnsi="Calibri"/>
          <w:b/>
          <w:bCs/>
          <w:color w:val="0D3B6E"/>
          <w:sz w:val="26"/>
          <w:szCs w:val="26"/>
        </w:rPr>
        <w:t xml:space="preserve">3.1  Building the Lower-Triangular Mask</w:t>
      </w:r>
    </w:p>
    <w:p>
      <w:pPr>
        <w:spacing w:after="120" w:before="60" w:line="320"/>
        <w:jc w:val="both"/>
      </w:pPr>
      <w:r>
        <w:rPr>
          <w:rFonts w:ascii="Times New Roman" w:cs="Times New Roman" w:eastAsia="Times New Roman" w:hAnsi="Times New Roman"/>
          <w:color w:val="1F2937"/>
          <w:sz w:val="22"/>
          <w:szCs w:val="22"/>
        </w:rPr>
        <w:t xml:space="preserve">PyTorch's torch.tril (lower-triangular) function constructs the required mask in one line. Each row contains ones at the visible positions and zeros at the future positions, mirroring the visibility pattern from Section 2.</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Step 1: Compute attention weights normally (from Topic 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 = torch.softmax(attn_scores / keys.shape[-1]**0.5,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All values between 0 and 1; each row sums to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2: Build the lower-triangular mask</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context_length = attn_scores.shape[0]   #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mask_simple = torch.tril(torch.ones(context_length, context_length))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print(mask_simple)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tensor([[1., 0., 0., 0., 0.,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[1., 1., 0., 0., 0.,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[1., 1., 1., 0., 0.,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[1., 1., 1., 1., 0.,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[1., 1., 1., 1., 1., 0.],</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[1., 1., 1., 1., 1., 1.]])</w:t>
      </w:r>
    </w:p>
    <w:p>
      <w:pPr>
        <w:pStyle w:val="Heading2"/>
        <w:keepNext/>
        <w:keepLines/>
        <w:spacing w:after="120" w:before="240"/>
      </w:pPr>
      <w:r>
        <w:rPr>
          <w:rFonts w:ascii="Calibri" w:cs="Calibri" w:eastAsia="Calibri" w:hAnsi="Calibri"/>
          <w:b/>
          <w:bCs/>
          <w:color w:val="0D3B6E"/>
          <w:sz w:val="26"/>
          <w:szCs w:val="26"/>
        </w:rPr>
        <w:t xml:space="preserve">3.2  Zeroing Future Positions and Renormalizing</w:t>
      </w:r>
    </w:p>
    <w:p>
      <w:pPr>
        <w:spacing w:after="120" w:before="60" w:line="320"/>
        <w:jc w:val="both"/>
      </w:pPr>
      <w:r>
        <w:rPr>
          <w:rFonts w:ascii="Times New Roman" w:cs="Times New Roman" w:eastAsia="Times New Roman" w:hAnsi="Times New Roman"/>
          <w:color w:val="1F2937"/>
          <w:sz w:val="22"/>
          <w:szCs w:val="22"/>
        </w:rPr>
        <w:t xml:space="preserve">Element-wise multiplication of the symmetric weight matrix with the mask produces a tensor in which future entries are exactly zero but the remaining entries no longer sum to one per row. A second normalization step is therefore required: divide each row by its row sum to recover a valid probability distribution.</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Step 3: Element-wise multiply — zeros out future positions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masked_simple = attn_weights * mask_simple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 1 ('Your'):    [0.19, 0.00, 0.00, 0.00, 0.00, 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 2 ('journey'): [0.20, 0.17, 0.00, 0.00, 0.00, 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 sums no longer equal 1 — they have been reduced.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4: Renormalize each row to sum to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row_sums = masked_simple.sum(dim=1, keepdim=True)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masked_simple_norm = masked_simple / row_sums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 1 ('Your'):    [1.00, 0.00, 0.00, 0.00, 0.00, 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 2 ('journey'): [0.55, 0.45, 0.00, 0.00, 0.00, 0.00]</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Row 6 ('step'):    [0.19, 0.17, 0.17, 0.15, 0.17, 0.15]</w:t>
      </w:r>
    </w:p>
    <w:p>
      <w:pPr>
        <w:spacing w:after="120" w:before="60" w:line="320"/>
        <w:jc w:val="both"/>
      </w:pPr>
      <w:r>
        <w:rPr>
          <w:rFonts w:ascii="Times New Roman" w:cs="Times New Roman" w:eastAsia="Times New Roman" w:hAnsi="Times New Roman"/>
          <w:color w:val="1F2937"/>
          <w:sz w:val="22"/>
          <w:szCs w:val="22"/>
        </w:rPr>
        <w:t xml:space="preserve">This approach is correct but inefficient. It performs softmax over the full T × T matrix, then masks, then performs a second normalization pass. The next approach achieves the same result in a single softmax.</w:t>
      </w:r>
    </w:p>
    <w:p>
      <w:pPr>
        <w:pStyle w:val="Heading1"/>
        <w:keepNext/>
        <w:keepLines/>
        <w:spacing w:after="180" w:before="360"/>
      </w:pPr>
      <w:r>
        <w:rPr>
          <w:rFonts w:ascii="Calibri" w:cs="Calibri" w:eastAsia="Calibri" w:hAnsi="Calibri"/>
          <w:b/>
          <w:bCs/>
          <w:color w:val="0D3B6E"/>
          <w:sz w:val="32"/>
          <w:szCs w:val="32"/>
        </w:rPr>
        <w:t xml:space="preserve">4.  Approach 2 — Pre-Softmax Negative-Infinity Mask</w:t>
      </w:r>
    </w:p>
    <w:p>
      <w:pPr>
        <w:spacing w:after="120" w:before="60" w:line="320"/>
        <w:jc w:val="both"/>
      </w:pPr>
      <w:r>
        <w:rPr>
          <w:rFonts w:ascii="Times New Roman" w:cs="Times New Roman" w:eastAsia="Times New Roman" w:hAnsi="Times New Roman"/>
          <w:color w:val="1F2937"/>
          <w:sz w:val="22"/>
          <w:szCs w:val="22"/>
        </w:rPr>
        <w:t xml:space="preserve">The production-standard approach masks before softmax, not after. Future positions in the attention score matrix are set to negative infinity, and softmax is applied directly. Because exp(-inf) = 0 exactly, the masked positions receive zero weight, and because softmax normalizes over only the finite-valued entries, the row sums automatically equal one. No separate renormalization step is required.</w:t>
      </w:r>
    </w:p>
    <w:p>
      <w:pPr>
        <w:pStyle w:val="Heading2"/>
        <w:keepNext/>
        <w:keepLines/>
        <w:spacing w:after="120" w:before="240"/>
      </w:pPr>
      <w:r>
        <w:rPr>
          <w:rFonts w:ascii="Calibri" w:cs="Calibri" w:eastAsia="Calibri" w:hAnsi="Calibri"/>
          <w:b/>
          <w:bCs/>
          <w:color w:val="0D3B6E"/>
          <w:sz w:val="26"/>
          <w:szCs w:val="26"/>
        </w:rPr>
        <w:t xml:space="preserve">4.1  The Upper-Triangular Mask and Why It Differs</w:t>
      </w:r>
    </w:p>
    <w:p>
      <w:pPr>
        <w:spacing w:after="120" w:before="60" w:line="320"/>
        <w:jc w:val="both"/>
      </w:pPr>
      <w:r>
        <w:rPr>
          <w:rFonts w:ascii="Times New Roman" w:cs="Times New Roman" w:eastAsia="Times New Roman" w:hAnsi="Times New Roman"/>
          <w:color w:val="1F2937"/>
          <w:sz w:val="22"/>
          <w:szCs w:val="22"/>
        </w:rPr>
        <w:t xml:space="preserve">The mask used in Approach 2 is upper-triangular rather than lower-triangular, because it identifies the positions to be masked rather than those to be kept. Specifically, the mask has ones strictly above the diagonal (positions to mask) and zeros on and below the diagonal (positions to keep). This is constructed with torch.triu and the diagonal=1 argument that excludes the main diagonal.</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mask = torch.triu(torch.ones(context_length, context_length), diagonal=1)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print(mask)</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 1., 1., 1., 1.,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0., 1., 1., 1.,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0., 0., 1., 1.,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0., 0., 0., 1.,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0., 0., 0., 0.,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0., 0., 0., 0.,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diagonal=1 excludes the main diagonal: a token is allowed to attend</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to itself, only positions strictly to its right are masked.</w:t>
      </w:r>
    </w:p>
    <w:p>
      <w:pPr>
        <w:pStyle w:val="Heading2"/>
        <w:keepNext/>
        <w:keepLines/>
        <w:spacing w:after="120" w:before="240"/>
      </w:pPr>
      <w:r>
        <w:rPr>
          <w:rFonts w:ascii="Calibri" w:cs="Calibri" w:eastAsia="Calibri" w:hAnsi="Calibri"/>
          <w:b/>
          <w:bCs/>
          <w:color w:val="0D3B6E"/>
          <w:sz w:val="26"/>
          <w:szCs w:val="26"/>
        </w:rPr>
        <w:t xml:space="preserve">4.2  Filling with Negative Infinity Before Softmax</w:t>
      </w:r>
    </w:p>
    <w:p>
      <w:pPr>
        <w:spacing w:after="120" w:before="60" w:line="320"/>
        <w:jc w:val="both"/>
      </w:pPr>
      <w:r>
        <w:rPr>
          <w:rFonts w:ascii="Times New Roman" w:cs="Times New Roman" w:eastAsia="Times New Roman" w:hAnsi="Times New Roman"/>
          <w:color w:val="1F2937"/>
          <w:sz w:val="22"/>
          <w:szCs w:val="22"/>
        </w:rPr>
        <w:t xml:space="preserve">With the upper-triangular mask in hand, the masking operation is masked_fill on the unscaled attention scores. PyTorch's masked_fill replaces every entry where the mask is True with the supplied scalar — in this case -torch.inf. The score matrix becomes a structured tensor in which the lower triangle holds the original computed scores and the upper triangle is uniformly negative infinity.</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masked = attn_scores.masked_fill(mask.bool(), -torch.inf)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print(masked)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tensor([[0.2899,   -inf,   -inf,   -inf,   -inf,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[0.4656, 0.1723,   -inf,   -inf,   -inf,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[0.4594, 0.1703, 0.1731,   -inf,   -inf,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[0.2642, 0.1024, 0.1036, 0.0186,   -inf,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[0.2183, 0.0874, 0.0882, 0.0177, 0.0786,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[0.3408, 0.1270, 0.1290, 0.0198, 0.1290, 0.0078]])</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 = torch.softmax(masked / keys.shape[-1]**0.5,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print(attn_weights)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tensor([[1.0000, 0.0000, 0.0000, 0.0000,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[0.5517, 0.4483, 0.0000, 0.0000,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[0.3800, 0.3097, 0.3103, 0.0000,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[0.2758, 0.2460, 0.2462, 0.2319,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[0.2175, 0.1983, 0.1984, 0.1888, 0.1971, 0.0000],</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[0.1935, 0.1663, 0.1666, 0.1542, 0.1666, 0.1529]])</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Why exp(-inf) = 0 Is the Right Trick</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Mathematically, softmax(x_i) = exp(x_i) / sum_j exp(x_j). When a particular x_i is set to negative infinity, exp(x_i) evaluates to exactly zero. That entry contributes nothing to either the numerator or the denominator. The result is a valid probability distribution over the remaining (unmasked) entries, normalized correctly in a single softmax pass — no second renormalization step is required. This is the canonical way to apply masks in attention and is used in every production transformer implementation.</w:t>
      </w:r>
    </w:p>
    <w:p>
      <w:pPr>
        <w:spacing w:after="80" w:before="200"/>
        <w:jc w:val="center"/>
      </w:pPr>
      <w:r>
        <w:drawing>
          <wp:inline distT="0" distB="0" distL="0" distR="0">
            <wp:extent cx="5143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51460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1: From symmetric to causal attention. Left: the attention weight matrix from Topic 9, where every row is a full distribution over all six positions. Right: the same matrix after causal masking, with future positions zeroed and the visible weights renormalized. Each row of the right-hand matrix sums to 1.0; the lower triangle preserves the relative ordering of the original symmetric weights.</w:t>
      </w:r>
    </w:p>
    <w:p>
      <w:pPr>
        <w:pStyle w:val="Heading1"/>
        <w:keepNext/>
        <w:keepLines/>
        <w:spacing w:after="180" w:before="360"/>
      </w:pPr>
      <w:r>
        <w:rPr>
          <w:rFonts w:ascii="Calibri" w:cs="Calibri" w:eastAsia="Calibri" w:hAnsi="Calibri"/>
          <w:b/>
          <w:bCs/>
          <w:color w:val="0D3B6E"/>
          <w:sz w:val="32"/>
          <w:szCs w:val="32"/>
        </w:rPr>
        <w:t xml:space="preserve">5.  Comparing the Two Approaches</w:t>
      </w:r>
    </w:p>
    <w:p>
      <w:pPr>
        <w:spacing w:after="120" w:before="60" w:line="320"/>
        <w:jc w:val="both"/>
      </w:pPr>
      <w:r>
        <w:rPr>
          <w:rFonts w:ascii="Times New Roman" w:cs="Times New Roman" w:eastAsia="Times New Roman" w:hAnsi="Times New Roman"/>
          <w:color w:val="1F2937"/>
          <w:sz w:val="22"/>
          <w:szCs w:val="22"/>
        </w:rPr>
        <w:t xml:space="preserve">Both approaches produce identical results — the lower-triangular causal weight matrix shown on the right of Figure 1. The difference is purely operational: how many tensor passes are required, and how memory-efficient each pass is. Table 1 makes the comparison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Property</w:t>
            </w:r>
          </w:p>
        </w:tc>
        <w:tc>
          <w:tcPr>
            <w:tcW w:type="dxa" w:w="34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Approach 1: Post-Softmax Multiply</w:t>
            </w:r>
          </w:p>
        </w:tc>
        <w:tc>
          <w:tcPr>
            <w:tcW w:type="dxa" w:w="34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Approach 2: Pre-Softmax -inf Fill</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Mask shape</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Lower-triangular (1s = keep)</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Upper-triangular (1s = mask)</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Stage applied</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After softmax (on weights)</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Before softmax (on scores)</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Renormalization needed</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Yes — explicit second pass</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No — handled inside softmax</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Number of passes</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Three (softmax, multiply, renorm)</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Two (mask-fill, softmax)</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Used in production</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No — pedagogical only</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Yes — every modern LLM</w:t>
            </w:r>
          </w:p>
        </w:tc>
      </w:tr>
    </w:tbl>
    <w:p>
      <w:pPr>
        <w:spacing w:after="200" w:before="80"/>
        <w:jc w:val="center"/>
      </w:pPr>
      <w:r>
        <w:rPr>
          <w:rFonts w:ascii="Times New Roman" w:cs="Times New Roman" w:eastAsia="Times New Roman" w:hAnsi="Times New Roman"/>
          <w:i/>
          <w:iCs/>
          <w:color w:val="6B7280"/>
          <w:sz w:val="20"/>
          <w:szCs w:val="20"/>
        </w:rPr>
        <w:t xml:space="preserve">Table 1: Comparison of the two causal masking approaches. Both produce identical outputs; Approach 2 is strictly more efficient and is the standard form.</w:t>
      </w:r>
    </w:p>
    <w:p>
      <w:pPr>
        <w:pStyle w:val="Heading1"/>
        <w:keepNext/>
        <w:keepLines/>
        <w:spacing w:after="180" w:before="360"/>
      </w:pPr>
      <w:r>
        <w:rPr>
          <w:rFonts w:ascii="Calibri" w:cs="Calibri" w:eastAsia="Calibri" w:hAnsi="Calibri"/>
          <w:b/>
          <w:bCs/>
          <w:color w:val="0D3B6E"/>
          <w:sz w:val="32"/>
          <w:szCs w:val="32"/>
        </w:rPr>
        <w:t xml:space="preserve">6.  Dropout — Additional Regularization</w:t>
      </w:r>
    </w:p>
    <w:p>
      <w:pPr>
        <w:spacing w:after="120" w:before="60" w:line="320"/>
        <w:jc w:val="both"/>
      </w:pPr>
      <w:r>
        <w:rPr>
          <w:rFonts w:ascii="Times New Roman" w:cs="Times New Roman" w:eastAsia="Times New Roman" w:hAnsi="Times New Roman"/>
          <w:color w:val="1F2937"/>
          <w:sz w:val="22"/>
          <w:szCs w:val="22"/>
        </w:rPr>
        <w:t xml:space="preserve">Causal masking enforces an architectural constraint; dropout provides statistical regularization. The two operations are independent — they could be applied separately or together — but the production CausalAttention module of Section 8 applies both. Dropout on the attention weights is the more common of the two possible application points; an alternative is to apply it on the attention scores before softmax, which has slightly different statistical properties.</w:t>
      </w:r>
    </w:p>
    <w:p>
      <w:pPr>
        <w:pStyle w:val="Heading2"/>
        <w:keepNext/>
        <w:keepLines/>
        <w:spacing w:after="120" w:before="240"/>
      </w:pPr>
      <w:r>
        <w:rPr>
          <w:rFonts w:ascii="Calibri" w:cs="Calibri" w:eastAsia="Calibri" w:hAnsi="Calibri"/>
          <w:b/>
          <w:bCs/>
          <w:color w:val="0D3B6E"/>
          <w:sz w:val="26"/>
          <w:szCs w:val="26"/>
        </w:rPr>
        <w:t xml:space="preserve">6.1  What Dropout Does and Why Values Are Scaled Up</w:t>
      </w:r>
    </w:p>
    <w:p>
      <w:pPr>
        <w:spacing w:after="120" w:before="60" w:line="320"/>
        <w:jc w:val="both"/>
      </w:pPr>
      <w:r>
        <w:rPr>
          <w:rFonts w:ascii="Times New Roman" w:cs="Times New Roman" w:eastAsia="Times New Roman" w:hAnsi="Times New Roman"/>
          <w:color w:val="1F2937"/>
          <w:sz w:val="22"/>
          <w:szCs w:val="22"/>
        </w:rPr>
        <w:t xml:space="preserve">Dropout, introduced by Srivastava et al. (2014), randomly sets a fraction of values in a tensor to zero during training. The fraction zeroed is controlled by the dropout rate p (e.g. p = 0.5 zeros 50% of entries on average). The remaining non-zero entries are scaled up by 1/(1-p) so that the expected value of each entry is preserved. With p = 0.5, the surviving entries are doubled.</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Why Scaling Up Matters</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If dropout zeroed entries without rescaling, the expected magnitude of the output tensor would shrink by a factor of (1-p). This would shift the operating regime of the next layer at training time relative to inference time, where dropout is disabled. Scaling up by 1/(1-p) ensures that the expected value of each entry equals the inference-time value. Training and inference operate on tensors of the same expected magnitude — only the variance differs.</w:t>
      </w:r>
    </w:p>
    <w:p>
      <w:pPr>
        <w:spacing w:after="120" w:before="60" w:line="320"/>
        <w:jc w:val="both"/>
      </w:pPr>
      <w:r>
        <w:rPr>
          <w:rFonts w:ascii="Times New Roman" w:cs="Times New Roman" w:eastAsia="Times New Roman" w:hAnsi="Times New Roman"/>
          <w:color w:val="1F2937"/>
          <w:sz w:val="22"/>
          <w:szCs w:val="22"/>
        </w:rPr>
        <w:t xml:space="preserve">During inference, dropout is disabled automatically by setting the model to eval mode (model.eval()). Both the random zeroing and the rescaling are skipped; the model uses all attention weights at their computed values. The asymmetry between training (dropout on, with scaling) and inference (dropout off, no scaling) is intentional and is what makes dropout act as a regularizer rather than a permanent architectural change.</w:t>
      </w:r>
    </w:p>
    <w:p>
      <w:pPr>
        <w:pStyle w:val="Heading2"/>
        <w:keepNext/>
        <w:keepLines/>
        <w:spacing w:after="120" w:before="240"/>
      </w:pPr>
      <w:r>
        <w:rPr>
          <w:rFonts w:ascii="Calibri" w:cs="Calibri" w:eastAsia="Calibri" w:hAnsi="Calibri"/>
          <w:b/>
          <w:bCs/>
          <w:color w:val="0D3B6E"/>
          <w:sz w:val="26"/>
          <w:szCs w:val="26"/>
        </w:rPr>
        <w:t xml:space="preserve">6.2  Dropout on Attention Weights — Numerical Trace</w:t>
      </w:r>
    </w:p>
    <w:p>
      <w:pPr>
        <w:spacing w:after="120" w:before="60" w:line="320"/>
        <w:jc w:val="both"/>
      </w:pPr>
      <w:r>
        <w:rPr>
          <w:rFonts w:ascii="Times New Roman" w:cs="Times New Roman" w:eastAsia="Times New Roman" w:hAnsi="Times New Roman"/>
          <w:color w:val="1F2937"/>
          <w:sz w:val="22"/>
          <w:szCs w:val="22"/>
        </w:rPr>
        <w:t xml:space="preserve">Applying dropout(p=0.5) to a 6 × 6 matrix of ones illustrates the two simultaneous effects — random zeroing and uniform rescaling — on a tensor whose original values are interpretable.</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dropout = torch.nn.Dropout(0.5)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example = torch.ones(6,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print(dropout(example))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tensor([[2., 2., 0., 2., 2.,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0., 0., 2., 0.,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[2., 2., 2., 2., 0.,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2., 2., 0., 0.,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2., 0., 2., 0.,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 2., 2., 2., 2., 2.]])</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Each entry is either 0 (dropped) or 2 (= 1 / (1-0.5) — kept and rescaled).</w:t>
      </w:r>
    </w:p>
    <w:p>
      <w:pPr>
        <w:spacing w:after="120" w:before="60" w:line="320"/>
        <w:jc w:val="both"/>
      </w:pPr>
      <w:r>
        <w:rPr>
          <w:rFonts w:ascii="Times New Roman" w:cs="Times New Roman" w:eastAsia="Times New Roman" w:hAnsi="Times New Roman"/>
          <w:color w:val="1F2937"/>
          <w:sz w:val="22"/>
          <w:szCs w:val="22"/>
        </w:rPr>
        <w:t xml:space="preserve">Applied to the causal attention weights computed in Section 4.2, the same operation produces a randomized weight matrix in which approximately half the entries are zero and the rest are doubled relative to their causal-masked values.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print(dropout(attn_weights))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tensor([[2.0000, 0.0000, 0.0000, 0.0000,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[0.0000, 0.0000, 0.0000, 0.0000,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[0.7599, 0.6194, 0.6206, 0.0000,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[0.0000, 0.4921, 0.4925, 0.0000,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[0.0000, 0.3966, 0.0000, 0.3775,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[0.0000, 0.3327, 0.3331, 0.3084, 0.3331,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Note: Row 2 ('journey') is entirely zero in this draw because the only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two non-zero entries (0.5517 and 0.4483) both happened to be dropped.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This is rare but not impossible at p=0.5; over many training steps the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rows are dropped out independently and the expected gradient signal</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is preserved. With smaller p (e.g. 0.1) the all-zero row case is</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vanishingly unlikely.</w:t>
      </w:r>
    </w:p>
    <w:p>
      <w:pPr>
        <w:spacing w:after="80" w:before="200"/>
        <w:jc w:val="center"/>
      </w:pPr>
      <w:r>
        <w:drawing>
          <wp:inline distT="0" distB="0" distL="0" distR="0">
            <wp:extent cx="514350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489585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2: Dropout on causal attention weights. Top-left: the causal attention weight matrix from Section 4.2. Top-right: a Bernoulli-sampled dropout mask with p = 0.5. Bottom: the result of applying the dropout mask to the causal weights, with surviving values rescaled by 1/(1-p). Some attention weights are zeroed out, redirecting gradient flow during this training step away from those positions.</w:t>
      </w:r>
    </w:p>
    <w:p>
      <w:pPr>
        <w:pStyle w:val="Heading1"/>
        <w:keepNext/>
        <w:keepLines/>
        <w:spacing w:after="180" w:before="360"/>
      </w:pPr>
      <w:r>
        <w:rPr>
          <w:rFonts w:ascii="Calibri" w:cs="Calibri" w:eastAsia="Calibri" w:hAnsi="Calibri"/>
          <w:b/>
          <w:bCs/>
          <w:color w:val="0D3B6E"/>
          <w:sz w:val="32"/>
          <w:szCs w:val="32"/>
        </w:rPr>
        <w:t xml:space="preserve">7.  Batched Inputs and the Three-Dimensional Tensor</w:t>
      </w:r>
    </w:p>
    <w:p>
      <w:pPr>
        <w:spacing w:after="120" w:before="60" w:line="320"/>
        <w:jc w:val="both"/>
      </w:pPr>
      <w:r>
        <w:rPr>
          <w:rFonts w:ascii="Times New Roman" w:cs="Times New Roman" w:eastAsia="Times New Roman" w:hAnsi="Times New Roman"/>
          <w:color w:val="1F2937"/>
          <w:sz w:val="22"/>
          <w:szCs w:val="22"/>
        </w:rPr>
        <w:t xml:space="preserve">All numerical traces shown so far have operated on a single sequence of six tokens — a 2D tensor of shape [6, 3]. Production training requires processing many sequences in parallel for both throughput and statistical efficiency, which means the input tensor gains a leading batch dimension and becomes 3D with shape [batch_size, num_tokens, d_in]. The CausalAttention class of Section 8 is written to handle this batched form. The single-sequence form is recovered automatically when batch_size = 1.</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Stack two copies of the same input to form a batch of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batch = torch.stack((inputs, inputs), dim=0)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print(batch.shape)              # torch.Size([2, 6,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After the W_K, W_Q, W_V projections, keys/queries/values become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3D tensors of shape [2, 6, d_out] = [2,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Computing attention scores requires transposing the LAST TWO dimensions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of keys (the num_tokens and d_out dims), keeping the batch dim fixed: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Topic 9  (no batch):  attn_scores = queries @ keys.T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keys.T  flips both dims:    [6, 2] -&gt; [2,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Topic 10 (batched):   attn_scores = queries @ keys.transpose(1,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keys.transpose(1, 2) flips dims 1 &amp; 2 only: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[2, 6, 2] -&gt; [2, 2,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(batch dim 0 stays at index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Result: attn_scores has shape [2, 6, 6] — one 6x6 attention matrix per batch item.</w:t>
      </w:r>
    </w:p>
    <w:p>
      <w:pPr>
        <w:spacing w:after="120" w:before="60" w:line="320"/>
        <w:jc w:val="both"/>
      </w:pPr>
      <w:r>
        <w:rPr>
          <w:rFonts w:ascii="Times New Roman" w:cs="Times New Roman" w:eastAsia="Times New Roman" w:hAnsi="Times New Roman"/>
          <w:color w:val="1F2937"/>
          <w:sz w:val="22"/>
          <w:szCs w:val="22"/>
        </w:rPr>
        <w:t xml:space="preserve">Two further consequences of moving to batched inputs are visible in the class implementation. First, the softmax dimension changes: dim=1 in the 2D form becomes dim=-1 in the 3D form; using the negative-index dim=-1 is the safest choice because it always refers to the final dimension regardless of whether a batch dimension is present. Second, the causal mask must be sliced to match the actual sequence length being processed, in case sequences shorter than the maximum context length are passed in.</w:t>
      </w:r>
    </w:p>
    <w:p>
      <w:pPr>
        <w:pStyle w:val="Heading1"/>
        <w:keepNext/>
        <w:keepLines/>
        <w:spacing w:after="180" w:before="360"/>
      </w:pPr>
      <w:r>
        <w:rPr>
          <w:rFonts w:ascii="Calibri" w:cs="Calibri" w:eastAsia="Calibri" w:hAnsi="Calibri"/>
          <w:b/>
          <w:bCs/>
          <w:color w:val="0D3B6E"/>
          <w:sz w:val="32"/>
          <w:szCs w:val="32"/>
        </w:rPr>
        <w:t xml:space="preserve">8.  The Complete CausalAttention Class</w:t>
      </w:r>
    </w:p>
    <w:p>
      <w:pPr>
        <w:spacing w:after="120" w:before="60" w:line="320"/>
        <w:jc w:val="both"/>
      </w:pPr>
      <w:r>
        <w:rPr>
          <w:rFonts w:ascii="Times New Roman" w:cs="Times New Roman" w:eastAsia="Times New Roman" w:hAnsi="Times New Roman"/>
          <w:color w:val="1F2937"/>
          <w:sz w:val="22"/>
          <w:szCs w:val="22"/>
        </w:rPr>
        <w:t xml:space="preserve">Combining causal masking, dropout, and batched processing, the complete CausalAttention nn.Module is shown below. This class is the final single-head attention module; Topics 11 and 12 will run multiple instances of this class in parallel to produce multi-head attention as used in production GPT-2.</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import torch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import torch.nn as nn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class CausalAttention(nn.Module):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__init__(self, d_in, d_out, context_length,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dropout, qkv_bias=False):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super().__init__()</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self.d_out =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Three trainable projection matrices (from Topic 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self.W_query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self.W_key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self.W_value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NEW: dropout layer for regularization on attention weights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self.dropout = nn.Dropout(dropout)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NEW: causal mask registered as a buffer (not a parameter)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self.register_buffer(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'mask',</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torch.triu(torch.ones(context_length, context_length),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diagonal=1)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forward(self, 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 num_tokens, d_in = x.shape    # NEW: batch dim b</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    = self.W_key(x)          # [b, num_tokens,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 = self.W_query(x)        # [b, num_tokens,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values  = self.W_value(x)        # [b, num_tokens,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NEW: transpose only dims 1 and 2 (keep batch dim 0 fixed)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queries @ keys.transpose(1,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NEW: in-place mask-fill saves a tensor allocation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attn_scores.masked_fill_(</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self.mask.bool()[:num_tokens, :num_tokens], -torch.inf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attn_weights = torch.softmax(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keys.shape[-1]**0.5,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attn_weights = self.dropout(attn_weights)   # NEW</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return attn_weights @ values     # [b, num_tokens,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Test on a batch of two identical sequences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batch = torch.stack((inputs, inputs), dim=0)   # shape [2, 6,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ca = CausalAttention(d_in=3, d_out=2, context_length=6, dropout=0.0)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context_vecs = ca(batch)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print('context_vecs.shape:', context_vecs.shape)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context_vecs.shape: torch.Size([2, 6, 2])</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2 batches, 6 tokens, 2-dimensional context vectors per token</w:t>
      </w:r>
    </w:p>
    <w:p>
      <w:pPr>
        <w:pStyle w:val="Heading1"/>
        <w:keepNext/>
        <w:keepLines/>
        <w:spacing w:after="180" w:before="360"/>
      </w:pPr>
      <w:r>
        <w:rPr>
          <w:rFonts w:ascii="Calibri" w:cs="Calibri" w:eastAsia="Calibri" w:hAnsi="Calibri"/>
          <w:b/>
          <w:bCs/>
          <w:color w:val="0D3B6E"/>
          <w:sz w:val="32"/>
          <w:szCs w:val="32"/>
        </w:rPr>
        <w:t xml:space="preserve">9.  Three Production Patterns Introduced Here</w:t>
      </w:r>
    </w:p>
    <w:p>
      <w:pPr>
        <w:spacing w:after="120" w:before="60" w:line="320"/>
        <w:jc w:val="both"/>
      </w:pPr>
      <w:r>
        <w:rPr>
          <w:rFonts w:ascii="Times New Roman" w:cs="Times New Roman" w:eastAsia="Times New Roman" w:hAnsi="Times New Roman"/>
          <w:color w:val="1F2937"/>
          <w:sz w:val="22"/>
          <w:szCs w:val="22"/>
        </w:rPr>
        <w:t xml:space="preserve">Beyond the conceptual additions of causal masking and dropout, the CausalAttention class introduces three PyTorch patterns that did not appear in Topic 9. Each is small in isolation but each is essential for production-quality code. Table 2 summarizes the three patterns and explains why each one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Pattern</w:t>
            </w:r>
          </w:p>
        </w:tc>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Where</w:t>
            </w:r>
          </w:p>
        </w:tc>
        <w:tc>
          <w:tcPr>
            <w:tcW w:type="dxa" w:w="396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Why It Matters</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register_buffer</w:t>
            </w:r>
          </w:p>
        </w:tc>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__init__: stores the mask</w:t>
            </w:r>
          </w:p>
        </w:tc>
        <w:tc>
          <w:tcPr>
            <w:tcW w:type="dxa" w:w="39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The mask is a fixed tensor, not a learned parameter. register_buffer makes it move to GPU with the model but excludes it from the optimizer's parameter list, so backprop never updates it.</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keys.transpose(1, 2)</w:t>
            </w:r>
          </w:p>
        </w:tc>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forward: score computation</w:t>
            </w:r>
          </w:p>
        </w:tc>
        <w:tc>
          <w:tcPr>
            <w:tcW w:type="dxa" w:w="39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The 2D form keys.T transposes both dimensions and would scramble the batch dimension in a 3D tensor. transpose(1, 2) flips only the last two dimensions, keeping the batch dimension at index 0.</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masked_fill_ (trailing _)</w:t>
            </w:r>
          </w:p>
        </w:tc>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forward: applying the mask</w:t>
            </w:r>
          </w:p>
        </w:tc>
        <w:tc>
          <w:tcPr>
            <w:tcW w:type="dxa" w:w="39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The trailing underscore makes the operation in-place — the existing tensor is modified rather than a new one allocated. For very large attention tensors this halves the memory footprint of the masking step.</w:t>
            </w:r>
          </w:p>
        </w:tc>
      </w:tr>
    </w:tbl>
    <w:p>
      <w:pPr>
        <w:spacing w:after="200" w:before="80"/>
        <w:jc w:val="center"/>
      </w:pPr>
      <w:r>
        <w:rPr>
          <w:rFonts w:ascii="Times New Roman" w:cs="Times New Roman" w:eastAsia="Times New Roman" w:hAnsi="Times New Roman"/>
          <w:i/>
          <w:iCs/>
          <w:color w:val="6B7280"/>
          <w:sz w:val="20"/>
          <w:szCs w:val="20"/>
        </w:rPr>
        <w:t xml:space="preserve">Table 2: Three PyTorch patterns introduced for the first time in Topic 10. Each is a production-quality habit that will reappear throughout the rest of the series.</w:t>
      </w:r>
    </w:p>
    <w:p>
      <w:pPr>
        <w:pStyle w:val="Heading1"/>
        <w:keepNext/>
        <w:keepLines/>
        <w:spacing w:after="180" w:before="360"/>
      </w:pPr>
      <w:r>
        <w:rPr>
          <w:rFonts w:ascii="Calibri" w:cs="Calibri" w:eastAsia="Calibri" w:hAnsi="Calibri"/>
          <w:b/>
          <w:bCs/>
          <w:color w:val="0D3B6E"/>
          <w:sz w:val="32"/>
          <w:szCs w:val="32"/>
        </w:rPr>
        <w:t xml:space="preserve">10.  Complete Shape Summary — Every Tensor Tracked</w:t>
      </w:r>
    </w:p>
    <w:p>
      <w:pPr>
        <w:spacing w:after="120" w:before="60" w:line="320"/>
        <w:jc w:val="both"/>
      </w:pPr>
      <w:r>
        <w:rPr>
          <w:rFonts w:ascii="Times New Roman" w:cs="Times New Roman" w:eastAsia="Times New Roman" w:hAnsi="Times New Roman"/>
          <w:color w:val="1F2937"/>
          <w:sz w:val="22"/>
          <w:szCs w:val="22"/>
        </w:rPr>
        <w:t xml:space="preserve">Table 3 collects every tensor in the batched CausalAttention pipeline with its shape and role. Compared with the Topic 9 inventory, every tensor now carries a leading batch dimension of size b =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cantSplit/>
          <w:tblHeader/>
        </w:trPr>
        <w:tc>
          <w:tcPr>
            <w:tcW w:type="dxa" w:w="24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Tensor</w:t>
            </w:r>
          </w:p>
        </w:tc>
        <w:tc>
          <w:tcPr>
            <w:tcW w:type="dxa" w:w="1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Shape</w:t>
            </w:r>
          </w:p>
        </w:tc>
        <w:tc>
          <w:tcPr>
            <w:tcW w:type="dxa" w:w="516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Description</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batch (input)</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6, 3]</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sequences × 6 tokens × d_in = 3</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W_Q, W_K, W_V</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Trainable projections (d_in = 3, d_out = 2). Shared across the batch.</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queries Q</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Query vectors, batched</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keys K</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Key vectors, batched</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values V</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Value vectors, batched</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keys.transpose(1, 2)</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2, 6]</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Keys with last two dims swapped, batch dim preserved</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mask (buffer)</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6]</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Upper-triangular causal mask, no batch dim — broadcast across the batch</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attn_scores</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6, 6]</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After masked_fill_, upper triangle is -inf</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attn_weights</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6, 6]</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After softmax and dropout — each row sums to 1 (in eval mode) or to a stochastic value (in train mode)</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context_vecs Z</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Final output — 2 batches × 6 tokens × d_out = 2</w:t>
            </w:r>
          </w:p>
        </w:tc>
      </w:tr>
    </w:tbl>
    <w:p>
      <w:pPr>
        <w:spacing w:after="200" w:before="80"/>
        <w:jc w:val="center"/>
      </w:pPr>
      <w:r>
        <w:rPr>
          <w:rFonts w:ascii="Times New Roman" w:cs="Times New Roman" w:eastAsia="Times New Roman" w:hAnsi="Times New Roman"/>
          <w:i/>
          <w:iCs/>
          <w:color w:val="6B7280"/>
          <w:sz w:val="20"/>
          <w:szCs w:val="20"/>
        </w:rPr>
        <w:t xml:space="preserve">Table 3: Tensor inventory for the CausalAttention forward pass. In GPT-2 Small, the same shapes scale to [batch, 1024, 768] with d_out = 768.</w:t>
      </w:r>
    </w:p>
    <w:p>
      <w:pPr>
        <w:pStyle w:val="Heading1"/>
        <w:keepNext/>
        <w:keepLines/>
        <w:spacing w:after="180" w:before="360"/>
      </w:pPr>
      <w:r>
        <w:rPr>
          <w:rFonts w:ascii="Calibri" w:cs="Calibri" w:eastAsia="Calibri" w:hAnsi="Calibri"/>
          <w:b/>
          <w:bCs/>
          <w:color w:val="0D3B6E"/>
          <w:sz w:val="32"/>
          <w:szCs w:val="32"/>
        </w:rPr>
        <w:t xml:space="preserve">11.  Key Observations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Causal masking is an architectural constraint, not a regularizer. </w:t>
      </w:r>
      <w:r>
        <w:rPr>
          <w:rFonts w:ascii="Times New Roman" w:cs="Times New Roman" w:eastAsia="Times New Roman" w:hAnsi="Times New Roman"/>
          <w:b w:val="false"/>
          <w:bCs w:val="false"/>
          <w:i w:val="false"/>
          <w:iCs w:val="false"/>
          <w:color w:val="1F2937"/>
          <w:sz w:val="22"/>
          <w:szCs w:val="22"/>
        </w:rPr>
        <w:t xml:space="preserve">It aligns the information available at training with the information available at inference. Without it, the model learns to use future tokens during training and has no way to reproduce that behaviour at generation time. Every decoder-only language model uses this same mask.</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pre-softmax negative-infinity trick is the production form. </w:t>
      </w:r>
      <w:r>
        <w:rPr>
          <w:rFonts w:ascii="Times New Roman" w:cs="Times New Roman" w:eastAsia="Times New Roman" w:hAnsi="Times New Roman"/>
          <w:b w:val="false"/>
          <w:bCs w:val="false"/>
          <w:i w:val="false"/>
          <w:iCs w:val="false"/>
          <w:color w:val="1F2937"/>
          <w:sz w:val="22"/>
          <w:szCs w:val="22"/>
        </w:rPr>
        <w:t xml:space="preserve">Filling future positions with -inf before softmax produces a valid distribution in a single softmax pass, because exp(-inf) = 0 contributes nothing to either the numerator or the denominator. The post-softmax multiplicative form is correct but strictly slower because it requires an explicit second renormalization.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Dropout on attention weights regularizes by stochastic gradient routing. </w:t>
      </w:r>
      <w:r>
        <w:rPr>
          <w:rFonts w:ascii="Times New Roman" w:cs="Times New Roman" w:eastAsia="Times New Roman" w:hAnsi="Times New Roman"/>
          <w:b w:val="false"/>
          <w:bCs w:val="false"/>
          <w:i w:val="false"/>
          <w:iCs w:val="false"/>
          <w:color w:val="1F2937"/>
          <w:sz w:val="22"/>
          <w:szCs w:val="22"/>
        </w:rPr>
        <w:t xml:space="preserve">Random subsets of attention weights are zeroed each training step, forcing the model to learn distributed representations rather than relying on any single attention edge. The 1/(1-p) rescaling preserves the expected magnitude across train/inference modes.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register_buffer is the right home for fixed tensors that travel with the model. </w:t>
      </w:r>
      <w:r>
        <w:rPr>
          <w:rFonts w:ascii="Times New Roman" w:cs="Times New Roman" w:eastAsia="Times New Roman" w:hAnsi="Times New Roman"/>
          <w:b w:val="false"/>
          <w:bCs w:val="false"/>
          <w:i w:val="false"/>
          <w:iCs w:val="false"/>
          <w:color w:val="1F2937"/>
          <w:sz w:val="22"/>
          <w:szCs w:val="22"/>
        </w:rPr>
        <w:t xml:space="preserve">The causal mask is needed on whichever device the model lives on, but is never updated by the optimizer. Buffers move with the model when .to(device) is called, are saved in the state dict, and are excluded from .parameters().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transpose(1, 2) is the batched equivalent of .T. </w:t>
      </w:r>
      <w:r>
        <w:rPr>
          <w:rFonts w:ascii="Times New Roman" w:cs="Times New Roman" w:eastAsia="Times New Roman" w:hAnsi="Times New Roman"/>
          <w:b w:val="false"/>
          <w:bCs w:val="false"/>
          <w:i w:val="false"/>
          <w:iCs w:val="false"/>
          <w:color w:val="1F2937"/>
          <w:sz w:val="22"/>
          <w:szCs w:val="22"/>
        </w:rPr>
        <w:t xml:space="preserve">The bare .T attribute transposes all dimensions and silently scrambles the batch dimension when applied to 3D tensors. Using transpose(1, 2) explicitly flips the last two dimensions only, which is what the matmul requires.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single-head module is now feature-complete for production. </w:t>
      </w:r>
      <w:r>
        <w:rPr>
          <w:rFonts w:ascii="Times New Roman" w:cs="Times New Roman" w:eastAsia="Times New Roman" w:hAnsi="Times New Roman"/>
          <w:b w:val="false"/>
          <w:bCs w:val="false"/>
          <w:i w:val="false"/>
          <w:iCs w:val="false"/>
          <w:color w:val="1F2937"/>
          <w:sz w:val="22"/>
          <w:szCs w:val="22"/>
        </w:rPr>
        <w:t xml:space="preserve">Causal masking, dropout, batched inputs, and the three production patterns of Section 9 together produce the exact single-head attention module used in GPT-2. Topics 11 and 12 only add parallelism — they do not change the internal computation of any individual head.</w:t>
      </w:r>
    </w:p>
    <w:p>
      <w:pPr>
        <w:pStyle w:val="Heading1"/>
        <w:keepNext/>
        <w:keepLines/>
        <w:spacing w:after="180" w:before="360"/>
      </w:pPr>
      <w:r>
        <w:rPr>
          <w:rFonts w:ascii="Calibri" w:cs="Calibri" w:eastAsia="Calibri" w:hAnsi="Calibri"/>
          <w:b/>
          <w:bCs/>
          <w:color w:val="0D3B6E"/>
          <w:sz w:val="32"/>
          <w:szCs w:val="32"/>
        </w:rPr>
        <w:t xml:space="preserve">12.  Experiments &amp; Open Questions</w:t>
      </w:r>
    </w:p>
    <w:p>
      <w:pPr>
        <w:spacing w:after="120" w:before="60" w:line="320"/>
        <w:jc w:val="both"/>
      </w:pPr>
      <w:r>
        <w:rPr>
          <w:rFonts w:ascii="Times New Roman" w:cs="Times New Roman" w:eastAsia="Times New Roman" w:hAnsi="Times New Roman"/>
          <w:color w:val="1F2937"/>
          <w:sz w:val="22"/>
          <w:szCs w:val="22"/>
        </w:rPr>
        <w:t xml:space="preserve">This section extends the topic with three items that engage the mechanism beyond exposition: a hand-verified arithmetic computation of one row of the causal weight matrix, an open question regarding whether dropout on attention weights actually helps language model performance once context lengths grow, and a proposed empirical investigation.</w:t>
      </w:r>
    </w:p>
    <w:p>
      <w:pPr>
        <w:pStyle w:val="Heading3"/>
        <w:keepNext/>
        <w:keepLines/>
        <w:spacing w:after="80" w:before="200"/>
      </w:pPr>
      <w:r>
        <w:rPr>
          <w:rFonts w:ascii="Calibri" w:cs="Calibri" w:eastAsia="Calibri" w:hAnsi="Calibri"/>
          <w:b/>
          <w:bCs/>
          <w:color w:val="1F4D78"/>
          <w:sz w:val="24"/>
          <w:szCs w:val="24"/>
        </w:rPr>
        <w:t xml:space="preserve">12.1  Hand-Verified Causal Attention Row for 'journey'</w:t>
      </w:r>
    </w:p>
    <w:p>
      <w:pPr>
        <w:spacing w:after="120" w:before="60" w:line="320"/>
        <w:jc w:val="both"/>
      </w:pPr>
      <w:r>
        <w:rPr>
          <w:rFonts w:ascii="Times New Roman" w:cs="Times New Roman" w:eastAsia="Times New Roman" w:hAnsi="Times New Roman"/>
          <w:color w:val="1F2937"/>
          <w:sz w:val="22"/>
          <w:szCs w:val="22"/>
        </w:rPr>
        <w:t xml:space="preserve">Section 4.2 reports the row for 'journey' as [0.5517, 0.4483, 0, 0, 0, 0]. This subsection verifies that result by direct arithmetic against the unmasked attention scores [0.4656, 0.1723] for positions 1 and 2 (positions 3-6 have been replaced with -inf and contribute zero to softmax). With d_k = 2, the scaling factor is sqrt(2) ≈ 1.4142.</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Scaled scores for the 'journey' row over visible positions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s_1 = 0.4656 / 1.4142 ~= 0.3293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s_2 = 0.1723 / 1.4142 ~= 0.1218</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Softmax over the two visible scores (positions 3-6 are -inf -&gt;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exp_s_1 = exp(0.3293) ~= 1.3900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exp_s_2 = exp(0.1218) ~= 1.1295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denom    = 1.3900 + 1.1295 ~= 2.5195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alpha_1 = 1.3900 / 2.5195 ~= 0.5517</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alpha_2 = 1.1295 / 2.5195 ~= 0.4483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Hand:    [0.5517, 0.4483, 0, 0, 0,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PyTorch: [0.5517, 0.4483, 0, 0, 0, 0]</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Exact agreement to four decimal places.</w:t>
      </w:r>
    </w:p>
    <w:p>
      <w:pPr>
        <w:spacing w:after="120" w:before="60" w:line="320"/>
        <w:jc w:val="both"/>
      </w:pPr>
      <w:r>
        <w:rPr>
          <w:rFonts w:ascii="Times New Roman" w:cs="Times New Roman" w:eastAsia="Times New Roman" w:hAnsi="Times New Roman"/>
          <w:color w:val="1F2937"/>
          <w:sz w:val="22"/>
          <w:szCs w:val="22"/>
        </w:rPr>
        <w:t xml:space="preserve">The agreement confirms two things. First, the causal mask is doing its job — the four masked positions contribute exactly zero to both the numerator and the denominator of the softmax. Second, the renormalization is implicit — the row sums to exactly 1.0 after softmax, with no explicit row-sum division required.</w:t>
      </w:r>
    </w:p>
    <w:p>
      <w:pPr>
        <w:pStyle w:val="Heading3"/>
        <w:keepNext/>
        <w:keepLines/>
        <w:spacing w:after="80" w:before="200"/>
      </w:pPr>
      <w:r>
        <w:rPr>
          <w:rFonts w:ascii="Calibri" w:cs="Calibri" w:eastAsia="Calibri" w:hAnsi="Calibri"/>
          <w:b/>
          <w:bCs/>
          <w:color w:val="1F4D78"/>
          <w:sz w:val="24"/>
          <w:szCs w:val="24"/>
        </w:rPr>
        <w:t xml:space="preserve">12.2  Open Question — Does Dropout on Attention Weights Help at Inference Time?</w:t>
      </w:r>
    </w:p>
    <w:p>
      <w:pPr>
        <w:spacing w:after="120" w:before="60" w:line="320"/>
        <w:jc w:val="both"/>
      </w:pPr>
      <w:r>
        <w:rPr>
          <w:rFonts w:ascii="Times New Roman" w:cs="Times New Roman" w:eastAsia="Times New Roman" w:hAnsi="Times New Roman"/>
          <w:color w:val="1F2937"/>
          <w:sz w:val="22"/>
          <w:szCs w:val="22"/>
        </w:rPr>
        <w:t xml:space="preserve">Dropout was developed for fully-connected feed-forward networks where every neuron contributes additively to the next layer's input. Attention is structurally different: a dropped attention weight not only zeros one path but also distorts the row-sum normalization, since softmax has already enforced sum-to-1 over the unscaled distribution. In practice, dropout on attention weights is usually applied with a low rate (typically 0.1) and many production architectures have removed it entirely from the attention block in favor of dropout only on the residual stream. The open empirical question is whether dropout on attention weights is still beneficial at modern context lengths (100k+ tokens) or whether it has become a vestigial component of the original Transformer recipe. This is a question the literature has not settled, and the answer likely depends on training dataset size and on whether the attention heads are sharing or specializing.</w:t>
      </w:r>
    </w:p>
    <w:p>
      <w:pPr>
        <w:pStyle w:val="Heading3"/>
        <w:keepNext/>
        <w:keepLines/>
        <w:spacing w:after="80" w:before="200"/>
      </w:pPr>
      <w:r>
        <w:rPr>
          <w:rFonts w:ascii="Calibri" w:cs="Calibri" w:eastAsia="Calibri" w:hAnsi="Calibri"/>
          <w:b/>
          <w:bCs/>
          <w:color w:val="1F4D78"/>
          <w:sz w:val="24"/>
          <w:szCs w:val="24"/>
        </w:rPr>
        <w:t xml:space="preserve">12.3  Proposed Future Work</w:t>
      </w:r>
    </w:p>
    <w:p>
      <w:pPr>
        <w:spacing w:after="120" w:before="60" w:line="320"/>
        <w:jc w:val="both"/>
      </w:pPr>
      <w:r>
        <w:rPr>
          <w:rFonts w:ascii="Times New Roman" w:cs="Times New Roman" w:eastAsia="Times New Roman" w:hAnsi="Times New Roman"/>
          <w:color w:val="1F2937"/>
          <w:sz w:val="22"/>
          <w:szCs w:val="22"/>
        </w:rPr>
        <w:t xml:space="preserve">A natural empirical follow-up is a controlled ablation comparing CausalAttention with and without dropout on a small training run, holding all other hyperparameters fixed. The protocol trains two identical decoder-only models — one with dropout=0.1 on the attention weights, one with dropout=0.0 — on a corpus such as TinyStories or a 1M-token subset of OpenWebText, and measures next-token cross-entropy on a held-out validation set as a function of training steps. The hypothesis is that the no-dropout variant achieves lower training loss but higher validation loss at small data scales, with the gap closing as training data grows. This experiment is recorded as a direction for empirical validation once the training infrastructure of Stage 4 is available.</w:t>
      </w:r>
    </w:p>
    <w:p>
      <w:pPr>
        <w:pStyle w:val="Heading1"/>
        <w:keepNext/>
        <w:keepLines/>
        <w:spacing w:after="180" w:before="360"/>
      </w:pPr>
      <w:r>
        <w:rPr>
          <w:rFonts w:ascii="Calibri" w:cs="Calibri" w:eastAsia="Calibri" w:hAnsi="Calibri"/>
          <w:b/>
          <w:bCs/>
          <w:color w:val="0D3B6E"/>
          <w:sz w:val="32"/>
          <w:szCs w:val="32"/>
        </w:rPr>
        <w:t xml:space="preserve">13.  Discussion — Relationship to Prior Work</w:t>
      </w:r>
    </w:p>
    <w:p>
      <w:pPr>
        <w:spacing w:after="120" w:before="60" w:line="320"/>
        <w:jc w:val="both"/>
      </w:pPr>
      <w:r>
        <w:rPr>
          <w:rFonts w:ascii="Times New Roman" w:cs="Times New Roman" w:eastAsia="Times New Roman" w:hAnsi="Times New Roman"/>
          <w:color w:val="1F2937"/>
          <w:sz w:val="22"/>
          <w:szCs w:val="22"/>
        </w:rPr>
        <w:t xml:space="preserve">This section situates causal masked attention in relation to the primary research papers in which the relevant techniques were introduced. Formal citations appear in the References.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Causal (also called masked) self-attention was introduced as Section 3.2.3 of "Attention Is All You Need"</w:t>
      </w:r>
      <w:r>
        <w:rPr>
          <w:rFonts w:ascii="Times New Roman" w:cs="Times New Roman" w:eastAsia="Times New Roman" w:hAnsi="Times New Roman"/>
          <w:b/>
          <w:bCs/>
          <w:color w:val="1F2937"/>
          <w:sz w:val="22"/>
          <w:szCs w:val="22"/>
        </w:rPr>
        <w:t xml:space="preserve"> [1]</w:t>
      </w:r>
      <w:r>
        <w:rPr>
          <w:rFonts w:ascii="Times New Roman" w:cs="Times New Roman" w:eastAsia="Times New Roman" w:hAnsi="Times New Roman"/>
          <w:b w:val="false"/>
          <w:bCs w:val="false"/>
          <w:i w:val="false"/>
          <w:iCs w:val="false"/>
          <w:color w:val="1F2937"/>
          <w:sz w:val="22"/>
          <w:szCs w:val="22"/>
        </w:rPr>
        <w:t xml:space="preserve"> under the heading "Masked Multi-Head Attention." The original paper describes the technique briefly, simply stating that values corresponding to illegal connections are masked out by setting them to negative infinity before the softmax. The technique is also discussed in the context of preventing the decoder from attending to subsequent positions during training. The full architectural significance of causal masking — that it is the exact mechanism that makes autoregressive language modelling possible — became clearer with the emergence of decoder-only architectures in subsequent work.</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Dropout was introduced by Srivastava, Hinton, Krizhevsky, Sutskever, and Salakhutdinov</w:t>
      </w:r>
      <w:r>
        <w:rPr>
          <w:rFonts w:ascii="Times New Roman" w:cs="Times New Roman" w:eastAsia="Times New Roman" w:hAnsi="Times New Roman"/>
          <w:b/>
          <w:bCs/>
          <w:color w:val="1F2937"/>
          <w:sz w:val="22"/>
          <w:szCs w:val="22"/>
        </w:rPr>
        <w:t xml:space="preserve"> [2]</w:t>
      </w:r>
      <w:r>
        <w:rPr>
          <w:rFonts w:ascii="Times New Roman" w:cs="Times New Roman" w:eastAsia="Times New Roman" w:hAnsi="Times New Roman"/>
          <w:b w:val="false"/>
          <w:bCs w:val="false"/>
          <w:i w:val="false"/>
          <w:iCs w:val="false"/>
          <w:color w:val="1F2937"/>
          <w:sz w:val="22"/>
          <w:szCs w:val="22"/>
        </w:rPr>
        <w:t xml:space="preserve"> in 2014, two years before the Transformer. The paper formalized the random-zeroing-with-rescaling technique used here and showed empirically that it acts as an approximation to model averaging across an exponentially-large ensemble of subnetworks. The application of dropout specifically to attention weights — rather than to feed-forward activations — is a Transformer-era extension that does not appear in the original dropout paper.</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GPT-2</w:t>
      </w:r>
      <w:r>
        <w:rPr>
          <w:rFonts w:ascii="Times New Roman" w:cs="Times New Roman" w:eastAsia="Times New Roman" w:hAnsi="Times New Roman"/>
          <w:b/>
          <w:bCs/>
          <w:color w:val="1F2937"/>
          <w:sz w:val="22"/>
          <w:szCs w:val="22"/>
        </w:rPr>
        <w:t xml:space="preserve"> [3]</w:t>
      </w:r>
      <w:r>
        <w:rPr>
          <w:rFonts w:ascii="Times New Roman" w:cs="Times New Roman" w:eastAsia="Times New Roman" w:hAnsi="Times New Roman"/>
          <w:b w:val="false"/>
          <w:bCs w:val="false"/>
          <w:i w:val="false"/>
          <w:iCs w:val="false"/>
          <w:color w:val="1F2937"/>
          <w:sz w:val="22"/>
          <w:szCs w:val="22"/>
        </w:rPr>
        <w:t xml:space="preserve"> applies the exact CausalAttention mechanism implemented here, scaled to d_model = 768 and parallelized across 12 heads (Topic 12). The architectural choices that distinguish GPT-2 from the original encoder-decoder Transformer are the absence of the encoder, the use of pre-norm rather than post-norm layer normalization, and the byte-pair encoding tokenizer covered in Topic 2. The causal masking and dropout configuration are essentially identical between the two architectures.</w:t>
      </w:r>
    </w:p>
    <w:p>
      <w:pPr>
        <w:pStyle w:val="Heading1"/>
        <w:keepNext/>
        <w:keepLines/>
        <w:spacing w:after="180" w:before="360"/>
      </w:pPr>
      <w:r>
        <w:rPr>
          <w:rFonts w:ascii="Calibri" w:cs="Calibri" w:eastAsia="Calibri" w:hAnsi="Calibri"/>
          <w:b/>
          <w:bCs/>
          <w:color w:val="0D3B6E"/>
          <w:sz w:val="32"/>
          <w:szCs w:val="32"/>
        </w:rPr>
        <w:t xml:space="preserve">14.  What Comes Next</w:t>
      </w:r>
    </w:p>
    <w:p>
      <w:pPr>
        <w:spacing w:after="120" w:before="60" w:line="320"/>
        <w:jc w:val="both"/>
      </w:pPr>
      <w:r>
        <w:rPr>
          <w:rFonts w:ascii="Times New Roman" w:cs="Times New Roman" w:eastAsia="Times New Roman" w:hAnsi="Times New Roman"/>
          <w:color w:val="1F2937"/>
          <w:sz w:val="22"/>
          <w:szCs w:val="22"/>
        </w:rPr>
        <w:t xml:space="preserve">With single-head causal attention complete, Stage 2 proceeds with two further topics that produce the exact attention module used in production GPT-2.</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11 — Multi-Head Attention (Wrapper). </w:t>
      </w:r>
      <w:r>
        <w:rPr>
          <w:rFonts w:ascii="Times New Roman" w:cs="Times New Roman" w:eastAsia="Times New Roman" w:hAnsi="Times New Roman"/>
          <w:b w:val="false"/>
          <w:bCs w:val="false"/>
          <w:i w:val="false"/>
          <w:iCs w:val="false"/>
          <w:color w:val="1F2937"/>
          <w:sz w:val="22"/>
          <w:szCs w:val="22"/>
        </w:rPr>
        <w:t xml:space="preserve">Runs multiple instances of the CausalAttention class developed here in parallel, each with its own independent W_Q, W_K, W_V projections. The outputs of all heads are concatenated to form the layer output. The wrapper implementation uses an explicit nn.ModuleList of independent CausalAttention modules — conceptually transparent but inefficient because it cannot batch the per-head computations.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12 — Multi-Head Attention (Weight-Split). </w:t>
      </w:r>
      <w:r>
        <w:rPr>
          <w:rFonts w:ascii="Times New Roman" w:cs="Times New Roman" w:eastAsia="Times New Roman" w:hAnsi="Times New Roman"/>
          <w:b w:val="false"/>
          <w:bCs w:val="false"/>
          <w:i w:val="false"/>
          <w:iCs w:val="false"/>
          <w:color w:val="1F2937"/>
          <w:sz w:val="22"/>
          <w:szCs w:val="22"/>
        </w:rPr>
        <w:t xml:space="preserve">Replaces the wrapper with the production formulation. One large W_Q, W_K, W_V projection of shape [d_model, d_model] is split into multiple heads via reshape, and the heads are processed in a single batched matrix multiplication. This is the exact module that appears in the published 124M-parameter GPT-2 implementation.</w:t>
      </w:r>
    </w:p>
    <w:p>
      <w:pPr>
        <w:spacing w:after="120" w:before="60" w:line="320"/>
        <w:jc w:val="both"/>
      </w:pPr>
      <w:r>
        <w:rPr>
          <w:rFonts w:ascii="Times New Roman" w:cs="Times New Roman" w:eastAsia="Times New Roman" w:hAnsi="Times New Roman"/>
          <w:color w:val="1F2937"/>
          <w:sz w:val="22"/>
          <w:szCs w:val="22"/>
        </w:rPr>
        <w:t xml:space="preserve">By the end of Topic 12 the attention mechanism is complete and matches the GPT-2 production module tensor-for-tensor. Stages 3 through 5 then build the surrounding architecture (LayerNorm, GELU feed-forward, residual connections), the pretraining loop, and the instruction-tuning stage.</w:t>
      </w:r>
    </w:p>
    <w:p>
      <w:pPr>
        <w:pStyle w:val="Heading1"/>
        <w:keepNext/>
        <w:keepLines/>
        <w:pageBreakBefore/>
        <w:spacing w:after="180" w:before="360"/>
      </w:pPr>
      <w:r>
        <w:rPr>
          <w:rFonts w:ascii="Calibri" w:cs="Calibri" w:eastAsia="Calibri" w:hAnsi="Calibri"/>
          <w:b/>
          <w:bCs/>
          <w:color w:val="0D3B6E"/>
          <w:sz w:val="32"/>
          <w:szCs w:val="32"/>
        </w:rPr>
        <w:t xml:space="preserve">References</w:t>
      </w:r>
    </w:p>
    <w:p>
      <w:pPr>
        <w:spacing w:after="120" w:before="60" w:line="320"/>
        <w:jc w:val="both"/>
      </w:pPr>
      <w:r>
        <w:rPr>
          <w:rFonts w:ascii="Times New Roman" w:cs="Times New Roman" w:eastAsia="Times New Roman" w:hAnsi="Times New Roman"/>
          <w:color w:val="1F2937"/>
          <w:sz w:val="22"/>
          <w:szCs w:val="22"/>
        </w:rPr>
        <w:t xml:space="preserve">References are listed in IEEE numeric format. Each reference is cited inline in the body of this document using the corresponding number in square brackets.</w:t>
      </w:r>
    </w:p>
    <w:p>
      <w:pPr>
        <w:spacing w:after="120" w:before="120" w:line="320"/>
        <w:jc w:val="both"/>
      </w:pPr>
      <w:r>
        <w:rPr>
          <w:rFonts w:ascii="Times New Roman" w:cs="Times New Roman" w:eastAsia="Times New Roman" w:hAnsi="Times New Roman"/>
          <w:b/>
          <w:bCs/>
          <w:color w:val="1F2937"/>
          <w:sz w:val="22"/>
          <w:szCs w:val="22"/>
        </w:rPr>
        <w:t xml:space="preserve">[1]  </w:t>
      </w:r>
      <w:r>
        <w:rPr>
          <w:rFonts w:ascii="Times New Roman" w:cs="Times New Roman" w:eastAsia="Times New Roman" w:hAnsi="Times New Roman"/>
          <w:color w:val="1F2937"/>
          <w:sz w:val="22"/>
          <w:szCs w:val="22"/>
        </w:rPr>
        <w:t xml:space="preserve">A. Vaswani, N. Shazeer, N. Parmar, J. Uszkoreit, L. Jones, A. N. Gomez, Ł. Kaiser, and I. Polosukhin</w:t>
      </w:r>
      <w:r>
        <w:rPr>
          <w:rFonts w:ascii="Times New Roman" w:cs="Times New Roman" w:eastAsia="Times New Roman" w:hAnsi="Times New Roman"/>
          <w:i/>
          <w:iCs/>
          <w:color w:val="1F2937"/>
          <w:sz w:val="22"/>
          <w:szCs w:val="22"/>
        </w:rPr>
        <w:t xml:space="preserve">, "Attention Is All You Need,"</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Advances in Neural Information Processing Systems (NeurIPS)</w:t>
      </w:r>
      <w:r>
        <w:rPr>
          <w:rFonts w:ascii="Times New Roman" w:cs="Times New Roman" w:eastAsia="Times New Roman" w:hAnsi="Times New Roman"/>
          <w:color w:val="1F2937"/>
          <w:sz w:val="22"/>
          <w:szCs w:val="22"/>
        </w:rPr>
        <w:t xml:space="preserve">, 2017, pp. 5998–6008.</w:t>
      </w:r>
    </w:p>
    <w:p>
      <w:pPr>
        <w:spacing w:after="120" w:before="120" w:line="320"/>
        <w:jc w:val="both"/>
      </w:pPr>
      <w:r>
        <w:rPr>
          <w:rFonts w:ascii="Times New Roman" w:cs="Times New Roman" w:eastAsia="Times New Roman" w:hAnsi="Times New Roman"/>
          <w:b/>
          <w:bCs/>
          <w:color w:val="1F2937"/>
          <w:sz w:val="22"/>
          <w:szCs w:val="22"/>
        </w:rPr>
        <w:t xml:space="preserve">[2]  </w:t>
      </w:r>
      <w:r>
        <w:rPr>
          <w:rFonts w:ascii="Times New Roman" w:cs="Times New Roman" w:eastAsia="Times New Roman" w:hAnsi="Times New Roman"/>
          <w:color w:val="1F2937"/>
          <w:sz w:val="22"/>
          <w:szCs w:val="22"/>
        </w:rPr>
        <w:t xml:space="preserve">N. Srivastava, G. Hinton, A. Krizhevsky, I. Sutskever, and R. Salakhutdinov</w:t>
      </w:r>
      <w:r>
        <w:rPr>
          <w:rFonts w:ascii="Times New Roman" w:cs="Times New Roman" w:eastAsia="Times New Roman" w:hAnsi="Times New Roman"/>
          <w:i/>
          <w:iCs/>
          <w:color w:val="1F2937"/>
          <w:sz w:val="22"/>
          <w:szCs w:val="22"/>
        </w:rPr>
        <w:t xml:space="preserve">, "Dropout: A Simple Way to Prevent Neural Networks from Overfitting,"</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Journal of Machine Learning Research</w:t>
      </w:r>
      <w:r>
        <w:rPr>
          <w:rFonts w:ascii="Times New Roman" w:cs="Times New Roman" w:eastAsia="Times New Roman" w:hAnsi="Times New Roman"/>
          <w:color w:val="1F2937"/>
          <w:sz w:val="22"/>
          <w:szCs w:val="22"/>
        </w:rPr>
        <w:t xml:space="preserve">, vol. 15, no. 1, pp. 1929–1958, 2014.</w:t>
      </w:r>
    </w:p>
    <w:p>
      <w:pPr>
        <w:spacing w:after="120" w:before="120" w:line="320"/>
        <w:jc w:val="both"/>
      </w:pPr>
      <w:r>
        <w:rPr>
          <w:rFonts w:ascii="Times New Roman" w:cs="Times New Roman" w:eastAsia="Times New Roman" w:hAnsi="Times New Roman"/>
          <w:b/>
          <w:bCs/>
          <w:color w:val="1F2937"/>
          <w:sz w:val="22"/>
          <w:szCs w:val="22"/>
        </w:rPr>
        <w:t xml:space="preserve">[3]  </w:t>
      </w:r>
      <w:r>
        <w:rPr>
          <w:rFonts w:ascii="Times New Roman" w:cs="Times New Roman" w:eastAsia="Times New Roman" w:hAnsi="Times New Roman"/>
          <w:color w:val="1F2937"/>
          <w:sz w:val="22"/>
          <w:szCs w:val="22"/>
        </w:rPr>
        <w:t xml:space="preserve">A. Radford, J. Wu, R. Child, D. Luan, D. Amodei, and I. Sutskever</w:t>
      </w:r>
      <w:r>
        <w:rPr>
          <w:rFonts w:ascii="Times New Roman" w:cs="Times New Roman" w:eastAsia="Times New Roman" w:hAnsi="Times New Roman"/>
          <w:i/>
          <w:iCs/>
          <w:color w:val="1F2937"/>
          <w:sz w:val="22"/>
          <w:szCs w:val="22"/>
        </w:rPr>
        <w:t xml:space="preserve">, "Language Models are Unsupervised Multitask Learners,"</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OpenAI Technical Report</w:t>
      </w:r>
      <w:r>
        <w:rPr>
          <w:rFonts w:ascii="Times New Roman" w:cs="Times New Roman" w:eastAsia="Times New Roman" w:hAnsi="Times New Roman"/>
          <w:color w:val="1F2937"/>
          <w:sz w:val="22"/>
          <w:szCs w:val="22"/>
        </w:rPr>
        <w:t xml:space="preserve">, 2019.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360"/>
      </w:tabs>
    </w:pPr>
    <w:r>
      <w:rPr>
        <w:rFonts w:ascii="Times New Roman" w:cs="Times New Roman" w:eastAsia="Times New Roman" w:hAnsi="Times New Roman"/>
        <w:i/>
        <w:iCs/>
        <w:color w:val="6B7280"/>
        <w:sz w:val="18"/>
        <w:szCs w:val="18"/>
      </w:rPr>
      <w:t xml:space="preserve">Shiva Kiran Dadishetty  ·  Version 1.0</w:t>
    </w:r>
    <w:r>
      <w:rPr>
        <w:rFonts w:ascii="Times New Roman" w:cs="Times New Roman" w:eastAsia="Times New Roman" w:hAnsi="Times New Roman"/>
        <w:i/>
        <w:iCs/>
        <w:color w:val="6B7280"/>
        <w:sz w:val="18"/>
        <w:szCs w:val="18"/>
      </w:rPr>
      <w:t xml:space="preserve">	Page </w:t>
    </w:r>
    <w:r>
      <w:rPr>
        <w:rFonts w:ascii="Times New Roman" w:cs="Times New Roman" w:eastAsia="Times New Roman" w:hAnsi="Times New Roman"/>
        <w:b/>
        <w:bCs/>
        <w:i/>
        <w:iCs/>
        <w:color w:val="6B7280"/>
        <w:sz w:val="18"/>
        <w:szCs w:val="18"/>
      </w:rPr>
      <w:fldChar w:fldCharType="begin"/>
      <w:instrText xml:space="preserve">PAGE</w:instrText>
      <w:fldChar w:fldCharType="separate"/>
      <w:fldChar w:fldCharType="end"/>
    </w:r>
    <w:r>
      <w:rPr>
        <w:rFonts w:ascii="Times New Roman" w:cs="Times New Roman" w:eastAsia="Times New Roman" w:hAnsi="Times New Roman"/>
        <w:i/>
        <w:iCs/>
        <w:color w:val="6B7280"/>
        <w:sz w:val="18"/>
        <w:szCs w:val="18"/>
      </w:rPr>
      <w:t xml:space="preserve"> of </w:t>
    </w:r>
    <w:r>
      <w:rPr>
        <w:rFonts w:ascii="Times New Roman" w:cs="Times New Roman" w:eastAsia="Times New Roman" w:hAnsi="Times New Roman"/>
        <w:i/>
        <w:iCs/>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tabs>
        <w:tab w:val="right" w:pos="9360"/>
      </w:tabs>
    </w:pPr>
    <w:r>
      <w:rPr>
        <w:rFonts w:ascii="Times New Roman" w:cs="Times New Roman" w:eastAsia="Times New Roman" w:hAnsi="Times New Roman"/>
        <w:i/>
        <w:iCs/>
        <w:color w:val="6B7280"/>
        <w:sz w:val="18"/>
        <w:szCs w:val="18"/>
      </w:rPr>
      <w:t xml:space="preserve">Topic 10  —  Causal Self-Attention</w:t>
    </w:r>
    <w:r>
      <w:rPr>
        <w:rFonts w:ascii="Times New Roman" w:cs="Times New Roman" w:eastAsia="Times New Roman" w:hAnsi="Times New Roman"/>
        <w:i/>
        <w:iCs/>
        <w:color w:val="6B7280"/>
        <w:sz w:val="18"/>
        <w:szCs w:val="18"/>
      </w:rPr>
      <w:t xml:space="preserve">	Building LLMs from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D3B6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D3B6E"/>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t2ndlvyzqbynlpnv2knu" Type="http://schemas.openxmlformats.org/officeDocument/2006/relationships/hyperlink" Target="https://github.com/shivakiran-ai/llm-from-scratch" TargetMode="External"/><Relationship Id="rId9" Type="http://schemas.openxmlformats.org/officeDocument/2006/relationships/image" Target="media/b7e106d6b15eb278c3e0b08e7b4221f6a8e95cad.png"/><Relationship Id="rId10" Type="http://schemas.openxmlformats.org/officeDocument/2006/relationships/image" Target="media/9340dab3226c524d8617f0e1512a5ceaf2ffcf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2026-05-09T08:29:55.769Z</dcterms:created>
  <dcterms:modified xsi:type="dcterms:W3CDTF">2026-05-09T08:29:55.769Z</dcterms:modified>
</cp:coreProperties>
</file>

<file path=docProps/custom.xml><?xml version="1.0" encoding="utf-8"?>
<Properties xmlns="http://schemas.openxmlformats.org/officeDocument/2006/custom-properties" xmlns:vt="http://schemas.openxmlformats.org/officeDocument/2006/docPropsVTypes"/>
</file>