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9D4" w:rsidRPr="00833C51" w:rsidRDefault="00A721C0" w:rsidP="006751D1">
      <w:pPr>
        <w:ind w:left="-284" w:right="-188"/>
        <w:rPr>
          <w:rFonts w:ascii="Arial" w:hAnsi="Arial" w:cs="Arial"/>
          <w:b/>
          <w:sz w:val="28"/>
          <w:szCs w:val="28"/>
        </w:rPr>
      </w:pPr>
      <w:r>
        <w:rPr>
          <w:rFonts w:ascii="Arial" w:hAnsi="Arial" w:cs="Arial"/>
          <w:b/>
          <w:bCs/>
          <w:sz w:val="28"/>
          <w:szCs w:val="28"/>
        </w:rPr>
        <w:br/>
      </w:r>
      <w:r w:rsidR="00762790">
        <w:rPr>
          <w:rFonts w:ascii="Arial" w:hAnsi="Arial" w:cs="Arial"/>
          <w:b/>
          <w:bCs/>
          <w:sz w:val="28"/>
          <w:szCs w:val="28"/>
        </w:rPr>
        <w:t>Supplementary information</w:t>
      </w:r>
      <w:r w:rsidR="00FD109A">
        <w:rPr>
          <w:rFonts w:ascii="Arial" w:hAnsi="Arial" w:cs="Arial"/>
          <w:b/>
          <w:bCs/>
          <w:sz w:val="28"/>
          <w:szCs w:val="28"/>
        </w:rPr>
        <w:t xml:space="preserve"> for application</w:t>
      </w:r>
      <w:r w:rsidR="00762790">
        <w:rPr>
          <w:rFonts w:ascii="Arial" w:hAnsi="Arial" w:cs="Arial"/>
          <w:b/>
          <w:bCs/>
          <w:sz w:val="28"/>
          <w:szCs w:val="28"/>
        </w:rPr>
        <w:t>s</w:t>
      </w:r>
      <w:r w:rsidR="00D0172D" w:rsidRPr="00D0172D">
        <w:rPr>
          <w:rFonts w:ascii="Arial" w:hAnsi="Arial" w:cs="Arial"/>
          <w:b/>
          <w:bCs/>
          <w:sz w:val="28"/>
          <w:szCs w:val="28"/>
        </w:rPr>
        <w:t xml:space="preserve"> </w:t>
      </w:r>
      <w:r w:rsidR="00750DD9">
        <w:rPr>
          <w:rFonts w:ascii="Arial" w:hAnsi="Arial" w:cs="Arial"/>
          <w:b/>
          <w:bCs/>
          <w:sz w:val="28"/>
          <w:szCs w:val="28"/>
        </w:rPr>
        <w:t>for supervision of group solvency for groups with centralised risk management</w:t>
      </w:r>
    </w:p>
    <w:p w:rsidR="007859D4" w:rsidRPr="007859D4" w:rsidRDefault="007859D4" w:rsidP="006751D1">
      <w:pPr>
        <w:ind w:left="-284" w:right="-188"/>
        <w:rPr>
          <w:rFonts w:ascii="Arial" w:hAnsi="Arial" w:cs="Arial"/>
        </w:rPr>
      </w:pPr>
    </w:p>
    <w:tbl>
      <w:tblPr>
        <w:tblW w:w="8755" w:type="dxa"/>
        <w:tblLayout w:type="fixed"/>
        <w:tblLook w:val="0000" w:firstRow="0" w:lastRow="0" w:firstColumn="0" w:lastColumn="0" w:noHBand="0" w:noVBand="0"/>
      </w:tblPr>
      <w:tblGrid>
        <w:gridCol w:w="108"/>
        <w:gridCol w:w="2835"/>
        <w:gridCol w:w="3402"/>
        <w:gridCol w:w="2410"/>
      </w:tblGrid>
      <w:tr w:rsidR="00762790" w:rsidRPr="00056918" w:rsidTr="00BF7A97">
        <w:trPr>
          <w:gridBefore w:val="1"/>
          <w:wBefore w:w="108" w:type="dxa"/>
          <w:cantSplit/>
          <w:trHeight w:val="576"/>
        </w:trPr>
        <w:tc>
          <w:tcPr>
            <w:tcW w:w="2835" w:type="dxa"/>
            <w:tcBorders>
              <w:top w:val="single" w:sz="48" w:space="0" w:color="FFFFFF"/>
              <w:bottom w:val="single" w:sz="48" w:space="0" w:color="FFFFFF"/>
            </w:tcBorders>
            <w:vAlign w:val="center"/>
          </w:tcPr>
          <w:p w:rsidR="00762790" w:rsidRPr="00056918" w:rsidRDefault="00762790" w:rsidP="00BF7A97">
            <w:pPr>
              <w:spacing w:after="120" w:line="240" w:lineRule="auto"/>
              <w:rPr>
                <w:rFonts w:ascii="Arial" w:eastAsia="Times New Roman" w:hAnsi="Arial" w:cs="Arial"/>
                <w:snapToGrid w:val="0"/>
                <w:color w:val="000000"/>
              </w:rPr>
            </w:pPr>
            <w:r>
              <w:rPr>
                <w:rFonts w:ascii="Arial" w:eastAsia="Times New Roman" w:hAnsi="Arial" w:cs="Arial"/>
                <w:snapToGrid w:val="0"/>
                <w:color w:val="000000"/>
              </w:rPr>
              <w:t>Group</w:t>
            </w:r>
            <w:r w:rsidRPr="00056918">
              <w:rPr>
                <w:rFonts w:ascii="Arial" w:eastAsia="Times New Roman" w:hAnsi="Arial" w:cs="Arial"/>
                <w:snapToGrid w:val="0"/>
                <w:color w:val="000000"/>
              </w:rPr>
              <w:t xml:space="preserve"> name</w:t>
            </w:r>
          </w:p>
        </w:tc>
        <w:tc>
          <w:tcPr>
            <w:tcW w:w="5812" w:type="dxa"/>
            <w:gridSpan w:val="2"/>
            <w:tcBorders>
              <w:top w:val="single" w:sz="48" w:space="0" w:color="FFFFFF"/>
              <w:bottom w:val="single" w:sz="48" w:space="0" w:color="FFFFFF"/>
            </w:tcBorders>
            <w:shd w:val="pct10" w:color="000000" w:fill="FFFFFF"/>
            <w:vAlign w:val="center"/>
          </w:tcPr>
          <w:p w:rsidR="00762790" w:rsidRPr="00056918" w:rsidRDefault="00762790" w:rsidP="00BF7A97">
            <w:pPr>
              <w:spacing w:after="120" w:line="240" w:lineRule="auto"/>
              <w:rPr>
                <w:rFonts w:ascii="Arial" w:eastAsia="Times New Roman" w:hAnsi="Arial" w:cs="Arial"/>
                <w:b/>
                <w:snapToGrid w:val="0"/>
                <w:color w:val="000000"/>
              </w:rPr>
            </w:pPr>
            <w:r w:rsidRPr="00056918">
              <w:rPr>
                <w:rFonts w:ascii="Arial" w:eastAsia="Times New Roman" w:hAnsi="Arial" w:cs="Arial"/>
                <w:b/>
                <w:noProof/>
                <w:snapToGrid w:val="0"/>
                <w:color w:val="000000"/>
              </w:rPr>
              <w:t xml:space="preserve">     </w:t>
            </w:r>
          </w:p>
        </w:tc>
      </w:tr>
      <w:tr w:rsidR="00762790" w:rsidRPr="00056918" w:rsidTr="00BF7A97">
        <w:trPr>
          <w:gridBefore w:val="1"/>
          <w:wBefore w:w="108" w:type="dxa"/>
          <w:cantSplit/>
          <w:trHeight w:val="576"/>
        </w:trPr>
        <w:tc>
          <w:tcPr>
            <w:tcW w:w="2835" w:type="dxa"/>
            <w:tcBorders>
              <w:top w:val="single" w:sz="48" w:space="0" w:color="FFFFFF"/>
              <w:bottom w:val="single" w:sz="48" w:space="0" w:color="FFFFFF"/>
            </w:tcBorders>
            <w:vAlign w:val="center"/>
          </w:tcPr>
          <w:p w:rsidR="00762790" w:rsidRPr="00056918" w:rsidRDefault="00762790" w:rsidP="00BF7A97">
            <w:pPr>
              <w:spacing w:after="120" w:line="240" w:lineRule="auto"/>
              <w:rPr>
                <w:rFonts w:ascii="Arial" w:eastAsia="Times New Roman" w:hAnsi="Arial" w:cs="Arial"/>
                <w:snapToGrid w:val="0"/>
              </w:rPr>
            </w:pPr>
            <w:r w:rsidRPr="00056918">
              <w:rPr>
                <w:rFonts w:ascii="Arial" w:eastAsia="Times New Roman" w:hAnsi="Arial" w:cs="Arial"/>
                <w:snapToGrid w:val="0"/>
              </w:rPr>
              <w:t>Firm reference number</w:t>
            </w:r>
            <w:r>
              <w:rPr>
                <w:rFonts w:ascii="Arial" w:eastAsia="Times New Roman" w:hAnsi="Arial" w:cs="Arial"/>
                <w:snapToGrid w:val="0"/>
              </w:rPr>
              <w:t xml:space="preserve"> (if applicable)</w:t>
            </w:r>
          </w:p>
        </w:tc>
        <w:tc>
          <w:tcPr>
            <w:tcW w:w="5812" w:type="dxa"/>
            <w:gridSpan w:val="2"/>
            <w:tcBorders>
              <w:top w:val="single" w:sz="48" w:space="0" w:color="FFFFFF"/>
              <w:bottom w:val="single" w:sz="48" w:space="0" w:color="FFFFFF"/>
            </w:tcBorders>
            <w:shd w:val="pct10" w:color="000000" w:fill="FFFFFF"/>
            <w:vAlign w:val="center"/>
          </w:tcPr>
          <w:p w:rsidR="00762790" w:rsidRPr="00056918" w:rsidRDefault="00762790" w:rsidP="00BF7A97">
            <w:pPr>
              <w:spacing w:after="120" w:line="240" w:lineRule="auto"/>
              <w:rPr>
                <w:rFonts w:ascii="Arial" w:eastAsia="Times New Roman" w:hAnsi="Arial" w:cs="Arial"/>
                <w:snapToGrid w:val="0"/>
                <w:color w:val="000000"/>
              </w:rPr>
            </w:pPr>
            <w:r w:rsidRPr="00056918">
              <w:rPr>
                <w:rFonts w:ascii="Arial" w:eastAsia="Times New Roman" w:hAnsi="Arial" w:cs="Arial"/>
                <w:noProof/>
                <w:snapToGrid w:val="0"/>
                <w:color w:val="000000"/>
              </w:rPr>
              <w:t xml:space="preserve">     </w:t>
            </w:r>
          </w:p>
        </w:tc>
      </w:tr>
      <w:tr w:rsidR="00762790" w:rsidRPr="00056918" w:rsidTr="00BF7A97">
        <w:trPr>
          <w:gridBefore w:val="1"/>
          <w:wBefore w:w="108" w:type="dxa"/>
          <w:cantSplit/>
          <w:trHeight w:val="576"/>
        </w:trPr>
        <w:tc>
          <w:tcPr>
            <w:tcW w:w="2835" w:type="dxa"/>
            <w:tcBorders>
              <w:top w:val="single" w:sz="48" w:space="0" w:color="FFFFFF"/>
              <w:bottom w:val="single" w:sz="48" w:space="0" w:color="FFFFFF"/>
            </w:tcBorders>
            <w:vAlign w:val="center"/>
          </w:tcPr>
          <w:p w:rsidR="00762790" w:rsidRPr="00056918" w:rsidRDefault="00762790" w:rsidP="00BF7A97">
            <w:pPr>
              <w:spacing w:after="120" w:line="240" w:lineRule="auto"/>
              <w:rPr>
                <w:rFonts w:ascii="Arial" w:eastAsia="Times New Roman" w:hAnsi="Arial" w:cs="Arial"/>
                <w:snapToGrid w:val="0"/>
              </w:rPr>
            </w:pPr>
            <w:r w:rsidRPr="00056918">
              <w:rPr>
                <w:rFonts w:ascii="Arial" w:eastAsia="Times New Roman" w:hAnsi="Arial" w:cs="Arial"/>
                <w:snapToGrid w:val="0"/>
              </w:rPr>
              <w:t>Date of application</w:t>
            </w:r>
          </w:p>
        </w:tc>
        <w:tc>
          <w:tcPr>
            <w:tcW w:w="5812" w:type="dxa"/>
            <w:gridSpan w:val="2"/>
            <w:tcBorders>
              <w:top w:val="single" w:sz="48" w:space="0" w:color="FFFFFF"/>
              <w:bottom w:val="single" w:sz="48" w:space="0" w:color="FFFFFF"/>
            </w:tcBorders>
            <w:shd w:val="pct10" w:color="000000" w:fill="FFFFFF"/>
            <w:vAlign w:val="center"/>
          </w:tcPr>
          <w:p w:rsidR="00762790" w:rsidRPr="00056918" w:rsidRDefault="00762790" w:rsidP="00BF7A97">
            <w:pPr>
              <w:spacing w:after="120" w:line="240" w:lineRule="auto"/>
              <w:rPr>
                <w:rFonts w:ascii="Arial" w:eastAsia="Times New Roman" w:hAnsi="Arial" w:cs="Arial"/>
                <w:noProof/>
                <w:snapToGrid w:val="0"/>
                <w:color w:val="000000"/>
              </w:rPr>
            </w:pPr>
          </w:p>
        </w:tc>
      </w:tr>
      <w:tr w:rsidR="00762790" w:rsidRPr="00056918" w:rsidTr="00BF7A97">
        <w:trPr>
          <w:gridBefore w:val="1"/>
          <w:wBefore w:w="108" w:type="dxa"/>
          <w:cantSplit/>
          <w:trHeight w:val="576"/>
        </w:trPr>
        <w:tc>
          <w:tcPr>
            <w:tcW w:w="2835" w:type="dxa"/>
            <w:tcBorders>
              <w:top w:val="single" w:sz="48" w:space="0" w:color="FFFFFF"/>
              <w:bottom w:val="single" w:sz="48" w:space="0" w:color="FFFFFF"/>
            </w:tcBorders>
          </w:tcPr>
          <w:p w:rsidR="00762790" w:rsidRPr="00056918" w:rsidRDefault="00762790" w:rsidP="00BF7A97">
            <w:pPr>
              <w:spacing w:after="120" w:line="240" w:lineRule="auto"/>
              <w:rPr>
                <w:rFonts w:ascii="Arial" w:eastAsia="Times New Roman" w:hAnsi="Arial" w:cs="Arial"/>
                <w:snapToGrid w:val="0"/>
                <w:color w:val="000000"/>
              </w:rPr>
            </w:pPr>
            <w:r w:rsidRPr="00056918">
              <w:rPr>
                <w:rFonts w:ascii="Arial" w:eastAsia="Times New Roman" w:hAnsi="Arial" w:cs="Arial"/>
                <w:snapToGrid w:val="0"/>
                <w:color w:val="000000"/>
              </w:rPr>
              <w:t>Address</w:t>
            </w:r>
          </w:p>
        </w:tc>
        <w:tc>
          <w:tcPr>
            <w:tcW w:w="5812" w:type="dxa"/>
            <w:gridSpan w:val="2"/>
            <w:tcBorders>
              <w:top w:val="single" w:sz="48" w:space="0" w:color="FFFFFF"/>
              <w:bottom w:val="single" w:sz="48" w:space="0" w:color="FFFFFF"/>
            </w:tcBorders>
            <w:shd w:val="pct10" w:color="000000" w:fill="FFFFFF"/>
            <w:vAlign w:val="center"/>
          </w:tcPr>
          <w:p w:rsidR="00762790" w:rsidRPr="00056918" w:rsidRDefault="00762790" w:rsidP="00BF7A97">
            <w:pPr>
              <w:spacing w:after="120" w:line="240" w:lineRule="atLeast"/>
              <w:rPr>
                <w:rFonts w:ascii="Arial" w:eastAsia="Times New Roman" w:hAnsi="Arial" w:cs="Arial"/>
                <w:snapToGrid w:val="0"/>
                <w:color w:val="000000"/>
              </w:rPr>
            </w:pPr>
            <w:r w:rsidRPr="00056918">
              <w:rPr>
                <w:rFonts w:ascii="Arial" w:eastAsia="Times New Roman" w:hAnsi="Arial" w:cs="Arial"/>
                <w:noProof/>
                <w:snapToGrid w:val="0"/>
                <w:color w:val="000000"/>
              </w:rPr>
              <w:t xml:space="preserve">     </w:t>
            </w:r>
          </w:p>
          <w:p w:rsidR="00762790" w:rsidRPr="00056918" w:rsidRDefault="00762790" w:rsidP="00BF7A97">
            <w:pPr>
              <w:spacing w:after="120" w:line="240" w:lineRule="atLeast"/>
              <w:rPr>
                <w:rFonts w:ascii="Arial" w:eastAsia="Times New Roman" w:hAnsi="Arial" w:cs="Arial"/>
                <w:snapToGrid w:val="0"/>
                <w:color w:val="000000"/>
              </w:rPr>
            </w:pPr>
          </w:p>
          <w:p w:rsidR="00762790" w:rsidRPr="00056918" w:rsidRDefault="00762790" w:rsidP="00BF7A97">
            <w:pPr>
              <w:spacing w:after="120" w:line="240" w:lineRule="atLeast"/>
              <w:rPr>
                <w:rFonts w:ascii="Arial" w:eastAsia="Times New Roman" w:hAnsi="Arial" w:cs="Arial"/>
                <w:snapToGrid w:val="0"/>
                <w:color w:val="000000"/>
              </w:rPr>
            </w:pPr>
          </w:p>
        </w:tc>
      </w:tr>
      <w:tr w:rsidR="00762790" w:rsidRPr="00056918" w:rsidTr="00BF7A97">
        <w:tblPrEx>
          <w:tblLook w:val="01E0" w:firstRow="1" w:lastRow="1" w:firstColumn="1" w:lastColumn="1" w:noHBand="0" w:noVBand="0"/>
        </w:tblPrEx>
        <w:tc>
          <w:tcPr>
            <w:tcW w:w="6345" w:type="dxa"/>
            <w:gridSpan w:val="3"/>
          </w:tcPr>
          <w:p w:rsidR="00762790" w:rsidRPr="00056918" w:rsidRDefault="00762790" w:rsidP="00BF7A97">
            <w:pPr>
              <w:pStyle w:val="FormCode"/>
              <w:spacing w:before="0" w:after="0"/>
              <w:jc w:val="right"/>
              <w:rPr>
                <w:rFonts w:cs="Arial"/>
                <w:sz w:val="22"/>
                <w:szCs w:val="22"/>
              </w:rPr>
            </w:pPr>
            <w:r w:rsidRPr="00056918">
              <w:rPr>
                <w:rFonts w:cs="Arial"/>
                <w:sz w:val="22"/>
                <w:szCs w:val="22"/>
              </w:rPr>
              <w:t>Application number</w:t>
            </w:r>
          </w:p>
          <w:p w:rsidR="00762790" w:rsidRPr="00056918" w:rsidRDefault="00762790" w:rsidP="00BF7A97">
            <w:pPr>
              <w:pStyle w:val="FormCode"/>
              <w:spacing w:before="0" w:after="0"/>
              <w:jc w:val="right"/>
              <w:rPr>
                <w:rFonts w:cs="Arial"/>
                <w:sz w:val="22"/>
                <w:szCs w:val="22"/>
              </w:rPr>
            </w:pPr>
            <w:r w:rsidRPr="00056918">
              <w:rPr>
                <w:rFonts w:cs="Arial"/>
                <w:sz w:val="22"/>
                <w:szCs w:val="22"/>
              </w:rPr>
              <w:t>(for PRA use only)</w:t>
            </w:r>
          </w:p>
        </w:tc>
        <w:tc>
          <w:tcPr>
            <w:tcW w:w="2410" w:type="dxa"/>
            <w:shd w:val="clear" w:color="auto" w:fill="E6E6E6"/>
          </w:tcPr>
          <w:p w:rsidR="00762790" w:rsidRPr="00056918" w:rsidRDefault="00762790" w:rsidP="00BF7A97">
            <w:pPr>
              <w:pStyle w:val="FormCode"/>
              <w:jc w:val="left"/>
              <w:rPr>
                <w:rFonts w:cs="Arial"/>
                <w:sz w:val="22"/>
                <w:szCs w:val="22"/>
              </w:rPr>
            </w:pPr>
          </w:p>
        </w:tc>
      </w:tr>
    </w:tbl>
    <w:p w:rsidR="002D6C79" w:rsidRDefault="002D6C79" w:rsidP="002D6C79">
      <w:pPr>
        <w:rPr>
          <w:rFonts w:ascii="Arial" w:hAnsi="Arial" w:cs="Arial"/>
        </w:rPr>
      </w:pPr>
    </w:p>
    <w:p w:rsidR="00762790" w:rsidRPr="00762790" w:rsidRDefault="00FF77D9" w:rsidP="002D6C79">
      <w:pPr>
        <w:rPr>
          <w:rFonts w:ascii="Arial" w:hAnsi="Arial" w:cs="Arial"/>
        </w:rPr>
      </w:pPr>
      <w:r w:rsidRPr="00056918">
        <w:rPr>
          <w:rFonts w:ascii="Arial" w:hAnsi="Arial" w:cs="Arial"/>
        </w:rPr>
        <w:t>The information below should be submitted by firms to allow the PRA to cons</w:t>
      </w:r>
      <w:r>
        <w:rPr>
          <w:rFonts w:ascii="Arial" w:hAnsi="Arial" w:cs="Arial"/>
        </w:rPr>
        <w:t xml:space="preserve">ider an application to apply the requirements set out in Articles 236 and 237 of the </w:t>
      </w:r>
      <w:r w:rsidR="009D7E93">
        <w:rPr>
          <w:rFonts w:ascii="Arial" w:hAnsi="Arial" w:cs="Arial"/>
        </w:rPr>
        <w:t>Solvency</w:t>
      </w:r>
      <w:r>
        <w:rPr>
          <w:rFonts w:ascii="Arial" w:hAnsi="Arial" w:cs="Arial"/>
        </w:rPr>
        <w:t xml:space="preserve"> II Directive for supervision of group solvency for groups with centralised risk management</w:t>
      </w:r>
      <w:r w:rsidRPr="00056918">
        <w:rPr>
          <w:rFonts w:ascii="Arial" w:hAnsi="Arial" w:cs="Arial"/>
        </w:rPr>
        <w:t xml:space="preserve">. Firms should submit this information with the Solvency II approval application form to </w:t>
      </w:r>
      <w:hyperlink r:id="rId9" w:history="1">
        <w:r w:rsidR="009D7E93" w:rsidRPr="00757BA4">
          <w:rPr>
            <w:rStyle w:val="Hyperlink"/>
            <w:rFonts w:ascii="Arial" w:hAnsi="Arial" w:cs="Arial"/>
          </w:rPr>
          <w:t>S2submissions@bankofengland.co.uk</w:t>
        </w:r>
      </w:hyperlink>
      <w:r w:rsidRPr="00056918">
        <w:rPr>
          <w:rFonts w:ascii="Arial" w:hAnsi="Arial" w:cs="Arial"/>
        </w:rPr>
        <w:t xml:space="preserve">. </w:t>
      </w:r>
    </w:p>
    <w:tbl>
      <w:tblPr>
        <w:tblStyle w:val="TableGrid"/>
        <w:tblW w:w="0" w:type="auto"/>
        <w:tblCellMar>
          <w:top w:w="57" w:type="dxa"/>
          <w:bottom w:w="57" w:type="dxa"/>
        </w:tblCellMar>
        <w:tblLook w:val="04A0" w:firstRow="1" w:lastRow="0" w:firstColumn="1" w:lastColumn="0" w:noHBand="0" w:noVBand="1"/>
      </w:tblPr>
      <w:tblGrid>
        <w:gridCol w:w="8855"/>
      </w:tblGrid>
      <w:tr w:rsidR="00CF360F" w:rsidRPr="00762790" w:rsidTr="00CF360F">
        <w:tc>
          <w:tcPr>
            <w:tcW w:w="8855" w:type="dxa"/>
            <w:shd w:val="clear" w:color="auto" w:fill="D9D9D9" w:themeFill="background1" w:themeFillShade="D9"/>
          </w:tcPr>
          <w:p w:rsidR="00CF360F" w:rsidRPr="00762790" w:rsidRDefault="00750DD9" w:rsidP="00193C62">
            <w:pPr>
              <w:numPr>
                <w:ilvl w:val="0"/>
                <w:numId w:val="10"/>
              </w:numPr>
              <w:ind w:left="360"/>
              <w:contextualSpacing/>
              <w:rPr>
                <w:rFonts w:ascii="Arial" w:hAnsi="Arial" w:cs="Arial"/>
              </w:rPr>
            </w:pPr>
            <w:r w:rsidRPr="00762790">
              <w:rPr>
                <w:rFonts w:ascii="Arial" w:hAnsi="Arial" w:cs="Arial"/>
              </w:rPr>
              <w:t>Please provide details of the group and solo entities concerned by this application for supervision of group solvency for groups with centralised risk management.</w:t>
            </w:r>
          </w:p>
        </w:tc>
      </w:tr>
      <w:tr w:rsidR="00CF360F" w:rsidRPr="00762790" w:rsidTr="00CF360F">
        <w:tc>
          <w:tcPr>
            <w:tcW w:w="8855" w:type="dxa"/>
          </w:tcPr>
          <w:p w:rsidR="00CF360F" w:rsidRDefault="00CF360F" w:rsidP="00AF2336">
            <w:pPr>
              <w:jc w:val="both"/>
              <w:rPr>
                <w:rFonts w:ascii="Arial" w:hAnsi="Arial" w:cs="Arial"/>
              </w:rPr>
            </w:pPr>
          </w:p>
          <w:p w:rsidR="00762790" w:rsidRPr="00762790" w:rsidRDefault="00762790" w:rsidP="00AF2336">
            <w:pPr>
              <w:jc w:val="both"/>
              <w:rPr>
                <w:rFonts w:ascii="Arial" w:hAnsi="Arial" w:cs="Arial"/>
              </w:rPr>
            </w:pPr>
          </w:p>
        </w:tc>
      </w:tr>
      <w:tr w:rsidR="00CF360F" w:rsidRPr="00762790" w:rsidTr="00CF360F">
        <w:tc>
          <w:tcPr>
            <w:tcW w:w="8855" w:type="dxa"/>
            <w:shd w:val="clear" w:color="auto" w:fill="D9D9D9" w:themeFill="background1" w:themeFillShade="D9"/>
          </w:tcPr>
          <w:p w:rsidR="00CF360F" w:rsidRPr="00762790" w:rsidRDefault="00193C62" w:rsidP="00193C62">
            <w:pPr>
              <w:numPr>
                <w:ilvl w:val="0"/>
                <w:numId w:val="10"/>
              </w:numPr>
              <w:ind w:left="360"/>
              <w:contextualSpacing/>
              <w:rPr>
                <w:rFonts w:ascii="Arial" w:hAnsi="Arial" w:cs="Arial"/>
              </w:rPr>
            </w:pPr>
            <w:r w:rsidRPr="00762790">
              <w:rPr>
                <w:rFonts w:ascii="Arial" w:hAnsi="Arial" w:cs="Arial"/>
              </w:rPr>
              <w:t>Please explain why the group is applying to be subject to Articles 238 and 239 in the</w:t>
            </w:r>
            <w:r w:rsidR="00762790">
              <w:rPr>
                <w:rFonts w:ascii="Arial" w:hAnsi="Arial" w:cs="Arial"/>
              </w:rPr>
              <w:t xml:space="preserve"> Solvency II</w:t>
            </w:r>
            <w:r w:rsidRPr="00762790">
              <w:rPr>
                <w:rFonts w:ascii="Arial" w:hAnsi="Arial" w:cs="Arial"/>
              </w:rPr>
              <w:t xml:space="preserve"> Directive</w:t>
            </w:r>
            <w:r w:rsidR="00762790">
              <w:rPr>
                <w:rFonts w:ascii="Arial" w:hAnsi="Arial" w:cs="Arial"/>
              </w:rPr>
              <w:t>.</w:t>
            </w:r>
          </w:p>
        </w:tc>
      </w:tr>
      <w:tr w:rsidR="00CF360F" w:rsidRPr="00762790" w:rsidTr="00762790">
        <w:trPr>
          <w:trHeight w:val="332"/>
        </w:trPr>
        <w:tc>
          <w:tcPr>
            <w:tcW w:w="8855" w:type="dxa"/>
          </w:tcPr>
          <w:p w:rsidR="00CF360F" w:rsidRDefault="00CF360F" w:rsidP="00AF2336">
            <w:pPr>
              <w:jc w:val="both"/>
              <w:rPr>
                <w:rFonts w:ascii="Arial" w:hAnsi="Arial" w:cs="Arial"/>
              </w:rPr>
            </w:pPr>
          </w:p>
          <w:p w:rsidR="00762790" w:rsidRPr="00762790" w:rsidRDefault="00762790" w:rsidP="00AF2336">
            <w:pPr>
              <w:jc w:val="both"/>
              <w:rPr>
                <w:rFonts w:ascii="Arial" w:hAnsi="Arial" w:cs="Arial"/>
              </w:rPr>
            </w:pPr>
          </w:p>
        </w:tc>
      </w:tr>
      <w:tr w:rsidR="00193C62" w:rsidRPr="00762790" w:rsidTr="00762790">
        <w:trPr>
          <w:trHeight w:val="374"/>
        </w:trPr>
        <w:tc>
          <w:tcPr>
            <w:tcW w:w="8855" w:type="dxa"/>
            <w:shd w:val="clear" w:color="auto" w:fill="D9D9D9" w:themeFill="background1" w:themeFillShade="D9"/>
          </w:tcPr>
          <w:p w:rsidR="00193C62" w:rsidRPr="00762790" w:rsidRDefault="00193C62" w:rsidP="00193C62">
            <w:pPr>
              <w:numPr>
                <w:ilvl w:val="0"/>
                <w:numId w:val="10"/>
              </w:numPr>
              <w:ind w:left="360"/>
              <w:contextualSpacing/>
              <w:rPr>
                <w:rFonts w:ascii="Arial" w:hAnsi="Arial" w:cs="Arial"/>
              </w:rPr>
            </w:pPr>
            <w:r w:rsidRPr="00762790">
              <w:rPr>
                <w:rFonts w:ascii="Arial" w:hAnsi="Arial" w:cs="Arial"/>
              </w:rPr>
              <w:t>Has the group received approval to submit a single ORSA report?</w:t>
            </w:r>
          </w:p>
        </w:tc>
      </w:tr>
      <w:tr w:rsidR="00193C62" w:rsidRPr="00762790" w:rsidTr="00CF360F">
        <w:tc>
          <w:tcPr>
            <w:tcW w:w="8855" w:type="dxa"/>
          </w:tcPr>
          <w:p w:rsidR="00193C62" w:rsidRDefault="00193C62" w:rsidP="00AF2336">
            <w:pPr>
              <w:jc w:val="both"/>
              <w:rPr>
                <w:rFonts w:ascii="Arial" w:hAnsi="Arial" w:cs="Arial"/>
              </w:rPr>
            </w:pPr>
          </w:p>
          <w:p w:rsidR="00762790" w:rsidRPr="00762790" w:rsidRDefault="00762790" w:rsidP="00AF2336">
            <w:pPr>
              <w:jc w:val="both"/>
              <w:rPr>
                <w:rFonts w:ascii="Arial" w:hAnsi="Arial" w:cs="Arial"/>
              </w:rPr>
            </w:pPr>
          </w:p>
        </w:tc>
      </w:tr>
      <w:tr w:rsidR="00193C62" w:rsidRPr="00762790" w:rsidTr="00CF360F">
        <w:tc>
          <w:tcPr>
            <w:tcW w:w="8855" w:type="dxa"/>
            <w:shd w:val="clear" w:color="auto" w:fill="D9D9D9" w:themeFill="background1" w:themeFillShade="D9"/>
          </w:tcPr>
          <w:p w:rsidR="00193C62" w:rsidRPr="00762790" w:rsidRDefault="00193C62" w:rsidP="00762790">
            <w:pPr>
              <w:numPr>
                <w:ilvl w:val="0"/>
                <w:numId w:val="10"/>
              </w:numPr>
              <w:ind w:left="360"/>
              <w:contextualSpacing/>
              <w:rPr>
                <w:rFonts w:ascii="Arial" w:hAnsi="Arial" w:cs="Arial"/>
              </w:rPr>
            </w:pPr>
            <w:r w:rsidRPr="00762790">
              <w:rPr>
                <w:rFonts w:ascii="Arial" w:hAnsi="Arial" w:cs="Arial"/>
              </w:rPr>
              <w:t>Has the group received approval to publish a single S</w:t>
            </w:r>
            <w:r w:rsidR="00762790">
              <w:rPr>
                <w:rFonts w:ascii="Arial" w:hAnsi="Arial" w:cs="Arial"/>
              </w:rPr>
              <w:t xml:space="preserve">olvency and </w:t>
            </w:r>
            <w:r w:rsidRPr="00762790">
              <w:rPr>
                <w:rFonts w:ascii="Arial" w:hAnsi="Arial" w:cs="Arial"/>
              </w:rPr>
              <w:t>F</w:t>
            </w:r>
            <w:r w:rsidR="00762790">
              <w:rPr>
                <w:rFonts w:ascii="Arial" w:hAnsi="Arial" w:cs="Arial"/>
              </w:rPr>
              <w:t xml:space="preserve">inancial </w:t>
            </w:r>
            <w:r w:rsidRPr="00762790">
              <w:rPr>
                <w:rFonts w:ascii="Arial" w:hAnsi="Arial" w:cs="Arial"/>
              </w:rPr>
              <w:t>C</w:t>
            </w:r>
            <w:r w:rsidR="00762790">
              <w:rPr>
                <w:rFonts w:ascii="Arial" w:hAnsi="Arial" w:cs="Arial"/>
              </w:rPr>
              <w:t xml:space="preserve">ondition </w:t>
            </w:r>
            <w:r w:rsidRPr="00762790">
              <w:rPr>
                <w:rFonts w:ascii="Arial" w:hAnsi="Arial" w:cs="Arial"/>
              </w:rPr>
              <w:t>R</w:t>
            </w:r>
            <w:r w:rsidR="00762790">
              <w:rPr>
                <w:rFonts w:ascii="Arial" w:hAnsi="Arial" w:cs="Arial"/>
              </w:rPr>
              <w:t>eport</w:t>
            </w:r>
            <w:r w:rsidRPr="00762790">
              <w:rPr>
                <w:rFonts w:ascii="Arial" w:hAnsi="Arial" w:cs="Arial"/>
              </w:rPr>
              <w:t>?</w:t>
            </w:r>
          </w:p>
        </w:tc>
      </w:tr>
      <w:tr w:rsidR="00193C62" w:rsidRPr="00762790" w:rsidTr="00CF360F">
        <w:tc>
          <w:tcPr>
            <w:tcW w:w="8855" w:type="dxa"/>
          </w:tcPr>
          <w:p w:rsidR="00193C62" w:rsidRDefault="00193C62" w:rsidP="00AF2336">
            <w:pPr>
              <w:jc w:val="both"/>
              <w:rPr>
                <w:rFonts w:ascii="Arial" w:hAnsi="Arial" w:cs="Arial"/>
              </w:rPr>
            </w:pPr>
          </w:p>
          <w:p w:rsidR="00762790" w:rsidRPr="00762790" w:rsidRDefault="00762790" w:rsidP="00AF2336">
            <w:pPr>
              <w:jc w:val="both"/>
              <w:rPr>
                <w:rFonts w:ascii="Arial" w:hAnsi="Arial" w:cs="Arial"/>
              </w:rPr>
            </w:pPr>
          </w:p>
        </w:tc>
      </w:tr>
      <w:tr w:rsidR="00193C62" w:rsidRPr="00762790" w:rsidTr="00CF360F">
        <w:tc>
          <w:tcPr>
            <w:tcW w:w="8855" w:type="dxa"/>
            <w:shd w:val="clear" w:color="auto" w:fill="D9D9D9" w:themeFill="background1" w:themeFillShade="D9"/>
          </w:tcPr>
          <w:p w:rsidR="00193C62" w:rsidRPr="00762790" w:rsidRDefault="00193C62" w:rsidP="00193C62">
            <w:pPr>
              <w:numPr>
                <w:ilvl w:val="0"/>
                <w:numId w:val="10"/>
              </w:numPr>
              <w:ind w:left="360"/>
              <w:contextualSpacing/>
              <w:rPr>
                <w:rFonts w:ascii="Arial" w:hAnsi="Arial" w:cs="Arial"/>
              </w:rPr>
            </w:pPr>
            <w:r w:rsidRPr="00762790">
              <w:rPr>
                <w:rFonts w:ascii="Arial" w:hAnsi="Arial" w:cs="Arial"/>
              </w:rPr>
              <w:t>Please provide evidence to show that the group meets the requirement set out in Article 351 (1) (a) of the Delegated Act, where the risk management function is carried out, in respect of the subsidiary, to a significant extent by the parent undertaking, in such a way that the parent undertaking carries out most of the tasks of the risk management function listed in Article 269 of the Delegated Act.</w:t>
            </w:r>
          </w:p>
        </w:tc>
      </w:tr>
      <w:tr w:rsidR="00193C62" w:rsidRPr="00762790" w:rsidTr="00193C62">
        <w:tc>
          <w:tcPr>
            <w:tcW w:w="8855" w:type="dxa"/>
            <w:shd w:val="clear" w:color="auto" w:fill="auto"/>
          </w:tcPr>
          <w:p w:rsidR="00193C62" w:rsidRPr="00762790" w:rsidRDefault="00193C62" w:rsidP="00193C62">
            <w:pPr>
              <w:ind w:left="360"/>
              <w:contextualSpacing/>
              <w:rPr>
                <w:rFonts w:ascii="Arial" w:hAnsi="Arial" w:cs="Arial"/>
              </w:rPr>
            </w:pPr>
          </w:p>
        </w:tc>
      </w:tr>
      <w:tr w:rsidR="00193C62" w:rsidRPr="00762790" w:rsidTr="00CF360F">
        <w:tc>
          <w:tcPr>
            <w:tcW w:w="8855" w:type="dxa"/>
            <w:shd w:val="clear" w:color="auto" w:fill="D9D9D9" w:themeFill="background1" w:themeFillShade="D9"/>
          </w:tcPr>
          <w:p w:rsidR="00193C62" w:rsidRPr="00762790" w:rsidRDefault="00193C62" w:rsidP="00193C62">
            <w:pPr>
              <w:numPr>
                <w:ilvl w:val="0"/>
                <w:numId w:val="10"/>
              </w:numPr>
              <w:ind w:left="360"/>
              <w:contextualSpacing/>
              <w:rPr>
                <w:rFonts w:ascii="Arial" w:hAnsi="Arial" w:cs="Arial"/>
              </w:rPr>
            </w:pPr>
            <w:r w:rsidRPr="00762790">
              <w:rPr>
                <w:rFonts w:ascii="Arial" w:hAnsi="Arial" w:cs="Arial"/>
              </w:rPr>
              <w:t>Please provide evidence to show that the group meets the requirement set out in Article 351 (1) (b) of the Delegated Act, that the compliance function is carried out, in respect of the subsidiary, to a significant extent by the parent undertaking, in such a way that the parent undertaking carries out most of the tasks of the compliance function listed in Article 270 of the Delegated Act.</w:t>
            </w:r>
          </w:p>
        </w:tc>
      </w:tr>
      <w:tr w:rsidR="00193C62" w:rsidRPr="00762790" w:rsidTr="00193C62">
        <w:tc>
          <w:tcPr>
            <w:tcW w:w="8855" w:type="dxa"/>
            <w:shd w:val="clear" w:color="auto" w:fill="auto"/>
          </w:tcPr>
          <w:p w:rsidR="00193C62" w:rsidRPr="00762790" w:rsidRDefault="00193C62" w:rsidP="00193C62">
            <w:pPr>
              <w:contextualSpacing/>
              <w:rPr>
                <w:rFonts w:ascii="Arial" w:hAnsi="Arial" w:cs="Arial"/>
              </w:rPr>
            </w:pPr>
          </w:p>
        </w:tc>
      </w:tr>
      <w:tr w:rsidR="00193C62" w:rsidRPr="00762790" w:rsidTr="00CF360F">
        <w:tc>
          <w:tcPr>
            <w:tcW w:w="8855" w:type="dxa"/>
            <w:shd w:val="clear" w:color="auto" w:fill="D9D9D9" w:themeFill="background1" w:themeFillShade="D9"/>
          </w:tcPr>
          <w:p w:rsidR="00193C62" w:rsidRPr="00762790" w:rsidRDefault="00193C62" w:rsidP="00193C62">
            <w:pPr>
              <w:numPr>
                <w:ilvl w:val="0"/>
                <w:numId w:val="10"/>
              </w:numPr>
              <w:ind w:left="360"/>
              <w:contextualSpacing/>
              <w:rPr>
                <w:rFonts w:ascii="Arial" w:hAnsi="Arial" w:cs="Arial"/>
              </w:rPr>
            </w:pPr>
            <w:r w:rsidRPr="00762790">
              <w:rPr>
                <w:rFonts w:ascii="Arial" w:hAnsi="Arial" w:cs="Arial"/>
              </w:rPr>
              <w:t xml:space="preserve">Please provide evidence to show that the group meets the requirement set out in Article 351 (1) (c) </w:t>
            </w:r>
            <w:r w:rsidR="00762790">
              <w:rPr>
                <w:rFonts w:ascii="Arial" w:hAnsi="Arial" w:cs="Arial"/>
              </w:rPr>
              <w:t xml:space="preserve">of the Delegated Act </w:t>
            </w:r>
            <w:r w:rsidRPr="00762790">
              <w:rPr>
                <w:rFonts w:ascii="Arial" w:hAnsi="Arial" w:cs="Arial"/>
              </w:rPr>
              <w:t xml:space="preserve">that the requirements on outsourcing set out in Article 49 of the </w:t>
            </w:r>
            <w:r w:rsidR="00762790">
              <w:rPr>
                <w:rFonts w:ascii="Arial" w:hAnsi="Arial" w:cs="Arial"/>
              </w:rPr>
              <w:t xml:space="preserve">Solvency II </w:t>
            </w:r>
            <w:r w:rsidRPr="00762790">
              <w:rPr>
                <w:rFonts w:ascii="Arial" w:hAnsi="Arial" w:cs="Arial"/>
              </w:rPr>
              <w:t>Directive are complied with by the subsidiary in relation to the risk management and compliance activities carried out by the parent undertaking.</w:t>
            </w:r>
          </w:p>
        </w:tc>
      </w:tr>
      <w:tr w:rsidR="00193C62" w:rsidRPr="00762790" w:rsidTr="00193C62">
        <w:tc>
          <w:tcPr>
            <w:tcW w:w="8855" w:type="dxa"/>
            <w:shd w:val="clear" w:color="auto" w:fill="auto"/>
          </w:tcPr>
          <w:p w:rsidR="00193C62" w:rsidRPr="00762790" w:rsidRDefault="00193C62" w:rsidP="00193C62">
            <w:pPr>
              <w:contextualSpacing/>
              <w:rPr>
                <w:rFonts w:ascii="Arial" w:hAnsi="Arial" w:cs="Arial"/>
              </w:rPr>
            </w:pPr>
          </w:p>
        </w:tc>
      </w:tr>
      <w:tr w:rsidR="00193C62" w:rsidRPr="00762790" w:rsidTr="00CF360F">
        <w:tc>
          <w:tcPr>
            <w:tcW w:w="8855" w:type="dxa"/>
            <w:shd w:val="clear" w:color="auto" w:fill="D9D9D9" w:themeFill="background1" w:themeFillShade="D9"/>
          </w:tcPr>
          <w:p w:rsidR="00193C62" w:rsidRPr="00762790" w:rsidRDefault="00193C62" w:rsidP="00193C62">
            <w:pPr>
              <w:numPr>
                <w:ilvl w:val="0"/>
                <w:numId w:val="10"/>
              </w:numPr>
              <w:ind w:left="360"/>
              <w:contextualSpacing/>
              <w:rPr>
                <w:rFonts w:ascii="Arial" w:hAnsi="Arial" w:cs="Arial"/>
              </w:rPr>
            </w:pPr>
            <w:r w:rsidRPr="00762790">
              <w:rPr>
                <w:rFonts w:ascii="Arial" w:hAnsi="Arial" w:cs="Arial"/>
              </w:rPr>
              <w:t xml:space="preserve">Please explain how the system of governance of the group, as referred to in Article 246 of the Directive, is sufficiently effective and does not result in a situation similar to a significant deviation as referred to in Article 37(1)(c) of the </w:t>
            </w:r>
            <w:r w:rsidR="00762790">
              <w:rPr>
                <w:rFonts w:ascii="Arial" w:hAnsi="Arial" w:cs="Arial"/>
              </w:rPr>
              <w:t xml:space="preserve">Solvency II </w:t>
            </w:r>
            <w:r w:rsidRPr="00762790">
              <w:rPr>
                <w:rFonts w:ascii="Arial" w:hAnsi="Arial" w:cs="Arial"/>
              </w:rPr>
              <w:t>Directive.</w:t>
            </w:r>
          </w:p>
        </w:tc>
      </w:tr>
      <w:tr w:rsidR="00193C62" w:rsidRPr="00762790" w:rsidTr="00193C62">
        <w:tc>
          <w:tcPr>
            <w:tcW w:w="8855" w:type="dxa"/>
            <w:shd w:val="clear" w:color="auto" w:fill="auto"/>
          </w:tcPr>
          <w:p w:rsidR="00193C62" w:rsidRPr="00762790" w:rsidRDefault="00193C62" w:rsidP="00193C62">
            <w:pPr>
              <w:contextualSpacing/>
              <w:rPr>
                <w:rFonts w:ascii="Arial" w:hAnsi="Arial" w:cs="Arial"/>
              </w:rPr>
            </w:pPr>
          </w:p>
        </w:tc>
      </w:tr>
      <w:tr w:rsidR="00193C62" w:rsidRPr="00762790" w:rsidTr="00CF360F">
        <w:tc>
          <w:tcPr>
            <w:tcW w:w="8855" w:type="dxa"/>
            <w:shd w:val="clear" w:color="auto" w:fill="D9D9D9" w:themeFill="background1" w:themeFillShade="D9"/>
          </w:tcPr>
          <w:p w:rsidR="00193C62" w:rsidRPr="00762790" w:rsidRDefault="00193C62" w:rsidP="00193C62">
            <w:pPr>
              <w:numPr>
                <w:ilvl w:val="0"/>
                <w:numId w:val="10"/>
              </w:numPr>
              <w:ind w:left="360"/>
              <w:contextualSpacing/>
              <w:rPr>
                <w:rFonts w:ascii="Arial" w:hAnsi="Arial" w:cs="Arial"/>
              </w:rPr>
            </w:pPr>
            <w:r w:rsidRPr="00762790">
              <w:rPr>
                <w:rFonts w:ascii="Arial" w:hAnsi="Arial" w:cs="Arial"/>
              </w:rPr>
              <w:t xml:space="preserve">Please explain how the system of governance of the subsidiary, as referred to in Article 41 of the </w:t>
            </w:r>
            <w:r w:rsidR="00762790">
              <w:rPr>
                <w:rFonts w:ascii="Arial" w:hAnsi="Arial" w:cs="Arial"/>
              </w:rPr>
              <w:t xml:space="preserve">Solvency II </w:t>
            </w:r>
            <w:r w:rsidRPr="00762790">
              <w:rPr>
                <w:rFonts w:ascii="Arial" w:hAnsi="Arial" w:cs="Arial"/>
              </w:rPr>
              <w:t xml:space="preserve">Directive, is sufficiently effective and does not result in a situation similar to a significant deviation as referred to in Article 37(1)(c) of the </w:t>
            </w:r>
            <w:r w:rsidR="00762790">
              <w:rPr>
                <w:rFonts w:ascii="Arial" w:hAnsi="Arial" w:cs="Arial"/>
              </w:rPr>
              <w:t xml:space="preserve">Solvency II </w:t>
            </w:r>
            <w:r w:rsidRPr="00762790">
              <w:rPr>
                <w:rFonts w:ascii="Arial" w:hAnsi="Arial" w:cs="Arial"/>
              </w:rPr>
              <w:t>Directive.</w:t>
            </w:r>
          </w:p>
        </w:tc>
      </w:tr>
      <w:tr w:rsidR="00193C62" w:rsidRPr="00762790" w:rsidTr="00193C62">
        <w:tc>
          <w:tcPr>
            <w:tcW w:w="8855" w:type="dxa"/>
            <w:shd w:val="clear" w:color="auto" w:fill="auto"/>
          </w:tcPr>
          <w:p w:rsidR="00193C62" w:rsidRPr="00762790" w:rsidRDefault="00193C62" w:rsidP="00193C62">
            <w:pPr>
              <w:contextualSpacing/>
              <w:rPr>
                <w:rFonts w:ascii="Arial" w:hAnsi="Arial" w:cs="Arial"/>
              </w:rPr>
            </w:pPr>
          </w:p>
        </w:tc>
      </w:tr>
      <w:tr w:rsidR="00193C62" w:rsidRPr="00762790" w:rsidTr="00CF360F">
        <w:tc>
          <w:tcPr>
            <w:tcW w:w="8855" w:type="dxa"/>
            <w:shd w:val="clear" w:color="auto" w:fill="D9D9D9" w:themeFill="background1" w:themeFillShade="D9"/>
          </w:tcPr>
          <w:p w:rsidR="00193C62" w:rsidRPr="00762790" w:rsidRDefault="00193C62" w:rsidP="00193C62">
            <w:pPr>
              <w:numPr>
                <w:ilvl w:val="0"/>
                <w:numId w:val="10"/>
              </w:numPr>
              <w:ind w:left="360"/>
              <w:contextualSpacing/>
              <w:rPr>
                <w:rFonts w:ascii="Arial" w:hAnsi="Arial" w:cs="Arial"/>
              </w:rPr>
            </w:pPr>
            <w:r w:rsidRPr="00762790">
              <w:rPr>
                <w:rFonts w:ascii="Arial" w:hAnsi="Arial" w:cs="Arial"/>
              </w:rPr>
              <w:t xml:space="preserve">The system of governance of the subsidiary, as referred to in Article 41 of the </w:t>
            </w:r>
            <w:r w:rsidR="00762790">
              <w:rPr>
                <w:rFonts w:ascii="Arial" w:hAnsi="Arial" w:cs="Arial"/>
              </w:rPr>
              <w:t xml:space="preserve">Solvency II </w:t>
            </w:r>
            <w:r w:rsidRPr="00762790">
              <w:rPr>
                <w:rFonts w:ascii="Arial" w:hAnsi="Arial" w:cs="Arial"/>
              </w:rPr>
              <w:t xml:space="preserve">Directive, is not impaired by the risk management and compliance functions of the parent undertaking covering the subsidiary. </w:t>
            </w:r>
          </w:p>
          <w:p w:rsidR="00193C62" w:rsidRPr="00762790" w:rsidRDefault="00193C62" w:rsidP="00193C62">
            <w:pPr>
              <w:contextualSpacing/>
              <w:rPr>
                <w:rFonts w:ascii="Arial" w:hAnsi="Arial" w:cs="Arial"/>
              </w:rPr>
            </w:pPr>
          </w:p>
        </w:tc>
      </w:tr>
      <w:tr w:rsidR="00193C62" w:rsidRPr="00762790" w:rsidTr="00193C62">
        <w:tc>
          <w:tcPr>
            <w:tcW w:w="8855" w:type="dxa"/>
            <w:shd w:val="clear" w:color="auto" w:fill="auto"/>
          </w:tcPr>
          <w:p w:rsidR="00193C62" w:rsidRPr="00762790" w:rsidRDefault="00193C62" w:rsidP="00193C62">
            <w:pPr>
              <w:contextualSpacing/>
              <w:rPr>
                <w:rFonts w:ascii="Arial" w:hAnsi="Arial" w:cs="Arial"/>
              </w:rPr>
            </w:pPr>
          </w:p>
        </w:tc>
      </w:tr>
    </w:tbl>
    <w:p w:rsidR="00C328E6" w:rsidRDefault="00C328E6" w:rsidP="002D6C79">
      <w:pPr>
        <w:rPr>
          <w:rFonts w:ascii="Arial" w:hAnsi="Arial" w:cs="Arial"/>
          <w:b/>
        </w:rPr>
      </w:pPr>
    </w:p>
    <w:p w:rsidR="002D6C79" w:rsidRDefault="002D6C79" w:rsidP="002D6C79">
      <w:pPr>
        <w:rPr>
          <w:rFonts w:ascii="Arial" w:hAnsi="Arial" w:cs="Arial"/>
          <w:b/>
        </w:rPr>
      </w:pPr>
    </w:p>
    <w:p w:rsidR="002D6C79" w:rsidRDefault="002D6C79" w:rsidP="002D6C79">
      <w:pPr>
        <w:rPr>
          <w:rFonts w:ascii="Arial" w:hAnsi="Arial" w:cs="Arial"/>
          <w:b/>
        </w:rPr>
      </w:pPr>
    </w:p>
    <w:p w:rsidR="006E4417" w:rsidRDefault="006E4417">
      <w:pPr>
        <w:rPr>
          <w:rFonts w:ascii="Arial" w:hAnsi="Arial" w:cs="Arial"/>
          <w:b/>
        </w:rPr>
      </w:pPr>
    </w:p>
    <w:sectPr w:rsidR="006E4417" w:rsidSect="00762790">
      <w:headerReference w:type="default" r:id="rId10"/>
      <w:footerReference w:type="default" r:id="rId11"/>
      <w:pgSz w:w="11906" w:h="16838"/>
      <w:pgMar w:top="2269" w:right="1440" w:bottom="1440" w:left="1440" w:header="99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D2B" w:rsidRDefault="00743D2B" w:rsidP="00A3627D">
      <w:pPr>
        <w:spacing w:after="0" w:line="240" w:lineRule="auto"/>
      </w:pPr>
      <w:r>
        <w:separator/>
      </w:r>
    </w:p>
  </w:endnote>
  <w:endnote w:type="continuationSeparator" w:id="0">
    <w:p w:rsidR="00743D2B" w:rsidRDefault="00743D2B" w:rsidP="00A36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7035381"/>
      <w:docPartObj>
        <w:docPartGallery w:val="Page Numbers (Bottom of Page)"/>
        <w:docPartUnique/>
      </w:docPartObj>
    </w:sdtPr>
    <w:sdtEndPr/>
    <w:sdtContent>
      <w:sdt>
        <w:sdtPr>
          <w:id w:val="1340888475"/>
          <w:docPartObj>
            <w:docPartGallery w:val="Page Numbers (Top of Page)"/>
            <w:docPartUnique/>
          </w:docPartObj>
        </w:sdtPr>
        <w:sdtEndPr/>
        <w:sdtContent>
          <w:p w:rsidR="00520B1A" w:rsidRDefault="00520B1A">
            <w:pPr>
              <w:pStyle w:val="Footer"/>
              <w:jc w:val="right"/>
            </w:pPr>
            <w:r w:rsidRPr="008F6C6A">
              <w:rPr>
                <w:rFonts w:ascii="Arial" w:hAnsi="Arial" w:cs="Arial"/>
                <w:sz w:val="20"/>
                <w:szCs w:val="20"/>
              </w:rPr>
              <w:t xml:space="preserve">Page </w:t>
            </w:r>
            <w:r w:rsidRPr="008F6C6A">
              <w:rPr>
                <w:rFonts w:ascii="Arial" w:hAnsi="Arial" w:cs="Arial"/>
                <w:b/>
                <w:bCs/>
                <w:sz w:val="20"/>
                <w:szCs w:val="20"/>
              </w:rPr>
              <w:fldChar w:fldCharType="begin"/>
            </w:r>
            <w:r w:rsidRPr="008F6C6A">
              <w:rPr>
                <w:rFonts w:ascii="Arial" w:hAnsi="Arial" w:cs="Arial"/>
                <w:b/>
                <w:bCs/>
                <w:sz w:val="20"/>
                <w:szCs w:val="20"/>
              </w:rPr>
              <w:instrText xml:space="preserve"> PAGE </w:instrText>
            </w:r>
            <w:r w:rsidRPr="008F6C6A">
              <w:rPr>
                <w:rFonts w:ascii="Arial" w:hAnsi="Arial" w:cs="Arial"/>
                <w:b/>
                <w:bCs/>
                <w:sz w:val="20"/>
                <w:szCs w:val="20"/>
              </w:rPr>
              <w:fldChar w:fldCharType="separate"/>
            </w:r>
            <w:r w:rsidR="007F24D2">
              <w:rPr>
                <w:rFonts w:ascii="Arial" w:hAnsi="Arial" w:cs="Arial"/>
                <w:b/>
                <w:bCs/>
                <w:noProof/>
                <w:sz w:val="20"/>
                <w:szCs w:val="20"/>
              </w:rPr>
              <w:t>1</w:t>
            </w:r>
            <w:r w:rsidRPr="008F6C6A">
              <w:rPr>
                <w:rFonts w:ascii="Arial" w:hAnsi="Arial" w:cs="Arial"/>
                <w:b/>
                <w:bCs/>
                <w:sz w:val="20"/>
                <w:szCs w:val="20"/>
              </w:rPr>
              <w:fldChar w:fldCharType="end"/>
            </w:r>
            <w:r w:rsidRPr="008F6C6A">
              <w:rPr>
                <w:rFonts w:ascii="Arial" w:hAnsi="Arial" w:cs="Arial"/>
                <w:sz w:val="20"/>
                <w:szCs w:val="20"/>
              </w:rPr>
              <w:t xml:space="preserve"> of </w:t>
            </w:r>
            <w:r w:rsidRPr="008F6C6A">
              <w:rPr>
                <w:rFonts w:ascii="Arial" w:hAnsi="Arial" w:cs="Arial"/>
                <w:b/>
                <w:bCs/>
                <w:sz w:val="20"/>
                <w:szCs w:val="20"/>
              </w:rPr>
              <w:fldChar w:fldCharType="begin"/>
            </w:r>
            <w:r w:rsidRPr="008F6C6A">
              <w:rPr>
                <w:rFonts w:ascii="Arial" w:hAnsi="Arial" w:cs="Arial"/>
                <w:b/>
                <w:bCs/>
                <w:sz w:val="20"/>
                <w:szCs w:val="20"/>
              </w:rPr>
              <w:instrText xml:space="preserve"> NUMPAGES  </w:instrText>
            </w:r>
            <w:r w:rsidRPr="008F6C6A">
              <w:rPr>
                <w:rFonts w:ascii="Arial" w:hAnsi="Arial" w:cs="Arial"/>
                <w:b/>
                <w:bCs/>
                <w:sz w:val="20"/>
                <w:szCs w:val="20"/>
              </w:rPr>
              <w:fldChar w:fldCharType="separate"/>
            </w:r>
            <w:r w:rsidR="007F24D2">
              <w:rPr>
                <w:rFonts w:ascii="Arial" w:hAnsi="Arial" w:cs="Arial"/>
                <w:b/>
                <w:bCs/>
                <w:noProof/>
                <w:sz w:val="20"/>
                <w:szCs w:val="20"/>
              </w:rPr>
              <w:t>2</w:t>
            </w:r>
            <w:r w:rsidRPr="008F6C6A">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D2B" w:rsidRDefault="00743D2B" w:rsidP="00A3627D">
      <w:pPr>
        <w:spacing w:after="0" w:line="240" w:lineRule="auto"/>
      </w:pPr>
      <w:r>
        <w:separator/>
      </w:r>
    </w:p>
  </w:footnote>
  <w:footnote w:type="continuationSeparator" w:id="0">
    <w:p w:rsidR="00743D2B" w:rsidRDefault="00743D2B" w:rsidP="00A36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EEC" w:rsidRDefault="00476EEC" w:rsidP="00F12519">
    <w:pPr>
      <w:pStyle w:val="Header"/>
      <w:ind w:hanging="284"/>
    </w:pPr>
    <w:r>
      <w:rPr>
        <w:noProof/>
        <w:lang w:eastAsia="en-GB"/>
      </w:rPr>
      <w:drawing>
        <wp:inline distT="0" distB="0" distL="0" distR="0" wp14:anchorId="64ADEC8D" wp14:editId="7F58B808">
          <wp:extent cx="2432685" cy="46926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2685" cy="46926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EED"/>
    <w:multiLevelType w:val="hybridMultilevel"/>
    <w:tmpl w:val="EF9E025A"/>
    <w:lvl w:ilvl="0" w:tplc="C7ACB6F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3E58DD"/>
    <w:multiLevelType w:val="hybridMultilevel"/>
    <w:tmpl w:val="9098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9ED5714"/>
    <w:multiLevelType w:val="hybridMultilevel"/>
    <w:tmpl w:val="1546949E"/>
    <w:lvl w:ilvl="0" w:tplc="EED04486">
      <w:start w:val="1"/>
      <w:numFmt w:val="decimal"/>
      <w:lvlText w:val="%1."/>
      <w:lvlJc w:val="left"/>
      <w:pPr>
        <w:ind w:left="720" w:hanging="360"/>
      </w:pPr>
      <w:rPr>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A40E72"/>
    <w:multiLevelType w:val="hybridMultilevel"/>
    <w:tmpl w:val="415265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DF4470"/>
    <w:multiLevelType w:val="hybridMultilevel"/>
    <w:tmpl w:val="0BBC8D2E"/>
    <w:lvl w:ilvl="0" w:tplc="0DC818AE">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794DF1"/>
    <w:multiLevelType w:val="hybridMultilevel"/>
    <w:tmpl w:val="0B645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DC673EB"/>
    <w:multiLevelType w:val="hybridMultilevel"/>
    <w:tmpl w:val="FBD26B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FB6B7F"/>
    <w:multiLevelType w:val="hybridMultilevel"/>
    <w:tmpl w:val="C71CF6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B4D0ACB"/>
    <w:multiLevelType w:val="hybridMultilevel"/>
    <w:tmpl w:val="DFA8E8C8"/>
    <w:lvl w:ilvl="0" w:tplc="C09CC0CC">
      <w:start w:val="1"/>
      <w:numFmt w:val="decimal"/>
      <w:lvlText w:val="%1."/>
      <w:lvlJc w:val="left"/>
      <w:pPr>
        <w:ind w:left="720" w:hanging="360"/>
      </w:pPr>
      <w:rPr>
        <w:rFont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C8F40CB"/>
    <w:multiLevelType w:val="hybridMultilevel"/>
    <w:tmpl w:val="3782D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8"/>
  </w:num>
  <w:num w:numId="6">
    <w:abstractNumId w:val="1"/>
  </w:num>
  <w:num w:numId="7">
    <w:abstractNumId w:val="4"/>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936"/>
    <w:rsid w:val="00017895"/>
    <w:rsid w:val="000518A8"/>
    <w:rsid w:val="000931B5"/>
    <w:rsid w:val="001065BD"/>
    <w:rsid w:val="0012050F"/>
    <w:rsid w:val="00125396"/>
    <w:rsid w:val="00132D99"/>
    <w:rsid w:val="00161D4C"/>
    <w:rsid w:val="001707BA"/>
    <w:rsid w:val="00193C62"/>
    <w:rsid w:val="002743D2"/>
    <w:rsid w:val="00275891"/>
    <w:rsid w:val="00290B79"/>
    <w:rsid w:val="002915C7"/>
    <w:rsid w:val="002A78A3"/>
    <w:rsid w:val="002C4A2F"/>
    <w:rsid w:val="002D6C79"/>
    <w:rsid w:val="002F1E70"/>
    <w:rsid w:val="00337B74"/>
    <w:rsid w:val="00363D98"/>
    <w:rsid w:val="00374486"/>
    <w:rsid w:val="00395533"/>
    <w:rsid w:val="003D57AD"/>
    <w:rsid w:val="004273D3"/>
    <w:rsid w:val="00432BD6"/>
    <w:rsid w:val="00441B18"/>
    <w:rsid w:val="00476EEC"/>
    <w:rsid w:val="0048285A"/>
    <w:rsid w:val="004A13C5"/>
    <w:rsid w:val="004C5142"/>
    <w:rsid w:val="00520B1A"/>
    <w:rsid w:val="005A1AA5"/>
    <w:rsid w:val="005A4286"/>
    <w:rsid w:val="005B2DB1"/>
    <w:rsid w:val="005D0E95"/>
    <w:rsid w:val="005E6B86"/>
    <w:rsid w:val="005F3AE4"/>
    <w:rsid w:val="00605FE8"/>
    <w:rsid w:val="00644CD3"/>
    <w:rsid w:val="00670B57"/>
    <w:rsid w:val="006751D1"/>
    <w:rsid w:val="006836BD"/>
    <w:rsid w:val="006B1F36"/>
    <w:rsid w:val="006C1936"/>
    <w:rsid w:val="006E4417"/>
    <w:rsid w:val="00704C80"/>
    <w:rsid w:val="007107E1"/>
    <w:rsid w:val="00722208"/>
    <w:rsid w:val="00743D2B"/>
    <w:rsid w:val="00750DD9"/>
    <w:rsid w:val="00762790"/>
    <w:rsid w:val="00781874"/>
    <w:rsid w:val="007859D4"/>
    <w:rsid w:val="007B4983"/>
    <w:rsid w:val="007B73CF"/>
    <w:rsid w:val="007C4A75"/>
    <w:rsid w:val="007F24D2"/>
    <w:rsid w:val="00833C51"/>
    <w:rsid w:val="00855A2C"/>
    <w:rsid w:val="008C5BE8"/>
    <w:rsid w:val="008F6C6A"/>
    <w:rsid w:val="00920F5E"/>
    <w:rsid w:val="009309EA"/>
    <w:rsid w:val="009479CA"/>
    <w:rsid w:val="009D7E93"/>
    <w:rsid w:val="00A05916"/>
    <w:rsid w:val="00A3627D"/>
    <w:rsid w:val="00A544FF"/>
    <w:rsid w:val="00A721C0"/>
    <w:rsid w:val="00A8311F"/>
    <w:rsid w:val="00A90E59"/>
    <w:rsid w:val="00AF41D2"/>
    <w:rsid w:val="00B31040"/>
    <w:rsid w:val="00B33C1F"/>
    <w:rsid w:val="00B57A75"/>
    <w:rsid w:val="00B7451C"/>
    <w:rsid w:val="00B83234"/>
    <w:rsid w:val="00B9159D"/>
    <w:rsid w:val="00BB2F7F"/>
    <w:rsid w:val="00BC1867"/>
    <w:rsid w:val="00BD36EA"/>
    <w:rsid w:val="00C00C84"/>
    <w:rsid w:val="00C328E6"/>
    <w:rsid w:val="00C659F8"/>
    <w:rsid w:val="00C93483"/>
    <w:rsid w:val="00CC372A"/>
    <w:rsid w:val="00CE226C"/>
    <w:rsid w:val="00CF360F"/>
    <w:rsid w:val="00D0172D"/>
    <w:rsid w:val="00D42ABE"/>
    <w:rsid w:val="00D771C2"/>
    <w:rsid w:val="00DB6E6A"/>
    <w:rsid w:val="00DD5631"/>
    <w:rsid w:val="00DF709E"/>
    <w:rsid w:val="00E13C22"/>
    <w:rsid w:val="00E2036E"/>
    <w:rsid w:val="00E44527"/>
    <w:rsid w:val="00E475A5"/>
    <w:rsid w:val="00E857B1"/>
    <w:rsid w:val="00EF7134"/>
    <w:rsid w:val="00F12519"/>
    <w:rsid w:val="00F80A83"/>
    <w:rsid w:val="00FD109A"/>
    <w:rsid w:val="00FE5C66"/>
    <w:rsid w:val="00FF7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36E"/>
    <w:pPr>
      <w:ind w:left="720"/>
      <w:contextualSpacing/>
    </w:pPr>
  </w:style>
  <w:style w:type="paragraph" w:styleId="Header">
    <w:name w:val="header"/>
    <w:basedOn w:val="Normal"/>
    <w:link w:val="HeaderChar"/>
    <w:uiPriority w:val="99"/>
    <w:unhideWhenUsed/>
    <w:rsid w:val="00A36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27D"/>
  </w:style>
  <w:style w:type="paragraph" w:styleId="Footer">
    <w:name w:val="footer"/>
    <w:basedOn w:val="Normal"/>
    <w:link w:val="FooterChar"/>
    <w:uiPriority w:val="99"/>
    <w:unhideWhenUsed/>
    <w:rsid w:val="00A36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27D"/>
  </w:style>
  <w:style w:type="paragraph" w:styleId="FootnoteText">
    <w:name w:val="footnote text"/>
    <w:basedOn w:val="Normal"/>
    <w:link w:val="FootnoteTextChar"/>
    <w:uiPriority w:val="99"/>
    <w:semiHidden/>
    <w:unhideWhenUsed/>
    <w:rsid w:val="007859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59D4"/>
    <w:rPr>
      <w:sz w:val="20"/>
      <w:szCs w:val="20"/>
    </w:rPr>
  </w:style>
  <w:style w:type="paragraph" w:customStyle="1" w:styleId="FormCode">
    <w:name w:val="Form Code"/>
    <w:basedOn w:val="Normal"/>
    <w:rsid w:val="007859D4"/>
    <w:pPr>
      <w:tabs>
        <w:tab w:val="left" w:pos="1785"/>
        <w:tab w:val="left" w:pos="7088"/>
      </w:tabs>
      <w:spacing w:before="120" w:after="120" w:line="240" w:lineRule="auto"/>
      <w:jc w:val="both"/>
      <w:outlineLvl w:val="0"/>
    </w:pPr>
    <w:rPr>
      <w:rFonts w:ascii="Arial" w:eastAsia="Times New Roman" w:hAnsi="Arial" w:cs="Times New Roman"/>
      <w:b/>
      <w:color w:val="000000"/>
      <w:sz w:val="56"/>
      <w:szCs w:val="20"/>
      <w:lang w:eastAsia="en-GB"/>
    </w:rPr>
  </w:style>
  <w:style w:type="paragraph" w:styleId="BalloonText">
    <w:name w:val="Balloon Text"/>
    <w:basedOn w:val="Normal"/>
    <w:link w:val="BalloonTextChar"/>
    <w:uiPriority w:val="99"/>
    <w:semiHidden/>
    <w:unhideWhenUsed/>
    <w:rsid w:val="00476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EEC"/>
    <w:rPr>
      <w:rFonts w:ascii="Tahoma" w:hAnsi="Tahoma" w:cs="Tahoma"/>
      <w:sz w:val="16"/>
      <w:szCs w:val="16"/>
    </w:rPr>
  </w:style>
  <w:style w:type="paragraph" w:customStyle="1" w:styleId="BulletHeading">
    <w:name w:val="Bullet Heading"/>
    <w:basedOn w:val="ListParagraph"/>
    <w:link w:val="BulletHeadingChar"/>
    <w:qFormat/>
    <w:rsid w:val="006E4417"/>
    <w:pPr>
      <w:spacing w:after="0" w:line="240" w:lineRule="auto"/>
      <w:ind w:hanging="360"/>
      <w:outlineLvl w:val="1"/>
    </w:pPr>
    <w:rPr>
      <w:rFonts w:ascii="Arial" w:eastAsia="Times New Roman" w:hAnsi="Arial" w:cs="Arial"/>
      <w:b/>
      <w:color w:val="2F2F2F"/>
      <w:sz w:val="20"/>
      <w:szCs w:val="20"/>
    </w:rPr>
  </w:style>
  <w:style w:type="character" w:customStyle="1" w:styleId="BulletHeadingChar">
    <w:name w:val="Bullet Heading Char"/>
    <w:basedOn w:val="DefaultParagraphFont"/>
    <w:link w:val="BulletHeading"/>
    <w:rsid w:val="006E4417"/>
    <w:rPr>
      <w:rFonts w:ascii="Arial" w:eastAsia="Times New Roman" w:hAnsi="Arial" w:cs="Arial"/>
      <w:b/>
      <w:color w:val="2F2F2F"/>
      <w:sz w:val="20"/>
      <w:szCs w:val="20"/>
    </w:rPr>
  </w:style>
  <w:style w:type="table" w:customStyle="1" w:styleId="TableGrid1">
    <w:name w:val="Table Grid1"/>
    <w:basedOn w:val="TableNormal"/>
    <w:next w:val="TableGrid"/>
    <w:uiPriority w:val="59"/>
    <w:rsid w:val="00E13C22"/>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6C79"/>
    <w:rPr>
      <w:sz w:val="16"/>
      <w:szCs w:val="16"/>
    </w:rPr>
  </w:style>
  <w:style w:type="paragraph" w:styleId="CommentText">
    <w:name w:val="annotation text"/>
    <w:basedOn w:val="Normal"/>
    <w:link w:val="CommentTextChar"/>
    <w:uiPriority w:val="99"/>
    <w:semiHidden/>
    <w:unhideWhenUsed/>
    <w:rsid w:val="002D6C79"/>
    <w:pPr>
      <w:spacing w:line="240" w:lineRule="auto"/>
    </w:pPr>
    <w:rPr>
      <w:sz w:val="20"/>
      <w:szCs w:val="20"/>
    </w:rPr>
  </w:style>
  <w:style w:type="character" w:customStyle="1" w:styleId="CommentTextChar">
    <w:name w:val="Comment Text Char"/>
    <w:basedOn w:val="DefaultParagraphFont"/>
    <w:link w:val="CommentText"/>
    <w:uiPriority w:val="99"/>
    <w:semiHidden/>
    <w:rsid w:val="002D6C79"/>
    <w:rPr>
      <w:sz w:val="20"/>
      <w:szCs w:val="20"/>
    </w:rPr>
  </w:style>
  <w:style w:type="character" w:styleId="FootnoteReference">
    <w:name w:val="footnote reference"/>
    <w:basedOn w:val="DefaultParagraphFont"/>
    <w:uiPriority w:val="99"/>
    <w:semiHidden/>
    <w:unhideWhenUsed/>
    <w:rsid w:val="00CE226C"/>
    <w:rPr>
      <w:vertAlign w:val="superscript"/>
    </w:rPr>
  </w:style>
  <w:style w:type="paragraph" w:customStyle="1" w:styleId="Default">
    <w:name w:val="Default"/>
    <w:rsid w:val="00750DD9"/>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FF77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36E"/>
    <w:pPr>
      <w:ind w:left="720"/>
      <w:contextualSpacing/>
    </w:pPr>
  </w:style>
  <w:style w:type="paragraph" w:styleId="Header">
    <w:name w:val="header"/>
    <w:basedOn w:val="Normal"/>
    <w:link w:val="HeaderChar"/>
    <w:uiPriority w:val="99"/>
    <w:unhideWhenUsed/>
    <w:rsid w:val="00A36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27D"/>
  </w:style>
  <w:style w:type="paragraph" w:styleId="Footer">
    <w:name w:val="footer"/>
    <w:basedOn w:val="Normal"/>
    <w:link w:val="FooterChar"/>
    <w:uiPriority w:val="99"/>
    <w:unhideWhenUsed/>
    <w:rsid w:val="00A36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27D"/>
  </w:style>
  <w:style w:type="paragraph" w:styleId="FootnoteText">
    <w:name w:val="footnote text"/>
    <w:basedOn w:val="Normal"/>
    <w:link w:val="FootnoteTextChar"/>
    <w:uiPriority w:val="99"/>
    <w:semiHidden/>
    <w:unhideWhenUsed/>
    <w:rsid w:val="007859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59D4"/>
    <w:rPr>
      <w:sz w:val="20"/>
      <w:szCs w:val="20"/>
    </w:rPr>
  </w:style>
  <w:style w:type="paragraph" w:customStyle="1" w:styleId="FormCode">
    <w:name w:val="Form Code"/>
    <w:basedOn w:val="Normal"/>
    <w:rsid w:val="007859D4"/>
    <w:pPr>
      <w:tabs>
        <w:tab w:val="left" w:pos="1785"/>
        <w:tab w:val="left" w:pos="7088"/>
      </w:tabs>
      <w:spacing w:before="120" w:after="120" w:line="240" w:lineRule="auto"/>
      <w:jc w:val="both"/>
      <w:outlineLvl w:val="0"/>
    </w:pPr>
    <w:rPr>
      <w:rFonts w:ascii="Arial" w:eastAsia="Times New Roman" w:hAnsi="Arial" w:cs="Times New Roman"/>
      <w:b/>
      <w:color w:val="000000"/>
      <w:sz w:val="56"/>
      <w:szCs w:val="20"/>
      <w:lang w:eastAsia="en-GB"/>
    </w:rPr>
  </w:style>
  <w:style w:type="paragraph" w:styleId="BalloonText">
    <w:name w:val="Balloon Text"/>
    <w:basedOn w:val="Normal"/>
    <w:link w:val="BalloonTextChar"/>
    <w:uiPriority w:val="99"/>
    <w:semiHidden/>
    <w:unhideWhenUsed/>
    <w:rsid w:val="00476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EEC"/>
    <w:rPr>
      <w:rFonts w:ascii="Tahoma" w:hAnsi="Tahoma" w:cs="Tahoma"/>
      <w:sz w:val="16"/>
      <w:szCs w:val="16"/>
    </w:rPr>
  </w:style>
  <w:style w:type="paragraph" w:customStyle="1" w:styleId="BulletHeading">
    <w:name w:val="Bullet Heading"/>
    <w:basedOn w:val="ListParagraph"/>
    <w:link w:val="BulletHeadingChar"/>
    <w:qFormat/>
    <w:rsid w:val="006E4417"/>
    <w:pPr>
      <w:spacing w:after="0" w:line="240" w:lineRule="auto"/>
      <w:ind w:hanging="360"/>
      <w:outlineLvl w:val="1"/>
    </w:pPr>
    <w:rPr>
      <w:rFonts w:ascii="Arial" w:eastAsia="Times New Roman" w:hAnsi="Arial" w:cs="Arial"/>
      <w:b/>
      <w:color w:val="2F2F2F"/>
      <w:sz w:val="20"/>
      <w:szCs w:val="20"/>
    </w:rPr>
  </w:style>
  <w:style w:type="character" w:customStyle="1" w:styleId="BulletHeadingChar">
    <w:name w:val="Bullet Heading Char"/>
    <w:basedOn w:val="DefaultParagraphFont"/>
    <w:link w:val="BulletHeading"/>
    <w:rsid w:val="006E4417"/>
    <w:rPr>
      <w:rFonts w:ascii="Arial" w:eastAsia="Times New Roman" w:hAnsi="Arial" w:cs="Arial"/>
      <w:b/>
      <w:color w:val="2F2F2F"/>
      <w:sz w:val="20"/>
      <w:szCs w:val="20"/>
    </w:rPr>
  </w:style>
  <w:style w:type="table" w:customStyle="1" w:styleId="TableGrid1">
    <w:name w:val="Table Grid1"/>
    <w:basedOn w:val="TableNormal"/>
    <w:next w:val="TableGrid"/>
    <w:uiPriority w:val="59"/>
    <w:rsid w:val="00E13C22"/>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6C79"/>
    <w:rPr>
      <w:sz w:val="16"/>
      <w:szCs w:val="16"/>
    </w:rPr>
  </w:style>
  <w:style w:type="paragraph" w:styleId="CommentText">
    <w:name w:val="annotation text"/>
    <w:basedOn w:val="Normal"/>
    <w:link w:val="CommentTextChar"/>
    <w:uiPriority w:val="99"/>
    <w:semiHidden/>
    <w:unhideWhenUsed/>
    <w:rsid w:val="002D6C79"/>
    <w:pPr>
      <w:spacing w:line="240" w:lineRule="auto"/>
    </w:pPr>
    <w:rPr>
      <w:sz w:val="20"/>
      <w:szCs w:val="20"/>
    </w:rPr>
  </w:style>
  <w:style w:type="character" w:customStyle="1" w:styleId="CommentTextChar">
    <w:name w:val="Comment Text Char"/>
    <w:basedOn w:val="DefaultParagraphFont"/>
    <w:link w:val="CommentText"/>
    <w:uiPriority w:val="99"/>
    <w:semiHidden/>
    <w:rsid w:val="002D6C79"/>
    <w:rPr>
      <w:sz w:val="20"/>
      <w:szCs w:val="20"/>
    </w:rPr>
  </w:style>
  <w:style w:type="character" w:styleId="FootnoteReference">
    <w:name w:val="footnote reference"/>
    <w:basedOn w:val="DefaultParagraphFont"/>
    <w:uiPriority w:val="99"/>
    <w:semiHidden/>
    <w:unhideWhenUsed/>
    <w:rsid w:val="00CE226C"/>
    <w:rPr>
      <w:vertAlign w:val="superscript"/>
    </w:rPr>
  </w:style>
  <w:style w:type="paragraph" w:customStyle="1" w:styleId="Default">
    <w:name w:val="Default"/>
    <w:rsid w:val="00750DD9"/>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FF77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2submissions@bankofengland.co.uk"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5C878C293EF504FACF5CE3A4B208BC7" ma:contentTypeVersion="454" ma:contentTypeDescription="Create a new document." ma:contentTypeScope="" ma:versionID="cb6799dd835741f087ddddf03aaecf83">
  <xsd:schema xmlns:xsd="http://www.w3.org/2001/XMLSchema" xmlns:xs="http://www.w3.org/2001/XMLSchema" xmlns:p="http://schemas.microsoft.com/office/2006/metadata/properties" xmlns:ns1="http://schemas.microsoft.com/sharepoint/v3" xmlns:ns2="75afd6ce-d5e2-450c-a4ec-ac3847b33ee0" xmlns:ns3="94fc26e6-6271-400d-888b-6bc5b0598690" xmlns:ns4="94FC26E6-6271-400D-888B-6BC5B0598690" xmlns:ns5="http://schemas.microsoft.com/sharepoint/v3/fields" targetNamespace="http://schemas.microsoft.com/office/2006/metadata/properties" ma:root="true" ma:fieldsID="cd86317534cd00150b915974232747ee" ns1:_="" ns2:_="" ns3:_="" ns4:_="" ns5:_="">
    <xsd:import namespace="http://schemas.microsoft.com/sharepoint/v3"/>
    <xsd:import namespace="75afd6ce-d5e2-450c-a4ec-ac3847b33ee0"/>
    <xsd:import namespace="94fc26e6-6271-400d-888b-6bc5b0598690"/>
    <xsd:import namespace="94FC26E6-6271-400D-888B-6BC5B0598690"/>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1:PublishDate" minOccurs="0"/>
                <xsd:element ref="ns1:OwnerGroup"/>
                <xsd:element ref="ns2:BOETaxonomyFieldTaxHTField0" minOccurs="0"/>
                <xsd:element ref="ns3:TaxCatchAll" minOccurs="0"/>
                <xsd:element ref="ns4:TaxCatchAllLabel" minOccurs="0"/>
                <xsd:element ref="ns5:BOEKeywords" minOccurs="0"/>
                <xsd:element ref="ns1:BOESummaryText" minOccurs="0"/>
                <xsd:element ref="ns1:IncludeContentsInIndex" minOccurs="0"/>
                <xsd:element ref="ns1:BOEApprovalStatus" minOccurs="0"/>
                <xsd:element ref="ns2:BOETwoLevelApprovalUnapprovedUrls" minOccurs="0"/>
                <xsd:element ref="ns1:ApprovedBy" minOccurs="0"/>
                <xsd:element ref="ns1:PublishedBy" minOccurs="0"/>
                <xsd:element ref="ns1:ArchivalDate" minOccurs="0"/>
                <xsd:element ref="ns1:ArchivalChoice"/>
                <xsd:element ref="ns1:BOEReplicationFlag" minOccurs="0"/>
                <xsd:element ref="ns1:BOEReplicateBackwardLinksOnDeployFlag" minOccurs="0"/>
                <xsd:element ref="ns1:ContentReview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element name="PublishDate" ma:index="10" nillable="true" ma:displayName="Publication Date" ma:format="DateOnly" ma:internalName="PublishDate">
      <xsd:simpleType>
        <xsd:restriction base="dms:DateTime"/>
      </xsd:simpleType>
    </xsd:element>
    <xsd:element name="OwnerGroup" ma:index="11" ma:displayName="Owner Group" ma:list="UserInfo" ma:SearchPeopleOnly="false" ma:internalName="OwnerGroup" ma:readOnly="fals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BOESummaryText" ma:index="17" nillable="true" ma:displayName="Summary Text" ma:internalName="BOESummaryText" ma:readOnly="false">
      <xsd:simpleType>
        <xsd:restriction base="dms:Note">
          <xsd:maxLength value="255"/>
        </xsd:restriction>
      </xsd:simpleType>
    </xsd:element>
    <xsd:element name="IncludeContentsInIndex" ma:index="18" nillable="true" ma:displayName="Make Content Searchable" ma:default="1" ma:description="" ma:internalName="IncludeContentsInIndex">
      <xsd:simpleType>
        <xsd:restriction base="dms:Boolean"/>
      </xsd:simpleType>
    </xsd:element>
    <xsd:element name="BOEApprovalStatus" ma:index="19" nillable="true" ma:displayName="2 Stage Approval Status" ma:default="Pending Approval" ma:internalName="BOEApprovalStatus">
      <xsd:simpleType>
        <xsd:restriction base="dms:Choice">
          <xsd:enumeration value="Pending Approval"/>
          <xsd:enumeration value="Level 1 Approved"/>
          <xsd:enumeration value="Level 1 Rejected"/>
          <xsd:enumeration value="Level 2 Approved"/>
          <xsd:enumeration value="Level 2 Rejected"/>
        </xsd:restriction>
      </xsd:simpleType>
    </xsd:element>
    <xsd:element name="ApprovedBy" ma:index="21" nillable="true" ma:displayName="Approved By" ma:list="UserInfo" ma:internalName="Appro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By" ma:index="22" nillable="true" ma:displayName="Published By" ma:list="UserInfo" ma:internalName="Publish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alDate" ma:index="23" nillable="true" ma:displayName="Archival Date" ma:format="DateOnly" ma:internalName="ArchivalDate" ma:readOnly="false">
      <xsd:simpleType>
        <xsd:restriction base="dms:DateTime"/>
      </xsd:simpleType>
    </xsd:element>
    <xsd:element name="ArchivalChoice" ma:index="24" ma:displayName="Archive In" ma:default="3 Years" ma:internalName="ArchivalChoice" ma:readOnly="false">
      <xsd:simpleType>
        <xsd:restriction base="dms:Choice">
          <xsd:enumeration value="3 Months"/>
          <xsd:enumeration value="6 Months"/>
          <xsd:enumeration value="1 Year"/>
          <xsd:enumeration value="2 Years"/>
          <xsd:enumeration value="3 Years"/>
          <xsd:enumeration value="4 Years"/>
          <xsd:enumeration value="5 Years"/>
        </xsd:restriction>
      </xsd:simpleType>
    </xsd:element>
    <xsd:element name="BOEReplicationFlag" ma:index="25" nillable="true" ma:displayName="Replicated" ma:default="1" ma:internalName="Replicated">
      <xsd:simpleType>
        <xsd:restriction base="dms:Text"/>
      </xsd:simpleType>
    </xsd:element>
    <xsd:element name="BOEReplicateBackwardLinksOnDeployFlag" ma:index="26" nillable="true" ma:displayName="Replicate Backward Links On Deploy" ma:default="0" ma:internalName="Replicate_x0020_Backward_x0020_Links_x0020_On_x0020_Deploy" ma:readOnly="false">
      <xsd:simpleType>
        <xsd:restriction base="dms:Boolean"/>
      </xsd:simpleType>
    </xsd:element>
    <xsd:element name="ContentReviewDate" ma:index="27" ma:displayName="Content Review Date" ma:internalName="ContentReview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afd6ce-d5e2-450c-a4ec-ac3847b33ee0" elementFormDefault="qualified">
    <xsd:import namespace="http://schemas.microsoft.com/office/2006/documentManagement/types"/>
    <xsd:import namespace="http://schemas.microsoft.com/office/infopath/2007/PartnerControls"/>
    <xsd:element name="BOETaxonomyFieldTaxHTField0" ma:index="13" ma:taxonomy="true" ma:internalName="BOETaxonomyFieldTaxHTField0" ma:taxonomyFieldName="BOETaxonomyField" ma:displayName="Taxonomy" ma:default="" ma:fieldId="{8d0458c1-0fb7-4981-bee1-52d0df01895c}" ma:taxonomyMulti="true" ma:sspId="e7d7e58a-7b41-4cba-85bd-a9b5ca8cc10b" ma:termSetId="cfc9b131-5595-44bb-b00d-4993470fbbfd" ma:anchorId="00000000-0000-0000-0000-000000000000" ma:open="false" ma:isKeyword="false">
      <xsd:complexType>
        <xsd:sequence>
          <xsd:element ref="pc:Terms" minOccurs="0" maxOccurs="1"/>
        </xsd:sequence>
      </xsd:complexType>
    </xsd:element>
    <xsd:element name="BOETwoLevelApprovalUnapprovedUrls" ma:index="20" nillable="true" ma:displayName="Unapproved Urls" ma:internalName="BOETwoLevelApprovalUnapprovedUr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fc26e6-6271-400d-888b-6bc5b0598690"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1ce4d6b7-b018-4549-b7d2-069325a334df}" ma:internalName="TaxCatchAll" ma:showField="CatchAllData" ma:web="94fc26e6-6271-400d-888b-6bc5b059869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4FC26E6-6271-400D-888B-6BC5B0598690" elementFormDefault="qualified">
    <xsd:import namespace="http://schemas.microsoft.com/office/2006/documentManagement/types"/>
    <xsd:import namespace="http://schemas.microsoft.com/office/infopath/2007/PartnerControls"/>
    <xsd:element name="TaxCatchAllLabel" ma:index="15" nillable="true" ma:displayName="Taxonomy Catch All Column1" ma:hidden="true" ma:list="{1ce4d6b7-b018-4549-b7d2-069325a334df}" ma:internalName="TaxCatchAllLabel" ma:readOnly="true" ma:showField="CatchAllDataLabel" ma:web="94fc26e6-6271-400d-888b-6bc5b059869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BOEKeywords" ma:index="16" nillable="true" ma:displayName="Keywords" ma:hidden="true" ma:internalName="BOEKeywords"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OETwoLevelApprovalUnapprovedUrls xmlns="75afd6ce-d5e2-450c-a4ec-ac3847b33ee0" xsi:nil="true"/>
    <BOEReplicationFlag xmlns="http://schemas.microsoft.com/sharepoint/v3">0</BOEReplicationFlag>
    <BOEReplicateBackwardLinksOnDeployFlag xmlns="http://schemas.microsoft.com/sharepoint/v3">false</BOEReplicateBackwardLinksOnDeployFlag>
    <PublishDate xmlns="http://schemas.microsoft.com/sharepoint/v3" xsi:nil="true"/>
    <BOETaxonomyFieldTaxHTField0 xmlns="75afd6ce-d5e2-450c-a4ec-ac3847b33ee0">
      <Terms xmlns="http://schemas.microsoft.com/office/infopath/2007/PartnerControls">
        <TermInfo xmlns="http://schemas.microsoft.com/office/infopath/2007/PartnerControls">
          <TermName xmlns="http://schemas.microsoft.com/office/infopath/2007/PartnerControls">PRA</TermName>
          <TermId xmlns="http://schemas.microsoft.com/office/infopath/2007/PartnerControls">a8d9cb97-4bf1-4038-b1d9-3ebe9a54a7fb</TermId>
        </TermInfo>
      </Terms>
    </BOETaxonomyFieldTaxHTField0>
    <PublishingExpirationDate xmlns="http://schemas.microsoft.com/sharepoint/v3" xsi:nil="true"/>
    <IncludeContentsInIndex xmlns="http://schemas.microsoft.com/sharepoint/v3">true</IncludeContentsInIndex>
    <PublishingStartDate xmlns="http://schemas.microsoft.com/sharepoint/v3" xsi:nil="true"/>
    <BOEKeywords xmlns="http://schemas.microsoft.com/sharepoint/v3/fields" xsi:nil="true"/>
    <OwnerGroup xmlns="http://schemas.microsoft.com/sharepoint/v3">
      <UserInfo>
        <DisplayName/>
        <AccountId>799</AccountId>
        <AccountType/>
      </UserInfo>
    </OwnerGroup>
    <BOEApprovalStatus xmlns="http://schemas.microsoft.com/sharepoint/v3">Level 2 Approved</BOEApprovalStatus>
    <BOESummaryText xmlns="http://schemas.microsoft.com/sharepoint/v3" xsi:nil="true"/>
    <ArchivalChoice xmlns="http://schemas.microsoft.com/sharepoint/v3">5 Years</ArchivalChoice>
    <ArchivalDate xmlns="http://schemas.microsoft.com/sharepoint/v3">2020-03-18T15:18:54+00:00</ArchivalDate>
    <ApprovedBy xmlns="http://schemas.microsoft.com/sharepoint/v3">
      <UserInfo>
        <DisplayName>Webster, Tom</DisplayName>
        <AccountId>954</AccountId>
        <AccountType/>
      </UserInfo>
    </ApprovedBy>
    <PublishedBy xmlns="http://schemas.microsoft.com/sharepoint/v3">
      <UserInfo>
        <DisplayName>Jamieson, Naomi</DisplayName>
        <AccountId>535</AccountId>
        <AccountType/>
      </UserInfo>
    </PublishedBy>
    <TaxCatchAll xmlns="94fc26e6-6271-400d-888b-6bc5b0598690">
      <Value>1157</Value>
    </TaxCatchAll>
    <ContentReviewDate xmlns="http://schemas.microsoft.com/sharepoint/v3"/>
  </documentManagement>
</p:properties>
</file>

<file path=customXml/itemProps1.xml><?xml version="1.0" encoding="utf-8"?>
<ds:datastoreItem xmlns:ds="http://schemas.openxmlformats.org/officeDocument/2006/customXml" ds:itemID="{3F1B6D7D-EB0F-4796-A29A-6A6B0888AED3}"/>
</file>

<file path=customXml/itemProps2.xml><?xml version="1.0" encoding="utf-8"?>
<ds:datastoreItem xmlns:ds="http://schemas.openxmlformats.org/officeDocument/2006/customXml" ds:itemID="{77A69AA7-46B6-458A-9800-73CCA7965B46}"/>
</file>

<file path=customXml/itemProps3.xml><?xml version="1.0" encoding="utf-8"?>
<ds:datastoreItem xmlns:ds="http://schemas.openxmlformats.org/officeDocument/2006/customXml" ds:itemID="{84A6D1CD-D130-4F30-91FB-22507567D44E}"/>
</file>

<file path=customXml/itemProps4.xml><?xml version="1.0" encoding="utf-8"?>
<ds:datastoreItem xmlns:ds="http://schemas.openxmlformats.org/officeDocument/2006/customXml" ds:itemID="{910B3DB0-DC8C-40F9-A60B-386674191260}"/>
</file>

<file path=docProps/app.xml><?xml version="1.0" encoding="utf-8"?>
<Properties xmlns="http://schemas.openxmlformats.org/officeDocument/2006/extended-properties" xmlns:vt="http://schemas.openxmlformats.org/officeDocument/2006/docPropsVTypes">
  <Template>Normal</Template>
  <TotalTime>34</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for applications for supervision of group solvency for groups with centralised risk management</dc:title>
  <dc:subject/>
  <dc:creator>Venables, Terrence</dc:creator>
  <cp:keywords/>
  <dc:description/>
  <cp:lastModifiedBy>Philbey, Nicola</cp:lastModifiedBy>
  <cp:revision>10</cp:revision>
  <cp:lastPrinted>2015-03-17T14:21:00Z</cp:lastPrinted>
  <dcterms:created xsi:type="dcterms:W3CDTF">2015-03-04T11:11:00Z</dcterms:created>
  <dcterms:modified xsi:type="dcterms:W3CDTF">2015-03-17T18:33:00Z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PRA 2807451</vt:lpwstr>
  </property>
  <property fmtid="{D5CDD505-2E9C-101B-9397-08002B2CF9AE}" pid="3" name="DocVer">
    <vt:lpwstr>PRA 2807451v1</vt:lpwstr>
  </property>
  <property fmtid="{D5CDD505-2E9C-101B-9397-08002B2CF9AE}" pid="4" name="ContentTypeId">
    <vt:lpwstr>0x01010005C878C293EF504FACF5CE3A4B208BC7</vt:lpwstr>
  </property>
  <property fmtid="{D5CDD505-2E9C-101B-9397-08002B2CF9AE}" pid="5" name="BOETaxonomyField">
    <vt:lpwstr>1157;#PRA|a8d9cb97-4bf1-4038-b1d9-3ebe9a54a7fb</vt:lpwstr>
  </property>
  <property fmtid="{D5CDD505-2E9C-101B-9397-08002B2CF9AE}" pid="6" name="Order">
    <vt:r8>800200</vt:r8>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PublicationReviewalChoice">
    <vt:lpwstr>12 Months</vt:lpwstr>
  </property>
  <property fmtid="{D5CDD505-2E9C-101B-9397-08002B2CF9AE}" pid="12" name="ReviewalDate">
    <vt:filetime>2016-03-18T15:18:54Z</vt:filetime>
  </property>
</Properties>
</file>