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D4" w:rsidRPr="00833C51" w:rsidRDefault="00A721C0" w:rsidP="006751D1">
      <w:pPr>
        <w:ind w:left="-284" w:right="-1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AF155C">
        <w:rPr>
          <w:rFonts w:ascii="Arial" w:hAnsi="Arial" w:cs="Arial"/>
          <w:b/>
          <w:bCs/>
          <w:sz w:val="28"/>
          <w:szCs w:val="28"/>
        </w:rPr>
        <w:t>Supplementary information</w:t>
      </w:r>
      <w:r w:rsidR="00FD109A">
        <w:rPr>
          <w:rFonts w:ascii="Arial" w:hAnsi="Arial" w:cs="Arial"/>
          <w:b/>
          <w:bCs/>
          <w:sz w:val="28"/>
          <w:szCs w:val="28"/>
        </w:rPr>
        <w:t xml:space="preserve"> for application</w:t>
      </w:r>
      <w:r w:rsidR="00AF155C">
        <w:rPr>
          <w:rFonts w:ascii="Arial" w:hAnsi="Arial" w:cs="Arial"/>
          <w:b/>
          <w:bCs/>
          <w:sz w:val="28"/>
          <w:szCs w:val="28"/>
        </w:rPr>
        <w:t xml:space="preserve">s for </w:t>
      </w:r>
      <w:r w:rsidR="00D0172D" w:rsidRPr="00D0172D">
        <w:rPr>
          <w:rFonts w:ascii="Arial" w:hAnsi="Arial" w:cs="Arial"/>
          <w:b/>
          <w:bCs/>
          <w:sz w:val="28"/>
          <w:szCs w:val="28"/>
        </w:rPr>
        <w:t>s</w:t>
      </w:r>
      <w:r w:rsidR="005A4286">
        <w:rPr>
          <w:rFonts w:ascii="Arial" w:hAnsi="Arial" w:cs="Arial"/>
          <w:b/>
          <w:bCs/>
          <w:sz w:val="28"/>
          <w:szCs w:val="28"/>
        </w:rPr>
        <w:t>ingle</w:t>
      </w:r>
      <w:r w:rsidR="002C4A2F">
        <w:rPr>
          <w:rFonts w:ascii="Arial" w:hAnsi="Arial" w:cs="Arial"/>
          <w:b/>
          <w:bCs/>
          <w:sz w:val="28"/>
          <w:szCs w:val="28"/>
        </w:rPr>
        <w:t xml:space="preserve"> </w:t>
      </w:r>
      <w:r w:rsidR="00AF155C">
        <w:rPr>
          <w:rFonts w:ascii="Arial" w:hAnsi="Arial" w:cs="Arial"/>
          <w:b/>
          <w:bCs/>
          <w:sz w:val="28"/>
          <w:szCs w:val="28"/>
        </w:rPr>
        <w:t>solvency and financial condition report</w:t>
      </w:r>
    </w:p>
    <w:p w:rsidR="007859D4" w:rsidRPr="007859D4" w:rsidRDefault="007859D4" w:rsidP="00AF155C">
      <w:pPr>
        <w:ind w:right="-188"/>
        <w:rPr>
          <w:rFonts w:ascii="Arial" w:hAnsi="Arial" w:cs="Arial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3402"/>
        <w:gridCol w:w="2410"/>
      </w:tblGrid>
      <w:tr w:rsidR="00AF155C" w:rsidRPr="00AF155C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AF155C">
              <w:rPr>
                <w:rFonts w:ascii="Arial" w:eastAsia="Times New Roman" w:hAnsi="Arial" w:cs="Arial"/>
                <w:snapToGrid w:val="0"/>
                <w:color w:val="000000"/>
              </w:rPr>
              <w:t>Group name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</w:rPr>
            </w:pPr>
            <w:r w:rsidRPr="00AF155C">
              <w:rPr>
                <w:rFonts w:ascii="Arial" w:eastAsia="Times New Roman" w:hAnsi="Arial" w:cs="Arial"/>
                <w:b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AF155C" w:rsidRPr="00AF155C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AF155C">
              <w:rPr>
                <w:rFonts w:ascii="Arial" w:eastAsia="Times New Roman" w:hAnsi="Arial" w:cs="Arial"/>
                <w:snapToGrid w:val="0"/>
              </w:rPr>
              <w:t>Firm reference number (if applicable)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AF155C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AF155C" w:rsidRPr="00AF155C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AF155C">
              <w:rPr>
                <w:rFonts w:ascii="Arial" w:eastAsia="Times New Roman" w:hAnsi="Arial" w:cs="Arial"/>
                <w:snapToGrid w:val="0"/>
              </w:rPr>
              <w:t>Date of application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noProof/>
                <w:snapToGrid w:val="0"/>
                <w:color w:val="000000"/>
              </w:rPr>
            </w:pPr>
          </w:p>
        </w:tc>
      </w:tr>
      <w:tr w:rsidR="00AF155C" w:rsidRPr="00AF155C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</w:tcPr>
          <w:p w:rsidR="00AF155C" w:rsidRPr="00AF155C" w:rsidRDefault="00AF155C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AF155C">
              <w:rPr>
                <w:rFonts w:ascii="Arial" w:eastAsia="Times New Roman" w:hAnsi="Arial" w:cs="Arial"/>
                <w:snapToGrid w:val="0"/>
                <w:color w:val="000000"/>
              </w:rPr>
              <w:t>Address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F155C" w:rsidRPr="00AF155C" w:rsidRDefault="00AF155C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AF155C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  <w:p w:rsidR="00AF155C" w:rsidRPr="00AF155C" w:rsidRDefault="00AF155C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  <w:p w:rsidR="00AF155C" w:rsidRPr="00AF155C" w:rsidRDefault="00AF155C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</w:tc>
      </w:tr>
      <w:tr w:rsidR="00AF155C" w:rsidRPr="00AF155C" w:rsidTr="00BF7A97">
        <w:tblPrEx>
          <w:tblLook w:val="01E0" w:firstRow="1" w:lastRow="1" w:firstColumn="1" w:lastColumn="1" w:noHBand="0" w:noVBand="0"/>
        </w:tblPrEx>
        <w:tc>
          <w:tcPr>
            <w:tcW w:w="6345" w:type="dxa"/>
            <w:gridSpan w:val="3"/>
          </w:tcPr>
          <w:p w:rsidR="00AF155C" w:rsidRPr="00AF155C" w:rsidRDefault="00AF155C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AF155C">
              <w:rPr>
                <w:rFonts w:cs="Arial"/>
                <w:sz w:val="22"/>
                <w:szCs w:val="22"/>
              </w:rPr>
              <w:t>Application number</w:t>
            </w:r>
          </w:p>
          <w:p w:rsidR="00AF155C" w:rsidRPr="00AF155C" w:rsidRDefault="00AF155C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AF155C">
              <w:rPr>
                <w:rFonts w:cs="Arial"/>
                <w:sz w:val="22"/>
                <w:szCs w:val="22"/>
              </w:rPr>
              <w:t>(for PRA use only)</w:t>
            </w:r>
          </w:p>
        </w:tc>
        <w:tc>
          <w:tcPr>
            <w:tcW w:w="2410" w:type="dxa"/>
            <w:shd w:val="clear" w:color="auto" w:fill="E6E6E6"/>
          </w:tcPr>
          <w:p w:rsidR="00AF155C" w:rsidRPr="00AF155C" w:rsidRDefault="00AF155C" w:rsidP="00BF7A97">
            <w:pPr>
              <w:pStyle w:val="FormCode"/>
              <w:jc w:val="left"/>
              <w:rPr>
                <w:rFonts w:cs="Arial"/>
                <w:sz w:val="22"/>
                <w:szCs w:val="22"/>
              </w:rPr>
            </w:pPr>
          </w:p>
        </w:tc>
      </w:tr>
    </w:tbl>
    <w:p w:rsidR="002D6C79" w:rsidRPr="00AF155C" w:rsidRDefault="002D6C79" w:rsidP="002D6C79">
      <w:pPr>
        <w:rPr>
          <w:rFonts w:ascii="Arial" w:hAnsi="Arial" w:cs="Arial"/>
          <w:b/>
        </w:rPr>
      </w:pPr>
    </w:p>
    <w:p w:rsidR="00AF155C" w:rsidRPr="00AF155C" w:rsidRDefault="00AF155C" w:rsidP="002D6C79">
      <w:pPr>
        <w:rPr>
          <w:rFonts w:ascii="Arial" w:hAnsi="Arial" w:cs="Arial"/>
        </w:rPr>
      </w:pPr>
      <w:r w:rsidRPr="00AF155C">
        <w:rPr>
          <w:rFonts w:ascii="Arial" w:hAnsi="Arial" w:cs="Arial"/>
        </w:rPr>
        <w:t>The information below should be submitted by firms to allow the PRA to cons</w:t>
      </w:r>
      <w:r w:rsidR="00647D5E">
        <w:rPr>
          <w:rFonts w:ascii="Arial" w:hAnsi="Arial" w:cs="Arial"/>
        </w:rPr>
        <w:t>ider an application to for a single solvency and financial condition report (SFCR)</w:t>
      </w:r>
      <w:r w:rsidRPr="00AF155C">
        <w:rPr>
          <w:rFonts w:ascii="Arial" w:hAnsi="Arial" w:cs="Arial"/>
        </w:rPr>
        <w:t xml:space="preserve">. Firms should submit this information with the Solvency II </w:t>
      </w:r>
      <w:r w:rsidR="00647D5E">
        <w:rPr>
          <w:rFonts w:ascii="Arial" w:hAnsi="Arial" w:cs="Arial"/>
        </w:rPr>
        <w:t>waiver</w:t>
      </w:r>
      <w:r w:rsidRPr="00AF155C">
        <w:rPr>
          <w:rFonts w:ascii="Arial" w:hAnsi="Arial" w:cs="Arial"/>
        </w:rPr>
        <w:t xml:space="preserve"> application form to </w:t>
      </w:r>
      <w:hyperlink r:id="rId9" w:history="1">
        <w:r w:rsidR="00647D5E" w:rsidRPr="00757BA4">
          <w:rPr>
            <w:rStyle w:val="Hyperlink"/>
            <w:rFonts w:ascii="Arial" w:hAnsi="Arial" w:cs="Arial"/>
          </w:rPr>
          <w:t>PRA-waivers@bankofengland.co.uk</w:t>
        </w:r>
      </w:hyperlink>
      <w:r w:rsidRPr="00AF155C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855"/>
      </w:tblGrid>
      <w:tr w:rsidR="00CF360F" w:rsidRPr="00AF155C" w:rsidTr="00CF360F">
        <w:tc>
          <w:tcPr>
            <w:tcW w:w="8855" w:type="dxa"/>
            <w:shd w:val="clear" w:color="auto" w:fill="D9D9D9" w:themeFill="background1" w:themeFillShade="D9"/>
          </w:tcPr>
          <w:p w:rsidR="00CF360F" w:rsidRPr="00AF155C" w:rsidRDefault="00CF360F" w:rsidP="00AF155C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</w:rPr>
            </w:pPr>
            <w:r w:rsidRPr="00AF155C">
              <w:rPr>
                <w:rFonts w:ascii="Arial" w:hAnsi="Arial" w:cs="Arial"/>
              </w:rPr>
              <w:t>Please provide details of the group and solo entities that will be included in the single SFCR.</w:t>
            </w:r>
          </w:p>
        </w:tc>
      </w:tr>
      <w:tr w:rsidR="00CF360F" w:rsidRPr="00AF155C" w:rsidTr="00CF360F">
        <w:tc>
          <w:tcPr>
            <w:tcW w:w="8855" w:type="dxa"/>
          </w:tcPr>
          <w:p w:rsidR="00CF360F" w:rsidRPr="00AF155C" w:rsidRDefault="00CF360F" w:rsidP="00AF2336">
            <w:pPr>
              <w:jc w:val="both"/>
              <w:rPr>
                <w:rFonts w:ascii="Arial" w:hAnsi="Arial" w:cs="Arial"/>
              </w:rPr>
            </w:pPr>
          </w:p>
        </w:tc>
      </w:tr>
      <w:tr w:rsidR="00CF360F" w:rsidRPr="00AF155C" w:rsidTr="00CF360F">
        <w:tc>
          <w:tcPr>
            <w:tcW w:w="8855" w:type="dxa"/>
            <w:shd w:val="clear" w:color="auto" w:fill="D9D9D9" w:themeFill="background1" w:themeFillShade="D9"/>
          </w:tcPr>
          <w:p w:rsidR="00CF360F" w:rsidRPr="001554DB" w:rsidRDefault="00CF360F" w:rsidP="001554DB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</w:rPr>
            </w:pPr>
            <w:r w:rsidRPr="00AF155C">
              <w:rPr>
                <w:rFonts w:ascii="Arial" w:hAnsi="Arial" w:cs="Arial"/>
              </w:rPr>
              <w:t>Please explain why you are requesting to submit a single SFCR as opposed to individual SFCRs for the group and the solo entities.</w:t>
            </w:r>
          </w:p>
        </w:tc>
      </w:tr>
      <w:tr w:rsidR="00CF360F" w:rsidRPr="00AF155C" w:rsidTr="00AF155C">
        <w:trPr>
          <w:trHeight w:val="302"/>
        </w:trPr>
        <w:tc>
          <w:tcPr>
            <w:tcW w:w="8855" w:type="dxa"/>
          </w:tcPr>
          <w:p w:rsidR="00CF360F" w:rsidRPr="00AF155C" w:rsidRDefault="00CF360F" w:rsidP="00AF2336">
            <w:pPr>
              <w:jc w:val="both"/>
              <w:rPr>
                <w:rFonts w:ascii="Arial" w:hAnsi="Arial" w:cs="Arial"/>
              </w:rPr>
            </w:pPr>
          </w:p>
        </w:tc>
      </w:tr>
      <w:tr w:rsidR="00CF360F" w:rsidRPr="00AF155C" w:rsidTr="00AF155C">
        <w:trPr>
          <w:trHeight w:val="577"/>
        </w:trPr>
        <w:tc>
          <w:tcPr>
            <w:tcW w:w="8855" w:type="dxa"/>
            <w:shd w:val="clear" w:color="auto" w:fill="D9D9D9" w:themeFill="background1" w:themeFillShade="D9"/>
          </w:tcPr>
          <w:p w:rsidR="00CF360F" w:rsidRPr="00AF155C" w:rsidRDefault="00CF360F" w:rsidP="00AF155C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</w:rPr>
            </w:pPr>
            <w:r w:rsidRPr="00AF155C">
              <w:rPr>
                <w:rFonts w:ascii="Arial" w:hAnsi="Arial" w:cs="Arial"/>
              </w:rPr>
              <w:t>Please explain how you will make sure that the single SFCR submission covers the requirements of the SFCR for both the group and solo entities.</w:t>
            </w:r>
          </w:p>
        </w:tc>
      </w:tr>
      <w:tr w:rsidR="00CF360F" w:rsidRPr="00AF155C" w:rsidTr="00CF360F">
        <w:tc>
          <w:tcPr>
            <w:tcW w:w="8855" w:type="dxa"/>
          </w:tcPr>
          <w:p w:rsidR="00CF360F" w:rsidRPr="00AF155C" w:rsidRDefault="00CF360F" w:rsidP="00AF2336">
            <w:pPr>
              <w:jc w:val="both"/>
              <w:rPr>
                <w:rFonts w:ascii="Arial" w:hAnsi="Arial" w:cs="Arial"/>
              </w:rPr>
            </w:pPr>
          </w:p>
        </w:tc>
      </w:tr>
      <w:tr w:rsidR="00CF360F" w:rsidRPr="00AF155C" w:rsidTr="00CF360F">
        <w:tc>
          <w:tcPr>
            <w:tcW w:w="8855" w:type="dxa"/>
            <w:shd w:val="clear" w:color="auto" w:fill="D9D9D9" w:themeFill="background1" w:themeFillShade="D9"/>
          </w:tcPr>
          <w:p w:rsidR="00CF360F" w:rsidRPr="00AF155C" w:rsidRDefault="00CF360F" w:rsidP="00CF360F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</w:rPr>
            </w:pPr>
            <w:r w:rsidRPr="00AF155C">
              <w:rPr>
                <w:rFonts w:ascii="Arial" w:hAnsi="Arial" w:cs="Arial"/>
              </w:rPr>
              <w:t>Please confirm that the group Board has ensured that the results of each subsidiary concerned are individually identifiable in the single SFCR.</w:t>
            </w:r>
          </w:p>
        </w:tc>
      </w:tr>
      <w:tr w:rsidR="00CF360F" w:rsidRPr="00AF155C" w:rsidTr="00CF360F">
        <w:tc>
          <w:tcPr>
            <w:tcW w:w="8855" w:type="dxa"/>
          </w:tcPr>
          <w:p w:rsidR="00CF360F" w:rsidRPr="00AF155C" w:rsidRDefault="00CF360F" w:rsidP="00AF2336">
            <w:pPr>
              <w:jc w:val="both"/>
              <w:rPr>
                <w:rFonts w:ascii="Arial" w:hAnsi="Arial" w:cs="Arial"/>
              </w:rPr>
            </w:pPr>
          </w:p>
        </w:tc>
      </w:tr>
      <w:tr w:rsidR="00CF360F" w:rsidRPr="00AF155C" w:rsidTr="00CF360F">
        <w:tc>
          <w:tcPr>
            <w:tcW w:w="8855" w:type="dxa"/>
            <w:shd w:val="clear" w:color="auto" w:fill="D9D9D9" w:themeFill="background1" w:themeFillShade="D9"/>
          </w:tcPr>
          <w:p w:rsidR="00CF360F" w:rsidRPr="00AF155C" w:rsidRDefault="00CF360F" w:rsidP="00CF360F">
            <w:pPr>
              <w:numPr>
                <w:ilvl w:val="0"/>
                <w:numId w:val="5"/>
              </w:numPr>
              <w:ind w:left="426" w:hanging="426"/>
              <w:contextualSpacing/>
              <w:rPr>
                <w:rFonts w:ascii="Arial" w:hAnsi="Arial" w:cs="Arial"/>
              </w:rPr>
            </w:pPr>
            <w:r w:rsidRPr="00AF155C">
              <w:rPr>
                <w:rFonts w:ascii="Arial" w:hAnsi="Arial" w:cs="Arial"/>
              </w:rPr>
              <w:t>Please confirm that the solo board(s) have agreed to a single SFCR and ensured that the required information under Article 51</w:t>
            </w:r>
            <w:r w:rsidR="001554DB">
              <w:rPr>
                <w:rFonts w:ascii="Arial" w:hAnsi="Arial" w:cs="Arial"/>
              </w:rPr>
              <w:t xml:space="preserve"> of the Solvency II Directive</w:t>
            </w:r>
            <w:r w:rsidRPr="00AF155C">
              <w:rPr>
                <w:rFonts w:ascii="Arial" w:hAnsi="Arial" w:cs="Arial"/>
              </w:rPr>
              <w:t xml:space="preserve"> is addressed. </w:t>
            </w:r>
          </w:p>
        </w:tc>
      </w:tr>
      <w:tr w:rsidR="00AF155C" w:rsidRPr="00AF155C" w:rsidTr="00AF155C">
        <w:tc>
          <w:tcPr>
            <w:tcW w:w="8855" w:type="dxa"/>
            <w:shd w:val="clear" w:color="auto" w:fill="FFFFFF" w:themeFill="background1"/>
          </w:tcPr>
          <w:p w:rsidR="00AF155C" w:rsidRPr="00AF155C" w:rsidRDefault="00AF155C" w:rsidP="00AF155C">
            <w:pPr>
              <w:contextualSpacing/>
              <w:rPr>
                <w:rFonts w:ascii="Arial" w:hAnsi="Arial" w:cs="Arial"/>
              </w:rPr>
            </w:pPr>
          </w:p>
        </w:tc>
      </w:tr>
    </w:tbl>
    <w:p w:rsidR="006E4417" w:rsidRPr="00AF155C" w:rsidRDefault="006E4417">
      <w:pPr>
        <w:rPr>
          <w:rFonts w:ascii="Arial" w:hAnsi="Arial" w:cs="Arial"/>
        </w:rPr>
      </w:pPr>
    </w:p>
    <w:sectPr w:rsidR="006E4417" w:rsidRPr="00AF155C" w:rsidSect="00AF41D2">
      <w:headerReference w:type="default" r:id="rId10"/>
      <w:footerReference w:type="default" r:id="rId11"/>
      <w:pgSz w:w="11906" w:h="16838"/>
      <w:pgMar w:top="1440" w:right="1440" w:bottom="1440" w:left="1440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3DA" w:rsidRDefault="00B313DA" w:rsidP="00A3627D">
      <w:pPr>
        <w:spacing w:after="0" w:line="240" w:lineRule="auto"/>
      </w:pPr>
      <w:r>
        <w:separator/>
      </w:r>
    </w:p>
  </w:endnote>
  <w:endnote w:type="continuationSeparator" w:id="0">
    <w:p w:rsidR="00B313DA" w:rsidRDefault="00B313DA" w:rsidP="00A3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035381"/>
      <w:docPartObj>
        <w:docPartGallery w:val="Page Numbers (Bottom of Page)"/>
        <w:docPartUnique/>
      </w:docPartObj>
    </w:sdtPr>
    <w:sdtEndPr/>
    <w:sdtContent>
      <w:sdt>
        <w:sdtPr>
          <w:id w:val="1340888475"/>
          <w:docPartObj>
            <w:docPartGallery w:val="Page Numbers (Top of Page)"/>
            <w:docPartUnique/>
          </w:docPartObj>
        </w:sdtPr>
        <w:sdtEndPr/>
        <w:sdtContent>
          <w:p w:rsidR="00520B1A" w:rsidRDefault="00520B1A">
            <w:pPr>
              <w:pStyle w:val="Footer"/>
              <w:jc w:val="right"/>
            </w:pPr>
            <w:r w:rsidRPr="008F6C6A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C4487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8F6C6A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C4487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8F6C6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3DA" w:rsidRDefault="00B313DA" w:rsidP="00A3627D">
      <w:pPr>
        <w:spacing w:after="0" w:line="240" w:lineRule="auto"/>
      </w:pPr>
      <w:r>
        <w:separator/>
      </w:r>
    </w:p>
  </w:footnote>
  <w:footnote w:type="continuationSeparator" w:id="0">
    <w:p w:rsidR="00B313DA" w:rsidRDefault="00B313DA" w:rsidP="00A3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EEC" w:rsidRDefault="00476EEC" w:rsidP="00F12519">
    <w:pPr>
      <w:pStyle w:val="Header"/>
      <w:ind w:hanging="284"/>
    </w:pPr>
    <w:r>
      <w:rPr>
        <w:noProof/>
        <w:lang w:eastAsia="en-GB"/>
      </w:rPr>
      <w:drawing>
        <wp:inline distT="0" distB="0" distL="0" distR="0" wp14:anchorId="79204840" wp14:editId="6680B14A">
          <wp:extent cx="2432685" cy="469265"/>
          <wp:effectExtent l="0" t="0" r="5715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EED"/>
    <w:multiLevelType w:val="hybridMultilevel"/>
    <w:tmpl w:val="EF9E025A"/>
    <w:lvl w:ilvl="0" w:tplc="C7ACB6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E58DD"/>
    <w:multiLevelType w:val="hybridMultilevel"/>
    <w:tmpl w:val="9098B6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40E72"/>
    <w:multiLevelType w:val="hybridMultilevel"/>
    <w:tmpl w:val="41526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4470"/>
    <w:multiLevelType w:val="hybridMultilevel"/>
    <w:tmpl w:val="0BBC8D2E"/>
    <w:lvl w:ilvl="0" w:tplc="0DC818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94DF1"/>
    <w:multiLevelType w:val="hybridMultilevel"/>
    <w:tmpl w:val="0B645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673EB"/>
    <w:multiLevelType w:val="hybridMultilevel"/>
    <w:tmpl w:val="FBD26B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B6B7F"/>
    <w:multiLevelType w:val="hybridMultilevel"/>
    <w:tmpl w:val="C71CF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D0ACB"/>
    <w:multiLevelType w:val="hybridMultilevel"/>
    <w:tmpl w:val="DFA8E8C8"/>
    <w:lvl w:ilvl="0" w:tplc="C09CC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F40CB"/>
    <w:multiLevelType w:val="hybridMultilevel"/>
    <w:tmpl w:val="3782D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6"/>
    <w:rsid w:val="00017895"/>
    <w:rsid w:val="000518A8"/>
    <w:rsid w:val="001065BD"/>
    <w:rsid w:val="0012050F"/>
    <w:rsid w:val="00125396"/>
    <w:rsid w:val="00132D99"/>
    <w:rsid w:val="001554DB"/>
    <w:rsid w:val="00161D4C"/>
    <w:rsid w:val="001707BA"/>
    <w:rsid w:val="00275891"/>
    <w:rsid w:val="00290B79"/>
    <w:rsid w:val="002915C7"/>
    <w:rsid w:val="002A78A3"/>
    <w:rsid w:val="002C4A2F"/>
    <w:rsid w:val="002D6C79"/>
    <w:rsid w:val="002F1E70"/>
    <w:rsid w:val="00337B74"/>
    <w:rsid w:val="00363D98"/>
    <w:rsid w:val="00374486"/>
    <w:rsid w:val="00395533"/>
    <w:rsid w:val="003D57AD"/>
    <w:rsid w:val="004273D3"/>
    <w:rsid w:val="00432BD6"/>
    <w:rsid w:val="00441B18"/>
    <w:rsid w:val="00476EEC"/>
    <w:rsid w:val="0048285A"/>
    <w:rsid w:val="004A13C5"/>
    <w:rsid w:val="004C5142"/>
    <w:rsid w:val="00520B1A"/>
    <w:rsid w:val="005A1AA5"/>
    <w:rsid w:val="005A4286"/>
    <w:rsid w:val="005B2DB1"/>
    <w:rsid w:val="005D0E95"/>
    <w:rsid w:val="005E6B86"/>
    <w:rsid w:val="005F3AE4"/>
    <w:rsid w:val="00605FE8"/>
    <w:rsid w:val="00644CD3"/>
    <w:rsid w:val="00647D5E"/>
    <w:rsid w:val="00670B57"/>
    <w:rsid w:val="006751D1"/>
    <w:rsid w:val="006836BD"/>
    <w:rsid w:val="006B1F36"/>
    <w:rsid w:val="006C1936"/>
    <w:rsid w:val="006E4417"/>
    <w:rsid w:val="007107E1"/>
    <w:rsid w:val="00781874"/>
    <w:rsid w:val="007859D4"/>
    <w:rsid w:val="007A182C"/>
    <w:rsid w:val="007B4983"/>
    <w:rsid w:val="007B73CF"/>
    <w:rsid w:val="007C4A75"/>
    <w:rsid w:val="00833C51"/>
    <w:rsid w:val="00855A2C"/>
    <w:rsid w:val="008C5BE8"/>
    <w:rsid w:val="008F6C6A"/>
    <w:rsid w:val="00920F5E"/>
    <w:rsid w:val="009309EA"/>
    <w:rsid w:val="009479CA"/>
    <w:rsid w:val="0097282F"/>
    <w:rsid w:val="00A05916"/>
    <w:rsid w:val="00A3627D"/>
    <w:rsid w:val="00A544FF"/>
    <w:rsid w:val="00A721C0"/>
    <w:rsid w:val="00A8311F"/>
    <w:rsid w:val="00A90E59"/>
    <w:rsid w:val="00AF155C"/>
    <w:rsid w:val="00AF41D2"/>
    <w:rsid w:val="00B31040"/>
    <w:rsid w:val="00B313DA"/>
    <w:rsid w:val="00B33C1F"/>
    <w:rsid w:val="00B57A75"/>
    <w:rsid w:val="00B7451C"/>
    <w:rsid w:val="00B83234"/>
    <w:rsid w:val="00B9159D"/>
    <w:rsid w:val="00BB2F7F"/>
    <w:rsid w:val="00BC1867"/>
    <w:rsid w:val="00BD36EA"/>
    <w:rsid w:val="00C00C84"/>
    <w:rsid w:val="00C328E6"/>
    <w:rsid w:val="00C44874"/>
    <w:rsid w:val="00C659F8"/>
    <w:rsid w:val="00C93483"/>
    <w:rsid w:val="00CC372A"/>
    <w:rsid w:val="00CE226C"/>
    <w:rsid w:val="00CF360F"/>
    <w:rsid w:val="00D0172D"/>
    <w:rsid w:val="00D42ABE"/>
    <w:rsid w:val="00D771C2"/>
    <w:rsid w:val="00DB6E6A"/>
    <w:rsid w:val="00DD5631"/>
    <w:rsid w:val="00DF709E"/>
    <w:rsid w:val="00E13C22"/>
    <w:rsid w:val="00E2036E"/>
    <w:rsid w:val="00E44527"/>
    <w:rsid w:val="00E475A5"/>
    <w:rsid w:val="00E857B1"/>
    <w:rsid w:val="00EF7134"/>
    <w:rsid w:val="00F12519"/>
    <w:rsid w:val="00F80A83"/>
    <w:rsid w:val="00FD109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13C2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2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1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13C2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2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1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A-waivers@bankofengland.co.uk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442493410834AB5B972D151A2D9E4" ma:contentTypeVersion="462" ma:contentTypeDescription="Create a new document." ma:contentTypeScope="" ma:versionID="20c9908aea6308964edab0d42e6d8083">
  <xsd:schema xmlns:xsd="http://www.w3.org/2001/XMLSchema" xmlns:xs="http://www.w3.org/2001/XMLSchema" xmlns:p="http://schemas.microsoft.com/office/2006/metadata/properties" xmlns:ns1="http://schemas.microsoft.com/sharepoint/v3" xmlns:ns2="75afd6ce-d5e2-450c-a4ec-ac3847b33ee0" xmlns:ns3="a5edd0e9-353e-4089-bcbc-d9218926e91f" xmlns:ns4="A5EDD0E9-353E-4089-BCBC-D9218926E91F" xmlns:ns5="http://schemas.microsoft.com/sharepoint/v3/fields" targetNamespace="http://schemas.microsoft.com/office/2006/metadata/properties" ma:root="true" ma:fieldsID="93b0a7837ecb2a35b9f96dc09050cb64" ns1:_="" ns2:_="" ns3:_="" ns4:_="" ns5:_="">
    <xsd:import namespace="http://schemas.microsoft.com/sharepoint/v3"/>
    <xsd:import namespace="75afd6ce-d5e2-450c-a4ec-ac3847b33ee0"/>
    <xsd:import namespace="a5edd0e9-353e-4089-bcbc-d9218926e91f"/>
    <xsd:import namespace="A5EDD0E9-353E-4089-BCBC-D9218926E91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Date" minOccurs="0"/>
                <xsd:element ref="ns1:OwnerGroup"/>
                <xsd:element ref="ns2:BOETaxonomyFieldTaxHTField0" minOccurs="0"/>
                <xsd:element ref="ns3:TaxCatchAll" minOccurs="0"/>
                <xsd:element ref="ns4:TaxCatchAllLabel" minOccurs="0"/>
                <xsd:element ref="ns5:BOEKeywords" minOccurs="0"/>
                <xsd:element ref="ns1:BOESummaryText" minOccurs="0"/>
                <xsd:element ref="ns1:IncludeContentsInIndex" minOccurs="0"/>
                <xsd:element ref="ns1:BOEApprovalStatus" minOccurs="0"/>
                <xsd:element ref="ns2:BOETwoLevelApprovalUnapprovedUrls" minOccurs="0"/>
                <xsd:element ref="ns1:ApprovedBy" minOccurs="0"/>
                <xsd:element ref="ns1:PublishedBy" minOccurs="0"/>
                <xsd:element ref="ns1:ArchivalDate" minOccurs="0"/>
                <xsd:element ref="ns1:ArchivalChoice"/>
                <xsd:element ref="ns1:BOEReplicationFlag" minOccurs="0"/>
                <xsd:element ref="ns1:BOEReplicateBackwardLinksOnDeployFlag" minOccurs="0"/>
                <xsd:element ref="ns1:ContentReview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PublishDate" ma:index="10" nillable="true" ma:displayName="Publication Date" ma:format="DateOnly" ma:internalName="PublishDate">
      <xsd:simpleType>
        <xsd:restriction base="dms:DateTime"/>
      </xsd:simpleType>
    </xsd:element>
    <xsd:element name="OwnerGroup" ma:index="11" ma:displayName="Owner Group" ma:list="UserInfo" ma:SearchPeopleOnly="false" ma:internalName="OwnerGroup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ESummaryText" ma:index="17" nillable="true" ma:displayName="Summary Text" ma:internalName="BOESummaryText" ma:readOnly="false">
      <xsd:simpleType>
        <xsd:restriction base="dms:Note">
          <xsd:maxLength value="255"/>
        </xsd:restriction>
      </xsd:simpleType>
    </xsd:element>
    <xsd:element name="IncludeContentsInIndex" ma:index="18" nillable="true" ma:displayName="Make Content Searchable" ma:default="1" ma:description="" ma:internalName="IncludeContentsInIndex">
      <xsd:simpleType>
        <xsd:restriction base="dms:Boolean"/>
      </xsd:simpleType>
    </xsd:element>
    <xsd:element name="BOEApprovalStatus" ma:index="19" nillable="true" ma:displayName="2 Stage Approval Status" ma:default="Pending Approval" ma:internalName="BOEApprovalStatus">
      <xsd:simpleType>
        <xsd:restriction base="dms:Choice">
          <xsd:enumeration value="Pending Approval"/>
          <xsd:enumeration value="Level 1 Approved"/>
          <xsd:enumeration value="Level 1 Rejected"/>
          <xsd:enumeration value="Level 2 Approved"/>
          <xsd:enumeration value="Level 2 Rejected"/>
        </xsd:restriction>
      </xsd:simpleType>
    </xsd:element>
    <xsd:element name="ApprovedBy" ma:index="21" nillable="true" ma:displayName="Approved By" ma:list="UserInfo" ma:internalName="Appro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By" ma:index="22" nillable="true" ma:displayName="Published By" ma:list="UserInfo" ma:internalName="Publish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alDate" ma:index="23" nillable="true" ma:displayName="Archival Date" ma:format="DateOnly" ma:internalName="ArchivalDate" ma:readOnly="false">
      <xsd:simpleType>
        <xsd:restriction base="dms:DateTime"/>
      </xsd:simpleType>
    </xsd:element>
    <xsd:element name="ArchivalChoice" ma:index="24" ma:displayName="Archive In" ma:default="3 Years" ma:internalName="ArchivalChoice" ma:readOnly="false">
      <xsd:simpleType>
        <xsd:restriction base="dms:Choice">
          <xsd:enumeration value="3 Months"/>
          <xsd:enumeration value="6 Months"/>
          <xsd:enumeration value="1 Year"/>
          <xsd:enumeration value="2 Years"/>
          <xsd:enumeration value="3 Years"/>
          <xsd:enumeration value="4 Years"/>
          <xsd:enumeration value="5 Years"/>
        </xsd:restriction>
      </xsd:simpleType>
    </xsd:element>
    <xsd:element name="BOEReplicationFlag" ma:index="25" nillable="true" ma:displayName="Replicated" ma:default="1" ma:internalName="Replicated">
      <xsd:simpleType>
        <xsd:restriction base="dms:Text"/>
      </xsd:simpleType>
    </xsd:element>
    <xsd:element name="BOEReplicateBackwardLinksOnDeployFlag" ma:index="26" nillable="true" ma:displayName="Replicate Backward Links On Deploy" ma:default="0" ma:internalName="Replicate_x0020_Backward_x0020_Links_x0020_On_x0020_Deploy" ma:readOnly="false">
      <xsd:simpleType>
        <xsd:restriction base="dms:Boolean"/>
      </xsd:simpleType>
    </xsd:element>
    <xsd:element name="ContentReviewDate" ma:index="27" ma:displayName="Content Review Date" ma:internalName="ContentReview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fd6ce-d5e2-450c-a4ec-ac3847b33ee0" elementFormDefault="qualified">
    <xsd:import namespace="http://schemas.microsoft.com/office/2006/documentManagement/types"/>
    <xsd:import namespace="http://schemas.microsoft.com/office/infopath/2007/PartnerControls"/>
    <xsd:element name="BOETaxonomyFieldTaxHTField0" ma:index="13" ma:taxonomy="true" ma:internalName="BOETaxonomyFieldTaxHTField0" ma:taxonomyFieldName="BOETaxonomyField" ma:displayName="Taxonomy" ma:default="" ma:fieldId="{8d0458c1-0fb7-4981-bee1-52d0df01895c}" ma:taxonomyMulti="true" ma:sspId="8879b917-e261-45cf-a9d8-7a379b5709b9" ma:termSetId="f722e845-53bc-4304-a021-71ff689743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ETwoLevelApprovalUnapprovedUrls" ma:index="20" nillable="true" ma:displayName="Unapproved Urls" ma:internalName="BOETwoLevelApprovalUnapprovedUr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24e5fe3a-2481-4c14-85cb-2566c1d518d1}" ma:internalName="TaxCatchAll" ma:showField="CatchAllData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24e5fe3a-2481-4c14-85cb-2566c1d518d1}" ma:internalName="TaxCatchAllLabel" ma:readOnly="true" ma:showField="CatchAllDataLabel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BOEKeywords" ma:index="16" nillable="true" ma:displayName="Keywords" ma:hidden="true" ma:internalName="BOEKeyword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ETwoLevelApprovalUnapprovedUrls xmlns="75afd6ce-d5e2-450c-a4ec-ac3847b33ee0" xsi:nil="true"/>
    <BOEReplicationFlag xmlns="http://schemas.microsoft.com/sharepoint/v3">0</BOEReplicationFlag>
    <BOEReplicateBackwardLinksOnDeployFlag xmlns="http://schemas.microsoft.com/sharepoint/v3">false</BOEReplicateBackwardLinksOnDeployFlag>
    <PublishDate xmlns="http://schemas.microsoft.com/sharepoint/v3" xsi:nil="true"/>
    <BOETaxonomyFieldTaxHTField0 xmlns="75afd6ce-d5e2-450c-a4ec-ac3847b33ee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PRA</TermName>
          <TermId xmlns="http://schemas.microsoft.com/office/infopath/2007/PartnerControls">3ace8b48-457a-4b41-98f4-9f2cd1965516</TermId>
        </TermInfo>
      </Terms>
    </BOETaxonomyFieldTaxHTField0>
    <PublishingExpirationDate xmlns="http://schemas.microsoft.com/sharepoint/v3" xsi:nil="true"/>
    <IncludeContentsInIndex xmlns="http://schemas.microsoft.com/sharepoint/v3">true</IncludeContentsInIndex>
    <PublishingStartDate xmlns="http://schemas.microsoft.com/sharepoint/v3" xsi:nil="true"/>
    <BOEKeywords xmlns="http://schemas.microsoft.com/sharepoint/v3/fields" xsi:nil="true"/>
    <OwnerGroup xmlns="http://schemas.microsoft.com/sharepoint/v3">
      <UserInfo>
        <DisplayName/>
        <AccountId>799</AccountId>
        <AccountType/>
      </UserInfo>
    </OwnerGroup>
    <BOEApprovalStatus xmlns="http://schemas.microsoft.com/sharepoint/v3">Level 2 Approved</BOEApprovalStatus>
    <BOESummaryText xmlns="http://schemas.microsoft.com/sharepoint/v3" xsi:nil="true"/>
    <ArchivalChoice xmlns="http://schemas.microsoft.com/sharepoint/v3">5 Years</ArchivalChoice>
    <ArchivalDate xmlns="http://schemas.microsoft.com/sharepoint/v3">2020-03-17T16:01:15+00:00</ArchivalDate>
    <ApprovedBy xmlns="http://schemas.microsoft.com/sharepoint/v3">
      <UserInfo>
        <DisplayName>Webster, Tom</DisplayName>
        <AccountId>954</AccountId>
        <AccountType/>
      </UserInfo>
    </ApprovedBy>
    <PublishedBy xmlns="http://schemas.microsoft.com/sharepoint/v3">
      <UserInfo>
        <DisplayName>Wells, Lauren</DisplayName>
        <AccountId>420</AccountId>
        <AccountType/>
      </UserInfo>
    </PublishedBy>
    <TaxCatchAll xmlns="a5edd0e9-353e-4089-bcbc-d9218926e91f">
      <Value>1155</Value>
    </TaxCatchAll>
    <ContentReviewDate xmlns="http://schemas.microsoft.com/sharepoint/v3"/>
  </documentManagement>
</p:properties>
</file>

<file path=customXml/itemProps1.xml><?xml version="1.0" encoding="utf-8"?>
<ds:datastoreItem xmlns:ds="http://schemas.openxmlformats.org/officeDocument/2006/customXml" ds:itemID="{2D4A66C1-C1B8-4837-A55B-FBDF88775DD7}"/>
</file>

<file path=customXml/itemProps2.xml><?xml version="1.0" encoding="utf-8"?>
<ds:datastoreItem xmlns:ds="http://schemas.openxmlformats.org/officeDocument/2006/customXml" ds:itemID="{BF4CB713-2495-4DDA-8F6E-CF8242C8EF07}"/>
</file>

<file path=customXml/itemProps3.xml><?xml version="1.0" encoding="utf-8"?>
<ds:datastoreItem xmlns:ds="http://schemas.openxmlformats.org/officeDocument/2006/customXml" ds:itemID="{ECEEA750-9EAC-4D72-8F43-8DA54352C50A}"/>
</file>

<file path=customXml/itemProps4.xml><?xml version="1.0" encoding="utf-8"?>
<ds:datastoreItem xmlns:ds="http://schemas.openxmlformats.org/officeDocument/2006/customXml" ds:itemID="{A40DD14C-6D69-488A-AF2B-121154A126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 applications for single solvency and financial condition report</dc:title>
  <dc:subject/>
  <dc:creator>Venables, Terrence</dc:creator>
  <cp:keywords/>
  <dc:description/>
  <cp:lastModifiedBy>Philbey, Nicola</cp:lastModifiedBy>
  <cp:revision>8</cp:revision>
  <cp:lastPrinted>2015-03-17T12:01:00Z</cp:lastPrinted>
  <dcterms:created xsi:type="dcterms:W3CDTF">2015-01-30T08:36:00Z</dcterms:created>
  <dcterms:modified xsi:type="dcterms:W3CDTF">2015-03-17T10:40:00Z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PRA 2734095</vt:lpwstr>
  </property>
  <property fmtid="{D5CDD505-2E9C-101B-9397-08002B2CF9AE}" pid="3" name="DocVer">
    <vt:lpwstr>PRA 2734095v1</vt:lpwstr>
  </property>
  <property fmtid="{D5CDD505-2E9C-101B-9397-08002B2CF9AE}" pid="4" name="ContentTypeId">
    <vt:lpwstr>0x01010071F442493410834AB5B972D151A2D9E4</vt:lpwstr>
  </property>
  <property fmtid="{D5CDD505-2E9C-101B-9397-08002B2CF9AE}" pid="5" name="BOETaxonomyField">
    <vt:lpwstr>1155;#PRA|3ace8b48-457a-4b41-98f4-9f2cd1965516</vt:lpwstr>
  </property>
  <property fmtid="{D5CDD505-2E9C-101B-9397-08002B2CF9AE}" pid="6" name="Order">
    <vt:r8>797000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PublicationReviewalChoice">
    <vt:lpwstr>12 Months</vt:lpwstr>
  </property>
  <property fmtid="{D5CDD505-2E9C-101B-9397-08002B2CF9AE}" pid="12" name="ReviewalDate">
    <vt:filetime>2016-03-17T16:01:15Z</vt:filetime>
  </property>
</Properties>
</file>