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9D4" w:rsidRPr="007B1A39" w:rsidRDefault="0010462C" w:rsidP="00B92FA8">
      <w:pPr>
        <w:ind w:left="-28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3D42E7">
        <w:rPr>
          <w:rFonts w:ascii="Arial" w:hAnsi="Arial" w:cs="Arial"/>
          <w:b/>
          <w:bCs/>
          <w:sz w:val="28"/>
          <w:szCs w:val="28"/>
        </w:rPr>
        <w:t>Supplementary information for applications for non-disclosure of information in the s</w:t>
      </w:r>
      <w:r w:rsidR="003F4906">
        <w:rPr>
          <w:rFonts w:ascii="Arial" w:hAnsi="Arial" w:cs="Arial"/>
          <w:b/>
          <w:bCs/>
          <w:sz w:val="28"/>
          <w:szCs w:val="28"/>
        </w:rPr>
        <w:t>olvency and financial condition r</w:t>
      </w:r>
      <w:r w:rsidR="00125396" w:rsidRPr="00125396">
        <w:rPr>
          <w:rFonts w:ascii="Arial" w:hAnsi="Arial" w:cs="Arial"/>
          <w:b/>
          <w:bCs/>
          <w:sz w:val="28"/>
          <w:szCs w:val="28"/>
        </w:rPr>
        <w:t>eport</w:t>
      </w:r>
      <w:r w:rsidR="00125396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7859D4" w:rsidRPr="00821DEB" w:rsidRDefault="007859D4" w:rsidP="00B92FA8">
      <w:pPr>
        <w:ind w:left="-284"/>
        <w:rPr>
          <w:rFonts w:ascii="Arial" w:hAnsi="Arial" w:cs="Arial"/>
          <w:sz w:val="20"/>
          <w:szCs w:val="20"/>
        </w:rPr>
      </w:pP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108"/>
        <w:gridCol w:w="2835"/>
        <w:gridCol w:w="3402"/>
        <w:gridCol w:w="2410"/>
      </w:tblGrid>
      <w:tr w:rsidR="003D42E7" w:rsidRPr="00056918" w:rsidTr="00BF7A97">
        <w:trPr>
          <w:gridBefore w:val="1"/>
          <w:wBefore w:w="108" w:type="dxa"/>
          <w:cantSplit/>
          <w:trHeight w:val="576"/>
        </w:trPr>
        <w:tc>
          <w:tcPr>
            <w:tcW w:w="2835" w:type="dxa"/>
            <w:tcBorders>
              <w:top w:val="single" w:sz="48" w:space="0" w:color="FFFFFF"/>
              <w:bottom w:val="single" w:sz="48" w:space="0" w:color="FFFFFF"/>
            </w:tcBorders>
            <w:vAlign w:val="center"/>
          </w:tcPr>
          <w:p w:rsidR="003D42E7" w:rsidRPr="00056918" w:rsidRDefault="003D42E7" w:rsidP="00BF7A97">
            <w:pPr>
              <w:spacing w:after="120" w:line="240" w:lineRule="auto"/>
              <w:rPr>
                <w:rFonts w:ascii="Arial" w:eastAsia="Times New Roman" w:hAnsi="Arial" w:cs="Arial"/>
                <w:snapToGrid w:val="0"/>
                <w:color w:val="000000"/>
              </w:rPr>
            </w:pPr>
          </w:p>
          <w:p w:rsidR="003D42E7" w:rsidRPr="00056918" w:rsidRDefault="003D42E7" w:rsidP="00BF7A97">
            <w:pPr>
              <w:spacing w:after="120" w:line="240" w:lineRule="auto"/>
              <w:rPr>
                <w:rFonts w:ascii="Arial" w:eastAsia="Times New Roman" w:hAnsi="Arial" w:cs="Arial"/>
                <w:snapToGrid w:val="0"/>
                <w:color w:val="000000"/>
              </w:rPr>
            </w:pPr>
            <w:r w:rsidRPr="00056918">
              <w:rPr>
                <w:rFonts w:ascii="Arial" w:eastAsia="Times New Roman" w:hAnsi="Arial" w:cs="Arial"/>
                <w:snapToGrid w:val="0"/>
                <w:color w:val="000000"/>
              </w:rPr>
              <w:t>Firm name</w:t>
            </w:r>
          </w:p>
        </w:tc>
        <w:tc>
          <w:tcPr>
            <w:tcW w:w="5812" w:type="dxa"/>
            <w:gridSpan w:val="2"/>
            <w:tcBorders>
              <w:top w:val="single" w:sz="48" w:space="0" w:color="FFFFFF"/>
              <w:bottom w:val="single" w:sz="48" w:space="0" w:color="FFFFFF"/>
            </w:tcBorders>
            <w:shd w:val="pct10" w:color="000000" w:fill="FFFFFF"/>
            <w:vAlign w:val="center"/>
          </w:tcPr>
          <w:p w:rsidR="003D42E7" w:rsidRPr="00056918" w:rsidRDefault="003D42E7" w:rsidP="00BF7A97">
            <w:pPr>
              <w:spacing w:after="120" w:line="240" w:lineRule="auto"/>
              <w:rPr>
                <w:rFonts w:ascii="Arial" w:eastAsia="Times New Roman" w:hAnsi="Arial" w:cs="Arial"/>
                <w:b/>
                <w:snapToGrid w:val="0"/>
                <w:color w:val="000000"/>
              </w:rPr>
            </w:pPr>
            <w:r w:rsidRPr="00056918">
              <w:rPr>
                <w:rFonts w:ascii="Arial" w:eastAsia="Times New Roman" w:hAnsi="Arial" w:cs="Arial"/>
                <w:b/>
                <w:noProof/>
                <w:snapToGrid w:val="0"/>
                <w:color w:val="000000"/>
              </w:rPr>
              <w:t xml:space="preserve">     </w:t>
            </w:r>
          </w:p>
        </w:tc>
      </w:tr>
      <w:tr w:rsidR="003D42E7" w:rsidRPr="00056918" w:rsidTr="00BF7A97">
        <w:trPr>
          <w:gridBefore w:val="1"/>
          <w:wBefore w:w="108" w:type="dxa"/>
          <w:cantSplit/>
          <w:trHeight w:val="576"/>
        </w:trPr>
        <w:tc>
          <w:tcPr>
            <w:tcW w:w="2835" w:type="dxa"/>
            <w:tcBorders>
              <w:top w:val="single" w:sz="48" w:space="0" w:color="FFFFFF"/>
              <w:bottom w:val="single" w:sz="48" w:space="0" w:color="FFFFFF"/>
            </w:tcBorders>
            <w:vAlign w:val="center"/>
          </w:tcPr>
          <w:p w:rsidR="003D42E7" w:rsidRPr="00056918" w:rsidRDefault="003D42E7" w:rsidP="00BF7A97">
            <w:pPr>
              <w:spacing w:after="120" w:line="240" w:lineRule="auto"/>
              <w:rPr>
                <w:rFonts w:ascii="Arial" w:eastAsia="Times New Roman" w:hAnsi="Arial" w:cs="Arial"/>
                <w:snapToGrid w:val="0"/>
              </w:rPr>
            </w:pPr>
            <w:r w:rsidRPr="00056918">
              <w:rPr>
                <w:rFonts w:ascii="Arial" w:eastAsia="Times New Roman" w:hAnsi="Arial" w:cs="Arial"/>
                <w:snapToGrid w:val="0"/>
              </w:rPr>
              <w:t>Firm reference number</w:t>
            </w:r>
          </w:p>
        </w:tc>
        <w:tc>
          <w:tcPr>
            <w:tcW w:w="5812" w:type="dxa"/>
            <w:gridSpan w:val="2"/>
            <w:tcBorders>
              <w:top w:val="single" w:sz="48" w:space="0" w:color="FFFFFF"/>
              <w:bottom w:val="single" w:sz="48" w:space="0" w:color="FFFFFF"/>
            </w:tcBorders>
            <w:shd w:val="pct10" w:color="000000" w:fill="FFFFFF"/>
            <w:vAlign w:val="center"/>
          </w:tcPr>
          <w:p w:rsidR="003D42E7" w:rsidRPr="00056918" w:rsidRDefault="003D42E7" w:rsidP="00BF7A97">
            <w:pPr>
              <w:spacing w:after="120" w:line="240" w:lineRule="auto"/>
              <w:rPr>
                <w:rFonts w:ascii="Arial" w:eastAsia="Times New Roman" w:hAnsi="Arial" w:cs="Arial"/>
                <w:snapToGrid w:val="0"/>
                <w:color w:val="000000"/>
              </w:rPr>
            </w:pPr>
            <w:r w:rsidRPr="00056918">
              <w:rPr>
                <w:rFonts w:ascii="Arial" w:eastAsia="Times New Roman" w:hAnsi="Arial" w:cs="Arial"/>
                <w:noProof/>
                <w:snapToGrid w:val="0"/>
                <w:color w:val="000000"/>
              </w:rPr>
              <w:t xml:space="preserve">     </w:t>
            </w:r>
          </w:p>
        </w:tc>
      </w:tr>
      <w:tr w:rsidR="003D42E7" w:rsidRPr="00056918" w:rsidTr="00BF7A97">
        <w:trPr>
          <w:gridBefore w:val="1"/>
          <w:wBefore w:w="108" w:type="dxa"/>
          <w:cantSplit/>
          <w:trHeight w:val="576"/>
        </w:trPr>
        <w:tc>
          <w:tcPr>
            <w:tcW w:w="2835" w:type="dxa"/>
            <w:tcBorders>
              <w:top w:val="single" w:sz="48" w:space="0" w:color="FFFFFF"/>
              <w:bottom w:val="single" w:sz="48" w:space="0" w:color="FFFFFF"/>
            </w:tcBorders>
            <w:vAlign w:val="center"/>
          </w:tcPr>
          <w:p w:rsidR="003D42E7" w:rsidRPr="00056918" w:rsidRDefault="003D42E7" w:rsidP="00BF7A97">
            <w:pPr>
              <w:spacing w:after="120" w:line="240" w:lineRule="auto"/>
              <w:rPr>
                <w:rFonts w:ascii="Arial" w:eastAsia="Times New Roman" w:hAnsi="Arial" w:cs="Arial"/>
                <w:snapToGrid w:val="0"/>
              </w:rPr>
            </w:pPr>
            <w:r w:rsidRPr="00056918">
              <w:rPr>
                <w:rFonts w:ascii="Arial" w:eastAsia="Times New Roman" w:hAnsi="Arial" w:cs="Arial"/>
                <w:snapToGrid w:val="0"/>
              </w:rPr>
              <w:t>Date of application</w:t>
            </w:r>
          </w:p>
        </w:tc>
        <w:tc>
          <w:tcPr>
            <w:tcW w:w="5812" w:type="dxa"/>
            <w:gridSpan w:val="2"/>
            <w:tcBorders>
              <w:top w:val="single" w:sz="48" w:space="0" w:color="FFFFFF"/>
              <w:bottom w:val="single" w:sz="48" w:space="0" w:color="FFFFFF"/>
            </w:tcBorders>
            <w:shd w:val="pct10" w:color="000000" w:fill="FFFFFF"/>
            <w:vAlign w:val="center"/>
          </w:tcPr>
          <w:p w:rsidR="003D42E7" w:rsidRPr="00056918" w:rsidRDefault="003D42E7" w:rsidP="00BF7A97">
            <w:pPr>
              <w:spacing w:after="120" w:line="240" w:lineRule="auto"/>
              <w:rPr>
                <w:rFonts w:ascii="Arial" w:eastAsia="Times New Roman" w:hAnsi="Arial" w:cs="Arial"/>
                <w:noProof/>
                <w:snapToGrid w:val="0"/>
                <w:color w:val="000000"/>
              </w:rPr>
            </w:pPr>
          </w:p>
        </w:tc>
      </w:tr>
      <w:tr w:rsidR="003D42E7" w:rsidRPr="00056918" w:rsidTr="00BF7A97">
        <w:trPr>
          <w:gridBefore w:val="1"/>
          <w:wBefore w:w="108" w:type="dxa"/>
          <w:cantSplit/>
          <w:trHeight w:val="576"/>
        </w:trPr>
        <w:tc>
          <w:tcPr>
            <w:tcW w:w="2835" w:type="dxa"/>
            <w:tcBorders>
              <w:top w:val="single" w:sz="48" w:space="0" w:color="FFFFFF"/>
              <w:bottom w:val="single" w:sz="48" w:space="0" w:color="FFFFFF"/>
            </w:tcBorders>
          </w:tcPr>
          <w:p w:rsidR="003D42E7" w:rsidRPr="00056918" w:rsidRDefault="003D42E7" w:rsidP="00BF7A97">
            <w:pPr>
              <w:spacing w:after="120" w:line="240" w:lineRule="auto"/>
              <w:rPr>
                <w:rFonts w:ascii="Arial" w:eastAsia="Times New Roman" w:hAnsi="Arial" w:cs="Arial"/>
                <w:snapToGrid w:val="0"/>
                <w:color w:val="000000"/>
              </w:rPr>
            </w:pPr>
            <w:r w:rsidRPr="00056918">
              <w:rPr>
                <w:rFonts w:ascii="Arial" w:eastAsia="Times New Roman" w:hAnsi="Arial" w:cs="Arial"/>
                <w:snapToGrid w:val="0"/>
                <w:color w:val="000000"/>
              </w:rPr>
              <w:t>Address</w:t>
            </w:r>
          </w:p>
        </w:tc>
        <w:tc>
          <w:tcPr>
            <w:tcW w:w="5812" w:type="dxa"/>
            <w:gridSpan w:val="2"/>
            <w:tcBorders>
              <w:top w:val="single" w:sz="48" w:space="0" w:color="FFFFFF"/>
              <w:bottom w:val="single" w:sz="48" w:space="0" w:color="FFFFFF"/>
            </w:tcBorders>
            <w:shd w:val="pct10" w:color="000000" w:fill="FFFFFF"/>
            <w:vAlign w:val="center"/>
          </w:tcPr>
          <w:p w:rsidR="003D42E7" w:rsidRPr="00056918" w:rsidRDefault="003D42E7" w:rsidP="00BF7A97">
            <w:pPr>
              <w:spacing w:after="120" w:line="240" w:lineRule="atLeast"/>
              <w:rPr>
                <w:rFonts w:ascii="Arial" w:eastAsia="Times New Roman" w:hAnsi="Arial" w:cs="Arial"/>
                <w:snapToGrid w:val="0"/>
                <w:color w:val="000000"/>
              </w:rPr>
            </w:pPr>
            <w:r w:rsidRPr="00056918">
              <w:rPr>
                <w:rFonts w:ascii="Arial" w:eastAsia="Times New Roman" w:hAnsi="Arial" w:cs="Arial"/>
                <w:noProof/>
                <w:snapToGrid w:val="0"/>
                <w:color w:val="000000"/>
              </w:rPr>
              <w:t xml:space="preserve">     </w:t>
            </w:r>
          </w:p>
          <w:p w:rsidR="003D42E7" w:rsidRPr="00056918" w:rsidRDefault="003D42E7" w:rsidP="00BF7A97">
            <w:pPr>
              <w:spacing w:after="120" w:line="240" w:lineRule="atLeast"/>
              <w:rPr>
                <w:rFonts w:ascii="Arial" w:eastAsia="Times New Roman" w:hAnsi="Arial" w:cs="Arial"/>
                <w:snapToGrid w:val="0"/>
                <w:color w:val="000000"/>
              </w:rPr>
            </w:pPr>
          </w:p>
          <w:p w:rsidR="003D42E7" w:rsidRPr="00056918" w:rsidRDefault="003D42E7" w:rsidP="00BF7A97">
            <w:pPr>
              <w:spacing w:after="120" w:line="240" w:lineRule="atLeast"/>
              <w:rPr>
                <w:rFonts w:ascii="Arial" w:eastAsia="Times New Roman" w:hAnsi="Arial" w:cs="Arial"/>
                <w:snapToGrid w:val="0"/>
                <w:color w:val="000000"/>
              </w:rPr>
            </w:pPr>
          </w:p>
        </w:tc>
      </w:tr>
      <w:tr w:rsidR="003D42E7" w:rsidRPr="00056918" w:rsidTr="00BF7A97">
        <w:tblPrEx>
          <w:tblLook w:val="01E0" w:firstRow="1" w:lastRow="1" w:firstColumn="1" w:lastColumn="1" w:noHBand="0" w:noVBand="0"/>
        </w:tblPrEx>
        <w:tc>
          <w:tcPr>
            <w:tcW w:w="6345" w:type="dxa"/>
            <w:gridSpan w:val="3"/>
          </w:tcPr>
          <w:p w:rsidR="003D42E7" w:rsidRPr="00056918" w:rsidRDefault="003D42E7" w:rsidP="00BF7A97">
            <w:pPr>
              <w:pStyle w:val="FormCode"/>
              <w:spacing w:before="0" w:after="0"/>
              <w:jc w:val="right"/>
              <w:rPr>
                <w:rFonts w:cs="Arial"/>
                <w:sz w:val="22"/>
                <w:szCs w:val="22"/>
              </w:rPr>
            </w:pPr>
            <w:r w:rsidRPr="00056918">
              <w:rPr>
                <w:rFonts w:cs="Arial"/>
                <w:sz w:val="22"/>
                <w:szCs w:val="22"/>
              </w:rPr>
              <w:t>Application number</w:t>
            </w:r>
          </w:p>
          <w:p w:rsidR="003D42E7" w:rsidRPr="00056918" w:rsidRDefault="003D42E7" w:rsidP="00BF7A97">
            <w:pPr>
              <w:pStyle w:val="FormCode"/>
              <w:spacing w:before="0" w:after="0"/>
              <w:jc w:val="right"/>
              <w:rPr>
                <w:rFonts w:cs="Arial"/>
                <w:sz w:val="22"/>
                <w:szCs w:val="22"/>
              </w:rPr>
            </w:pPr>
            <w:r w:rsidRPr="00056918">
              <w:rPr>
                <w:rFonts w:cs="Arial"/>
                <w:sz w:val="22"/>
                <w:szCs w:val="22"/>
              </w:rPr>
              <w:t>(for PRA use only)</w:t>
            </w:r>
          </w:p>
        </w:tc>
        <w:tc>
          <w:tcPr>
            <w:tcW w:w="2410" w:type="dxa"/>
            <w:shd w:val="clear" w:color="auto" w:fill="E6E6E6"/>
          </w:tcPr>
          <w:p w:rsidR="003D42E7" w:rsidRPr="00056918" w:rsidRDefault="003D42E7" w:rsidP="00BF7A97">
            <w:pPr>
              <w:pStyle w:val="FormCode"/>
              <w:jc w:val="left"/>
              <w:rPr>
                <w:rFonts w:cs="Arial"/>
                <w:sz w:val="22"/>
                <w:szCs w:val="22"/>
              </w:rPr>
            </w:pPr>
          </w:p>
        </w:tc>
      </w:tr>
    </w:tbl>
    <w:p w:rsidR="003D42E7" w:rsidRDefault="003D42E7" w:rsidP="003D42E7">
      <w:pPr>
        <w:rPr>
          <w:rFonts w:ascii="Arial" w:hAnsi="Arial" w:cs="Arial"/>
        </w:rPr>
      </w:pPr>
    </w:p>
    <w:p w:rsidR="003D42E7" w:rsidRPr="003D42E7" w:rsidRDefault="003D42E7">
      <w:pPr>
        <w:rPr>
          <w:rFonts w:ascii="Arial" w:hAnsi="Arial" w:cs="Arial"/>
        </w:rPr>
      </w:pPr>
      <w:r w:rsidRPr="00056918">
        <w:rPr>
          <w:rFonts w:ascii="Arial" w:hAnsi="Arial" w:cs="Arial"/>
        </w:rPr>
        <w:t xml:space="preserve">The information below should be submitted by firms to allow the PRA to consider an application </w:t>
      </w:r>
      <w:r>
        <w:rPr>
          <w:rFonts w:ascii="Arial" w:hAnsi="Arial" w:cs="Arial"/>
        </w:rPr>
        <w:t>for non-disclosure of information in the solvency and financial condition report (SFCR)</w:t>
      </w:r>
      <w:r w:rsidRPr="00056918">
        <w:rPr>
          <w:rFonts w:ascii="Arial" w:hAnsi="Arial" w:cs="Arial"/>
        </w:rPr>
        <w:t xml:space="preserve">. Firms should submit this information with the Solvency II </w:t>
      </w:r>
      <w:r>
        <w:rPr>
          <w:rFonts w:ascii="Arial" w:hAnsi="Arial" w:cs="Arial"/>
        </w:rPr>
        <w:t>waiver</w:t>
      </w:r>
      <w:r w:rsidRPr="00056918">
        <w:rPr>
          <w:rFonts w:ascii="Arial" w:hAnsi="Arial" w:cs="Arial"/>
        </w:rPr>
        <w:t xml:space="preserve"> application form to </w:t>
      </w:r>
      <w:hyperlink r:id="rId8" w:history="1">
        <w:r w:rsidRPr="00757BA4">
          <w:rPr>
            <w:rStyle w:val="Hyperlink"/>
            <w:rFonts w:ascii="Arial" w:hAnsi="Arial" w:cs="Arial"/>
          </w:rPr>
          <w:t>PRA-waivers@bankofengland.co.uk</w:t>
        </w:r>
      </w:hyperlink>
      <w:r w:rsidRPr="00056918">
        <w:rPr>
          <w:rFonts w:ascii="Arial" w:hAnsi="Arial" w:cs="Arial"/>
        </w:rPr>
        <w:t xml:space="preserve">. </w:t>
      </w:r>
    </w:p>
    <w:tbl>
      <w:tblPr>
        <w:tblStyle w:val="TableGrid1"/>
        <w:tblpPr w:leftFromText="180" w:rightFromText="180" w:vertAnchor="text" w:tblpX="-199" w:tblpY="1"/>
        <w:tblOverlap w:val="never"/>
        <w:tblW w:w="9498" w:type="dxa"/>
        <w:tblLook w:val="04A0" w:firstRow="1" w:lastRow="0" w:firstColumn="1" w:lastColumn="0" w:noHBand="0" w:noVBand="1"/>
      </w:tblPr>
      <w:tblGrid>
        <w:gridCol w:w="9498"/>
      </w:tblGrid>
      <w:tr w:rsidR="00E13C22" w:rsidRPr="003D42E7" w:rsidTr="00B92FA8">
        <w:tc>
          <w:tcPr>
            <w:tcW w:w="9498" w:type="dxa"/>
            <w:shd w:val="pct12" w:color="auto" w:fill="auto"/>
            <w:tcMar>
              <w:top w:w="57" w:type="dxa"/>
              <w:bottom w:w="57" w:type="dxa"/>
            </w:tcMar>
          </w:tcPr>
          <w:p w:rsidR="00E13C22" w:rsidRPr="003D42E7" w:rsidRDefault="00E13C22" w:rsidP="00B92FA8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3D42E7">
              <w:rPr>
                <w:rFonts w:ascii="Arial" w:hAnsi="Arial" w:cs="Arial"/>
                <w:sz w:val="22"/>
                <w:szCs w:val="22"/>
              </w:rPr>
              <w:t>Please indicate for which of the following criteria you are applying for a confidentiality waiver as set out in Article 53 of the Solvency II Directive:</w:t>
            </w:r>
          </w:p>
          <w:p w:rsidR="00E13C22" w:rsidRPr="003D42E7" w:rsidRDefault="00E13C22" w:rsidP="00B92FA8">
            <w:pPr>
              <w:tabs>
                <w:tab w:val="left" w:pos="2662"/>
              </w:tabs>
              <w:contextualSpacing/>
              <w:rPr>
                <w:rFonts w:ascii="Arial" w:hAnsi="Arial" w:cs="Arial"/>
                <w:color w:val="2F2F2F"/>
                <w:sz w:val="22"/>
                <w:szCs w:val="22"/>
              </w:rPr>
            </w:pPr>
            <w:r w:rsidRPr="003D42E7">
              <w:rPr>
                <w:rFonts w:ascii="Arial" w:hAnsi="Arial" w:cs="Arial"/>
                <w:color w:val="2F2F2F"/>
                <w:sz w:val="22"/>
                <w:szCs w:val="22"/>
              </w:rPr>
              <w:tab/>
            </w:r>
          </w:p>
          <w:p w:rsidR="00E13C22" w:rsidRPr="003D42E7" w:rsidRDefault="00E13C22" w:rsidP="003D42E7">
            <w:pPr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3D42E7">
              <w:rPr>
                <w:rFonts w:ascii="Arial" w:hAnsi="Arial" w:cs="Arial"/>
                <w:sz w:val="22"/>
                <w:szCs w:val="22"/>
              </w:rPr>
              <w:t>by disclosing such information, the competitors of the undertaking would gain signific</w:t>
            </w:r>
            <w:r w:rsidR="00D91FEB" w:rsidRPr="003D42E7">
              <w:rPr>
                <w:rFonts w:ascii="Arial" w:hAnsi="Arial" w:cs="Arial"/>
                <w:sz w:val="22"/>
                <w:szCs w:val="22"/>
              </w:rPr>
              <w:t>ant undue advantage (Article 53(1)</w:t>
            </w:r>
            <w:r w:rsidRPr="003D42E7">
              <w:rPr>
                <w:rFonts w:ascii="Arial" w:hAnsi="Arial" w:cs="Arial"/>
                <w:sz w:val="22"/>
                <w:szCs w:val="22"/>
              </w:rPr>
              <w:t>(a))</w:t>
            </w:r>
          </w:p>
          <w:p w:rsidR="00E13C22" w:rsidRPr="003D42E7" w:rsidRDefault="00E13C22" w:rsidP="003D42E7">
            <w:pPr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3D42E7">
              <w:rPr>
                <w:rFonts w:ascii="Arial" w:hAnsi="Arial" w:cs="Arial"/>
                <w:sz w:val="22"/>
                <w:szCs w:val="22"/>
              </w:rPr>
              <w:t>there are obligations to policy holders or other counterparty relationships binding an undertaking to secrecy</w:t>
            </w:r>
            <w:r w:rsidR="00D91FEB" w:rsidRPr="003D42E7">
              <w:rPr>
                <w:rFonts w:ascii="Arial" w:hAnsi="Arial" w:cs="Arial"/>
                <w:sz w:val="22"/>
                <w:szCs w:val="22"/>
              </w:rPr>
              <w:t xml:space="preserve"> or confidentiality (Article 53(1)</w:t>
            </w:r>
            <w:r w:rsidRPr="003D42E7">
              <w:rPr>
                <w:rFonts w:ascii="Arial" w:hAnsi="Arial" w:cs="Arial"/>
                <w:sz w:val="22"/>
                <w:szCs w:val="22"/>
              </w:rPr>
              <w:t>(b))</w:t>
            </w:r>
          </w:p>
        </w:tc>
      </w:tr>
      <w:tr w:rsidR="00E13C22" w:rsidRPr="003D42E7" w:rsidTr="00B92FA8">
        <w:tc>
          <w:tcPr>
            <w:tcW w:w="9498" w:type="dxa"/>
            <w:tcMar>
              <w:top w:w="57" w:type="dxa"/>
              <w:bottom w:w="57" w:type="dxa"/>
            </w:tcMar>
          </w:tcPr>
          <w:p w:rsidR="00E13C22" w:rsidRPr="003D42E7" w:rsidRDefault="00E13C22" w:rsidP="00B92FA8">
            <w:pPr>
              <w:contextualSpacing/>
              <w:rPr>
                <w:rFonts w:ascii="Arial" w:hAnsi="Arial" w:cs="Arial"/>
                <w:i/>
                <w:color w:val="2F2F2F"/>
                <w:sz w:val="22"/>
                <w:szCs w:val="22"/>
              </w:rPr>
            </w:pPr>
            <w:r w:rsidRPr="003D42E7">
              <w:rPr>
                <w:rFonts w:ascii="Arial" w:hAnsi="Arial" w:cs="Arial"/>
                <w:i/>
                <w:color w:val="2F2F2F"/>
                <w:sz w:val="22"/>
                <w:szCs w:val="22"/>
              </w:rPr>
              <w:t>Indicate criteria (1)</w:t>
            </w:r>
            <w:r w:rsidR="00A26646" w:rsidRPr="003D42E7">
              <w:rPr>
                <w:rFonts w:ascii="Arial" w:hAnsi="Arial" w:cs="Arial"/>
                <w:i/>
                <w:color w:val="2F2F2F"/>
                <w:sz w:val="22"/>
                <w:szCs w:val="22"/>
              </w:rPr>
              <w:t xml:space="preserve"> or</w:t>
            </w:r>
            <w:r w:rsidRPr="003D42E7">
              <w:rPr>
                <w:rFonts w:ascii="Arial" w:hAnsi="Arial" w:cs="Arial"/>
                <w:i/>
                <w:color w:val="2F2F2F"/>
                <w:sz w:val="22"/>
                <w:szCs w:val="22"/>
              </w:rPr>
              <w:t xml:space="preserve"> (2)</w:t>
            </w:r>
          </w:p>
          <w:p w:rsidR="00E13C22" w:rsidRPr="003D42E7" w:rsidRDefault="00E13C22" w:rsidP="00B92FA8">
            <w:pPr>
              <w:contextualSpacing/>
              <w:rPr>
                <w:rFonts w:ascii="Arial" w:hAnsi="Arial" w:cs="Arial"/>
                <w:i/>
                <w:color w:val="2F2F2F"/>
                <w:sz w:val="22"/>
                <w:szCs w:val="22"/>
              </w:rPr>
            </w:pPr>
          </w:p>
          <w:p w:rsidR="00692B2F" w:rsidRPr="003D42E7" w:rsidRDefault="00692B2F" w:rsidP="00B92FA8">
            <w:pPr>
              <w:contextualSpacing/>
              <w:rPr>
                <w:rFonts w:ascii="Arial" w:hAnsi="Arial" w:cs="Arial"/>
                <w:i/>
                <w:color w:val="2F2F2F"/>
                <w:sz w:val="22"/>
                <w:szCs w:val="22"/>
              </w:rPr>
            </w:pPr>
          </w:p>
        </w:tc>
      </w:tr>
      <w:tr w:rsidR="00E13C22" w:rsidRPr="003D42E7" w:rsidTr="00B92FA8">
        <w:tc>
          <w:tcPr>
            <w:tcW w:w="9498" w:type="dxa"/>
            <w:shd w:val="pct12" w:color="auto" w:fill="auto"/>
            <w:tcMar>
              <w:top w:w="57" w:type="dxa"/>
              <w:bottom w:w="57" w:type="dxa"/>
            </w:tcMar>
          </w:tcPr>
          <w:p w:rsidR="00E13C22" w:rsidRPr="003D42E7" w:rsidRDefault="00E13C22" w:rsidP="00B92FA8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3D42E7">
              <w:rPr>
                <w:rFonts w:ascii="Arial" w:hAnsi="Arial" w:cs="Arial"/>
                <w:sz w:val="22"/>
                <w:szCs w:val="22"/>
              </w:rPr>
              <w:t>Please provide a description of which of the items (as set out in Article 51 of the</w:t>
            </w:r>
            <w:r w:rsidR="008C0FCE" w:rsidRPr="003D42E7">
              <w:rPr>
                <w:rFonts w:ascii="Arial" w:hAnsi="Arial" w:cs="Arial"/>
                <w:sz w:val="22"/>
                <w:szCs w:val="22"/>
              </w:rPr>
              <w:t xml:space="preserve"> Solvency II</w:t>
            </w:r>
            <w:r w:rsidRPr="003D42E7">
              <w:rPr>
                <w:rFonts w:ascii="Arial" w:hAnsi="Arial" w:cs="Arial"/>
                <w:sz w:val="22"/>
                <w:szCs w:val="22"/>
              </w:rPr>
              <w:t xml:space="preserve"> Directive) you are applying t</w:t>
            </w:r>
            <w:r w:rsidR="008C0FCE" w:rsidRPr="003D42E7">
              <w:rPr>
                <w:rFonts w:ascii="Arial" w:hAnsi="Arial" w:cs="Arial"/>
                <w:sz w:val="22"/>
                <w:szCs w:val="22"/>
              </w:rPr>
              <w:t xml:space="preserve">o not disclose publicly in the </w:t>
            </w:r>
            <w:r w:rsidR="003D42E7">
              <w:rPr>
                <w:rFonts w:ascii="Arial" w:hAnsi="Arial" w:cs="Arial"/>
                <w:sz w:val="22"/>
                <w:szCs w:val="22"/>
              </w:rPr>
              <w:t>SFCR</w:t>
            </w:r>
            <w:r w:rsidRPr="003D42E7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E13C22" w:rsidRPr="003D42E7" w:rsidRDefault="00E13C22" w:rsidP="00B92FA8">
            <w:pPr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:rsidR="00E13C22" w:rsidRPr="003D42E7" w:rsidRDefault="00E13C22" w:rsidP="00B92FA8">
            <w:pPr>
              <w:ind w:left="360"/>
              <w:contextualSpacing/>
              <w:rPr>
                <w:rFonts w:ascii="Arial" w:hAnsi="Arial" w:cs="Arial"/>
                <w:color w:val="2F2F2F"/>
                <w:sz w:val="22"/>
                <w:szCs w:val="22"/>
              </w:rPr>
            </w:pPr>
            <w:r w:rsidRPr="003D42E7">
              <w:rPr>
                <w:rFonts w:ascii="Arial" w:hAnsi="Arial" w:cs="Arial"/>
                <w:sz w:val="22"/>
                <w:szCs w:val="22"/>
              </w:rPr>
              <w:t xml:space="preserve">Please note that under the </w:t>
            </w:r>
            <w:r w:rsidR="008C0FCE" w:rsidRPr="003D42E7">
              <w:rPr>
                <w:rFonts w:ascii="Arial" w:hAnsi="Arial" w:cs="Arial"/>
                <w:sz w:val="22"/>
                <w:szCs w:val="22"/>
              </w:rPr>
              <w:t xml:space="preserve">Solvency II </w:t>
            </w:r>
            <w:r w:rsidRPr="003D42E7">
              <w:rPr>
                <w:rFonts w:ascii="Arial" w:hAnsi="Arial" w:cs="Arial"/>
                <w:sz w:val="22"/>
                <w:szCs w:val="22"/>
              </w:rPr>
              <w:t>Directive</w:t>
            </w:r>
            <w:r w:rsidR="0017518A" w:rsidRPr="003D42E7">
              <w:rPr>
                <w:rFonts w:ascii="Arial" w:hAnsi="Arial" w:cs="Arial"/>
                <w:sz w:val="22"/>
                <w:szCs w:val="22"/>
              </w:rPr>
              <w:t>, if</w:t>
            </w:r>
            <w:r w:rsidRPr="003D42E7">
              <w:rPr>
                <w:rFonts w:ascii="Arial" w:hAnsi="Arial" w:cs="Arial"/>
                <w:sz w:val="22"/>
                <w:szCs w:val="22"/>
              </w:rPr>
              <w:t xml:space="preserve"> you are applying for non-disclosure against criteria (1) o</w:t>
            </w:r>
            <w:r w:rsidR="00D91FEB" w:rsidRPr="003D42E7">
              <w:rPr>
                <w:rFonts w:ascii="Arial" w:hAnsi="Arial" w:cs="Arial"/>
                <w:sz w:val="22"/>
                <w:szCs w:val="22"/>
              </w:rPr>
              <w:t>r (2) as specified in question 1</w:t>
            </w:r>
            <w:r w:rsidRPr="003D42E7">
              <w:rPr>
                <w:rFonts w:ascii="Arial" w:hAnsi="Arial" w:cs="Arial"/>
                <w:sz w:val="22"/>
                <w:szCs w:val="22"/>
              </w:rPr>
              <w:t xml:space="preserve"> above, you may not apply this non-disclosure to</w:t>
            </w:r>
            <w:r w:rsidR="0017518A" w:rsidRPr="003D42E7">
              <w:rPr>
                <w:rFonts w:ascii="Arial" w:hAnsi="Arial" w:cs="Arial"/>
                <w:sz w:val="22"/>
                <w:szCs w:val="22"/>
              </w:rPr>
              <w:t xml:space="preserve"> the items listed in Article 51(1</w:t>
            </w:r>
            <w:proofErr w:type="gramStart"/>
            <w:r w:rsidR="0017518A" w:rsidRPr="003D42E7">
              <w:rPr>
                <w:rFonts w:ascii="Arial" w:hAnsi="Arial" w:cs="Arial"/>
                <w:sz w:val="22"/>
                <w:szCs w:val="22"/>
              </w:rPr>
              <w:t>)</w:t>
            </w:r>
            <w:r w:rsidRPr="003D42E7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3D42E7">
              <w:rPr>
                <w:rFonts w:ascii="Arial" w:hAnsi="Arial" w:cs="Arial"/>
                <w:sz w:val="22"/>
                <w:szCs w:val="22"/>
              </w:rPr>
              <w:t>e).</w:t>
            </w:r>
          </w:p>
        </w:tc>
      </w:tr>
      <w:tr w:rsidR="00E13C22" w:rsidRPr="003D42E7" w:rsidTr="00B92FA8">
        <w:tc>
          <w:tcPr>
            <w:tcW w:w="9498" w:type="dxa"/>
            <w:tcMar>
              <w:top w:w="57" w:type="dxa"/>
              <w:bottom w:w="57" w:type="dxa"/>
            </w:tcMar>
          </w:tcPr>
          <w:p w:rsidR="007B1A39" w:rsidRPr="003D42E7" w:rsidRDefault="007B1A39" w:rsidP="00B92FA8">
            <w:pPr>
              <w:contextualSpacing/>
              <w:rPr>
                <w:rFonts w:ascii="Arial" w:hAnsi="Arial" w:cs="Arial"/>
                <w:color w:val="2F2F2F"/>
                <w:sz w:val="22"/>
                <w:szCs w:val="22"/>
              </w:rPr>
            </w:pPr>
          </w:p>
          <w:p w:rsidR="00197AA3" w:rsidRPr="003D42E7" w:rsidRDefault="00197AA3" w:rsidP="00B92FA8">
            <w:pPr>
              <w:contextualSpacing/>
              <w:rPr>
                <w:rFonts w:ascii="Arial" w:hAnsi="Arial" w:cs="Arial"/>
                <w:color w:val="2F2F2F"/>
                <w:sz w:val="22"/>
                <w:szCs w:val="22"/>
              </w:rPr>
            </w:pPr>
          </w:p>
          <w:p w:rsidR="007B1A39" w:rsidRPr="003D42E7" w:rsidRDefault="007B1A39" w:rsidP="00B92FA8">
            <w:pPr>
              <w:contextualSpacing/>
              <w:rPr>
                <w:rFonts w:ascii="Arial" w:hAnsi="Arial" w:cs="Arial"/>
                <w:color w:val="2F2F2F"/>
                <w:sz w:val="22"/>
                <w:szCs w:val="22"/>
              </w:rPr>
            </w:pPr>
          </w:p>
          <w:p w:rsidR="007B1A39" w:rsidRPr="003D42E7" w:rsidRDefault="007B1A39" w:rsidP="00B92FA8">
            <w:pPr>
              <w:contextualSpacing/>
              <w:rPr>
                <w:rFonts w:ascii="Arial" w:hAnsi="Arial" w:cs="Arial"/>
                <w:color w:val="2F2F2F"/>
                <w:sz w:val="22"/>
                <w:szCs w:val="22"/>
              </w:rPr>
            </w:pPr>
          </w:p>
          <w:p w:rsidR="00692B2F" w:rsidRPr="003D42E7" w:rsidRDefault="00692B2F" w:rsidP="00B92FA8">
            <w:pPr>
              <w:contextualSpacing/>
              <w:rPr>
                <w:rFonts w:ascii="Arial" w:hAnsi="Arial" w:cs="Arial"/>
                <w:color w:val="2F2F2F"/>
                <w:sz w:val="22"/>
                <w:szCs w:val="22"/>
              </w:rPr>
            </w:pPr>
          </w:p>
        </w:tc>
      </w:tr>
      <w:tr w:rsidR="00E13C22" w:rsidRPr="003D42E7" w:rsidTr="00B92FA8">
        <w:tc>
          <w:tcPr>
            <w:tcW w:w="9498" w:type="dxa"/>
            <w:shd w:val="pct12" w:color="auto" w:fill="auto"/>
            <w:tcMar>
              <w:top w:w="57" w:type="dxa"/>
              <w:bottom w:w="57" w:type="dxa"/>
            </w:tcMar>
          </w:tcPr>
          <w:p w:rsidR="00E13C22" w:rsidRPr="003D42E7" w:rsidRDefault="00E13C22" w:rsidP="00B92FA8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color w:val="2F2F2F"/>
                <w:sz w:val="22"/>
                <w:szCs w:val="22"/>
              </w:rPr>
            </w:pPr>
            <w:r w:rsidRPr="003D42E7">
              <w:rPr>
                <w:rFonts w:ascii="Arial" w:hAnsi="Arial" w:cs="Arial"/>
                <w:sz w:val="22"/>
                <w:szCs w:val="22"/>
              </w:rPr>
              <w:t xml:space="preserve">If you are applying for non-disclosure under criteria (1) or (2), please provide an explanation as to why the criteria are met </w:t>
            </w:r>
          </w:p>
        </w:tc>
      </w:tr>
      <w:tr w:rsidR="00E13C22" w:rsidRPr="003D42E7" w:rsidTr="00B92FA8">
        <w:trPr>
          <w:trHeight w:val="2564"/>
        </w:trPr>
        <w:tc>
          <w:tcPr>
            <w:tcW w:w="9498" w:type="dxa"/>
            <w:tcMar>
              <w:top w:w="57" w:type="dxa"/>
              <w:bottom w:w="57" w:type="dxa"/>
            </w:tcMar>
          </w:tcPr>
          <w:p w:rsidR="00E13C22" w:rsidRPr="003D42E7" w:rsidRDefault="00E13C22" w:rsidP="00B92FA8">
            <w:pPr>
              <w:contextualSpacing/>
              <w:rPr>
                <w:rFonts w:ascii="Arial" w:hAnsi="Arial" w:cs="Arial"/>
                <w:i/>
                <w:color w:val="2F2F2F"/>
                <w:sz w:val="22"/>
                <w:szCs w:val="22"/>
              </w:rPr>
            </w:pPr>
            <w:r w:rsidRPr="003D42E7">
              <w:rPr>
                <w:rFonts w:ascii="Arial" w:hAnsi="Arial" w:cs="Arial"/>
                <w:i/>
                <w:color w:val="2F2F2F"/>
                <w:sz w:val="22"/>
                <w:szCs w:val="22"/>
              </w:rPr>
              <w:t>Include where appropriate:</w:t>
            </w:r>
          </w:p>
          <w:p w:rsidR="00E13C22" w:rsidRPr="003D42E7" w:rsidRDefault="00E13C22" w:rsidP="00B92FA8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  <w:i/>
                <w:color w:val="2F2F2F"/>
                <w:sz w:val="22"/>
                <w:szCs w:val="22"/>
              </w:rPr>
            </w:pPr>
            <w:r w:rsidRPr="003D42E7">
              <w:rPr>
                <w:rFonts w:ascii="Arial" w:hAnsi="Arial" w:cs="Arial"/>
                <w:i/>
                <w:color w:val="2F2F2F"/>
                <w:sz w:val="22"/>
                <w:szCs w:val="22"/>
              </w:rPr>
              <w:t>Information relating to the significant undue advantage for competitors if the information is disclosed (for criterion 1)</w:t>
            </w:r>
          </w:p>
          <w:p w:rsidR="00E13C22" w:rsidRPr="003D42E7" w:rsidRDefault="00E13C22" w:rsidP="00B92FA8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  <w:color w:val="2F2F2F"/>
                <w:sz w:val="22"/>
                <w:szCs w:val="22"/>
              </w:rPr>
            </w:pPr>
            <w:r w:rsidRPr="003D42E7">
              <w:rPr>
                <w:rFonts w:ascii="Arial" w:hAnsi="Arial" w:cs="Arial"/>
                <w:i/>
                <w:color w:val="2F2F2F"/>
                <w:sz w:val="22"/>
                <w:szCs w:val="22"/>
              </w:rPr>
              <w:t>Information, with evidence if necessary and available, of the obligations to policy holders or other counterparties, and how these would be breached</w:t>
            </w:r>
            <w:r w:rsidR="00D91FEB" w:rsidRPr="003D42E7">
              <w:rPr>
                <w:rFonts w:ascii="Arial" w:hAnsi="Arial" w:cs="Arial"/>
                <w:i/>
                <w:color w:val="2F2F2F"/>
                <w:sz w:val="22"/>
                <w:szCs w:val="22"/>
              </w:rPr>
              <w:t xml:space="preserve"> if the information set out in Q</w:t>
            </w:r>
            <w:r w:rsidR="007614A7" w:rsidRPr="003D42E7">
              <w:rPr>
                <w:rFonts w:ascii="Arial" w:hAnsi="Arial" w:cs="Arial"/>
                <w:i/>
                <w:color w:val="2F2F2F"/>
                <w:sz w:val="22"/>
                <w:szCs w:val="22"/>
              </w:rPr>
              <w:t>2</w:t>
            </w:r>
            <w:r w:rsidRPr="003D42E7">
              <w:rPr>
                <w:rFonts w:ascii="Arial" w:hAnsi="Arial" w:cs="Arial"/>
                <w:i/>
                <w:color w:val="2F2F2F"/>
                <w:sz w:val="22"/>
                <w:szCs w:val="22"/>
              </w:rPr>
              <w:t xml:space="preserve"> above was publicly disclosed. </w:t>
            </w:r>
          </w:p>
        </w:tc>
      </w:tr>
    </w:tbl>
    <w:p w:rsidR="006E4417" w:rsidRPr="003D42E7" w:rsidRDefault="006E4417">
      <w:pPr>
        <w:rPr>
          <w:rFonts w:ascii="Arial" w:hAnsi="Arial" w:cs="Arial"/>
        </w:rPr>
      </w:pPr>
    </w:p>
    <w:sectPr w:rsidR="006E4417" w:rsidRPr="003D42E7" w:rsidSect="00024DA5">
      <w:headerReference w:type="default" r:id="rId9"/>
      <w:footerReference w:type="default" r:id="rId10"/>
      <w:pgSz w:w="11906" w:h="16838"/>
      <w:pgMar w:top="1798" w:right="1440" w:bottom="1440" w:left="1440" w:header="1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7EF" w:rsidRDefault="00F967EF" w:rsidP="00A3627D">
      <w:pPr>
        <w:spacing w:after="0" w:line="240" w:lineRule="auto"/>
      </w:pPr>
      <w:r>
        <w:separator/>
      </w:r>
    </w:p>
  </w:endnote>
  <w:endnote w:type="continuationSeparator" w:id="0">
    <w:p w:rsidR="00F967EF" w:rsidRDefault="00F967EF" w:rsidP="00A3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87296622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20B1A" w:rsidRPr="00A12CF6" w:rsidRDefault="00520B1A">
            <w:pPr>
              <w:pStyle w:val="Footer"/>
              <w:jc w:val="right"/>
              <w:rPr>
                <w:rFonts w:ascii="Arial" w:hAnsi="Arial" w:cs="Arial"/>
              </w:rPr>
            </w:pPr>
            <w:r w:rsidRPr="002B27A4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2B27A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2B27A4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2B27A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7B2551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2B27A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2B27A4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2B27A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2B27A4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2B27A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7B2551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Pr="002B27A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8132A0" w:rsidRDefault="008132A0" w:rsidP="008132A0">
    <w:pPr>
      <w:pStyle w:val="Footer"/>
      <w:ind w:left="-284"/>
    </w:pPr>
  </w:p>
  <w:p w:rsidR="00920F5E" w:rsidRDefault="00920F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7EF" w:rsidRDefault="00F967EF" w:rsidP="00A3627D">
      <w:pPr>
        <w:spacing w:after="0" w:line="240" w:lineRule="auto"/>
      </w:pPr>
      <w:r>
        <w:separator/>
      </w:r>
    </w:p>
  </w:footnote>
  <w:footnote w:type="continuationSeparator" w:id="0">
    <w:p w:rsidR="00F967EF" w:rsidRDefault="00F967EF" w:rsidP="00A36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EEC" w:rsidRDefault="00476EEC" w:rsidP="00024DA5">
    <w:pPr>
      <w:pStyle w:val="Header"/>
      <w:ind w:hanging="284"/>
    </w:pPr>
    <w:r>
      <w:rPr>
        <w:noProof/>
        <w:lang w:eastAsia="en-GB"/>
      </w:rPr>
      <w:drawing>
        <wp:inline distT="0" distB="0" distL="0" distR="0" wp14:anchorId="62C76996" wp14:editId="172A78E2">
          <wp:extent cx="2432685" cy="469265"/>
          <wp:effectExtent l="0" t="0" r="571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469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EED"/>
    <w:multiLevelType w:val="hybridMultilevel"/>
    <w:tmpl w:val="EF9E025A"/>
    <w:lvl w:ilvl="0" w:tplc="C7ACB6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E58DD"/>
    <w:multiLevelType w:val="hybridMultilevel"/>
    <w:tmpl w:val="9098B6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40E72"/>
    <w:multiLevelType w:val="hybridMultilevel"/>
    <w:tmpl w:val="415265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F4470"/>
    <w:multiLevelType w:val="hybridMultilevel"/>
    <w:tmpl w:val="0BBC8D2E"/>
    <w:lvl w:ilvl="0" w:tplc="0DC818A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638DB"/>
    <w:multiLevelType w:val="hybridMultilevel"/>
    <w:tmpl w:val="B5D664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673EB"/>
    <w:multiLevelType w:val="hybridMultilevel"/>
    <w:tmpl w:val="FBD26B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B6B7F"/>
    <w:multiLevelType w:val="hybridMultilevel"/>
    <w:tmpl w:val="C71CF6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D0ACB"/>
    <w:multiLevelType w:val="hybridMultilevel"/>
    <w:tmpl w:val="761C6B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36"/>
    <w:rsid w:val="00024DA5"/>
    <w:rsid w:val="000518A8"/>
    <w:rsid w:val="000E0953"/>
    <w:rsid w:val="0010462C"/>
    <w:rsid w:val="001065BD"/>
    <w:rsid w:val="00125396"/>
    <w:rsid w:val="001707BA"/>
    <w:rsid w:val="0017518A"/>
    <w:rsid w:val="00197AA3"/>
    <w:rsid w:val="00203505"/>
    <w:rsid w:val="002211E4"/>
    <w:rsid w:val="00275891"/>
    <w:rsid w:val="00290B79"/>
    <w:rsid w:val="002B27A4"/>
    <w:rsid w:val="002F1E70"/>
    <w:rsid w:val="00337B74"/>
    <w:rsid w:val="0035280C"/>
    <w:rsid w:val="003D42E7"/>
    <w:rsid w:val="003F4906"/>
    <w:rsid w:val="00441B18"/>
    <w:rsid w:val="00457227"/>
    <w:rsid w:val="00476EEC"/>
    <w:rsid w:val="0048285A"/>
    <w:rsid w:val="004C0624"/>
    <w:rsid w:val="004C5142"/>
    <w:rsid w:val="00520B1A"/>
    <w:rsid w:val="00564D89"/>
    <w:rsid w:val="005A1AA5"/>
    <w:rsid w:val="005A33FF"/>
    <w:rsid w:val="00605FE8"/>
    <w:rsid w:val="00670B57"/>
    <w:rsid w:val="00692B2F"/>
    <w:rsid w:val="006B1F36"/>
    <w:rsid w:val="006C1936"/>
    <w:rsid w:val="006E4417"/>
    <w:rsid w:val="006E5C2D"/>
    <w:rsid w:val="006F76D3"/>
    <w:rsid w:val="007614A7"/>
    <w:rsid w:val="007859D4"/>
    <w:rsid w:val="007972ED"/>
    <w:rsid w:val="007B1A39"/>
    <w:rsid w:val="007B2551"/>
    <w:rsid w:val="007B4983"/>
    <w:rsid w:val="007B73CF"/>
    <w:rsid w:val="007E29A0"/>
    <w:rsid w:val="007F0226"/>
    <w:rsid w:val="008132A0"/>
    <w:rsid w:val="00821DEB"/>
    <w:rsid w:val="00855A2C"/>
    <w:rsid w:val="008C0FCE"/>
    <w:rsid w:val="008F0C7B"/>
    <w:rsid w:val="00920F5E"/>
    <w:rsid w:val="009309EA"/>
    <w:rsid w:val="009479CA"/>
    <w:rsid w:val="00A05916"/>
    <w:rsid w:val="00A12CF6"/>
    <w:rsid w:val="00A26646"/>
    <w:rsid w:val="00A3627D"/>
    <w:rsid w:val="00A544FF"/>
    <w:rsid w:val="00A8311F"/>
    <w:rsid w:val="00A90E59"/>
    <w:rsid w:val="00AC76AF"/>
    <w:rsid w:val="00B33C1F"/>
    <w:rsid w:val="00B45985"/>
    <w:rsid w:val="00B57A75"/>
    <w:rsid w:val="00B83234"/>
    <w:rsid w:val="00B9159D"/>
    <w:rsid w:val="00B92FA8"/>
    <w:rsid w:val="00B9773C"/>
    <w:rsid w:val="00BD36EA"/>
    <w:rsid w:val="00C00C84"/>
    <w:rsid w:val="00C179D3"/>
    <w:rsid w:val="00C262FE"/>
    <w:rsid w:val="00C93483"/>
    <w:rsid w:val="00D42ABE"/>
    <w:rsid w:val="00D65AD7"/>
    <w:rsid w:val="00D91FEB"/>
    <w:rsid w:val="00DB6E6A"/>
    <w:rsid w:val="00DE5056"/>
    <w:rsid w:val="00DF3E54"/>
    <w:rsid w:val="00DF4AEB"/>
    <w:rsid w:val="00E13C22"/>
    <w:rsid w:val="00E2036E"/>
    <w:rsid w:val="00E21D32"/>
    <w:rsid w:val="00E43D76"/>
    <w:rsid w:val="00E44527"/>
    <w:rsid w:val="00E50960"/>
    <w:rsid w:val="00E857B1"/>
    <w:rsid w:val="00EC00F7"/>
    <w:rsid w:val="00EF7134"/>
    <w:rsid w:val="00F967EF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3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7D"/>
  </w:style>
  <w:style w:type="paragraph" w:styleId="Footer">
    <w:name w:val="footer"/>
    <w:basedOn w:val="Normal"/>
    <w:link w:val="FooterChar"/>
    <w:uiPriority w:val="99"/>
    <w:unhideWhenUsed/>
    <w:rsid w:val="00A3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7D"/>
  </w:style>
  <w:style w:type="paragraph" w:styleId="FootnoteText">
    <w:name w:val="footnote text"/>
    <w:basedOn w:val="Normal"/>
    <w:link w:val="FootnoteTextChar"/>
    <w:uiPriority w:val="99"/>
    <w:semiHidden/>
    <w:unhideWhenUsed/>
    <w:rsid w:val="007859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59D4"/>
    <w:rPr>
      <w:sz w:val="20"/>
      <w:szCs w:val="20"/>
    </w:rPr>
  </w:style>
  <w:style w:type="paragraph" w:customStyle="1" w:styleId="FormCode">
    <w:name w:val="Form Code"/>
    <w:basedOn w:val="Normal"/>
    <w:rsid w:val="007859D4"/>
    <w:pPr>
      <w:tabs>
        <w:tab w:val="left" w:pos="1785"/>
        <w:tab w:val="left" w:pos="7088"/>
      </w:tabs>
      <w:spacing w:before="120" w:after="120" w:line="240" w:lineRule="auto"/>
      <w:jc w:val="both"/>
      <w:outlineLvl w:val="0"/>
    </w:pPr>
    <w:rPr>
      <w:rFonts w:ascii="Arial" w:eastAsia="Times New Roman" w:hAnsi="Arial" w:cs="Times New Roman"/>
      <w:b/>
      <w:color w:val="000000"/>
      <w:sz w:val="56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EEC"/>
    <w:rPr>
      <w:rFonts w:ascii="Tahoma" w:hAnsi="Tahoma" w:cs="Tahoma"/>
      <w:sz w:val="16"/>
      <w:szCs w:val="16"/>
    </w:rPr>
  </w:style>
  <w:style w:type="paragraph" w:customStyle="1" w:styleId="BulletHeading">
    <w:name w:val="Bullet Heading"/>
    <w:basedOn w:val="ListParagraph"/>
    <w:link w:val="BulletHeadingChar"/>
    <w:qFormat/>
    <w:rsid w:val="006E4417"/>
    <w:pPr>
      <w:spacing w:after="0" w:line="240" w:lineRule="auto"/>
      <w:ind w:hanging="360"/>
      <w:outlineLvl w:val="1"/>
    </w:pPr>
    <w:rPr>
      <w:rFonts w:ascii="Arial" w:eastAsia="Times New Roman" w:hAnsi="Arial" w:cs="Arial"/>
      <w:b/>
      <w:color w:val="2F2F2F"/>
      <w:sz w:val="20"/>
      <w:szCs w:val="20"/>
    </w:rPr>
  </w:style>
  <w:style w:type="character" w:customStyle="1" w:styleId="BulletHeadingChar">
    <w:name w:val="Bullet Heading Char"/>
    <w:basedOn w:val="DefaultParagraphFont"/>
    <w:link w:val="BulletHeading"/>
    <w:rsid w:val="006E4417"/>
    <w:rPr>
      <w:rFonts w:ascii="Arial" w:eastAsia="Times New Roman" w:hAnsi="Arial" w:cs="Arial"/>
      <w:b/>
      <w:color w:val="2F2F2F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E13C22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42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3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7D"/>
  </w:style>
  <w:style w:type="paragraph" w:styleId="Footer">
    <w:name w:val="footer"/>
    <w:basedOn w:val="Normal"/>
    <w:link w:val="FooterChar"/>
    <w:uiPriority w:val="99"/>
    <w:unhideWhenUsed/>
    <w:rsid w:val="00A3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7D"/>
  </w:style>
  <w:style w:type="paragraph" w:styleId="FootnoteText">
    <w:name w:val="footnote text"/>
    <w:basedOn w:val="Normal"/>
    <w:link w:val="FootnoteTextChar"/>
    <w:uiPriority w:val="99"/>
    <w:semiHidden/>
    <w:unhideWhenUsed/>
    <w:rsid w:val="007859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59D4"/>
    <w:rPr>
      <w:sz w:val="20"/>
      <w:szCs w:val="20"/>
    </w:rPr>
  </w:style>
  <w:style w:type="paragraph" w:customStyle="1" w:styleId="FormCode">
    <w:name w:val="Form Code"/>
    <w:basedOn w:val="Normal"/>
    <w:rsid w:val="007859D4"/>
    <w:pPr>
      <w:tabs>
        <w:tab w:val="left" w:pos="1785"/>
        <w:tab w:val="left" w:pos="7088"/>
      </w:tabs>
      <w:spacing w:before="120" w:after="120" w:line="240" w:lineRule="auto"/>
      <w:jc w:val="both"/>
      <w:outlineLvl w:val="0"/>
    </w:pPr>
    <w:rPr>
      <w:rFonts w:ascii="Arial" w:eastAsia="Times New Roman" w:hAnsi="Arial" w:cs="Times New Roman"/>
      <w:b/>
      <w:color w:val="000000"/>
      <w:sz w:val="56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EEC"/>
    <w:rPr>
      <w:rFonts w:ascii="Tahoma" w:hAnsi="Tahoma" w:cs="Tahoma"/>
      <w:sz w:val="16"/>
      <w:szCs w:val="16"/>
    </w:rPr>
  </w:style>
  <w:style w:type="paragraph" w:customStyle="1" w:styleId="BulletHeading">
    <w:name w:val="Bullet Heading"/>
    <w:basedOn w:val="ListParagraph"/>
    <w:link w:val="BulletHeadingChar"/>
    <w:qFormat/>
    <w:rsid w:val="006E4417"/>
    <w:pPr>
      <w:spacing w:after="0" w:line="240" w:lineRule="auto"/>
      <w:ind w:hanging="360"/>
      <w:outlineLvl w:val="1"/>
    </w:pPr>
    <w:rPr>
      <w:rFonts w:ascii="Arial" w:eastAsia="Times New Roman" w:hAnsi="Arial" w:cs="Arial"/>
      <w:b/>
      <w:color w:val="2F2F2F"/>
      <w:sz w:val="20"/>
      <w:szCs w:val="20"/>
    </w:rPr>
  </w:style>
  <w:style w:type="character" w:customStyle="1" w:styleId="BulletHeadingChar">
    <w:name w:val="Bullet Heading Char"/>
    <w:basedOn w:val="DefaultParagraphFont"/>
    <w:link w:val="BulletHeading"/>
    <w:rsid w:val="006E4417"/>
    <w:rPr>
      <w:rFonts w:ascii="Arial" w:eastAsia="Times New Roman" w:hAnsi="Arial" w:cs="Arial"/>
      <w:b/>
      <w:color w:val="2F2F2F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E13C22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42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-waivers@bankofengland.co.uk" TargetMode="External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ETwoLevelApprovalUnapprovedUrls xmlns="75afd6ce-d5e2-450c-a4ec-ac3847b33ee0" xsi:nil="true"/>
    <BOEReplicationFlag xmlns="http://schemas.microsoft.com/sharepoint/v3">0</BOEReplicationFlag>
    <BOEReplicateBackwardLinksOnDeployFlag xmlns="http://schemas.microsoft.com/sharepoint/v3">false</BOEReplicateBackwardLinksOnDeployFlag>
    <PublishDate xmlns="http://schemas.microsoft.com/sharepoint/v3" xsi:nil="true"/>
    <BOETaxonomyFieldTaxHTField0 xmlns="75afd6ce-d5e2-450c-a4ec-ac3847b33ee0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PRA</TermName>
          <TermId xmlns="http://schemas.microsoft.com/office/infopath/2007/PartnerControls">3ace8b48-457a-4b41-98f4-9f2cd1965516</TermId>
        </TermInfo>
      </Terms>
    </BOETaxonomyFieldTaxHTField0>
    <PublishingExpirationDate xmlns="http://schemas.microsoft.com/sharepoint/v3" xsi:nil="true"/>
    <IncludeContentsInIndex xmlns="http://schemas.microsoft.com/sharepoint/v3">true</IncludeContentsInIndex>
    <PublishingStartDate xmlns="http://schemas.microsoft.com/sharepoint/v3" xsi:nil="true"/>
    <BOEKeywords xmlns="http://schemas.microsoft.com/sharepoint/v3/fields" xsi:nil="true"/>
    <OwnerGroup xmlns="http://schemas.microsoft.com/sharepoint/v3">
      <UserInfo>
        <DisplayName/>
        <AccountId>799</AccountId>
        <AccountType/>
      </UserInfo>
    </OwnerGroup>
    <BOEApprovalStatus xmlns="http://schemas.microsoft.com/sharepoint/v3">Level 2 Approved</BOEApprovalStatus>
    <BOESummaryText xmlns="http://schemas.microsoft.com/sharepoint/v3" xsi:nil="true"/>
    <ArchivalChoice xmlns="http://schemas.microsoft.com/sharepoint/v3">5 Years</ArchivalChoice>
    <ArchivalDate xmlns="http://schemas.microsoft.com/sharepoint/v3">2020-03-17T16:27:23+00:00</ArchivalDate>
    <ApprovedBy xmlns="http://schemas.microsoft.com/sharepoint/v3">
      <UserInfo>
        <DisplayName>Webster, Tom</DisplayName>
        <AccountId>954</AccountId>
        <AccountType/>
      </UserInfo>
    </ApprovedBy>
    <PublishedBy xmlns="http://schemas.microsoft.com/sharepoint/v3">
      <UserInfo>
        <DisplayName>Wells, Lauren</DisplayName>
        <AccountId>420</AccountId>
        <AccountType/>
      </UserInfo>
    </PublishedBy>
    <TaxCatchAll xmlns="a5edd0e9-353e-4089-bcbc-d9218926e91f">
      <Value>1155</Value>
    </TaxCatchAll>
    <ContentReviewDate xmlns="http://schemas.microsoft.com/sharepoint/v3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442493410834AB5B972D151A2D9E4" ma:contentTypeVersion="462" ma:contentTypeDescription="Create a new document." ma:contentTypeScope="" ma:versionID="20c9908aea6308964edab0d42e6d8083">
  <xsd:schema xmlns:xsd="http://www.w3.org/2001/XMLSchema" xmlns:xs="http://www.w3.org/2001/XMLSchema" xmlns:p="http://schemas.microsoft.com/office/2006/metadata/properties" xmlns:ns1="http://schemas.microsoft.com/sharepoint/v3" xmlns:ns2="75afd6ce-d5e2-450c-a4ec-ac3847b33ee0" xmlns:ns3="a5edd0e9-353e-4089-bcbc-d9218926e91f" xmlns:ns4="A5EDD0E9-353E-4089-BCBC-D9218926E91F" xmlns:ns5="http://schemas.microsoft.com/sharepoint/v3/fields" targetNamespace="http://schemas.microsoft.com/office/2006/metadata/properties" ma:root="true" ma:fieldsID="93b0a7837ecb2a35b9f96dc09050cb64" ns1:_="" ns2:_="" ns3:_="" ns4:_="" ns5:_="">
    <xsd:import namespace="http://schemas.microsoft.com/sharepoint/v3"/>
    <xsd:import namespace="75afd6ce-d5e2-450c-a4ec-ac3847b33ee0"/>
    <xsd:import namespace="a5edd0e9-353e-4089-bcbc-d9218926e91f"/>
    <xsd:import namespace="A5EDD0E9-353E-4089-BCBC-D9218926E91F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1:PublishDate" minOccurs="0"/>
                <xsd:element ref="ns1:OwnerGroup"/>
                <xsd:element ref="ns2:BOETaxonomyFieldTaxHTField0" minOccurs="0"/>
                <xsd:element ref="ns3:TaxCatchAll" minOccurs="0"/>
                <xsd:element ref="ns4:TaxCatchAllLabel" minOccurs="0"/>
                <xsd:element ref="ns5:BOEKeywords" minOccurs="0"/>
                <xsd:element ref="ns1:BOESummaryText" minOccurs="0"/>
                <xsd:element ref="ns1:IncludeContentsInIndex" minOccurs="0"/>
                <xsd:element ref="ns1:BOEApprovalStatus" minOccurs="0"/>
                <xsd:element ref="ns2:BOETwoLevelApprovalUnapprovedUrls" minOccurs="0"/>
                <xsd:element ref="ns1:ApprovedBy" minOccurs="0"/>
                <xsd:element ref="ns1:PublishedBy" minOccurs="0"/>
                <xsd:element ref="ns1:ArchivalDate" minOccurs="0"/>
                <xsd:element ref="ns1:ArchivalChoice"/>
                <xsd:element ref="ns1:BOEReplicationFlag" minOccurs="0"/>
                <xsd:element ref="ns1:BOEReplicateBackwardLinksOnDeployFlag" minOccurs="0"/>
                <xsd:element ref="ns1:ContentReviewDat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  <xsd:element name="PublishDate" ma:index="10" nillable="true" ma:displayName="Publication Date" ma:format="DateOnly" ma:internalName="PublishDate">
      <xsd:simpleType>
        <xsd:restriction base="dms:DateTime"/>
      </xsd:simpleType>
    </xsd:element>
    <xsd:element name="OwnerGroup" ma:index="11" ma:displayName="Owner Group" ma:list="UserInfo" ma:SearchPeopleOnly="false" ma:internalName="OwnerGroup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OESummaryText" ma:index="17" nillable="true" ma:displayName="Summary Text" ma:internalName="BOESummaryText" ma:readOnly="false">
      <xsd:simpleType>
        <xsd:restriction base="dms:Note">
          <xsd:maxLength value="255"/>
        </xsd:restriction>
      </xsd:simpleType>
    </xsd:element>
    <xsd:element name="IncludeContentsInIndex" ma:index="18" nillable="true" ma:displayName="Make Content Searchable" ma:default="1" ma:description="" ma:internalName="IncludeContentsInIndex">
      <xsd:simpleType>
        <xsd:restriction base="dms:Boolean"/>
      </xsd:simpleType>
    </xsd:element>
    <xsd:element name="BOEApprovalStatus" ma:index="19" nillable="true" ma:displayName="2 Stage Approval Status" ma:default="Pending Approval" ma:internalName="BOEApprovalStatus">
      <xsd:simpleType>
        <xsd:restriction base="dms:Choice">
          <xsd:enumeration value="Pending Approval"/>
          <xsd:enumeration value="Level 1 Approved"/>
          <xsd:enumeration value="Level 1 Rejected"/>
          <xsd:enumeration value="Level 2 Approved"/>
          <xsd:enumeration value="Level 2 Rejected"/>
        </xsd:restriction>
      </xsd:simpleType>
    </xsd:element>
    <xsd:element name="ApprovedBy" ma:index="21" nillable="true" ma:displayName="Approved By" ma:list="UserInfo" ma:internalName="Approved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edBy" ma:index="22" nillable="true" ma:displayName="Published By" ma:list="UserInfo" ma:internalName="Published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rchivalDate" ma:index="23" nillable="true" ma:displayName="Archival Date" ma:format="DateOnly" ma:internalName="ArchivalDate" ma:readOnly="false">
      <xsd:simpleType>
        <xsd:restriction base="dms:DateTime"/>
      </xsd:simpleType>
    </xsd:element>
    <xsd:element name="ArchivalChoice" ma:index="24" ma:displayName="Archive In" ma:default="3 Years" ma:internalName="ArchivalChoice" ma:readOnly="false">
      <xsd:simpleType>
        <xsd:restriction base="dms:Choice">
          <xsd:enumeration value="3 Months"/>
          <xsd:enumeration value="6 Months"/>
          <xsd:enumeration value="1 Year"/>
          <xsd:enumeration value="2 Years"/>
          <xsd:enumeration value="3 Years"/>
          <xsd:enumeration value="4 Years"/>
          <xsd:enumeration value="5 Years"/>
        </xsd:restriction>
      </xsd:simpleType>
    </xsd:element>
    <xsd:element name="BOEReplicationFlag" ma:index="25" nillable="true" ma:displayName="Replicated" ma:default="1" ma:internalName="Replicated">
      <xsd:simpleType>
        <xsd:restriction base="dms:Text"/>
      </xsd:simpleType>
    </xsd:element>
    <xsd:element name="BOEReplicateBackwardLinksOnDeployFlag" ma:index="26" nillable="true" ma:displayName="Replicate Backward Links On Deploy" ma:default="0" ma:internalName="Replicate_x0020_Backward_x0020_Links_x0020_On_x0020_Deploy" ma:readOnly="false">
      <xsd:simpleType>
        <xsd:restriction base="dms:Boolean"/>
      </xsd:simpleType>
    </xsd:element>
    <xsd:element name="ContentReviewDate" ma:index="27" ma:displayName="Content Review Date" ma:internalName="ContentReview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fd6ce-d5e2-450c-a4ec-ac3847b33ee0" elementFormDefault="qualified">
    <xsd:import namespace="http://schemas.microsoft.com/office/2006/documentManagement/types"/>
    <xsd:import namespace="http://schemas.microsoft.com/office/infopath/2007/PartnerControls"/>
    <xsd:element name="BOETaxonomyFieldTaxHTField0" ma:index="13" ma:taxonomy="true" ma:internalName="BOETaxonomyFieldTaxHTField0" ma:taxonomyFieldName="BOETaxonomyField" ma:displayName="Taxonomy" ma:default="" ma:fieldId="{8d0458c1-0fb7-4981-bee1-52d0df01895c}" ma:taxonomyMulti="true" ma:sspId="8879b917-e261-45cf-a9d8-7a379b5709b9" ma:termSetId="f722e845-53bc-4304-a021-71ff6897438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OETwoLevelApprovalUnapprovedUrls" ma:index="20" nillable="true" ma:displayName="Unapproved Urls" ma:internalName="BOETwoLevelApprovalUnapprovedUrl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dd0e9-353e-4089-bcbc-d9218926e9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description="" ma:hidden="true" ma:list="{24e5fe3a-2481-4c14-85cb-2566c1d518d1}" ma:internalName="TaxCatchAll" ma:showField="CatchAllData" ma:web="a5edd0e9-353e-4089-bcbc-d9218926e9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DD0E9-353E-4089-BCBC-D9218926E91F" elementFormDefault="qualified">
    <xsd:import namespace="http://schemas.microsoft.com/office/2006/documentManagement/types"/>
    <xsd:import namespace="http://schemas.microsoft.com/office/infopath/2007/PartnerControls"/>
    <xsd:element name="TaxCatchAllLabel" ma:index="15" nillable="true" ma:displayName="Taxonomy Catch All Column1" ma:hidden="true" ma:list="{24e5fe3a-2481-4c14-85cb-2566c1d518d1}" ma:internalName="TaxCatchAllLabel" ma:readOnly="true" ma:showField="CatchAllDataLabel" ma:web="a5edd0e9-353e-4089-bcbc-d9218926e9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BOEKeywords" ma:index="16" nillable="true" ma:displayName="Keywords" ma:hidden="true" ma:internalName="BOEKeywords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E88776-EFC5-4466-B01C-CFE6C11D036D}"/>
</file>

<file path=customXml/itemProps2.xml><?xml version="1.0" encoding="utf-8"?>
<ds:datastoreItem xmlns:ds="http://schemas.openxmlformats.org/officeDocument/2006/customXml" ds:itemID="{68441ACA-234B-45E0-8A64-69CF1E5ED4F2}"/>
</file>

<file path=customXml/itemProps3.xml><?xml version="1.0" encoding="utf-8"?>
<ds:datastoreItem xmlns:ds="http://schemas.openxmlformats.org/officeDocument/2006/customXml" ds:itemID="{E4AC6102-6769-484D-999B-59FF8CA7CA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England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information for applications for non-disclosure of information in the solvency and financial condition report </dc:title>
  <dc:subject/>
  <dc:creator>Venables, Terrence</dc:creator>
  <cp:keywords/>
  <dc:description/>
  <cp:lastModifiedBy>Philbey, Nicola</cp:lastModifiedBy>
  <cp:revision>42</cp:revision>
  <cp:lastPrinted>2015-03-17T12:01:00Z</cp:lastPrinted>
  <dcterms:created xsi:type="dcterms:W3CDTF">2014-09-23T14:54:00Z</dcterms:created>
  <dcterms:modified xsi:type="dcterms:W3CDTF">2015-03-17T10:32:00Z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Ref">
    <vt:lpwstr>PRA 2475510</vt:lpwstr>
  </property>
  <property fmtid="{D5CDD505-2E9C-101B-9397-08002B2CF9AE}" pid="3" name="DocVer">
    <vt:lpwstr>PRA 2475510v1</vt:lpwstr>
  </property>
  <property fmtid="{D5CDD505-2E9C-101B-9397-08002B2CF9AE}" pid="4" name="ContentTypeId">
    <vt:lpwstr>0x01010071F442493410834AB5B972D151A2D9E4</vt:lpwstr>
  </property>
  <property fmtid="{D5CDD505-2E9C-101B-9397-08002B2CF9AE}" pid="5" name="BOETaxonomyField">
    <vt:lpwstr>1155;#PRA|3ace8b48-457a-4b41-98f4-9f2cd1965516</vt:lpwstr>
  </property>
  <property fmtid="{D5CDD505-2E9C-101B-9397-08002B2CF9AE}" pid="6" name="Order">
    <vt:r8>796700</vt:r8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PublicationReviewalChoice">
    <vt:lpwstr>12 Months</vt:lpwstr>
  </property>
  <property fmtid="{D5CDD505-2E9C-101B-9397-08002B2CF9AE}" pid="12" name="ReviewalDate">
    <vt:filetime>2016-03-17T16:27:23Z</vt:filetime>
  </property>
</Properties>
</file>