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45" w:rsidRDefault="00FC5245" w:rsidP="00125396">
      <w:pPr>
        <w:rPr>
          <w:rFonts w:ascii="Arial" w:hAnsi="Arial" w:cs="Arial"/>
          <w:b/>
          <w:bCs/>
          <w:sz w:val="28"/>
          <w:szCs w:val="28"/>
        </w:rPr>
      </w:pPr>
    </w:p>
    <w:p w:rsidR="007859D4" w:rsidRPr="00FC5245" w:rsidRDefault="008C0DF1" w:rsidP="007859D4">
      <w:pPr>
        <w:rPr>
          <w:rFonts w:ascii="Arial" w:hAnsi="Arial" w:cs="Arial"/>
          <w:b/>
          <w:sz w:val="28"/>
          <w:szCs w:val="28"/>
        </w:rPr>
      </w:pPr>
      <w:r>
        <w:rPr>
          <w:rFonts w:ascii="Arial" w:hAnsi="Arial" w:cs="Arial"/>
          <w:b/>
          <w:bCs/>
          <w:sz w:val="28"/>
          <w:szCs w:val="28"/>
        </w:rPr>
        <w:t>Supplementary information for applications relating to g</w:t>
      </w:r>
      <w:r w:rsidR="004B4AAB">
        <w:rPr>
          <w:rFonts w:ascii="Arial" w:hAnsi="Arial" w:cs="Arial"/>
          <w:b/>
          <w:bCs/>
          <w:sz w:val="28"/>
          <w:szCs w:val="28"/>
        </w:rPr>
        <w:t>roup solvency calculation m</w:t>
      </w:r>
      <w:r w:rsidR="001C5623">
        <w:rPr>
          <w:rFonts w:ascii="Arial" w:hAnsi="Arial" w:cs="Arial"/>
          <w:b/>
          <w:bCs/>
          <w:sz w:val="28"/>
          <w:szCs w:val="28"/>
        </w:rPr>
        <w:t>ethod</w:t>
      </w:r>
      <w:r w:rsidR="00A3627D" w:rsidRPr="002F1E70">
        <w:rPr>
          <w:rFonts w:ascii="Arial" w:hAnsi="Arial" w:cs="Arial"/>
          <w:b/>
          <w:sz w:val="28"/>
          <w:szCs w:val="28"/>
        </w:rPr>
        <w:t xml:space="preserve"> </w:t>
      </w:r>
    </w:p>
    <w:p w:rsidR="001C5623" w:rsidRPr="007859D4" w:rsidRDefault="001C5623" w:rsidP="007859D4">
      <w:pPr>
        <w:rPr>
          <w:rFonts w:ascii="Arial" w:hAnsi="Arial" w:cs="Arial"/>
        </w:rPr>
      </w:pPr>
    </w:p>
    <w:tbl>
      <w:tblPr>
        <w:tblW w:w="8755" w:type="dxa"/>
        <w:tblLayout w:type="fixed"/>
        <w:tblLook w:val="0000" w:firstRow="0" w:lastRow="0" w:firstColumn="0" w:lastColumn="0" w:noHBand="0" w:noVBand="0"/>
      </w:tblPr>
      <w:tblGrid>
        <w:gridCol w:w="108"/>
        <w:gridCol w:w="2835"/>
        <w:gridCol w:w="3402"/>
        <w:gridCol w:w="2410"/>
      </w:tblGrid>
      <w:tr w:rsidR="00C76CFF" w:rsidRPr="00C76CFF" w:rsidTr="00BF7A97">
        <w:trPr>
          <w:gridBefore w:val="1"/>
          <w:wBefore w:w="108" w:type="dxa"/>
          <w:cantSplit/>
          <w:trHeight w:val="576"/>
        </w:trPr>
        <w:tc>
          <w:tcPr>
            <w:tcW w:w="2835" w:type="dxa"/>
            <w:tcBorders>
              <w:top w:val="single" w:sz="48" w:space="0" w:color="FFFFFF"/>
              <w:bottom w:val="single" w:sz="48" w:space="0" w:color="FFFFFF"/>
            </w:tcBorders>
            <w:vAlign w:val="center"/>
          </w:tcPr>
          <w:p w:rsidR="00C76CFF" w:rsidRPr="00C76CFF" w:rsidRDefault="00C76CFF" w:rsidP="00BF7A97">
            <w:pPr>
              <w:spacing w:after="120" w:line="240" w:lineRule="auto"/>
              <w:rPr>
                <w:rFonts w:ascii="Arial" w:eastAsia="Times New Roman" w:hAnsi="Arial" w:cs="Arial"/>
                <w:snapToGrid w:val="0"/>
                <w:color w:val="000000"/>
              </w:rPr>
            </w:pPr>
          </w:p>
          <w:p w:rsidR="00C76CFF" w:rsidRPr="00C76CFF" w:rsidRDefault="00C76CFF" w:rsidP="00BF7A97">
            <w:pPr>
              <w:spacing w:after="120" w:line="240" w:lineRule="auto"/>
              <w:rPr>
                <w:rFonts w:ascii="Arial" w:eastAsia="Times New Roman" w:hAnsi="Arial" w:cs="Arial"/>
                <w:snapToGrid w:val="0"/>
                <w:color w:val="000000"/>
              </w:rPr>
            </w:pPr>
            <w:r w:rsidRPr="00C76CFF">
              <w:rPr>
                <w:rFonts w:ascii="Arial" w:eastAsia="Times New Roman" w:hAnsi="Arial" w:cs="Arial"/>
                <w:snapToGrid w:val="0"/>
                <w:color w:val="000000"/>
              </w:rPr>
              <w:t>Group name</w:t>
            </w:r>
          </w:p>
        </w:tc>
        <w:tc>
          <w:tcPr>
            <w:tcW w:w="5812" w:type="dxa"/>
            <w:gridSpan w:val="2"/>
            <w:tcBorders>
              <w:top w:val="single" w:sz="48" w:space="0" w:color="FFFFFF"/>
              <w:bottom w:val="single" w:sz="48" w:space="0" w:color="FFFFFF"/>
            </w:tcBorders>
            <w:shd w:val="pct10" w:color="000000" w:fill="FFFFFF"/>
            <w:vAlign w:val="center"/>
          </w:tcPr>
          <w:p w:rsidR="00C76CFF" w:rsidRPr="00C76CFF" w:rsidRDefault="00C76CFF" w:rsidP="00BF7A97">
            <w:pPr>
              <w:spacing w:after="120" w:line="240" w:lineRule="auto"/>
              <w:rPr>
                <w:rFonts w:ascii="Arial" w:eastAsia="Times New Roman" w:hAnsi="Arial" w:cs="Arial"/>
                <w:b/>
                <w:snapToGrid w:val="0"/>
                <w:color w:val="000000"/>
              </w:rPr>
            </w:pPr>
            <w:r w:rsidRPr="00C76CFF">
              <w:rPr>
                <w:rFonts w:ascii="Arial" w:eastAsia="Times New Roman" w:hAnsi="Arial" w:cs="Arial"/>
                <w:b/>
                <w:noProof/>
                <w:snapToGrid w:val="0"/>
                <w:color w:val="000000"/>
              </w:rPr>
              <w:t xml:space="preserve">     </w:t>
            </w:r>
          </w:p>
        </w:tc>
      </w:tr>
      <w:tr w:rsidR="00C76CFF" w:rsidRPr="00C76CFF" w:rsidTr="00BF7A97">
        <w:trPr>
          <w:gridBefore w:val="1"/>
          <w:wBefore w:w="108" w:type="dxa"/>
          <w:cantSplit/>
          <w:trHeight w:val="576"/>
        </w:trPr>
        <w:tc>
          <w:tcPr>
            <w:tcW w:w="2835" w:type="dxa"/>
            <w:tcBorders>
              <w:top w:val="single" w:sz="48" w:space="0" w:color="FFFFFF"/>
              <w:bottom w:val="single" w:sz="48" w:space="0" w:color="FFFFFF"/>
            </w:tcBorders>
            <w:vAlign w:val="center"/>
          </w:tcPr>
          <w:p w:rsidR="00C76CFF" w:rsidRPr="00C76CFF" w:rsidRDefault="00C76CFF" w:rsidP="00BF7A97">
            <w:pPr>
              <w:spacing w:after="120" w:line="240" w:lineRule="auto"/>
              <w:rPr>
                <w:rFonts w:ascii="Arial" w:eastAsia="Times New Roman" w:hAnsi="Arial" w:cs="Arial"/>
                <w:snapToGrid w:val="0"/>
              </w:rPr>
            </w:pPr>
            <w:r w:rsidRPr="00C76CFF">
              <w:rPr>
                <w:rFonts w:ascii="Arial" w:eastAsia="Times New Roman" w:hAnsi="Arial" w:cs="Arial"/>
                <w:snapToGrid w:val="0"/>
              </w:rPr>
              <w:t>Firm reference number (if applicable)</w:t>
            </w:r>
          </w:p>
        </w:tc>
        <w:tc>
          <w:tcPr>
            <w:tcW w:w="5812" w:type="dxa"/>
            <w:gridSpan w:val="2"/>
            <w:tcBorders>
              <w:top w:val="single" w:sz="48" w:space="0" w:color="FFFFFF"/>
              <w:bottom w:val="single" w:sz="48" w:space="0" w:color="FFFFFF"/>
            </w:tcBorders>
            <w:shd w:val="pct10" w:color="000000" w:fill="FFFFFF"/>
            <w:vAlign w:val="center"/>
          </w:tcPr>
          <w:p w:rsidR="00C76CFF" w:rsidRPr="00C76CFF" w:rsidRDefault="00C76CFF" w:rsidP="00BF7A97">
            <w:pPr>
              <w:spacing w:after="120" w:line="240" w:lineRule="auto"/>
              <w:rPr>
                <w:rFonts w:ascii="Arial" w:eastAsia="Times New Roman" w:hAnsi="Arial" w:cs="Arial"/>
                <w:snapToGrid w:val="0"/>
                <w:color w:val="000000"/>
              </w:rPr>
            </w:pPr>
            <w:r w:rsidRPr="00C76CFF">
              <w:rPr>
                <w:rFonts w:ascii="Arial" w:eastAsia="Times New Roman" w:hAnsi="Arial" w:cs="Arial"/>
                <w:noProof/>
                <w:snapToGrid w:val="0"/>
                <w:color w:val="000000"/>
              </w:rPr>
              <w:t xml:space="preserve">     </w:t>
            </w:r>
          </w:p>
        </w:tc>
      </w:tr>
      <w:tr w:rsidR="00C76CFF" w:rsidRPr="00C76CFF" w:rsidTr="00BF7A97">
        <w:trPr>
          <w:gridBefore w:val="1"/>
          <w:wBefore w:w="108" w:type="dxa"/>
          <w:cantSplit/>
          <w:trHeight w:val="576"/>
        </w:trPr>
        <w:tc>
          <w:tcPr>
            <w:tcW w:w="2835" w:type="dxa"/>
            <w:tcBorders>
              <w:top w:val="single" w:sz="48" w:space="0" w:color="FFFFFF"/>
              <w:bottom w:val="single" w:sz="48" w:space="0" w:color="FFFFFF"/>
            </w:tcBorders>
            <w:vAlign w:val="center"/>
          </w:tcPr>
          <w:p w:rsidR="00C76CFF" w:rsidRPr="00C76CFF" w:rsidRDefault="00C76CFF" w:rsidP="00BF7A97">
            <w:pPr>
              <w:spacing w:after="120" w:line="240" w:lineRule="auto"/>
              <w:rPr>
                <w:rFonts w:ascii="Arial" w:eastAsia="Times New Roman" w:hAnsi="Arial" w:cs="Arial"/>
                <w:snapToGrid w:val="0"/>
              </w:rPr>
            </w:pPr>
            <w:r w:rsidRPr="00C76CFF">
              <w:rPr>
                <w:rFonts w:ascii="Arial" w:eastAsia="Times New Roman" w:hAnsi="Arial" w:cs="Arial"/>
                <w:snapToGrid w:val="0"/>
              </w:rPr>
              <w:t>Date of application</w:t>
            </w:r>
          </w:p>
        </w:tc>
        <w:tc>
          <w:tcPr>
            <w:tcW w:w="5812" w:type="dxa"/>
            <w:gridSpan w:val="2"/>
            <w:tcBorders>
              <w:top w:val="single" w:sz="48" w:space="0" w:color="FFFFFF"/>
              <w:bottom w:val="single" w:sz="48" w:space="0" w:color="FFFFFF"/>
            </w:tcBorders>
            <w:shd w:val="pct10" w:color="000000" w:fill="FFFFFF"/>
            <w:vAlign w:val="center"/>
          </w:tcPr>
          <w:p w:rsidR="00C76CFF" w:rsidRPr="00C76CFF" w:rsidRDefault="00C76CFF" w:rsidP="00BF7A97">
            <w:pPr>
              <w:spacing w:after="120" w:line="240" w:lineRule="auto"/>
              <w:rPr>
                <w:rFonts w:ascii="Arial" w:eastAsia="Times New Roman" w:hAnsi="Arial" w:cs="Arial"/>
                <w:noProof/>
                <w:snapToGrid w:val="0"/>
                <w:color w:val="000000"/>
              </w:rPr>
            </w:pPr>
          </w:p>
        </w:tc>
      </w:tr>
      <w:tr w:rsidR="00C76CFF" w:rsidRPr="00C76CFF" w:rsidTr="00BF7A97">
        <w:trPr>
          <w:gridBefore w:val="1"/>
          <w:wBefore w:w="108" w:type="dxa"/>
          <w:cantSplit/>
          <w:trHeight w:val="576"/>
        </w:trPr>
        <w:tc>
          <w:tcPr>
            <w:tcW w:w="2835" w:type="dxa"/>
            <w:tcBorders>
              <w:top w:val="single" w:sz="48" w:space="0" w:color="FFFFFF"/>
              <w:bottom w:val="single" w:sz="48" w:space="0" w:color="FFFFFF"/>
            </w:tcBorders>
          </w:tcPr>
          <w:p w:rsidR="00C76CFF" w:rsidRPr="00C76CFF" w:rsidRDefault="00C76CFF" w:rsidP="00BF7A97">
            <w:pPr>
              <w:spacing w:after="120" w:line="240" w:lineRule="auto"/>
              <w:rPr>
                <w:rFonts w:ascii="Arial" w:eastAsia="Times New Roman" w:hAnsi="Arial" w:cs="Arial"/>
                <w:snapToGrid w:val="0"/>
                <w:color w:val="000000"/>
              </w:rPr>
            </w:pPr>
            <w:r w:rsidRPr="00C76CFF">
              <w:rPr>
                <w:rFonts w:ascii="Arial" w:eastAsia="Times New Roman" w:hAnsi="Arial" w:cs="Arial"/>
                <w:snapToGrid w:val="0"/>
                <w:color w:val="000000"/>
              </w:rPr>
              <w:t>Address</w:t>
            </w:r>
          </w:p>
        </w:tc>
        <w:tc>
          <w:tcPr>
            <w:tcW w:w="5812" w:type="dxa"/>
            <w:gridSpan w:val="2"/>
            <w:tcBorders>
              <w:top w:val="single" w:sz="48" w:space="0" w:color="FFFFFF"/>
              <w:bottom w:val="single" w:sz="48" w:space="0" w:color="FFFFFF"/>
            </w:tcBorders>
            <w:shd w:val="pct10" w:color="000000" w:fill="FFFFFF"/>
            <w:vAlign w:val="center"/>
          </w:tcPr>
          <w:p w:rsidR="00C76CFF" w:rsidRPr="00C76CFF" w:rsidRDefault="00C76CFF" w:rsidP="00BF7A97">
            <w:pPr>
              <w:spacing w:after="120" w:line="240" w:lineRule="atLeast"/>
              <w:rPr>
                <w:rFonts w:ascii="Arial" w:eastAsia="Times New Roman" w:hAnsi="Arial" w:cs="Arial"/>
                <w:snapToGrid w:val="0"/>
                <w:color w:val="000000"/>
              </w:rPr>
            </w:pPr>
            <w:r w:rsidRPr="00C76CFF">
              <w:rPr>
                <w:rFonts w:ascii="Arial" w:eastAsia="Times New Roman" w:hAnsi="Arial" w:cs="Arial"/>
                <w:noProof/>
                <w:snapToGrid w:val="0"/>
                <w:color w:val="000000"/>
              </w:rPr>
              <w:t xml:space="preserve">     </w:t>
            </w:r>
          </w:p>
          <w:p w:rsidR="00C76CFF" w:rsidRPr="00C76CFF" w:rsidRDefault="00C76CFF" w:rsidP="00BF7A97">
            <w:pPr>
              <w:spacing w:after="120" w:line="240" w:lineRule="atLeast"/>
              <w:rPr>
                <w:rFonts w:ascii="Arial" w:eastAsia="Times New Roman" w:hAnsi="Arial" w:cs="Arial"/>
                <w:snapToGrid w:val="0"/>
                <w:color w:val="000000"/>
              </w:rPr>
            </w:pPr>
          </w:p>
          <w:p w:rsidR="00C76CFF" w:rsidRPr="00C76CFF" w:rsidRDefault="00C76CFF" w:rsidP="00BF7A97">
            <w:pPr>
              <w:spacing w:after="120" w:line="240" w:lineRule="atLeast"/>
              <w:rPr>
                <w:rFonts w:ascii="Arial" w:eastAsia="Times New Roman" w:hAnsi="Arial" w:cs="Arial"/>
                <w:snapToGrid w:val="0"/>
                <w:color w:val="000000"/>
              </w:rPr>
            </w:pPr>
          </w:p>
        </w:tc>
      </w:tr>
      <w:tr w:rsidR="00C76CFF" w:rsidRPr="00C76CFF" w:rsidTr="00BF7A97">
        <w:tblPrEx>
          <w:tblLook w:val="01E0" w:firstRow="1" w:lastRow="1" w:firstColumn="1" w:lastColumn="1" w:noHBand="0" w:noVBand="0"/>
        </w:tblPrEx>
        <w:tc>
          <w:tcPr>
            <w:tcW w:w="6345" w:type="dxa"/>
            <w:gridSpan w:val="3"/>
          </w:tcPr>
          <w:p w:rsidR="00C76CFF" w:rsidRPr="00C76CFF" w:rsidRDefault="00C76CFF" w:rsidP="00BF7A97">
            <w:pPr>
              <w:pStyle w:val="FormCode"/>
              <w:spacing w:before="0" w:after="0"/>
              <w:jc w:val="right"/>
              <w:rPr>
                <w:rFonts w:cs="Arial"/>
                <w:sz w:val="22"/>
                <w:szCs w:val="22"/>
              </w:rPr>
            </w:pPr>
            <w:r w:rsidRPr="00C76CFF">
              <w:rPr>
                <w:rFonts w:cs="Arial"/>
                <w:sz w:val="22"/>
                <w:szCs w:val="22"/>
              </w:rPr>
              <w:t>Application number</w:t>
            </w:r>
          </w:p>
          <w:p w:rsidR="00C76CFF" w:rsidRPr="00C76CFF" w:rsidRDefault="00C76CFF" w:rsidP="00BF7A97">
            <w:pPr>
              <w:pStyle w:val="FormCode"/>
              <w:spacing w:before="0" w:after="0"/>
              <w:jc w:val="right"/>
              <w:rPr>
                <w:rFonts w:cs="Arial"/>
                <w:sz w:val="22"/>
                <w:szCs w:val="22"/>
              </w:rPr>
            </w:pPr>
            <w:r w:rsidRPr="00C76CFF">
              <w:rPr>
                <w:rFonts w:cs="Arial"/>
                <w:sz w:val="22"/>
                <w:szCs w:val="22"/>
              </w:rPr>
              <w:t>(for PRA use only)</w:t>
            </w:r>
          </w:p>
        </w:tc>
        <w:tc>
          <w:tcPr>
            <w:tcW w:w="2410" w:type="dxa"/>
            <w:shd w:val="clear" w:color="auto" w:fill="E6E6E6"/>
          </w:tcPr>
          <w:p w:rsidR="00C76CFF" w:rsidRPr="00C76CFF" w:rsidRDefault="00C76CFF" w:rsidP="00BF7A97">
            <w:pPr>
              <w:pStyle w:val="FormCode"/>
              <w:jc w:val="left"/>
              <w:rPr>
                <w:rFonts w:cs="Arial"/>
                <w:sz w:val="22"/>
                <w:szCs w:val="22"/>
              </w:rPr>
            </w:pPr>
          </w:p>
        </w:tc>
      </w:tr>
    </w:tbl>
    <w:p w:rsidR="006E4417" w:rsidRPr="00C76CFF" w:rsidRDefault="006E4417">
      <w:pPr>
        <w:rPr>
          <w:rFonts w:ascii="Arial" w:hAnsi="Arial" w:cs="Arial"/>
          <w:b/>
        </w:rPr>
      </w:pPr>
    </w:p>
    <w:p w:rsidR="00C76CFF" w:rsidRPr="00C76CFF" w:rsidRDefault="001C5623" w:rsidP="00C76CFF">
      <w:pPr>
        <w:spacing w:after="0"/>
        <w:rPr>
          <w:rFonts w:ascii="Arial" w:hAnsi="Arial" w:cs="Arial"/>
        </w:rPr>
      </w:pPr>
      <w:r w:rsidRPr="00C76CFF">
        <w:rPr>
          <w:rFonts w:ascii="Arial" w:hAnsi="Arial" w:cs="Arial"/>
        </w:rPr>
        <w:t>The information below should be submitted by firms to allow the PRA to cons</w:t>
      </w:r>
      <w:r w:rsidR="00C76CFF" w:rsidRPr="00C76CFF">
        <w:rPr>
          <w:rFonts w:ascii="Arial" w:hAnsi="Arial" w:cs="Arial"/>
        </w:rPr>
        <w:t>ider an application to use the deduction and a</w:t>
      </w:r>
      <w:r w:rsidRPr="00C76CFF">
        <w:rPr>
          <w:rFonts w:ascii="Arial" w:hAnsi="Arial" w:cs="Arial"/>
        </w:rPr>
        <w:t>ggregation method</w:t>
      </w:r>
      <w:r w:rsidR="00C76CFF" w:rsidRPr="00C76CFF">
        <w:rPr>
          <w:rFonts w:ascii="Arial" w:hAnsi="Arial" w:cs="Arial"/>
        </w:rPr>
        <w:t xml:space="preserve"> (</w:t>
      </w:r>
      <w:r w:rsidR="009526B3">
        <w:rPr>
          <w:rFonts w:ascii="Arial" w:hAnsi="Arial" w:cs="Arial"/>
        </w:rPr>
        <w:t>m</w:t>
      </w:r>
      <w:r w:rsidR="00C76CFF" w:rsidRPr="00C76CFF">
        <w:rPr>
          <w:rFonts w:ascii="Arial" w:hAnsi="Arial" w:cs="Arial"/>
        </w:rPr>
        <w:t>ethod 2 as set out in Article 233 of the Solvency II Directive)</w:t>
      </w:r>
      <w:r w:rsidRPr="00C76CFF">
        <w:rPr>
          <w:rFonts w:ascii="Arial" w:hAnsi="Arial" w:cs="Arial"/>
        </w:rPr>
        <w:t xml:space="preserve"> or a combination of methods instead of the Consolidation method</w:t>
      </w:r>
      <w:r w:rsidR="00C76CFF" w:rsidRPr="00C76CFF">
        <w:rPr>
          <w:rFonts w:ascii="Arial" w:hAnsi="Arial" w:cs="Arial"/>
        </w:rPr>
        <w:t xml:space="preserve"> (</w:t>
      </w:r>
      <w:r w:rsidR="009526B3">
        <w:rPr>
          <w:rFonts w:ascii="Arial" w:hAnsi="Arial" w:cs="Arial"/>
        </w:rPr>
        <w:t>m</w:t>
      </w:r>
      <w:r w:rsidR="00C76CFF" w:rsidRPr="00C76CFF">
        <w:rPr>
          <w:rFonts w:ascii="Arial" w:hAnsi="Arial" w:cs="Arial"/>
        </w:rPr>
        <w:t>ethod 1 as set out in Article 230 of the Solvency II Directive)</w:t>
      </w:r>
      <w:r w:rsidRPr="00C76CFF">
        <w:rPr>
          <w:rFonts w:ascii="Arial" w:hAnsi="Arial" w:cs="Arial"/>
        </w:rPr>
        <w:t xml:space="preserve">. </w:t>
      </w:r>
    </w:p>
    <w:p w:rsidR="00C76CFF" w:rsidRPr="00C76CFF" w:rsidRDefault="00C76CFF" w:rsidP="00C76CFF">
      <w:pPr>
        <w:spacing w:after="0"/>
        <w:rPr>
          <w:rFonts w:ascii="Arial" w:hAnsi="Arial" w:cs="Arial"/>
        </w:rPr>
      </w:pPr>
    </w:p>
    <w:p w:rsidR="00C76CFF" w:rsidRPr="00C76CFF" w:rsidRDefault="00C76CFF" w:rsidP="00C76CFF">
      <w:pPr>
        <w:spacing w:after="0"/>
        <w:rPr>
          <w:rFonts w:ascii="Arial" w:hAnsi="Arial" w:cs="Arial"/>
        </w:rPr>
      </w:pPr>
      <w:r w:rsidRPr="00C76CFF">
        <w:rPr>
          <w:rFonts w:ascii="Arial" w:hAnsi="Arial" w:cs="Arial"/>
        </w:rPr>
        <w:t xml:space="preserve">Firms should submit this information with the Solvency II waiver application form to </w:t>
      </w:r>
      <w:hyperlink r:id="rId9" w:history="1">
        <w:r w:rsidRPr="00C76CFF">
          <w:rPr>
            <w:rStyle w:val="Hyperlink"/>
            <w:rFonts w:ascii="Arial" w:hAnsi="Arial" w:cs="Arial"/>
          </w:rPr>
          <w:t>PRA-waivers@bankofengland.co.uk</w:t>
        </w:r>
      </w:hyperlink>
      <w:r w:rsidRPr="00C76CFF">
        <w:rPr>
          <w:rFonts w:ascii="Arial" w:hAnsi="Arial" w:cs="Arial"/>
        </w:rPr>
        <w:t xml:space="preserve">. </w:t>
      </w:r>
    </w:p>
    <w:p w:rsidR="001C5623" w:rsidRPr="00C76CFF" w:rsidRDefault="001C5623" w:rsidP="001C5623">
      <w:pPr>
        <w:spacing w:after="0"/>
        <w:jc w:val="both"/>
        <w:rPr>
          <w:rFonts w:ascii="Arial" w:hAnsi="Arial" w:cs="Arial"/>
        </w:rPr>
      </w:pPr>
    </w:p>
    <w:p w:rsidR="001C5623" w:rsidRDefault="001C5623" w:rsidP="001C5623">
      <w:pPr>
        <w:spacing w:after="0"/>
        <w:jc w:val="both"/>
        <w:rPr>
          <w:rFonts w:ascii="Arial" w:hAnsi="Arial" w:cs="Arial"/>
          <w:color w:val="000000"/>
        </w:rPr>
      </w:pPr>
      <w:r w:rsidRPr="00C76CFF">
        <w:rPr>
          <w:rFonts w:ascii="Arial" w:hAnsi="Arial" w:cs="Arial"/>
          <w:color w:val="000000"/>
        </w:rPr>
        <w:t xml:space="preserve">Please note that the </w:t>
      </w:r>
      <w:r w:rsidR="00C76CFF" w:rsidRPr="00C76CFF">
        <w:rPr>
          <w:rFonts w:ascii="Arial" w:hAnsi="Arial" w:cs="Arial"/>
          <w:color w:val="000000"/>
          <w:u w:val="single"/>
        </w:rPr>
        <w:t>g</w:t>
      </w:r>
      <w:r w:rsidRPr="00C76CFF">
        <w:rPr>
          <w:rFonts w:ascii="Arial" w:hAnsi="Arial" w:cs="Arial"/>
          <w:color w:val="000000"/>
          <w:u w:val="single"/>
        </w:rPr>
        <w:t>roup needs to make a separate application for each subsidiary</w:t>
      </w:r>
      <w:r w:rsidRPr="00C76CFF">
        <w:rPr>
          <w:rFonts w:ascii="Arial" w:hAnsi="Arial" w:cs="Arial"/>
          <w:color w:val="000000"/>
        </w:rPr>
        <w:t xml:space="preserve"> for which the </w:t>
      </w:r>
      <w:r w:rsidR="00C76CFF" w:rsidRPr="00C76CFF">
        <w:rPr>
          <w:rFonts w:ascii="Arial" w:hAnsi="Arial" w:cs="Arial"/>
          <w:color w:val="000000"/>
        </w:rPr>
        <w:t>g</w:t>
      </w:r>
      <w:r w:rsidRPr="00C76CFF">
        <w:rPr>
          <w:rFonts w:ascii="Arial" w:hAnsi="Arial" w:cs="Arial"/>
          <w:color w:val="000000"/>
        </w:rPr>
        <w:t xml:space="preserve">roup is looking to obtain </w:t>
      </w:r>
      <w:r w:rsidR="009526B3">
        <w:rPr>
          <w:rFonts w:ascii="Arial" w:hAnsi="Arial" w:cs="Arial"/>
          <w:color w:val="000000"/>
        </w:rPr>
        <w:t>m</w:t>
      </w:r>
      <w:r w:rsidRPr="00C76CFF">
        <w:rPr>
          <w:rFonts w:ascii="Arial" w:hAnsi="Arial" w:cs="Arial"/>
          <w:color w:val="000000"/>
        </w:rPr>
        <w:t xml:space="preserve">ethod 2 approval. Groups cannot apply for </w:t>
      </w:r>
      <w:r w:rsidR="009526B3">
        <w:rPr>
          <w:rFonts w:ascii="Arial" w:hAnsi="Arial" w:cs="Arial"/>
          <w:color w:val="000000"/>
        </w:rPr>
        <w:t>m</w:t>
      </w:r>
      <w:r w:rsidRPr="00C76CFF">
        <w:rPr>
          <w:rFonts w:ascii="Arial" w:hAnsi="Arial" w:cs="Arial"/>
          <w:color w:val="000000"/>
        </w:rPr>
        <w:t>ethod 2 approval at a subgroup/consolidated level.</w:t>
      </w:r>
    </w:p>
    <w:p w:rsidR="00C76CFF" w:rsidRPr="00C76CFF" w:rsidRDefault="00C76CFF" w:rsidP="001C5623">
      <w:pPr>
        <w:spacing w:after="0"/>
        <w:jc w:val="both"/>
        <w:rPr>
          <w:rFonts w:ascii="Arial" w:hAnsi="Arial" w:cs="Arial"/>
          <w:color w:val="000000"/>
        </w:rPr>
      </w:pPr>
    </w:p>
    <w:tbl>
      <w:tblPr>
        <w:tblStyle w:val="TableGrid"/>
        <w:tblW w:w="0" w:type="auto"/>
        <w:tblLayout w:type="fixed"/>
        <w:tblLook w:val="04A0" w:firstRow="1" w:lastRow="0" w:firstColumn="1" w:lastColumn="0" w:noHBand="0" w:noVBand="1"/>
      </w:tblPr>
      <w:tblGrid>
        <w:gridCol w:w="9242"/>
      </w:tblGrid>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jc w:val="both"/>
              <w:rPr>
                <w:rFonts w:ascii="Arial" w:hAnsi="Arial" w:cs="Arial"/>
              </w:rPr>
            </w:pPr>
            <w:r w:rsidRPr="00C76CFF">
              <w:rPr>
                <w:rFonts w:ascii="Arial" w:hAnsi="Arial" w:cs="Arial"/>
              </w:rPr>
              <w:t>General information on firm(s) seeking to use deduction and aggregation (method 2). This should include:</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Name of the firm</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 xml:space="preserve">Firm reference number </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Jurisdiction where the firm is authorised (please provide the jurisdiction, as per Articles 225 and 227(1) of Solvency II.)</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 xml:space="preserve">Authority which performs the prudential supervision of the firm </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Authority which has authorised the firm (if different from 1d)</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Organogram of the group, highlighting the firm(s) seeking to use method 2.</w:t>
            </w:r>
          </w:p>
        </w:tc>
      </w:tr>
      <w:tr w:rsidR="00C76CFF" w:rsidRPr="00C76CFF" w:rsidTr="009526B3">
        <w:trPr>
          <w:trHeight w:val="2670"/>
        </w:trPr>
        <w:tc>
          <w:tcPr>
            <w:tcW w:w="9242" w:type="dxa"/>
          </w:tcPr>
          <w:p w:rsidR="00C76CFF" w:rsidRPr="00C76CFF" w:rsidRDefault="00C76CFF" w:rsidP="004F6DD4">
            <w:pPr>
              <w:spacing w:after="120"/>
              <w:contextualSpacing/>
              <w:rPr>
                <w:rFonts w:ascii="Arial" w:hAnsi="Arial" w:cs="Arial"/>
                <w:i/>
              </w:rPr>
            </w:pPr>
          </w:p>
          <w:tbl>
            <w:tblPr>
              <w:tblStyle w:val="TableGrid"/>
              <w:tblW w:w="0" w:type="auto"/>
              <w:tblLayout w:type="fixed"/>
              <w:tblLook w:val="04A0" w:firstRow="1" w:lastRow="0" w:firstColumn="1" w:lastColumn="0" w:noHBand="0" w:noVBand="1"/>
            </w:tblPr>
            <w:tblGrid>
              <w:gridCol w:w="1413"/>
              <w:gridCol w:w="1559"/>
              <w:gridCol w:w="1559"/>
              <w:gridCol w:w="2113"/>
              <w:gridCol w:w="2282"/>
            </w:tblGrid>
            <w:tr w:rsidR="00C76CFF" w:rsidRPr="00C76CFF" w:rsidTr="005907EA">
              <w:tc>
                <w:tcPr>
                  <w:tcW w:w="1413" w:type="dxa"/>
                  <w:shd w:val="clear" w:color="auto" w:fill="DBE5F1" w:themeFill="accent1" w:themeFillTint="33"/>
                  <w:vAlign w:val="center"/>
                </w:tcPr>
                <w:p w:rsidR="00C76CFF" w:rsidRPr="00C76CFF" w:rsidRDefault="00C76CFF" w:rsidP="005907EA">
                  <w:pPr>
                    <w:spacing w:before="60" w:after="120"/>
                    <w:jc w:val="center"/>
                    <w:rPr>
                      <w:rFonts w:ascii="Arial" w:hAnsi="Arial" w:cs="Arial"/>
                      <w:b/>
                    </w:rPr>
                  </w:pPr>
                  <w:r w:rsidRPr="00C76CFF">
                    <w:rPr>
                      <w:rFonts w:ascii="Arial" w:hAnsi="Arial" w:cs="Arial"/>
                      <w:b/>
                    </w:rPr>
                    <w:t>Name</w:t>
                  </w:r>
                </w:p>
              </w:tc>
              <w:tc>
                <w:tcPr>
                  <w:tcW w:w="1559" w:type="dxa"/>
                  <w:shd w:val="clear" w:color="auto" w:fill="DBE5F1" w:themeFill="accent1" w:themeFillTint="33"/>
                  <w:vAlign w:val="center"/>
                </w:tcPr>
                <w:p w:rsidR="00C76CFF" w:rsidRPr="00C76CFF" w:rsidRDefault="00C76CFF" w:rsidP="005907EA">
                  <w:pPr>
                    <w:spacing w:before="60" w:after="120"/>
                    <w:jc w:val="center"/>
                    <w:rPr>
                      <w:rFonts w:ascii="Arial" w:hAnsi="Arial" w:cs="Arial"/>
                      <w:b/>
                    </w:rPr>
                  </w:pPr>
                  <w:r w:rsidRPr="00C76CFF">
                    <w:rPr>
                      <w:rFonts w:ascii="Arial" w:hAnsi="Arial" w:cs="Arial"/>
                      <w:b/>
                    </w:rPr>
                    <w:t>Firm ref #</w:t>
                  </w:r>
                </w:p>
              </w:tc>
              <w:tc>
                <w:tcPr>
                  <w:tcW w:w="1559" w:type="dxa"/>
                  <w:shd w:val="clear" w:color="auto" w:fill="DBE5F1" w:themeFill="accent1" w:themeFillTint="33"/>
                  <w:vAlign w:val="center"/>
                </w:tcPr>
                <w:p w:rsidR="00C76CFF" w:rsidRPr="00C76CFF" w:rsidRDefault="00C76CFF" w:rsidP="005907EA">
                  <w:pPr>
                    <w:spacing w:before="60" w:after="120"/>
                    <w:jc w:val="center"/>
                    <w:rPr>
                      <w:rFonts w:ascii="Arial" w:hAnsi="Arial" w:cs="Arial"/>
                      <w:b/>
                    </w:rPr>
                  </w:pPr>
                  <w:r w:rsidRPr="00C76CFF">
                    <w:rPr>
                      <w:rFonts w:ascii="Arial" w:hAnsi="Arial" w:cs="Arial"/>
                      <w:b/>
                    </w:rPr>
                    <w:t>Jurisdiction</w:t>
                  </w:r>
                </w:p>
              </w:tc>
              <w:tc>
                <w:tcPr>
                  <w:tcW w:w="2113" w:type="dxa"/>
                  <w:shd w:val="clear" w:color="auto" w:fill="DBE5F1" w:themeFill="accent1" w:themeFillTint="33"/>
                  <w:vAlign w:val="center"/>
                </w:tcPr>
                <w:p w:rsidR="00C76CFF" w:rsidRPr="00C76CFF" w:rsidRDefault="00C76CFF" w:rsidP="005907EA">
                  <w:pPr>
                    <w:spacing w:before="60" w:after="120"/>
                    <w:jc w:val="center"/>
                    <w:rPr>
                      <w:rFonts w:ascii="Arial" w:hAnsi="Arial" w:cs="Arial"/>
                      <w:b/>
                    </w:rPr>
                  </w:pPr>
                  <w:r w:rsidRPr="00C76CFF">
                    <w:rPr>
                      <w:rFonts w:ascii="Arial" w:hAnsi="Arial" w:cs="Arial"/>
                      <w:b/>
                    </w:rPr>
                    <w:t>Supervisory authority</w:t>
                  </w:r>
                </w:p>
              </w:tc>
              <w:tc>
                <w:tcPr>
                  <w:tcW w:w="2282" w:type="dxa"/>
                  <w:shd w:val="clear" w:color="auto" w:fill="DBE5F1" w:themeFill="accent1" w:themeFillTint="33"/>
                  <w:vAlign w:val="center"/>
                </w:tcPr>
                <w:p w:rsidR="00C76CFF" w:rsidRPr="00C76CFF" w:rsidRDefault="00C76CFF" w:rsidP="005907EA">
                  <w:pPr>
                    <w:spacing w:before="60" w:after="120"/>
                    <w:jc w:val="center"/>
                    <w:rPr>
                      <w:rFonts w:ascii="Arial" w:hAnsi="Arial" w:cs="Arial"/>
                      <w:b/>
                    </w:rPr>
                  </w:pPr>
                  <w:r w:rsidRPr="00C76CFF">
                    <w:rPr>
                      <w:rFonts w:ascii="Arial" w:hAnsi="Arial" w:cs="Arial"/>
                      <w:b/>
                    </w:rPr>
                    <w:t xml:space="preserve">Authorisation authority </w:t>
                  </w:r>
                  <w:r w:rsidRPr="00C76CFF">
                    <w:rPr>
                      <w:rFonts w:ascii="Arial" w:hAnsi="Arial" w:cs="Arial"/>
                      <w:b/>
                    </w:rPr>
                    <w:br/>
                    <w:t>(if different)</w:t>
                  </w:r>
                </w:p>
              </w:tc>
            </w:tr>
            <w:tr w:rsidR="00C76CFF" w:rsidRPr="00C76CFF" w:rsidTr="005907EA">
              <w:tc>
                <w:tcPr>
                  <w:tcW w:w="1413" w:type="dxa"/>
                </w:tcPr>
                <w:p w:rsidR="00C76CFF" w:rsidRPr="00C76CFF" w:rsidRDefault="00C76CFF" w:rsidP="004F6DD4">
                  <w:pPr>
                    <w:spacing w:before="60" w:after="120"/>
                    <w:rPr>
                      <w:rFonts w:ascii="Arial" w:hAnsi="Arial" w:cs="Arial"/>
                      <w:i/>
                    </w:rPr>
                  </w:pPr>
                  <w:r w:rsidRPr="00C76CFF">
                    <w:rPr>
                      <w:rFonts w:ascii="Arial" w:hAnsi="Arial" w:cs="Arial"/>
                      <w:i/>
                    </w:rPr>
                    <w:t>Firm 1</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ABC123</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IT</w:t>
                  </w:r>
                </w:p>
              </w:tc>
              <w:tc>
                <w:tcPr>
                  <w:tcW w:w="2113" w:type="dxa"/>
                </w:tcPr>
                <w:p w:rsidR="00C76CFF" w:rsidRPr="00C76CFF" w:rsidRDefault="00C76CFF" w:rsidP="004F6DD4">
                  <w:pPr>
                    <w:spacing w:before="60" w:after="120"/>
                    <w:rPr>
                      <w:rFonts w:ascii="Arial" w:hAnsi="Arial" w:cs="Arial"/>
                      <w:i/>
                    </w:rPr>
                  </w:pPr>
                  <w:r w:rsidRPr="00C76CFF">
                    <w:rPr>
                      <w:rFonts w:ascii="Arial" w:hAnsi="Arial" w:cs="Arial"/>
                      <w:i/>
                    </w:rPr>
                    <w:t>IVASS</w:t>
                  </w:r>
                </w:p>
              </w:tc>
              <w:tc>
                <w:tcPr>
                  <w:tcW w:w="2282" w:type="dxa"/>
                </w:tcPr>
                <w:p w:rsidR="00C76CFF" w:rsidRPr="00C76CFF" w:rsidRDefault="00C76CFF" w:rsidP="004F6DD4">
                  <w:pPr>
                    <w:spacing w:before="60" w:after="120"/>
                    <w:rPr>
                      <w:rFonts w:ascii="Arial" w:hAnsi="Arial" w:cs="Arial"/>
                      <w:i/>
                    </w:rPr>
                  </w:pPr>
                  <w:r w:rsidRPr="00C76CFF">
                    <w:rPr>
                      <w:rFonts w:ascii="Arial" w:hAnsi="Arial" w:cs="Arial"/>
                      <w:i/>
                    </w:rPr>
                    <w:t>IVASS</w:t>
                  </w:r>
                </w:p>
              </w:tc>
            </w:tr>
            <w:tr w:rsidR="00C76CFF" w:rsidRPr="00C76CFF" w:rsidTr="005907EA">
              <w:tc>
                <w:tcPr>
                  <w:tcW w:w="1413" w:type="dxa"/>
                </w:tcPr>
                <w:p w:rsidR="00C76CFF" w:rsidRPr="00C76CFF" w:rsidRDefault="00C76CFF" w:rsidP="004F6DD4">
                  <w:pPr>
                    <w:spacing w:before="60" w:after="120"/>
                    <w:rPr>
                      <w:rFonts w:ascii="Arial" w:hAnsi="Arial" w:cs="Arial"/>
                      <w:i/>
                    </w:rPr>
                  </w:pPr>
                  <w:r w:rsidRPr="00C76CFF">
                    <w:rPr>
                      <w:rFonts w:ascii="Arial" w:hAnsi="Arial" w:cs="Arial"/>
                      <w:i/>
                    </w:rPr>
                    <w:t>Firm 2</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2113"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2282" w:type="dxa"/>
                </w:tcPr>
                <w:p w:rsidR="00C76CFF" w:rsidRPr="00C76CFF" w:rsidRDefault="00C76CFF" w:rsidP="004F6DD4">
                  <w:pPr>
                    <w:spacing w:before="60" w:after="120"/>
                    <w:rPr>
                      <w:rFonts w:ascii="Arial" w:hAnsi="Arial" w:cs="Arial"/>
                      <w:i/>
                    </w:rPr>
                  </w:pPr>
                  <w:r w:rsidRPr="00C76CFF">
                    <w:rPr>
                      <w:rFonts w:ascii="Arial" w:hAnsi="Arial" w:cs="Arial"/>
                      <w:i/>
                    </w:rPr>
                    <w:t>…</w:t>
                  </w:r>
                </w:p>
              </w:tc>
            </w:tr>
            <w:tr w:rsidR="00C76CFF" w:rsidRPr="00C76CFF" w:rsidTr="005907EA">
              <w:tc>
                <w:tcPr>
                  <w:tcW w:w="1413"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1559"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2113" w:type="dxa"/>
                </w:tcPr>
                <w:p w:rsidR="00C76CFF" w:rsidRPr="00C76CFF" w:rsidRDefault="00C76CFF" w:rsidP="004F6DD4">
                  <w:pPr>
                    <w:spacing w:before="60" w:after="120"/>
                    <w:rPr>
                      <w:rFonts w:ascii="Arial" w:hAnsi="Arial" w:cs="Arial"/>
                      <w:i/>
                    </w:rPr>
                  </w:pPr>
                  <w:r w:rsidRPr="00C76CFF">
                    <w:rPr>
                      <w:rFonts w:ascii="Arial" w:hAnsi="Arial" w:cs="Arial"/>
                      <w:i/>
                    </w:rPr>
                    <w:t>…</w:t>
                  </w:r>
                </w:p>
              </w:tc>
              <w:tc>
                <w:tcPr>
                  <w:tcW w:w="2282" w:type="dxa"/>
                </w:tcPr>
                <w:p w:rsidR="00C76CFF" w:rsidRPr="00C76CFF" w:rsidRDefault="00C76CFF" w:rsidP="004F6DD4">
                  <w:pPr>
                    <w:spacing w:before="60" w:after="120"/>
                    <w:rPr>
                      <w:rFonts w:ascii="Arial" w:hAnsi="Arial" w:cs="Arial"/>
                      <w:i/>
                    </w:rPr>
                  </w:pPr>
                  <w:r w:rsidRPr="00C76CFF">
                    <w:rPr>
                      <w:rFonts w:ascii="Arial" w:hAnsi="Arial" w:cs="Arial"/>
                      <w:i/>
                    </w:rPr>
                    <w:t>…</w:t>
                  </w:r>
                </w:p>
              </w:tc>
            </w:tr>
          </w:tbl>
          <w:p w:rsidR="00C76CFF" w:rsidRPr="00C76CFF" w:rsidRDefault="00C76CFF" w:rsidP="004F6DD4">
            <w:pPr>
              <w:spacing w:before="60" w:after="12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jc w:val="both"/>
              <w:rPr>
                <w:rFonts w:ascii="Arial" w:hAnsi="Arial" w:cs="Arial"/>
              </w:rPr>
            </w:pPr>
            <w:r w:rsidRPr="00C76CFF">
              <w:rPr>
                <w:rFonts w:ascii="Arial" w:hAnsi="Arial" w:cs="Arial"/>
              </w:rPr>
              <w:t xml:space="preserve">Is the jurisdiction(s) listed above deemed equivalent or provisionally equivalent according to Article 227 of the Solvency II Directive at the time of application? If not, please indicate: </w:t>
            </w:r>
          </w:p>
          <w:p w:rsidR="00C76CFF" w:rsidRPr="00C76CFF" w:rsidRDefault="00C76CFF" w:rsidP="004F6DD4">
            <w:pPr>
              <w:pStyle w:val="ListParagraph"/>
              <w:numPr>
                <w:ilvl w:val="1"/>
                <w:numId w:val="14"/>
              </w:numPr>
              <w:spacing w:before="60" w:after="120" w:line="276" w:lineRule="auto"/>
              <w:ind w:left="851" w:hanging="284"/>
              <w:jc w:val="both"/>
              <w:rPr>
                <w:rFonts w:ascii="Arial" w:hAnsi="Arial" w:cs="Arial"/>
              </w:rPr>
            </w:pPr>
            <w:proofErr w:type="gramStart"/>
            <w:r w:rsidRPr="00C76CFF">
              <w:rPr>
                <w:rFonts w:ascii="Arial" w:hAnsi="Arial" w:cs="Arial"/>
              </w:rPr>
              <w:t>your</w:t>
            </w:r>
            <w:proofErr w:type="gramEnd"/>
            <w:r w:rsidRPr="00C76CFF">
              <w:rPr>
                <w:rFonts w:ascii="Arial" w:hAnsi="Arial" w:cs="Arial"/>
              </w:rPr>
              <w:t xml:space="preserve"> current working assumption on how you expect to treat this undertaking in the group solvency calculation – i.e. on solvency II basis or local regulatory basis and provide a rationale for your working assumption. </w:t>
            </w:r>
          </w:p>
          <w:p w:rsidR="00C76CFF" w:rsidRPr="00C76CFF" w:rsidRDefault="00C76CFF" w:rsidP="005907EA">
            <w:pPr>
              <w:pStyle w:val="ListParagraph"/>
              <w:numPr>
                <w:ilvl w:val="1"/>
                <w:numId w:val="14"/>
              </w:numPr>
              <w:spacing w:before="60" w:after="120" w:line="276" w:lineRule="auto"/>
              <w:ind w:left="851" w:hanging="284"/>
              <w:jc w:val="both"/>
              <w:rPr>
                <w:rFonts w:ascii="Arial" w:hAnsi="Arial" w:cs="Arial"/>
              </w:rPr>
            </w:pPr>
            <w:r w:rsidRPr="00C76CFF">
              <w:rPr>
                <w:rFonts w:ascii="Arial" w:hAnsi="Arial" w:cs="Arial"/>
              </w:rPr>
              <w:t xml:space="preserve">If your answer to 2(a) is local basis, please indicate your contingency plan if you do not get approval to use </w:t>
            </w:r>
            <w:r w:rsidR="005907EA">
              <w:rPr>
                <w:rFonts w:ascii="Arial" w:hAnsi="Arial" w:cs="Arial"/>
              </w:rPr>
              <w:t>m</w:t>
            </w:r>
            <w:r w:rsidRPr="00C76CFF">
              <w:rPr>
                <w:rFonts w:ascii="Arial" w:hAnsi="Arial" w:cs="Arial"/>
              </w:rPr>
              <w:t>ethod 2 or equivalence is not granted to the relevant jurisdiction.</w:t>
            </w:r>
          </w:p>
        </w:tc>
      </w:tr>
      <w:tr w:rsidR="00C76CFF" w:rsidRPr="00C76CFF" w:rsidTr="00BF7A97">
        <w:trPr>
          <w:trHeight w:val="147"/>
        </w:trPr>
        <w:tc>
          <w:tcPr>
            <w:tcW w:w="9242" w:type="dxa"/>
          </w:tcPr>
          <w:p w:rsidR="00C76CFF" w:rsidRPr="00C76CFF" w:rsidRDefault="00C76CFF" w:rsidP="004F6DD4">
            <w:pPr>
              <w:spacing w:before="60" w:after="120"/>
              <w:jc w:val="both"/>
              <w:rPr>
                <w:rFonts w:ascii="Arial" w:hAnsi="Arial" w:cs="Arial"/>
              </w:rPr>
            </w:pPr>
            <w:r w:rsidRPr="00C76CFF">
              <w:rPr>
                <w:rFonts w:ascii="Arial" w:hAnsi="Arial" w:cs="Arial"/>
              </w:rPr>
              <w:br/>
            </w: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jc w:val="both"/>
              <w:rPr>
                <w:rFonts w:ascii="Arial" w:hAnsi="Arial" w:cs="Arial"/>
              </w:rPr>
            </w:pPr>
            <w:r w:rsidRPr="00C76CFF">
              <w:rPr>
                <w:rFonts w:ascii="Arial" w:hAnsi="Arial" w:cs="Arial"/>
              </w:rPr>
              <w:t xml:space="preserve">Provide a rationale for why you are seeking approval to use Method 2 (‘Deduction and Aggregation’), or a combination of </w:t>
            </w:r>
            <w:r w:rsidR="009526B3">
              <w:rPr>
                <w:rFonts w:ascii="Arial" w:hAnsi="Arial" w:cs="Arial"/>
              </w:rPr>
              <w:t>m</w:t>
            </w:r>
            <w:r w:rsidRPr="00C76CFF">
              <w:rPr>
                <w:rFonts w:ascii="Arial" w:hAnsi="Arial" w:cs="Arial"/>
              </w:rPr>
              <w:t>ethod</w:t>
            </w:r>
            <w:r w:rsidR="009526B3">
              <w:rPr>
                <w:rFonts w:ascii="Arial" w:hAnsi="Arial" w:cs="Arial"/>
              </w:rPr>
              <w:t>s</w:t>
            </w:r>
            <w:r w:rsidRPr="00C76CFF">
              <w:rPr>
                <w:rFonts w:ascii="Arial" w:hAnsi="Arial" w:cs="Arial"/>
              </w:rPr>
              <w:t xml:space="preserve"> 1 and 2 and briefly outline how you believe firm(s) listed in 1 meet the “elements” set out in Article 328 of the Delegated Act.</w:t>
            </w:r>
          </w:p>
        </w:tc>
      </w:tr>
      <w:tr w:rsidR="00C76CFF" w:rsidRPr="00C76CFF" w:rsidTr="00BF7A97">
        <w:trPr>
          <w:trHeight w:val="147"/>
        </w:trPr>
        <w:tc>
          <w:tcPr>
            <w:tcW w:w="9242" w:type="dxa"/>
          </w:tcPr>
          <w:p w:rsidR="00C76CFF" w:rsidRPr="00C76CFF" w:rsidRDefault="00C76CFF" w:rsidP="004F6DD4">
            <w:pPr>
              <w:spacing w:before="60" w:after="120"/>
              <w:jc w:val="both"/>
              <w:rPr>
                <w:rFonts w:ascii="Arial" w:hAnsi="Arial" w:cs="Arial"/>
              </w:rPr>
            </w:pPr>
          </w:p>
          <w:p w:rsidR="00C76CFF" w:rsidRPr="00C76CFF" w:rsidRDefault="00C76CFF" w:rsidP="004F6DD4">
            <w:pPr>
              <w:spacing w:before="60" w:after="120"/>
              <w:jc w:val="both"/>
              <w:rPr>
                <w:rFonts w:ascii="Arial" w:hAnsi="Arial" w:cs="Arial"/>
              </w:rPr>
            </w:pPr>
          </w:p>
        </w:tc>
      </w:tr>
      <w:tr w:rsidR="00C76CFF" w:rsidRPr="00C76CFF" w:rsidTr="004F6DD4">
        <w:trPr>
          <w:trHeight w:val="3960"/>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ind w:left="426" w:hanging="426"/>
              <w:jc w:val="both"/>
              <w:rPr>
                <w:rFonts w:ascii="Arial" w:hAnsi="Arial" w:cs="Arial"/>
                <w:b/>
              </w:rPr>
            </w:pPr>
            <w:r w:rsidRPr="00C76CFF">
              <w:rPr>
                <w:rFonts w:ascii="Arial" w:hAnsi="Arial" w:cs="Arial"/>
                <w:b/>
              </w:rPr>
              <w:t>Financial and business information on accounting basis</w:t>
            </w:r>
          </w:p>
          <w:p w:rsidR="00C76CFF" w:rsidRPr="00C76CFF" w:rsidRDefault="00C76CFF" w:rsidP="004F6DD4">
            <w:pPr>
              <w:spacing w:before="60" w:after="120" w:line="276" w:lineRule="auto"/>
              <w:ind w:left="426"/>
              <w:jc w:val="both"/>
              <w:rPr>
                <w:rFonts w:ascii="Arial" w:hAnsi="Arial" w:cs="Arial"/>
              </w:rPr>
            </w:pPr>
            <w:r w:rsidRPr="00C76CFF">
              <w:rPr>
                <w:rFonts w:ascii="Arial" w:hAnsi="Arial" w:cs="Arial"/>
              </w:rPr>
              <w:t>Provide the following information from the most recent financial accounts for each undertaking you are seeking to use method 2 for:</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Year end for which the information is being reported?</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Accounting basis – IFRS, UK GAAP, US GAAP etc.</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Total  GWP </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Total Assets </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Total Liabilities </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Total retained earnings  </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Total insurance liabilities</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Brief description of the products the undertaking is authorised to write </w:t>
            </w:r>
          </w:p>
          <w:p w:rsidR="00C76CFF" w:rsidRPr="00C76CFF" w:rsidRDefault="00C76CFF" w:rsidP="004F6DD4">
            <w:pPr>
              <w:pStyle w:val="ListParagraph"/>
              <w:numPr>
                <w:ilvl w:val="1"/>
                <w:numId w:val="8"/>
              </w:numPr>
              <w:spacing w:before="60" w:after="120" w:line="276" w:lineRule="auto"/>
              <w:ind w:left="851" w:hanging="284"/>
              <w:jc w:val="both"/>
              <w:rPr>
                <w:rFonts w:ascii="Arial" w:hAnsi="Arial" w:cs="Arial"/>
              </w:rPr>
            </w:pPr>
            <w:r w:rsidRPr="00C76CFF">
              <w:rPr>
                <w:rFonts w:ascii="Arial" w:hAnsi="Arial" w:cs="Arial"/>
              </w:rPr>
              <w:t xml:space="preserve">Brief description of the products and risks underwritten by the undertaking </w:t>
            </w:r>
          </w:p>
        </w:tc>
      </w:tr>
      <w:tr w:rsidR="00C76CFF" w:rsidRPr="00C76CFF" w:rsidTr="00BF7A97">
        <w:trPr>
          <w:trHeight w:val="147"/>
        </w:trPr>
        <w:tc>
          <w:tcPr>
            <w:tcW w:w="9242" w:type="dxa"/>
          </w:tcPr>
          <w:p w:rsidR="00C76CFF" w:rsidRPr="00C76CFF" w:rsidRDefault="00C76CFF" w:rsidP="004F6DD4">
            <w:pPr>
              <w:spacing w:before="60" w:after="120"/>
              <w:jc w:val="both"/>
              <w:rPr>
                <w:rFonts w:ascii="Arial" w:hAnsi="Arial" w:cs="Arial"/>
              </w:rPr>
            </w:pPr>
          </w:p>
          <w:p w:rsidR="00C76CFF" w:rsidRPr="00C76CFF" w:rsidRDefault="00C76CFF" w:rsidP="004F6DD4">
            <w:pPr>
              <w:spacing w:before="60" w:after="12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jc w:val="both"/>
              <w:rPr>
                <w:rFonts w:ascii="Arial" w:hAnsi="Arial" w:cs="Arial"/>
                <w:b/>
              </w:rPr>
            </w:pPr>
            <w:r w:rsidRPr="00C76CFF">
              <w:rPr>
                <w:rFonts w:ascii="Arial" w:hAnsi="Arial" w:cs="Arial"/>
                <w:b/>
              </w:rPr>
              <w:t>Regulatory capital information</w:t>
            </w:r>
          </w:p>
          <w:p w:rsidR="00C76CFF" w:rsidRPr="00C76CFF" w:rsidRDefault="00C76CFF" w:rsidP="004F6DD4">
            <w:pPr>
              <w:spacing w:before="60" w:after="120" w:line="276" w:lineRule="auto"/>
              <w:ind w:left="426"/>
              <w:jc w:val="both"/>
              <w:rPr>
                <w:rFonts w:ascii="Arial" w:hAnsi="Arial" w:cs="Arial"/>
              </w:rPr>
            </w:pPr>
            <w:r w:rsidRPr="00C76CFF">
              <w:rPr>
                <w:rFonts w:ascii="Arial" w:hAnsi="Arial" w:cs="Arial"/>
              </w:rPr>
              <w:t xml:space="preserve">Please provide the estimated impact on the group solvency calculation – with and without the method 2 approval of the firm(s) listed in 1, highlighting any simplifications made in approximating these. In addition to this estimate, please provide the following: </w:t>
            </w:r>
          </w:p>
          <w:p w:rsidR="00C76CFF" w:rsidRPr="00C76CFF" w:rsidRDefault="00C76CFF" w:rsidP="004F6DD4">
            <w:pPr>
              <w:pStyle w:val="ListParagraph"/>
              <w:numPr>
                <w:ilvl w:val="0"/>
                <w:numId w:val="16"/>
              </w:numPr>
              <w:spacing w:before="60" w:after="120" w:line="276" w:lineRule="auto"/>
              <w:ind w:left="851" w:hanging="284"/>
              <w:jc w:val="both"/>
              <w:rPr>
                <w:rFonts w:ascii="Arial" w:hAnsi="Arial" w:cs="Arial"/>
              </w:rPr>
            </w:pPr>
            <w:r w:rsidRPr="00C76CFF">
              <w:rPr>
                <w:rFonts w:ascii="Arial" w:hAnsi="Arial" w:cs="Arial"/>
              </w:rPr>
              <w:t xml:space="preserve">What the group expects to include in the group solvency for the firm(s) in 1: capital resources, capital requirements and the valuation basis. </w:t>
            </w:r>
          </w:p>
          <w:p w:rsidR="00C76CFF" w:rsidRPr="00C76CFF" w:rsidRDefault="00C76CFF" w:rsidP="004F6DD4">
            <w:pPr>
              <w:pStyle w:val="ListParagraph"/>
              <w:numPr>
                <w:ilvl w:val="0"/>
                <w:numId w:val="16"/>
              </w:numPr>
              <w:spacing w:before="60" w:after="120" w:line="276" w:lineRule="auto"/>
              <w:ind w:left="851" w:hanging="284"/>
              <w:jc w:val="both"/>
              <w:rPr>
                <w:rFonts w:ascii="Arial" w:hAnsi="Arial" w:cs="Arial"/>
              </w:rPr>
            </w:pPr>
            <w:r w:rsidRPr="00C76CFF">
              <w:rPr>
                <w:rFonts w:ascii="Arial" w:hAnsi="Arial" w:cs="Arial"/>
              </w:rPr>
              <w:t xml:space="preserve">Own funds and the SCR for the firm. If groups are using local basis then please provide approximate own funds and SCR calculations for these firms, highlighting any simplifications made in approximating these. </w:t>
            </w:r>
          </w:p>
        </w:tc>
      </w:tr>
      <w:tr w:rsidR="00C76CFF" w:rsidRPr="00C76CFF" w:rsidTr="009526B3">
        <w:trPr>
          <w:trHeight w:val="3268"/>
        </w:trPr>
        <w:tc>
          <w:tcPr>
            <w:tcW w:w="9242" w:type="dxa"/>
          </w:tcPr>
          <w:p w:rsidR="00C76CFF" w:rsidRPr="00C76CFF" w:rsidRDefault="00C76CFF" w:rsidP="00BF7A97">
            <w:pPr>
              <w:spacing w:before="60" w:after="60"/>
              <w:jc w:val="both"/>
              <w:rPr>
                <w:rFonts w:ascii="Arial" w:hAnsi="Arial" w:cs="Arial"/>
              </w:rPr>
            </w:pPr>
          </w:p>
          <w:tbl>
            <w:tblPr>
              <w:tblStyle w:val="TableGrid"/>
              <w:tblW w:w="0" w:type="auto"/>
              <w:tblLayout w:type="fixed"/>
              <w:tblLook w:val="04A0" w:firstRow="1" w:lastRow="0" w:firstColumn="1" w:lastColumn="0" w:noHBand="0" w:noVBand="1"/>
            </w:tblPr>
            <w:tblGrid>
              <w:gridCol w:w="1413"/>
              <w:gridCol w:w="1701"/>
              <w:gridCol w:w="1417"/>
              <w:gridCol w:w="1701"/>
              <w:gridCol w:w="1347"/>
              <w:gridCol w:w="1347"/>
            </w:tblGrid>
            <w:tr w:rsidR="00C76CFF" w:rsidRPr="00C76CFF" w:rsidTr="00BF7A97">
              <w:tc>
                <w:tcPr>
                  <w:tcW w:w="1413" w:type="dxa"/>
                  <w:shd w:val="clear" w:color="auto" w:fill="DBE5F1" w:themeFill="accent1" w:themeFillTint="33"/>
                  <w:vAlign w:val="center"/>
                </w:tcPr>
                <w:p w:rsidR="00C76CFF" w:rsidRPr="00C76CFF" w:rsidRDefault="00C76CFF" w:rsidP="00BF7A97">
                  <w:pPr>
                    <w:spacing w:before="60" w:after="60"/>
                    <w:rPr>
                      <w:rFonts w:ascii="Arial" w:hAnsi="Arial" w:cs="Arial"/>
                      <w:b/>
                    </w:rPr>
                  </w:pPr>
                </w:p>
              </w:tc>
              <w:tc>
                <w:tcPr>
                  <w:tcW w:w="4819" w:type="dxa"/>
                  <w:gridSpan w:val="3"/>
                  <w:shd w:val="clear" w:color="auto" w:fill="DBE5F1" w:themeFill="accent1" w:themeFillTint="33"/>
                  <w:vAlign w:val="center"/>
                </w:tcPr>
                <w:p w:rsidR="00C76CFF" w:rsidRPr="00C76CFF" w:rsidRDefault="00C76CFF" w:rsidP="00BF7A97">
                  <w:pPr>
                    <w:spacing w:before="60" w:after="60"/>
                    <w:rPr>
                      <w:rFonts w:ascii="Arial" w:hAnsi="Arial" w:cs="Arial"/>
                      <w:b/>
                    </w:rPr>
                  </w:pPr>
                  <w:r w:rsidRPr="00C76CFF">
                    <w:rPr>
                      <w:rFonts w:ascii="Arial" w:hAnsi="Arial" w:cs="Arial"/>
                      <w:b/>
                    </w:rPr>
                    <w:t xml:space="preserve">Included in the group solvency calculation </w:t>
                  </w:r>
                </w:p>
              </w:tc>
              <w:tc>
                <w:tcPr>
                  <w:tcW w:w="2694" w:type="dxa"/>
                  <w:gridSpan w:val="2"/>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Solvency II basis</w:t>
                  </w:r>
                </w:p>
              </w:tc>
            </w:tr>
            <w:tr w:rsidR="00C76CFF" w:rsidRPr="00C76CFF" w:rsidTr="00BF7A97">
              <w:tc>
                <w:tcPr>
                  <w:tcW w:w="1413"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Name</w:t>
                  </w:r>
                </w:p>
              </w:tc>
              <w:tc>
                <w:tcPr>
                  <w:tcW w:w="1701"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Own funds / capital resources</w:t>
                  </w:r>
                </w:p>
              </w:tc>
              <w:tc>
                <w:tcPr>
                  <w:tcW w:w="1417"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SCR / capital requirements</w:t>
                  </w:r>
                </w:p>
              </w:tc>
              <w:tc>
                <w:tcPr>
                  <w:tcW w:w="1701"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Valuation basis</w:t>
                  </w:r>
                </w:p>
              </w:tc>
              <w:tc>
                <w:tcPr>
                  <w:tcW w:w="1347"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Own funds</w:t>
                  </w:r>
                </w:p>
              </w:tc>
              <w:tc>
                <w:tcPr>
                  <w:tcW w:w="1347" w:type="dxa"/>
                  <w:shd w:val="clear" w:color="auto" w:fill="DBE5F1" w:themeFill="accent1" w:themeFillTint="33"/>
                </w:tcPr>
                <w:p w:rsidR="00C76CFF" w:rsidRPr="00C76CFF" w:rsidRDefault="00C76CFF" w:rsidP="00BF7A97">
                  <w:pPr>
                    <w:spacing w:before="60" w:after="60"/>
                    <w:rPr>
                      <w:rFonts w:ascii="Arial" w:hAnsi="Arial" w:cs="Arial"/>
                      <w:b/>
                    </w:rPr>
                  </w:pPr>
                  <w:r w:rsidRPr="00C76CFF">
                    <w:rPr>
                      <w:rFonts w:ascii="Arial" w:hAnsi="Arial" w:cs="Arial"/>
                      <w:b/>
                    </w:rPr>
                    <w:t>SCR</w:t>
                  </w:r>
                </w:p>
              </w:tc>
            </w:tr>
            <w:tr w:rsidR="00C76CFF" w:rsidRPr="00C76CFF" w:rsidTr="00BF7A97">
              <w:trPr>
                <w:trHeight w:val="55"/>
              </w:trPr>
              <w:tc>
                <w:tcPr>
                  <w:tcW w:w="1413" w:type="dxa"/>
                </w:tcPr>
                <w:p w:rsidR="00C76CFF" w:rsidRPr="00C76CFF" w:rsidRDefault="00C76CFF" w:rsidP="00BF7A97">
                  <w:pPr>
                    <w:spacing w:before="60" w:after="60"/>
                    <w:rPr>
                      <w:rFonts w:ascii="Arial" w:hAnsi="Arial" w:cs="Arial"/>
                      <w:i/>
                    </w:rPr>
                  </w:pPr>
                  <w:r w:rsidRPr="00C76CFF">
                    <w:rPr>
                      <w:rFonts w:ascii="Arial" w:hAnsi="Arial" w:cs="Arial"/>
                      <w:i/>
                    </w:rPr>
                    <w:t>Firm 1</w:t>
                  </w:r>
                </w:p>
              </w:tc>
              <w:tc>
                <w:tcPr>
                  <w:tcW w:w="1701" w:type="dxa"/>
                </w:tcPr>
                <w:p w:rsidR="00C76CFF" w:rsidRPr="00C76CFF" w:rsidRDefault="00C76CFF" w:rsidP="00BF7A97">
                  <w:pPr>
                    <w:spacing w:before="60" w:after="60"/>
                    <w:rPr>
                      <w:rFonts w:ascii="Arial" w:hAnsi="Arial" w:cs="Arial"/>
                      <w:i/>
                    </w:rPr>
                  </w:pPr>
                  <w:r w:rsidRPr="00C76CFF">
                    <w:rPr>
                      <w:rFonts w:ascii="Arial" w:hAnsi="Arial" w:cs="Arial"/>
                      <w:i/>
                    </w:rPr>
                    <w:t>£</w:t>
                  </w:r>
                  <w:proofErr w:type="spellStart"/>
                  <w:r w:rsidRPr="00C76CFF">
                    <w:rPr>
                      <w:rFonts w:ascii="Arial" w:hAnsi="Arial" w:cs="Arial"/>
                      <w:i/>
                    </w:rPr>
                    <w:t>xxm</w:t>
                  </w:r>
                  <w:proofErr w:type="spellEnd"/>
                </w:p>
              </w:tc>
              <w:tc>
                <w:tcPr>
                  <w:tcW w:w="1417" w:type="dxa"/>
                </w:tcPr>
                <w:p w:rsidR="00C76CFF" w:rsidRPr="00C76CFF" w:rsidRDefault="00C76CFF" w:rsidP="00BF7A97">
                  <w:pPr>
                    <w:spacing w:before="60" w:after="60"/>
                    <w:rPr>
                      <w:rFonts w:ascii="Arial" w:hAnsi="Arial" w:cs="Arial"/>
                      <w:i/>
                    </w:rPr>
                  </w:pPr>
                  <w:r w:rsidRPr="00C76CFF">
                    <w:rPr>
                      <w:rFonts w:ascii="Arial" w:hAnsi="Arial" w:cs="Arial"/>
                      <w:i/>
                    </w:rPr>
                    <w:t>£</w:t>
                  </w:r>
                  <w:proofErr w:type="spellStart"/>
                  <w:r w:rsidRPr="00C76CFF">
                    <w:rPr>
                      <w:rFonts w:ascii="Arial" w:hAnsi="Arial" w:cs="Arial"/>
                      <w:i/>
                    </w:rPr>
                    <w:t>xxm</w:t>
                  </w:r>
                  <w:proofErr w:type="spellEnd"/>
                </w:p>
              </w:tc>
              <w:tc>
                <w:tcPr>
                  <w:tcW w:w="1701" w:type="dxa"/>
                </w:tcPr>
                <w:p w:rsidR="00C76CFF" w:rsidRPr="00C76CFF" w:rsidRDefault="00C76CFF" w:rsidP="00BF7A97">
                  <w:pPr>
                    <w:spacing w:before="60" w:after="60"/>
                    <w:rPr>
                      <w:rFonts w:ascii="Arial" w:hAnsi="Arial" w:cs="Arial"/>
                      <w:i/>
                    </w:rPr>
                  </w:pPr>
                  <w:r w:rsidRPr="00C76CFF">
                    <w:rPr>
                      <w:rFonts w:ascii="Arial" w:hAnsi="Arial" w:cs="Arial"/>
                      <w:i/>
                    </w:rPr>
                    <w:t>Local or SII</w:t>
                  </w:r>
                </w:p>
              </w:tc>
              <w:tc>
                <w:tcPr>
                  <w:tcW w:w="1347" w:type="dxa"/>
                </w:tcPr>
                <w:p w:rsidR="00C76CFF" w:rsidRPr="00C76CFF" w:rsidRDefault="00C76CFF" w:rsidP="00BF7A97">
                  <w:pPr>
                    <w:spacing w:before="60" w:after="60"/>
                    <w:rPr>
                      <w:rFonts w:ascii="Arial" w:hAnsi="Arial" w:cs="Arial"/>
                      <w:i/>
                    </w:rPr>
                  </w:pPr>
                  <w:r w:rsidRPr="00C76CFF">
                    <w:rPr>
                      <w:rFonts w:ascii="Arial" w:hAnsi="Arial" w:cs="Arial"/>
                      <w:i/>
                    </w:rPr>
                    <w:t>£</w:t>
                  </w:r>
                  <w:proofErr w:type="spellStart"/>
                  <w:r w:rsidRPr="00C76CFF">
                    <w:rPr>
                      <w:rFonts w:ascii="Arial" w:hAnsi="Arial" w:cs="Arial"/>
                      <w:i/>
                    </w:rPr>
                    <w:t>xxm</w:t>
                  </w:r>
                  <w:proofErr w:type="spellEnd"/>
                </w:p>
              </w:tc>
              <w:tc>
                <w:tcPr>
                  <w:tcW w:w="1347" w:type="dxa"/>
                </w:tcPr>
                <w:p w:rsidR="00C76CFF" w:rsidRPr="00C76CFF" w:rsidRDefault="00C76CFF" w:rsidP="00BF7A97">
                  <w:pPr>
                    <w:spacing w:before="60" w:after="60"/>
                    <w:rPr>
                      <w:rFonts w:ascii="Arial" w:hAnsi="Arial" w:cs="Arial"/>
                      <w:i/>
                    </w:rPr>
                  </w:pPr>
                  <w:r w:rsidRPr="00C76CFF">
                    <w:rPr>
                      <w:rFonts w:ascii="Arial" w:hAnsi="Arial" w:cs="Arial"/>
                      <w:i/>
                    </w:rPr>
                    <w:t>£</w:t>
                  </w:r>
                  <w:proofErr w:type="spellStart"/>
                  <w:r w:rsidRPr="00C76CFF">
                    <w:rPr>
                      <w:rFonts w:ascii="Arial" w:hAnsi="Arial" w:cs="Arial"/>
                      <w:i/>
                    </w:rPr>
                    <w:t>xxm</w:t>
                  </w:r>
                  <w:proofErr w:type="spellEnd"/>
                </w:p>
              </w:tc>
            </w:tr>
            <w:tr w:rsidR="00C76CFF" w:rsidRPr="00C76CFF" w:rsidTr="00BF7A97">
              <w:tc>
                <w:tcPr>
                  <w:tcW w:w="1413" w:type="dxa"/>
                </w:tcPr>
                <w:p w:rsidR="00C76CFF" w:rsidRPr="00C76CFF" w:rsidRDefault="00C76CFF" w:rsidP="00BF7A97">
                  <w:pPr>
                    <w:spacing w:before="60" w:after="60"/>
                    <w:rPr>
                      <w:rFonts w:ascii="Arial" w:hAnsi="Arial" w:cs="Arial"/>
                      <w:i/>
                    </w:rPr>
                  </w:pPr>
                  <w:r w:rsidRPr="00C76CFF">
                    <w:rPr>
                      <w:rFonts w:ascii="Arial" w:hAnsi="Arial" w:cs="Arial"/>
                      <w:i/>
                    </w:rPr>
                    <w:t>Firm 2</w:t>
                  </w:r>
                </w:p>
              </w:tc>
              <w:tc>
                <w:tcPr>
                  <w:tcW w:w="1701" w:type="dxa"/>
                </w:tcPr>
                <w:p w:rsidR="00C76CFF" w:rsidRPr="00C76CFF" w:rsidRDefault="00C76CFF" w:rsidP="00BF7A97">
                  <w:pPr>
                    <w:spacing w:before="60" w:after="60"/>
                    <w:rPr>
                      <w:rFonts w:ascii="Arial" w:hAnsi="Arial" w:cs="Arial"/>
                      <w:i/>
                    </w:rPr>
                  </w:pPr>
                  <w:r w:rsidRPr="00C76CFF">
                    <w:rPr>
                      <w:rFonts w:ascii="Arial" w:hAnsi="Arial" w:cs="Arial"/>
                      <w:i/>
                    </w:rPr>
                    <w:t>…</w:t>
                  </w:r>
                </w:p>
              </w:tc>
              <w:tc>
                <w:tcPr>
                  <w:tcW w:w="1417" w:type="dxa"/>
                </w:tcPr>
                <w:p w:rsidR="00C76CFF" w:rsidRPr="00C76CFF" w:rsidRDefault="00C76CFF" w:rsidP="00BF7A97">
                  <w:pPr>
                    <w:spacing w:before="60" w:after="60"/>
                    <w:rPr>
                      <w:rFonts w:ascii="Arial" w:hAnsi="Arial" w:cs="Arial"/>
                      <w:i/>
                    </w:rPr>
                  </w:pPr>
                  <w:r w:rsidRPr="00C76CFF">
                    <w:rPr>
                      <w:rFonts w:ascii="Arial" w:hAnsi="Arial" w:cs="Arial"/>
                      <w:i/>
                    </w:rPr>
                    <w:t>…</w:t>
                  </w:r>
                </w:p>
              </w:tc>
              <w:tc>
                <w:tcPr>
                  <w:tcW w:w="1701" w:type="dxa"/>
                </w:tcPr>
                <w:p w:rsidR="00C76CFF" w:rsidRPr="00C76CFF" w:rsidRDefault="00C76CFF" w:rsidP="00BF7A97">
                  <w:pPr>
                    <w:spacing w:before="60" w:after="60"/>
                    <w:rPr>
                      <w:rFonts w:ascii="Arial" w:hAnsi="Arial" w:cs="Arial"/>
                      <w:i/>
                    </w:rPr>
                  </w:pPr>
                  <w:r w:rsidRPr="00C76CFF">
                    <w:rPr>
                      <w:rFonts w:ascii="Arial" w:hAnsi="Arial" w:cs="Arial"/>
                      <w:i/>
                    </w:rPr>
                    <w:t>…</w:t>
                  </w:r>
                </w:p>
              </w:tc>
              <w:tc>
                <w:tcPr>
                  <w:tcW w:w="1347" w:type="dxa"/>
                </w:tcPr>
                <w:p w:rsidR="00C76CFF" w:rsidRPr="00C76CFF" w:rsidRDefault="00C76CFF" w:rsidP="00BF7A97">
                  <w:pPr>
                    <w:spacing w:before="60" w:after="60"/>
                    <w:rPr>
                      <w:rFonts w:ascii="Arial" w:hAnsi="Arial" w:cs="Arial"/>
                      <w:i/>
                    </w:rPr>
                  </w:pPr>
                  <w:r w:rsidRPr="00C76CFF">
                    <w:rPr>
                      <w:rFonts w:ascii="Arial" w:hAnsi="Arial" w:cs="Arial"/>
                      <w:i/>
                    </w:rPr>
                    <w:t>…</w:t>
                  </w:r>
                </w:p>
              </w:tc>
              <w:tc>
                <w:tcPr>
                  <w:tcW w:w="1347" w:type="dxa"/>
                </w:tcPr>
                <w:p w:rsidR="00C76CFF" w:rsidRPr="00C76CFF" w:rsidRDefault="00C76CFF" w:rsidP="00BF7A97">
                  <w:pPr>
                    <w:spacing w:before="60" w:after="60"/>
                    <w:rPr>
                      <w:rFonts w:ascii="Arial" w:hAnsi="Arial" w:cs="Arial"/>
                      <w:i/>
                    </w:rPr>
                  </w:pPr>
                  <w:r w:rsidRPr="00C76CFF">
                    <w:rPr>
                      <w:rFonts w:ascii="Arial" w:hAnsi="Arial" w:cs="Arial"/>
                      <w:i/>
                    </w:rPr>
                    <w:t>…</w:t>
                  </w:r>
                </w:p>
              </w:tc>
            </w:tr>
          </w:tbl>
          <w:p w:rsidR="00C76CFF" w:rsidRPr="00C76CFF" w:rsidRDefault="00C76CFF" w:rsidP="00BF7A97">
            <w:pPr>
              <w:spacing w:before="60" w:after="6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contextualSpacing w:val="0"/>
              <w:jc w:val="both"/>
              <w:rPr>
                <w:rFonts w:ascii="Arial" w:hAnsi="Arial" w:cs="Arial"/>
              </w:rPr>
            </w:pPr>
            <w:r w:rsidRPr="00C76CFF">
              <w:rPr>
                <w:rFonts w:ascii="Arial" w:hAnsi="Arial" w:cs="Arial"/>
              </w:rPr>
              <w:t xml:space="preserve">Should the method 2 application be approved, how do you intend to include the undertaking in the group solvency calculation: Local basis, Solvency II Standard Formula or Solvency II Internal Model? In your response: </w:t>
            </w:r>
          </w:p>
          <w:p w:rsidR="00C76CFF" w:rsidRPr="00C76CFF" w:rsidRDefault="00C76CFF" w:rsidP="004F6DD4">
            <w:pPr>
              <w:pStyle w:val="ListParagraph"/>
              <w:numPr>
                <w:ilvl w:val="0"/>
                <w:numId w:val="15"/>
              </w:numPr>
              <w:spacing w:before="60" w:after="120" w:line="276" w:lineRule="auto"/>
              <w:ind w:left="851" w:hanging="284"/>
              <w:contextualSpacing w:val="0"/>
              <w:jc w:val="both"/>
              <w:rPr>
                <w:rFonts w:ascii="Arial" w:hAnsi="Arial" w:cs="Arial"/>
              </w:rPr>
            </w:pPr>
            <w:r w:rsidRPr="00C76CFF">
              <w:rPr>
                <w:rFonts w:ascii="Arial" w:hAnsi="Arial" w:cs="Arial"/>
              </w:rPr>
              <w:t>Highlight and explain any limitations in the availability (particularly granularity needed for S</w:t>
            </w:r>
            <w:r w:rsidR="0059691D">
              <w:rPr>
                <w:rFonts w:ascii="Arial" w:hAnsi="Arial" w:cs="Arial"/>
              </w:rPr>
              <w:t xml:space="preserve">olvency </w:t>
            </w:r>
            <w:r w:rsidRPr="00C76CFF">
              <w:rPr>
                <w:rFonts w:ascii="Arial" w:hAnsi="Arial" w:cs="Arial"/>
              </w:rPr>
              <w:t xml:space="preserve">II), accuracy and completeness of the data which would make it insufficient to include the undertaking in </w:t>
            </w:r>
            <w:r w:rsidR="009526B3">
              <w:rPr>
                <w:rFonts w:ascii="Arial" w:hAnsi="Arial" w:cs="Arial"/>
              </w:rPr>
              <w:t>m</w:t>
            </w:r>
            <w:r w:rsidRPr="00C76CFF">
              <w:rPr>
                <w:rFonts w:ascii="Arial" w:hAnsi="Arial" w:cs="Arial"/>
              </w:rPr>
              <w:t>ethod 1.</w:t>
            </w:r>
          </w:p>
          <w:p w:rsidR="00C76CFF" w:rsidRPr="00C76CFF" w:rsidRDefault="00C76CFF" w:rsidP="004F6DD4">
            <w:pPr>
              <w:pStyle w:val="ListParagraph"/>
              <w:numPr>
                <w:ilvl w:val="0"/>
                <w:numId w:val="15"/>
              </w:numPr>
              <w:spacing w:before="60" w:after="120" w:line="276" w:lineRule="auto"/>
              <w:ind w:left="851" w:hanging="284"/>
              <w:contextualSpacing w:val="0"/>
              <w:jc w:val="both"/>
              <w:rPr>
                <w:rFonts w:ascii="Arial" w:hAnsi="Arial" w:cs="Arial"/>
              </w:rPr>
            </w:pPr>
            <w:r w:rsidRPr="00C76CFF">
              <w:rPr>
                <w:rFonts w:ascii="Arial" w:hAnsi="Arial" w:cs="Arial"/>
              </w:rPr>
              <w:t>Highlight and explain whether the data meets the Solvency II data quality requirements for the purposes of calculating the S</w:t>
            </w:r>
            <w:r w:rsidR="0059691D">
              <w:rPr>
                <w:rFonts w:ascii="Arial" w:hAnsi="Arial" w:cs="Arial"/>
              </w:rPr>
              <w:t xml:space="preserve">olvency </w:t>
            </w:r>
            <w:r w:rsidRPr="00C76CFF">
              <w:rPr>
                <w:rFonts w:ascii="Arial" w:hAnsi="Arial" w:cs="Arial"/>
              </w:rPr>
              <w:t xml:space="preserve">II balance sheet and the SCR, in particular the technical provisions, as set out in the </w:t>
            </w:r>
            <w:r w:rsidR="0059691D">
              <w:rPr>
                <w:rFonts w:ascii="Arial" w:hAnsi="Arial" w:cs="Arial"/>
              </w:rPr>
              <w:t>S</w:t>
            </w:r>
            <w:r w:rsidRPr="00C76CFF">
              <w:rPr>
                <w:rFonts w:ascii="Arial" w:hAnsi="Arial" w:cs="Arial"/>
              </w:rPr>
              <w:t xml:space="preserve">olvency II </w:t>
            </w:r>
            <w:r w:rsidR="0059691D">
              <w:rPr>
                <w:rFonts w:ascii="Arial" w:hAnsi="Arial" w:cs="Arial"/>
              </w:rPr>
              <w:t>Directive</w:t>
            </w:r>
            <w:r w:rsidRPr="00C76CFF">
              <w:rPr>
                <w:rFonts w:ascii="Arial" w:hAnsi="Arial" w:cs="Arial"/>
              </w:rPr>
              <w:t xml:space="preserve">. </w:t>
            </w:r>
          </w:p>
          <w:p w:rsidR="00C76CFF" w:rsidRPr="00C76CFF" w:rsidRDefault="00C76CFF" w:rsidP="004F6DD4">
            <w:pPr>
              <w:pStyle w:val="ListParagraph"/>
              <w:numPr>
                <w:ilvl w:val="0"/>
                <w:numId w:val="15"/>
              </w:numPr>
              <w:spacing w:before="60" w:after="120" w:line="276" w:lineRule="auto"/>
              <w:ind w:left="851" w:hanging="284"/>
              <w:contextualSpacing w:val="0"/>
              <w:jc w:val="both"/>
              <w:rPr>
                <w:rFonts w:ascii="Arial" w:hAnsi="Arial" w:cs="Arial"/>
              </w:rPr>
            </w:pPr>
            <w:r w:rsidRPr="00C76CFF">
              <w:rPr>
                <w:rFonts w:ascii="Arial" w:hAnsi="Arial" w:cs="Arial"/>
              </w:rPr>
              <w:t>Highlight and explain if there are any limitations in the data that would prohibit the firm to undertake the provisions set out in Chapter VI section 3</w:t>
            </w:r>
            <w:r w:rsidRPr="00C76CFF">
              <w:rPr>
                <w:rFonts w:ascii="Arial" w:hAnsi="Arial" w:cs="Arial"/>
              </w:rPr>
              <w:footnoteReference w:id="1"/>
            </w:r>
            <w:r w:rsidRPr="00C76CFF">
              <w:rPr>
                <w:rFonts w:ascii="Arial" w:hAnsi="Arial" w:cs="Arial"/>
              </w:rPr>
              <w:t xml:space="preserve"> and the related Level 2 requirements?</w:t>
            </w:r>
          </w:p>
          <w:p w:rsidR="00C76CFF" w:rsidRPr="00C76CFF" w:rsidRDefault="00C76CFF" w:rsidP="004F6DD4">
            <w:pPr>
              <w:pStyle w:val="ListParagraph"/>
              <w:numPr>
                <w:ilvl w:val="0"/>
                <w:numId w:val="15"/>
              </w:numPr>
              <w:spacing w:before="60" w:after="120" w:line="276" w:lineRule="auto"/>
              <w:ind w:left="851" w:hanging="284"/>
              <w:contextualSpacing w:val="0"/>
              <w:jc w:val="both"/>
              <w:rPr>
                <w:rFonts w:ascii="Arial" w:hAnsi="Arial" w:cs="Arial"/>
              </w:rPr>
            </w:pPr>
            <w:r w:rsidRPr="00C76CFF">
              <w:rPr>
                <w:rFonts w:ascii="Arial" w:hAnsi="Arial" w:cs="Arial"/>
              </w:rPr>
              <w:t xml:space="preserve">Where there a group internal model and the undertaking seeking method 2 approval is not included in the group internal model, please explain why the undertaking has been excluded from the </w:t>
            </w:r>
            <w:r w:rsidR="009526B3">
              <w:rPr>
                <w:rFonts w:ascii="Arial" w:hAnsi="Arial" w:cs="Arial"/>
              </w:rPr>
              <w:t>g</w:t>
            </w:r>
            <w:r w:rsidRPr="00C76CFF">
              <w:rPr>
                <w:rFonts w:ascii="Arial" w:hAnsi="Arial" w:cs="Arial"/>
              </w:rPr>
              <w:t xml:space="preserve">roup internal model. Particular attention should be given to the materiality and the relevance of the risks of the excluded entity in the context of the </w:t>
            </w:r>
            <w:r w:rsidR="0059691D">
              <w:rPr>
                <w:rFonts w:ascii="Arial" w:hAnsi="Arial" w:cs="Arial"/>
              </w:rPr>
              <w:t>g</w:t>
            </w:r>
            <w:r w:rsidRPr="00C76CFF">
              <w:rPr>
                <w:rFonts w:ascii="Arial" w:hAnsi="Arial" w:cs="Arial"/>
              </w:rPr>
              <w:t>roup.  Also provide evidence demonstrating why the risks of the entity would be sufficiently immaterial to t</w:t>
            </w:r>
            <w:r w:rsidR="009526B3">
              <w:rPr>
                <w:rFonts w:ascii="Arial" w:hAnsi="Arial" w:cs="Arial"/>
              </w:rPr>
              <w:t>he overall risk profile of the g</w:t>
            </w:r>
            <w:r w:rsidRPr="00C76CFF">
              <w:rPr>
                <w:rFonts w:ascii="Arial" w:hAnsi="Arial" w:cs="Arial"/>
              </w:rPr>
              <w:t>roup to warrant exclusion.</w:t>
            </w:r>
          </w:p>
        </w:tc>
      </w:tr>
      <w:tr w:rsidR="00C76CFF" w:rsidRPr="00C76CFF" w:rsidTr="00BF7A97">
        <w:trPr>
          <w:trHeight w:val="147"/>
        </w:trPr>
        <w:tc>
          <w:tcPr>
            <w:tcW w:w="9242" w:type="dxa"/>
          </w:tcPr>
          <w:p w:rsidR="00C76CFF" w:rsidRPr="00C76CFF" w:rsidRDefault="00C76CFF" w:rsidP="00BF7A97">
            <w:pPr>
              <w:spacing w:before="60" w:after="60"/>
              <w:jc w:val="both"/>
              <w:rPr>
                <w:rFonts w:ascii="Arial" w:hAnsi="Arial" w:cs="Arial"/>
              </w:rPr>
            </w:pPr>
          </w:p>
          <w:p w:rsidR="00C76CFF" w:rsidRPr="00C76CFF" w:rsidRDefault="00C76CFF" w:rsidP="00BF7A97">
            <w:pPr>
              <w:spacing w:before="60" w:after="60"/>
              <w:jc w:val="both"/>
              <w:rPr>
                <w:rFonts w:ascii="Arial" w:hAnsi="Arial" w:cs="Arial"/>
              </w:rPr>
            </w:pPr>
          </w:p>
          <w:p w:rsidR="00C76CFF" w:rsidRPr="00C76CFF" w:rsidRDefault="00C76CFF" w:rsidP="00BF7A97">
            <w:pPr>
              <w:spacing w:before="60" w:after="60"/>
              <w:jc w:val="both"/>
              <w:rPr>
                <w:rFonts w:ascii="Arial" w:hAnsi="Arial" w:cs="Arial"/>
              </w:rPr>
            </w:pPr>
          </w:p>
          <w:p w:rsidR="00C76CFF" w:rsidRPr="00C76CFF" w:rsidRDefault="00C76CFF" w:rsidP="00BF7A97">
            <w:pPr>
              <w:spacing w:before="60" w:after="6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contextualSpacing w:val="0"/>
              <w:jc w:val="both"/>
              <w:rPr>
                <w:rFonts w:ascii="Arial" w:hAnsi="Arial" w:cs="Arial"/>
              </w:rPr>
            </w:pPr>
            <w:r w:rsidRPr="00C76CFF">
              <w:rPr>
                <w:rFonts w:ascii="Arial" w:hAnsi="Arial" w:cs="Arial"/>
              </w:rPr>
              <w:t xml:space="preserve">For each undertaking seeking method 2 approval, provide a list of intra-group transactions between the undertaking seeking approval and all other related undertakings (including transactions with other undertakings seeking method 2 approval) within in the group. </w:t>
            </w:r>
          </w:p>
          <w:p w:rsidR="00C76CFF" w:rsidRPr="00C76CFF" w:rsidRDefault="00C76CFF" w:rsidP="004F6DD4">
            <w:pPr>
              <w:pStyle w:val="ListParagraph"/>
              <w:numPr>
                <w:ilvl w:val="0"/>
                <w:numId w:val="17"/>
              </w:numPr>
              <w:spacing w:before="60" w:after="120" w:line="276" w:lineRule="auto"/>
              <w:ind w:left="851" w:hanging="284"/>
              <w:contextualSpacing w:val="0"/>
              <w:jc w:val="both"/>
              <w:rPr>
                <w:rFonts w:ascii="Arial" w:hAnsi="Arial" w:cs="Arial"/>
              </w:rPr>
            </w:pPr>
            <w:r w:rsidRPr="00C76CFF">
              <w:rPr>
                <w:rFonts w:ascii="Arial" w:hAnsi="Arial" w:cs="Arial"/>
              </w:rPr>
              <w:t>Provide a list of all intra-group transactions in excess of 10% of the solo’s insurance reserves as reported in the financial accounts of the most recent year</w:t>
            </w:r>
          </w:p>
          <w:p w:rsidR="00C76CFF" w:rsidRPr="00C76CFF" w:rsidRDefault="00C76CFF" w:rsidP="004F6DD4">
            <w:pPr>
              <w:pStyle w:val="ListParagraph"/>
              <w:numPr>
                <w:ilvl w:val="0"/>
                <w:numId w:val="17"/>
              </w:numPr>
              <w:spacing w:before="60" w:after="120" w:line="276" w:lineRule="auto"/>
              <w:ind w:left="851" w:hanging="284"/>
              <w:contextualSpacing w:val="0"/>
              <w:jc w:val="both"/>
              <w:rPr>
                <w:rFonts w:ascii="Arial" w:hAnsi="Arial" w:cs="Arial"/>
              </w:rPr>
            </w:pPr>
            <w:r w:rsidRPr="00C76CFF">
              <w:rPr>
                <w:rFonts w:ascii="Arial" w:hAnsi="Arial" w:cs="Arial"/>
              </w:rPr>
              <w:t>Where such transactions arise from intra-group reinsurance arrangements, please assess this on a gross basis and show separately any collateral or security held together with the resulting net credit risk exposure.</w:t>
            </w:r>
          </w:p>
          <w:p w:rsidR="00C76CFF" w:rsidRPr="00C76CFF" w:rsidRDefault="00C76CFF" w:rsidP="004F6DD4">
            <w:pPr>
              <w:pStyle w:val="ListParagraph"/>
              <w:numPr>
                <w:ilvl w:val="0"/>
                <w:numId w:val="17"/>
              </w:numPr>
              <w:spacing w:before="60" w:after="120" w:line="276" w:lineRule="auto"/>
              <w:ind w:left="851" w:hanging="284"/>
              <w:contextualSpacing w:val="0"/>
              <w:jc w:val="both"/>
              <w:rPr>
                <w:rFonts w:ascii="Arial" w:hAnsi="Arial" w:cs="Arial"/>
              </w:rPr>
            </w:pPr>
            <w:r w:rsidRPr="00C76CFF">
              <w:rPr>
                <w:rFonts w:ascii="Arial" w:hAnsi="Arial" w:cs="Arial"/>
              </w:rPr>
              <w:t>What dividend, if any, was paid by the third country related undertaking to the group or other related undertakings in the last two years?</w:t>
            </w:r>
          </w:p>
          <w:p w:rsidR="00C76CFF" w:rsidRPr="00C76CFF" w:rsidRDefault="00C76CFF" w:rsidP="004F6DD4">
            <w:pPr>
              <w:pStyle w:val="ListParagraph"/>
              <w:numPr>
                <w:ilvl w:val="0"/>
                <w:numId w:val="17"/>
              </w:numPr>
              <w:spacing w:before="60" w:after="120" w:line="276" w:lineRule="auto"/>
              <w:ind w:left="851" w:hanging="284"/>
              <w:contextualSpacing w:val="0"/>
              <w:jc w:val="both"/>
              <w:rPr>
                <w:rFonts w:ascii="Arial" w:hAnsi="Arial" w:cs="Arial"/>
              </w:rPr>
            </w:pPr>
            <w:r w:rsidRPr="00C76CFF">
              <w:rPr>
                <w:rFonts w:ascii="Arial" w:hAnsi="Arial" w:cs="Arial"/>
              </w:rPr>
              <w:t>What capital and loans have been made to the firm by the group or other related undertakings in the last two years?</w:t>
            </w:r>
          </w:p>
          <w:p w:rsidR="00C76CFF" w:rsidRPr="00C76CFF" w:rsidRDefault="00C76CFF" w:rsidP="004F6DD4">
            <w:pPr>
              <w:pStyle w:val="ListParagraph"/>
              <w:numPr>
                <w:ilvl w:val="0"/>
                <w:numId w:val="17"/>
              </w:numPr>
              <w:spacing w:before="60" w:after="120" w:line="276" w:lineRule="auto"/>
              <w:ind w:left="851" w:hanging="284"/>
              <w:contextualSpacing w:val="0"/>
              <w:jc w:val="both"/>
              <w:rPr>
                <w:rFonts w:ascii="Arial" w:hAnsi="Arial" w:cs="Arial"/>
              </w:rPr>
            </w:pPr>
            <w:r w:rsidRPr="00C76CFF">
              <w:rPr>
                <w:rFonts w:ascii="Arial" w:hAnsi="Arial" w:cs="Arial"/>
              </w:rPr>
              <w:t>Have there been any unplanned capital contributions or loan provided to the firm by the group or other related undertakings in the last two years?</w:t>
            </w:r>
          </w:p>
        </w:tc>
      </w:tr>
      <w:tr w:rsidR="00C76CFF" w:rsidRPr="00C76CFF" w:rsidTr="00BF7A97">
        <w:trPr>
          <w:trHeight w:val="147"/>
        </w:trPr>
        <w:tc>
          <w:tcPr>
            <w:tcW w:w="9242" w:type="dxa"/>
          </w:tcPr>
          <w:p w:rsidR="00C76CFF" w:rsidRPr="00C76CFF" w:rsidRDefault="00C76CFF" w:rsidP="004F6DD4">
            <w:pPr>
              <w:spacing w:before="60" w:after="120"/>
              <w:jc w:val="both"/>
              <w:rPr>
                <w:rFonts w:ascii="Arial" w:hAnsi="Arial" w:cs="Arial"/>
              </w:rPr>
            </w:pPr>
          </w:p>
          <w:p w:rsidR="00C76CFF" w:rsidRPr="00C76CFF" w:rsidRDefault="00C76CFF" w:rsidP="004F6DD4">
            <w:pPr>
              <w:spacing w:before="60" w:after="12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contextualSpacing w:val="0"/>
              <w:jc w:val="both"/>
              <w:rPr>
                <w:rFonts w:ascii="Arial" w:hAnsi="Arial" w:cs="Arial"/>
              </w:rPr>
            </w:pPr>
            <w:r w:rsidRPr="00C76CFF">
              <w:rPr>
                <w:rFonts w:ascii="Arial" w:hAnsi="Arial" w:cs="Arial"/>
              </w:rPr>
              <w:t xml:space="preserve">For each firm seeking method 2 approval, provide an estimate operational cost for including that firm in method 1. The cost should roughly be broken down into the following three components:  </w:t>
            </w:r>
          </w:p>
          <w:p w:rsidR="00C76CFF" w:rsidRPr="00C76CFF" w:rsidRDefault="00C76CFF" w:rsidP="004F6DD4">
            <w:pPr>
              <w:pStyle w:val="ListParagraph"/>
              <w:numPr>
                <w:ilvl w:val="0"/>
                <w:numId w:val="18"/>
              </w:numPr>
              <w:spacing w:before="60" w:after="120" w:line="276" w:lineRule="auto"/>
              <w:ind w:left="851" w:hanging="284"/>
              <w:contextualSpacing w:val="0"/>
              <w:jc w:val="both"/>
              <w:rPr>
                <w:rFonts w:ascii="Arial" w:hAnsi="Arial" w:cs="Arial"/>
              </w:rPr>
            </w:pPr>
            <w:r w:rsidRPr="00C76CFF">
              <w:rPr>
                <w:rFonts w:ascii="Arial" w:hAnsi="Arial" w:cs="Arial"/>
              </w:rPr>
              <w:t xml:space="preserve">Costs associated with added calculation activities </w:t>
            </w:r>
          </w:p>
          <w:p w:rsidR="00C76CFF" w:rsidRPr="00C76CFF" w:rsidRDefault="00C76CFF" w:rsidP="004F6DD4">
            <w:pPr>
              <w:pStyle w:val="ListParagraph"/>
              <w:numPr>
                <w:ilvl w:val="0"/>
                <w:numId w:val="18"/>
              </w:numPr>
              <w:spacing w:before="60" w:after="120" w:line="276" w:lineRule="auto"/>
              <w:ind w:left="851" w:hanging="284"/>
              <w:contextualSpacing w:val="0"/>
              <w:jc w:val="both"/>
              <w:rPr>
                <w:rFonts w:ascii="Arial" w:hAnsi="Arial" w:cs="Arial"/>
              </w:rPr>
            </w:pPr>
            <w:r w:rsidRPr="00C76CFF">
              <w:rPr>
                <w:rFonts w:ascii="Arial" w:hAnsi="Arial" w:cs="Arial"/>
              </w:rPr>
              <w:t xml:space="preserve">Costs associated with added reporting activities </w:t>
            </w:r>
          </w:p>
          <w:p w:rsidR="00C76CFF" w:rsidRPr="00C76CFF" w:rsidRDefault="00C76CFF" w:rsidP="004F6DD4">
            <w:pPr>
              <w:pStyle w:val="ListParagraph"/>
              <w:numPr>
                <w:ilvl w:val="0"/>
                <w:numId w:val="18"/>
              </w:numPr>
              <w:spacing w:before="60" w:after="120" w:line="276" w:lineRule="auto"/>
              <w:ind w:left="851" w:hanging="284"/>
              <w:contextualSpacing w:val="0"/>
              <w:jc w:val="both"/>
              <w:rPr>
                <w:rFonts w:ascii="Arial" w:hAnsi="Arial" w:cs="Arial"/>
              </w:rPr>
            </w:pPr>
            <w:r w:rsidRPr="00C76CFF">
              <w:rPr>
                <w:rFonts w:ascii="Arial" w:hAnsi="Arial" w:cs="Arial"/>
              </w:rPr>
              <w:t xml:space="preserve">Costs associated with added risk management activities </w:t>
            </w:r>
          </w:p>
        </w:tc>
      </w:tr>
      <w:tr w:rsidR="00C76CFF" w:rsidRPr="00C76CFF" w:rsidTr="00BF7A97">
        <w:trPr>
          <w:trHeight w:val="147"/>
        </w:trPr>
        <w:tc>
          <w:tcPr>
            <w:tcW w:w="9242" w:type="dxa"/>
          </w:tcPr>
          <w:p w:rsidR="00C76CFF" w:rsidRPr="00C76CFF" w:rsidRDefault="00C76CFF" w:rsidP="004F6DD4">
            <w:pPr>
              <w:spacing w:before="60" w:after="120"/>
              <w:jc w:val="both"/>
              <w:rPr>
                <w:rFonts w:ascii="Arial" w:hAnsi="Arial" w:cs="Arial"/>
              </w:rPr>
            </w:pPr>
          </w:p>
          <w:p w:rsidR="00C76CFF" w:rsidRPr="00C76CFF" w:rsidRDefault="00C76CFF" w:rsidP="004F6DD4">
            <w:pPr>
              <w:spacing w:before="60" w:after="120"/>
              <w:jc w:val="both"/>
              <w:rPr>
                <w:rFonts w:ascii="Arial" w:hAnsi="Arial" w:cs="Arial"/>
              </w:rPr>
            </w:pPr>
          </w:p>
        </w:tc>
      </w:tr>
      <w:tr w:rsidR="00C76CFF" w:rsidRPr="00C76CFF" w:rsidTr="00BF7A97">
        <w:trPr>
          <w:trHeight w:val="147"/>
        </w:trPr>
        <w:tc>
          <w:tcPr>
            <w:tcW w:w="9242" w:type="dxa"/>
            <w:shd w:val="clear" w:color="auto" w:fill="D9D9D9" w:themeFill="background1" w:themeFillShade="D9"/>
          </w:tcPr>
          <w:p w:rsidR="00C76CFF" w:rsidRPr="00C76CFF" w:rsidRDefault="00C76CFF" w:rsidP="004F6DD4">
            <w:pPr>
              <w:pStyle w:val="ListParagraph"/>
              <w:numPr>
                <w:ilvl w:val="0"/>
                <w:numId w:val="14"/>
              </w:numPr>
              <w:spacing w:before="60" w:after="120" w:line="276" w:lineRule="auto"/>
              <w:ind w:left="426" w:hanging="426"/>
              <w:contextualSpacing w:val="0"/>
              <w:jc w:val="both"/>
              <w:rPr>
                <w:rFonts w:ascii="Arial" w:hAnsi="Arial" w:cs="Arial"/>
              </w:rPr>
            </w:pPr>
            <w:r w:rsidRPr="00C76CFF">
              <w:rPr>
                <w:rFonts w:ascii="Arial" w:hAnsi="Arial" w:cs="Arial"/>
              </w:rPr>
              <w:t>Please provide any additional information which you consider relevant but which has not been asked for explicitly.</w:t>
            </w:r>
          </w:p>
        </w:tc>
      </w:tr>
      <w:tr w:rsidR="00C76CFF" w:rsidRPr="00C76CFF" w:rsidTr="00BF7A97">
        <w:trPr>
          <w:trHeight w:val="147"/>
        </w:trPr>
        <w:tc>
          <w:tcPr>
            <w:tcW w:w="9242" w:type="dxa"/>
          </w:tcPr>
          <w:p w:rsidR="00C76CFF" w:rsidRPr="00C76CFF" w:rsidRDefault="00C76CFF" w:rsidP="00BF7A97">
            <w:pPr>
              <w:spacing w:before="60" w:after="60"/>
              <w:jc w:val="both"/>
              <w:rPr>
                <w:rFonts w:ascii="Arial" w:hAnsi="Arial" w:cs="Arial"/>
              </w:rPr>
            </w:pPr>
          </w:p>
        </w:tc>
      </w:tr>
    </w:tbl>
    <w:p w:rsidR="002E41CC" w:rsidRPr="00C76CFF" w:rsidRDefault="002E41CC" w:rsidP="00C76CFF">
      <w:pPr>
        <w:rPr>
          <w:rFonts w:ascii="Arial" w:hAnsi="Arial" w:cs="Arial"/>
          <w:b/>
        </w:rPr>
      </w:pPr>
    </w:p>
    <w:sectPr w:rsidR="002E41CC" w:rsidRPr="00C76CF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79" w:rsidRDefault="00C57479" w:rsidP="00A3627D">
      <w:pPr>
        <w:spacing w:after="0" w:line="240" w:lineRule="auto"/>
      </w:pPr>
      <w:r>
        <w:separator/>
      </w:r>
    </w:p>
  </w:endnote>
  <w:endnote w:type="continuationSeparator" w:id="0">
    <w:p w:rsidR="00C57479" w:rsidRDefault="00C57479" w:rsidP="00A3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966220"/>
      <w:docPartObj>
        <w:docPartGallery w:val="Page Numbers (Bottom of Page)"/>
        <w:docPartUnique/>
      </w:docPartObj>
    </w:sdtPr>
    <w:sdtEndPr/>
    <w:sdtContent>
      <w:sdt>
        <w:sdtPr>
          <w:id w:val="860082579"/>
          <w:docPartObj>
            <w:docPartGallery w:val="Page Numbers (Top of Page)"/>
            <w:docPartUnique/>
          </w:docPartObj>
        </w:sdtPr>
        <w:sdtEndPr/>
        <w:sdtContent>
          <w:p w:rsidR="00520B1A" w:rsidRDefault="00520B1A">
            <w:pPr>
              <w:pStyle w:val="Footer"/>
              <w:jc w:val="right"/>
            </w:pPr>
            <w:r w:rsidRPr="004B4AAB">
              <w:rPr>
                <w:rFonts w:ascii="Arial" w:hAnsi="Arial" w:cs="Arial"/>
                <w:sz w:val="20"/>
                <w:szCs w:val="20"/>
              </w:rPr>
              <w:t xml:space="preserve">Page </w:t>
            </w:r>
            <w:r w:rsidRPr="004B4AAB">
              <w:rPr>
                <w:rFonts w:ascii="Arial" w:hAnsi="Arial" w:cs="Arial"/>
                <w:b/>
                <w:bCs/>
                <w:sz w:val="20"/>
                <w:szCs w:val="20"/>
              </w:rPr>
              <w:fldChar w:fldCharType="begin"/>
            </w:r>
            <w:r w:rsidRPr="004B4AAB">
              <w:rPr>
                <w:rFonts w:ascii="Arial" w:hAnsi="Arial" w:cs="Arial"/>
                <w:b/>
                <w:bCs/>
                <w:sz w:val="20"/>
                <w:szCs w:val="20"/>
              </w:rPr>
              <w:instrText xml:space="preserve"> PAGE </w:instrText>
            </w:r>
            <w:r w:rsidRPr="004B4AAB">
              <w:rPr>
                <w:rFonts w:ascii="Arial" w:hAnsi="Arial" w:cs="Arial"/>
                <w:b/>
                <w:bCs/>
                <w:sz w:val="20"/>
                <w:szCs w:val="20"/>
              </w:rPr>
              <w:fldChar w:fldCharType="separate"/>
            </w:r>
            <w:r w:rsidR="00525DE4">
              <w:rPr>
                <w:rFonts w:ascii="Arial" w:hAnsi="Arial" w:cs="Arial"/>
                <w:b/>
                <w:bCs/>
                <w:noProof/>
                <w:sz w:val="20"/>
                <w:szCs w:val="20"/>
              </w:rPr>
              <w:t>1</w:t>
            </w:r>
            <w:r w:rsidRPr="004B4AAB">
              <w:rPr>
                <w:rFonts w:ascii="Arial" w:hAnsi="Arial" w:cs="Arial"/>
                <w:b/>
                <w:bCs/>
                <w:sz w:val="20"/>
                <w:szCs w:val="20"/>
              </w:rPr>
              <w:fldChar w:fldCharType="end"/>
            </w:r>
            <w:r w:rsidRPr="004B4AAB">
              <w:rPr>
                <w:rFonts w:ascii="Arial" w:hAnsi="Arial" w:cs="Arial"/>
                <w:sz w:val="20"/>
                <w:szCs w:val="20"/>
              </w:rPr>
              <w:t xml:space="preserve"> of </w:t>
            </w:r>
            <w:r w:rsidRPr="004B4AAB">
              <w:rPr>
                <w:rFonts w:ascii="Arial" w:hAnsi="Arial" w:cs="Arial"/>
                <w:b/>
                <w:bCs/>
                <w:sz w:val="20"/>
                <w:szCs w:val="20"/>
              </w:rPr>
              <w:fldChar w:fldCharType="begin"/>
            </w:r>
            <w:r w:rsidRPr="004B4AAB">
              <w:rPr>
                <w:rFonts w:ascii="Arial" w:hAnsi="Arial" w:cs="Arial"/>
                <w:b/>
                <w:bCs/>
                <w:sz w:val="20"/>
                <w:szCs w:val="20"/>
              </w:rPr>
              <w:instrText xml:space="preserve"> NUMPAGES  </w:instrText>
            </w:r>
            <w:r w:rsidRPr="004B4AAB">
              <w:rPr>
                <w:rFonts w:ascii="Arial" w:hAnsi="Arial" w:cs="Arial"/>
                <w:b/>
                <w:bCs/>
                <w:sz w:val="20"/>
                <w:szCs w:val="20"/>
              </w:rPr>
              <w:fldChar w:fldCharType="separate"/>
            </w:r>
            <w:r w:rsidR="00525DE4">
              <w:rPr>
                <w:rFonts w:ascii="Arial" w:hAnsi="Arial" w:cs="Arial"/>
                <w:b/>
                <w:bCs/>
                <w:noProof/>
                <w:sz w:val="20"/>
                <w:szCs w:val="20"/>
              </w:rPr>
              <w:t>4</w:t>
            </w:r>
            <w:r w:rsidRPr="004B4AAB">
              <w:rPr>
                <w:rFonts w:ascii="Arial" w:hAnsi="Arial" w:cs="Arial"/>
                <w:b/>
                <w:bCs/>
                <w:sz w:val="20"/>
                <w:szCs w:val="20"/>
              </w:rPr>
              <w:fldChar w:fldCharType="end"/>
            </w:r>
          </w:p>
        </w:sdtContent>
      </w:sdt>
    </w:sdtContent>
  </w:sdt>
  <w:p w:rsidR="00920F5E" w:rsidRDefault="00920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79" w:rsidRDefault="00C57479" w:rsidP="00A3627D">
      <w:pPr>
        <w:spacing w:after="0" w:line="240" w:lineRule="auto"/>
      </w:pPr>
      <w:r>
        <w:separator/>
      </w:r>
    </w:p>
  </w:footnote>
  <w:footnote w:type="continuationSeparator" w:id="0">
    <w:p w:rsidR="00C57479" w:rsidRDefault="00C57479" w:rsidP="00A3627D">
      <w:pPr>
        <w:spacing w:after="0" w:line="240" w:lineRule="auto"/>
      </w:pPr>
      <w:r>
        <w:continuationSeparator/>
      </w:r>
    </w:p>
  </w:footnote>
  <w:footnote w:id="1">
    <w:p w:rsidR="00C76CFF" w:rsidRPr="00C00C53" w:rsidRDefault="00C76CFF" w:rsidP="00C76CFF">
      <w:pPr>
        <w:pStyle w:val="FootnoteTex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EEC" w:rsidRDefault="00476EEC">
    <w:pPr>
      <w:pStyle w:val="Header"/>
    </w:pPr>
    <w:r>
      <w:rPr>
        <w:noProof/>
        <w:lang w:eastAsia="en-GB"/>
      </w:rPr>
      <w:drawing>
        <wp:inline distT="0" distB="0" distL="0" distR="0" wp14:anchorId="3CF6A870">
          <wp:extent cx="2432685" cy="469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2685" cy="4692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EED"/>
    <w:multiLevelType w:val="hybridMultilevel"/>
    <w:tmpl w:val="EF9E025A"/>
    <w:lvl w:ilvl="0" w:tplc="C7ACB6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E58DD"/>
    <w:multiLevelType w:val="hybridMultilevel"/>
    <w:tmpl w:val="9098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2EA673C"/>
    <w:multiLevelType w:val="hybridMultilevel"/>
    <w:tmpl w:val="5F780D2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6CA29E8"/>
    <w:multiLevelType w:val="hybridMultilevel"/>
    <w:tmpl w:val="CB40DE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92289"/>
    <w:multiLevelType w:val="hybridMultilevel"/>
    <w:tmpl w:val="5F780D2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10A5BC0"/>
    <w:multiLevelType w:val="hybridMultilevel"/>
    <w:tmpl w:val="CB40DE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486815"/>
    <w:multiLevelType w:val="hybridMultilevel"/>
    <w:tmpl w:val="5F780D2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CE417B8"/>
    <w:multiLevelType w:val="hybridMultilevel"/>
    <w:tmpl w:val="2250D22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6A40E72"/>
    <w:multiLevelType w:val="hybridMultilevel"/>
    <w:tmpl w:val="415265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F2ABF"/>
    <w:multiLevelType w:val="hybridMultilevel"/>
    <w:tmpl w:val="6B703BB2"/>
    <w:lvl w:ilvl="0" w:tplc="BB0EA8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887622"/>
    <w:multiLevelType w:val="hybridMultilevel"/>
    <w:tmpl w:val="6B703BB2"/>
    <w:lvl w:ilvl="0" w:tplc="BB0EA8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DF4470"/>
    <w:multiLevelType w:val="hybridMultilevel"/>
    <w:tmpl w:val="0BBC8D2E"/>
    <w:lvl w:ilvl="0" w:tplc="0DC818AE">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6B4BC0"/>
    <w:multiLevelType w:val="hybridMultilevel"/>
    <w:tmpl w:val="EA5C4F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C673EB"/>
    <w:multiLevelType w:val="hybridMultilevel"/>
    <w:tmpl w:val="FBD26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AFB6B7F"/>
    <w:multiLevelType w:val="hybridMultilevel"/>
    <w:tmpl w:val="C71CF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6A5518"/>
    <w:multiLevelType w:val="hybridMultilevel"/>
    <w:tmpl w:val="0500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4D0ACB"/>
    <w:multiLevelType w:val="hybridMultilevel"/>
    <w:tmpl w:val="761C6B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0A3D90"/>
    <w:multiLevelType w:val="hybridMultilevel"/>
    <w:tmpl w:val="8E4EAD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8"/>
  </w:num>
  <w:num w:numId="4">
    <w:abstractNumId w:val="0"/>
  </w:num>
  <w:num w:numId="5">
    <w:abstractNumId w:val="16"/>
  </w:num>
  <w:num w:numId="6">
    <w:abstractNumId w:val="1"/>
  </w:num>
  <w:num w:numId="7">
    <w:abstractNumId w:val="11"/>
  </w:num>
  <w:num w:numId="8">
    <w:abstractNumId w:val="3"/>
  </w:num>
  <w:num w:numId="9">
    <w:abstractNumId w:val="17"/>
  </w:num>
  <w:num w:numId="10">
    <w:abstractNumId w:val="15"/>
  </w:num>
  <w:num w:numId="11">
    <w:abstractNumId w:val="5"/>
  </w:num>
  <w:num w:numId="12">
    <w:abstractNumId w:val="9"/>
  </w:num>
  <w:num w:numId="13">
    <w:abstractNumId w:val="10"/>
  </w:num>
  <w:num w:numId="14">
    <w:abstractNumId w:val="12"/>
  </w:num>
  <w:num w:numId="15">
    <w:abstractNumId w:val="6"/>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36"/>
    <w:rsid w:val="00033F96"/>
    <w:rsid w:val="00035C3B"/>
    <w:rsid w:val="000518A8"/>
    <w:rsid w:val="00061410"/>
    <w:rsid w:val="00070A41"/>
    <w:rsid w:val="000A4A99"/>
    <w:rsid w:val="001065BD"/>
    <w:rsid w:val="0012050F"/>
    <w:rsid w:val="00125396"/>
    <w:rsid w:val="001707BA"/>
    <w:rsid w:val="001C5623"/>
    <w:rsid w:val="001D6A2A"/>
    <w:rsid w:val="001D79AB"/>
    <w:rsid w:val="00275891"/>
    <w:rsid w:val="00290B79"/>
    <w:rsid w:val="00292BA4"/>
    <w:rsid w:val="002E41CC"/>
    <w:rsid w:val="002F1E70"/>
    <w:rsid w:val="00337B74"/>
    <w:rsid w:val="00441B18"/>
    <w:rsid w:val="00476EEC"/>
    <w:rsid w:val="0048285A"/>
    <w:rsid w:val="004B4AAB"/>
    <w:rsid w:val="004C00E7"/>
    <w:rsid w:val="004C5142"/>
    <w:rsid w:val="004F6DD4"/>
    <w:rsid w:val="00520B1A"/>
    <w:rsid w:val="00525DE4"/>
    <w:rsid w:val="005907EA"/>
    <w:rsid w:val="0059691D"/>
    <w:rsid w:val="005A1AA5"/>
    <w:rsid w:val="00605FE8"/>
    <w:rsid w:val="00656C50"/>
    <w:rsid w:val="00670B57"/>
    <w:rsid w:val="006B1F36"/>
    <w:rsid w:val="006C1936"/>
    <w:rsid w:val="006E4417"/>
    <w:rsid w:val="00720C73"/>
    <w:rsid w:val="007859D4"/>
    <w:rsid w:val="007B4983"/>
    <w:rsid w:val="007B73CF"/>
    <w:rsid w:val="00801611"/>
    <w:rsid w:val="0083542E"/>
    <w:rsid w:val="00854AA1"/>
    <w:rsid w:val="00855A2C"/>
    <w:rsid w:val="008C0DF1"/>
    <w:rsid w:val="008F72F9"/>
    <w:rsid w:val="00920F5E"/>
    <w:rsid w:val="009309EA"/>
    <w:rsid w:val="009479CA"/>
    <w:rsid w:val="009526B3"/>
    <w:rsid w:val="009868A0"/>
    <w:rsid w:val="00A05916"/>
    <w:rsid w:val="00A147BD"/>
    <w:rsid w:val="00A3382B"/>
    <w:rsid w:val="00A3627D"/>
    <w:rsid w:val="00A41D7C"/>
    <w:rsid w:val="00A52B2A"/>
    <w:rsid w:val="00A544FF"/>
    <w:rsid w:val="00A8311F"/>
    <w:rsid w:val="00A90E59"/>
    <w:rsid w:val="00B33C1F"/>
    <w:rsid w:val="00B57A75"/>
    <w:rsid w:val="00B83234"/>
    <w:rsid w:val="00B9159D"/>
    <w:rsid w:val="00BD36EA"/>
    <w:rsid w:val="00C00C84"/>
    <w:rsid w:val="00C33CEE"/>
    <w:rsid w:val="00C57479"/>
    <w:rsid w:val="00C76CFF"/>
    <w:rsid w:val="00C93483"/>
    <w:rsid w:val="00D42ABE"/>
    <w:rsid w:val="00DB6E6A"/>
    <w:rsid w:val="00DF709E"/>
    <w:rsid w:val="00E13C22"/>
    <w:rsid w:val="00E2036E"/>
    <w:rsid w:val="00E24819"/>
    <w:rsid w:val="00E44527"/>
    <w:rsid w:val="00E857B1"/>
    <w:rsid w:val="00EF7134"/>
    <w:rsid w:val="00F10DA5"/>
    <w:rsid w:val="00FA7F67"/>
    <w:rsid w:val="00FC5245"/>
    <w:rsid w:val="00FE5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2036E"/>
    <w:pPr>
      <w:ind w:left="720"/>
      <w:contextualSpacing/>
    </w:pPr>
  </w:style>
  <w:style w:type="paragraph" w:styleId="Header">
    <w:name w:val="header"/>
    <w:basedOn w:val="Normal"/>
    <w:link w:val="HeaderChar"/>
    <w:uiPriority w:val="99"/>
    <w:unhideWhenUsed/>
    <w:rsid w:val="00A3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27D"/>
  </w:style>
  <w:style w:type="paragraph" w:styleId="Footer">
    <w:name w:val="footer"/>
    <w:basedOn w:val="Normal"/>
    <w:link w:val="FooterChar"/>
    <w:uiPriority w:val="99"/>
    <w:unhideWhenUsed/>
    <w:rsid w:val="00A3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27D"/>
  </w:style>
  <w:style w:type="paragraph" w:styleId="FootnoteText">
    <w:name w:val="footnote text"/>
    <w:basedOn w:val="Normal"/>
    <w:link w:val="FootnoteTextChar"/>
    <w:semiHidden/>
    <w:unhideWhenUsed/>
    <w:rsid w:val="007859D4"/>
    <w:pPr>
      <w:spacing w:after="0" w:line="240" w:lineRule="auto"/>
    </w:pPr>
    <w:rPr>
      <w:sz w:val="20"/>
      <w:szCs w:val="20"/>
    </w:rPr>
  </w:style>
  <w:style w:type="character" w:customStyle="1" w:styleId="FootnoteTextChar">
    <w:name w:val="Footnote Text Char"/>
    <w:basedOn w:val="DefaultParagraphFont"/>
    <w:link w:val="FootnoteText"/>
    <w:semiHidden/>
    <w:rsid w:val="007859D4"/>
    <w:rPr>
      <w:sz w:val="20"/>
      <w:szCs w:val="20"/>
    </w:rPr>
  </w:style>
  <w:style w:type="paragraph" w:customStyle="1" w:styleId="FormCode">
    <w:name w:val="Form Code"/>
    <w:basedOn w:val="Normal"/>
    <w:rsid w:val="007859D4"/>
    <w:pPr>
      <w:tabs>
        <w:tab w:val="left" w:pos="1785"/>
        <w:tab w:val="left" w:pos="7088"/>
      </w:tabs>
      <w:spacing w:before="120" w:after="120" w:line="240" w:lineRule="auto"/>
      <w:jc w:val="both"/>
      <w:outlineLvl w:val="0"/>
    </w:pPr>
    <w:rPr>
      <w:rFonts w:ascii="Arial" w:eastAsia="Times New Roman" w:hAnsi="Arial" w:cs="Times New Roman"/>
      <w:b/>
      <w:color w:val="000000"/>
      <w:sz w:val="56"/>
      <w:szCs w:val="20"/>
      <w:lang w:eastAsia="en-GB"/>
    </w:rPr>
  </w:style>
  <w:style w:type="paragraph" w:styleId="BalloonText">
    <w:name w:val="Balloon Text"/>
    <w:basedOn w:val="Normal"/>
    <w:link w:val="BalloonTextChar"/>
    <w:uiPriority w:val="99"/>
    <w:semiHidden/>
    <w:unhideWhenUsed/>
    <w:rsid w:val="00476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EC"/>
    <w:rPr>
      <w:rFonts w:ascii="Tahoma" w:hAnsi="Tahoma" w:cs="Tahoma"/>
      <w:sz w:val="16"/>
      <w:szCs w:val="16"/>
    </w:rPr>
  </w:style>
  <w:style w:type="paragraph" w:customStyle="1" w:styleId="BulletHeading">
    <w:name w:val="Bullet Heading"/>
    <w:basedOn w:val="ListParagraph"/>
    <w:link w:val="BulletHeadingChar"/>
    <w:qFormat/>
    <w:rsid w:val="006E4417"/>
    <w:pPr>
      <w:spacing w:after="0" w:line="240" w:lineRule="auto"/>
      <w:ind w:hanging="360"/>
      <w:outlineLvl w:val="1"/>
    </w:pPr>
    <w:rPr>
      <w:rFonts w:ascii="Arial" w:eastAsia="Times New Roman" w:hAnsi="Arial" w:cs="Arial"/>
      <w:b/>
      <w:color w:val="2F2F2F"/>
      <w:sz w:val="20"/>
      <w:szCs w:val="20"/>
    </w:rPr>
  </w:style>
  <w:style w:type="character" w:customStyle="1" w:styleId="BulletHeadingChar">
    <w:name w:val="Bullet Heading Char"/>
    <w:basedOn w:val="DefaultParagraphFont"/>
    <w:link w:val="BulletHeading"/>
    <w:rsid w:val="006E4417"/>
    <w:rPr>
      <w:rFonts w:ascii="Arial" w:eastAsia="Times New Roman" w:hAnsi="Arial" w:cs="Arial"/>
      <w:b/>
      <w:color w:val="2F2F2F"/>
      <w:sz w:val="20"/>
      <w:szCs w:val="20"/>
    </w:rPr>
  </w:style>
  <w:style w:type="table" w:customStyle="1" w:styleId="TableGrid1">
    <w:name w:val="Table Grid1"/>
    <w:basedOn w:val="TableNormal"/>
    <w:next w:val="TableGrid"/>
    <w:uiPriority w:val="59"/>
    <w:rsid w:val="00E13C22"/>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1C5623"/>
    <w:rPr>
      <w:vertAlign w:val="superscript"/>
    </w:rPr>
  </w:style>
  <w:style w:type="character" w:customStyle="1" w:styleId="ListParagraphChar">
    <w:name w:val="List Paragraph Char"/>
    <w:basedOn w:val="DefaultParagraphFont"/>
    <w:link w:val="ListParagraph"/>
    <w:uiPriority w:val="34"/>
    <w:rsid w:val="001C5623"/>
  </w:style>
  <w:style w:type="character" w:styleId="Hyperlink">
    <w:name w:val="Hyperlink"/>
    <w:basedOn w:val="DefaultParagraphFont"/>
    <w:uiPriority w:val="99"/>
    <w:unhideWhenUsed/>
    <w:rsid w:val="00C76C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2036E"/>
    <w:pPr>
      <w:ind w:left="720"/>
      <w:contextualSpacing/>
    </w:pPr>
  </w:style>
  <w:style w:type="paragraph" w:styleId="Header">
    <w:name w:val="header"/>
    <w:basedOn w:val="Normal"/>
    <w:link w:val="HeaderChar"/>
    <w:uiPriority w:val="99"/>
    <w:unhideWhenUsed/>
    <w:rsid w:val="00A3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27D"/>
  </w:style>
  <w:style w:type="paragraph" w:styleId="Footer">
    <w:name w:val="footer"/>
    <w:basedOn w:val="Normal"/>
    <w:link w:val="FooterChar"/>
    <w:uiPriority w:val="99"/>
    <w:unhideWhenUsed/>
    <w:rsid w:val="00A3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27D"/>
  </w:style>
  <w:style w:type="paragraph" w:styleId="FootnoteText">
    <w:name w:val="footnote text"/>
    <w:basedOn w:val="Normal"/>
    <w:link w:val="FootnoteTextChar"/>
    <w:semiHidden/>
    <w:unhideWhenUsed/>
    <w:rsid w:val="007859D4"/>
    <w:pPr>
      <w:spacing w:after="0" w:line="240" w:lineRule="auto"/>
    </w:pPr>
    <w:rPr>
      <w:sz w:val="20"/>
      <w:szCs w:val="20"/>
    </w:rPr>
  </w:style>
  <w:style w:type="character" w:customStyle="1" w:styleId="FootnoteTextChar">
    <w:name w:val="Footnote Text Char"/>
    <w:basedOn w:val="DefaultParagraphFont"/>
    <w:link w:val="FootnoteText"/>
    <w:semiHidden/>
    <w:rsid w:val="007859D4"/>
    <w:rPr>
      <w:sz w:val="20"/>
      <w:szCs w:val="20"/>
    </w:rPr>
  </w:style>
  <w:style w:type="paragraph" w:customStyle="1" w:styleId="FormCode">
    <w:name w:val="Form Code"/>
    <w:basedOn w:val="Normal"/>
    <w:rsid w:val="007859D4"/>
    <w:pPr>
      <w:tabs>
        <w:tab w:val="left" w:pos="1785"/>
        <w:tab w:val="left" w:pos="7088"/>
      </w:tabs>
      <w:spacing w:before="120" w:after="120" w:line="240" w:lineRule="auto"/>
      <w:jc w:val="both"/>
      <w:outlineLvl w:val="0"/>
    </w:pPr>
    <w:rPr>
      <w:rFonts w:ascii="Arial" w:eastAsia="Times New Roman" w:hAnsi="Arial" w:cs="Times New Roman"/>
      <w:b/>
      <w:color w:val="000000"/>
      <w:sz w:val="56"/>
      <w:szCs w:val="20"/>
      <w:lang w:eastAsia="en-GB"/>
    </w:rPr>
  </w:style>
  <w:style w:type="paragraph" w:styleId="BalloonText">
    <w:name w:val="Balloon Text"/>
    <w:basedOn w:val="Normal"/>
    <w:link w:val="BalloonTextChar"/>
    <w:uiPriority w:val="99"/>
    <w:semiHidden/>
    <w:unhideWhenUsed/>
    <w:rsid w:val="00476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EC"/>
    <w:rPr>
      <w:rFonts w:ascii="Tahoma" w:hAnsi="Tahoma" w:cs="Tahoma"/>
      <w:sz w:val="16"/>
      <w:szCs w:val="16"/>
    </w:rPr>
  </w:style>
  <w:style w:type="paragraph" w:customStyle="1" w:styleId="BulletHeading">
    <w:name w:val="Bullet Heading"/>
    <w:basedOn w:val="ListParagraph"/>
    <w:link w:val="BulletHeadingChar"/>
    <w:qFormat/>
    <w:rsid w:val="006E4417"/>
    <w:pPr>
      <w:spacing w:after="0" w:line="240" w:lineRule="auto"/>
      <w:ind w:hanging="360"/>
      <w:outlineLvl w:val="1"/>
    </w:pPr>
    <w:rPr>
      <w:rFonts w:ascii="Arial" w:eastAsia="Times New Roman" w:hAnsi="Arial" w:cs="Arial"/>
      <w:b/>
      <w:color w:val="2F2F2F"/>
      <w:sz w:val="20"/>
      <w:szCs w:val="20"/>
    </w:rPr>
  </w:style>
  <w:style w:type="character" w:customStyle="1" w:styleId="BulletHeadingChar">
    <w:name w:val="Bullet Heading Char"/>
    <w:basedOn w:val="DefaultParagraphFont"/>
    <w:link w:val="BulletHeading"/>
    <w:rsid w:val="006E4417"/>
    <w:rPr>
      <w:rFonts w:ascii="Arial" w:eastAsia="Times New Roman" w:hAnsi="Arial" w:cs="Arial"/>
      <w:b/>
      <w:color w:val="2F2F2F"/>
      <w:sz w:val="20"/>
      <w:szCs w:val="20"/>
    </w:rPr>
  </w:style>
  <w:style w:type="table" w:customStyle="1" w:styleId="TableGrid1">
    <w:name w:val="Table Grid1"/>
    <w:basedOn w:val="TableNormal"/>
    <w:next w:val="TableGrid"/>
    <w:uiPriority w:val="59"/>
    <w:rsid w:val="00E13C22"/>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1C5623"/>
    <w:rPr>
      <w:vertAlign w:val="superscript"/>
    </w:rPr>
  </w:style>
  <w:style w:type="character" w:customStyle="1" w:styleId="ListParagraphChar">
    <w:name w:val="List Paragraph Char"/>
    <w:basedOn w:val="DefaultParagraphFont"/>
    <w:link w:val="ListParagraph"/>
    <w:uiPriority w:val="34"/>
    <w:rsid w:val="001C5623"/>
  </w:style>
  <w:style w:type="character" w:styleId="Hyperlink">
    <w:name w:val="Hyperlink"/>
    <w:basedOn w:val="DefaultParagraphFont"/>
    <w:uiPriority w:val="99"/>
    <w:unhideWhenUsed/>
    <w:rsid w:val="00C76C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8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A-waivers@bankofengland.co.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BOEReplicateBackwardLinksOnDeployFlag xmlns="http://schemas.microsoft.com/sharepoint/v3">false</BOEReplicateBackwardLinksOnDeployFlag>
    <PublishDate xmlns="http://schemas.microsoft.com/sharepoint/v3" xsi:nil="tru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3ace8b48-457a-4b41-98f4-9f2cd1965516</TermId>
        </TermInfo>
      </Terms>
    </BOETaxonomyFieldTaxHTField0>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799</AccountId>
        <AccountType/>
      </UserInfo>
    </OwnerGroup>
    <BOEApprovalStatus xmlns="http://schemas.microsoft.com/sharepoint/v3">Level 2 Approved</BOEApprovalStatus>
    <BOESummaryText xmlns="http://schemas.microsoft.com/sharepoint/v3" xsi:nil="true"/>
    <ArchivalChoice xmlns="http://schemas.microsoft.com/sharepoint/v3">5 Years</ArchivalChoice>
    <ArchivalDate xmlns="http://schemas.microsoft.com/sharepoint/v3">2020-03-17T15:51:59+00:00</ArchivalDate>
    <ApprovedBy xmlns="http://schemas.microsoft.com/sharepoint/v3">
      <UserInfo>
        <DisplayName>Webster, Tom</DisplayName>
        <AccountId>954</AccountId>
        <AccountType/>
      </UserInfo>
    </ApprovedBy>
    <PublishedBy xmlns="http://schemas.microsoft.com/sharepoint/v3">
      <UserInfo>
        <DisplayName>Wells, Lauren</DisplayName>
        <AccountId>420</AccountId>
        <AccountType/>
      </UserInfo>
    </PublishedBy>
    <TaxCatchAll xmlns="a5edd0e9-353e-4089-bcbc-d9218926e91f">
      <Value>1155</Value>
    </TaxCatchAll>
    <ContentReviewDate xmlns="http://schemas.microsoft.com/sharepoint/v3"/>
  </documentManagement>
</p:properties>
</file>

<file path=customXml/itemProps1.xml><?xml version="1.0" encoding="utf-8"?>
<ds:datastoreItem xmlns:ds="http://schemas.openxmlformats.org/officeDocument/2006/customXml" ds:itemID="{BE821312-F40E-46BF-B9C7-64B53E8CBD3D}"/>
</file>

<file path=customXml/itemProps2.xml><?xml version="1.0" encoding="utf-8"?>
<ds:datastoreItem xmlns:ds="http://schemas.openxmlformats.org/officeDocument/2006/customXml" ds:itemID="{F65C512B-A1FA-4BFE-9D3B-6150427E7DA3}"/>
</file>

<file path=customXml/itemProps3.xml><?xml version="1.0" encoding="utf-8"?>
<ds:datastoreItem xmlns:ds="http://schemas.openxmlformats.org/officeDocument/2006/customXml" ds:itemID="{7C94FFC9-FBE9-4B89-A05D-231D1810D77F}"/>
</file>

<file path=customXml/itemProps4.xml><?xml version="1.0" encoding="utf-8"?>
<ds:datastoreItem xmlns:ds="http://schemas.openxmlformats.org/officeDocument/2006/customXml" ds:itemID="{7DAB48D3-E207-4212-B6E4-544E4BF9338A}"/>
</file>

<file path=docProps/app.xml><?xml version="1.0" encoding="utf-8"?>
<Properties xmlns="http://schemas.openxmlformats.org/officeDocument/2006/extended-properties" xmlns:vt="http://schemas.openxmlformats.org/officeDocument/2006/docPropsVTypes">
  <Template>Normal</Template>
  <TotalTime>98</TotalTime>
  <Pages>1</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for applications relating to group solvency calculation method</dc:title>
  <dc:subject/>
  <dc:creator>Venables, Terrence</dc:creator>
  <cp:keywords/>
  <dc:description/>
  <cp:lastModifiedBy>Philbey, Nicola</cp:lastModifiedBy>
  <cp:revision>18</cp:revision>
  <cp:lastPrinted>2015-03-17T12:01:00Z</cp:lastPrinted>
  <dcterms:created xsi:type="dcterms:W3CDTF">2014-10-08T09:16:00Z</dcterms:created>
  <dcterms:modified xsi:type="dcterms:W3CDTF">2015-03-17T10:29:00Z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2478407</vt:lpwstr>
  </property>
  <property fmtid="{D5CDD505-2E9C-101B-9397-08002B2CF9AE}" pid="3" name="DocVer">
    <vt:lpwstr>PRA 2478407v2</vt:lpwstr>
  </property>
  <property fmtid="{D5CDD505-2E9C-101B-9397-08002B2CF9AE}" pid="4" name="ContentTypeId">
    <vt:lpwstr>0x01010071F442493410834AB5B972D151A2D9E4</vt:lpwstr>
  </property>
  <property fmtid="{D5CDD505-2E9C-101B-9397-08002B2CF9AE}" pid="5" name="BOETaxonomyField">
    <vt:lpwstr>1155;#PRA|3ace8b48-457a-4b41-98f4-9f2cd1965516</vt:lpwstr>
  </property>
  <property fmtid="{D5CDD505-2E9C-101B-9397-08002B2CF9AE}" pid="6" name="Order">
    <vt:r8>797100</vt:r8>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ublicationReviewalChoice">
    <vt:lpwstr>12 Months</vt:lpwstr>
  </property>
  <property fmtid="{D5CDD505-2E9C-101B-9397-08002B2CF9AE}" pid="12" name="ReviewalDate">
    <vt:filetime>2016-03-17T15:51:59Z</vt:filetime>
  </property>
</Properties>
</file>