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4E" w:rsidRDefault="00F7634E" w:rsidP="00476EEC">
      <w:pPr>
        <w:rPr>
          <w:rFonts w:ascii="Arial" w:hAnsi="Arial" w:cs="Arial"/>
          <w:b/>
          <w:sz w:val="28"/>
          <w:szCs w:val="28"/>
        </w:rPr>
      </w:pPr>
    </w:p>
    <w:p w:rsidR="007859D4" w:rsidRPr="008C1891" w:rsidRDefault="00A37D8E" w:rsidP="007859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Supplementary information</w:t>
      </w:r>
      <w:r w:rsidR="00EF1372">
        <w:rPr>
          <w:rFonts w:ascii="Arial" w:hAnsi="Arial" w:cs="Arial"/>
          <w:b/>
          <w:sz w:val="28"/>
          <w:szCs w:val="28"/>
        </w:rPr>
        <w:t xml:space="preserve"> for application</w:t>
      </w:r>
      <w:r>
        <w:rPr>
          <w:rFonts w:ascii="Arial" w:hAnsi="Arial" w:cs="Arial"/>
          <w:b/>
          <w:sz w:val="28"/>
          <w:szCs w:val="28"/>
        </w:rPr>
        <w:t>s</w:t>
      </w:r>
      <w:r w:rsidR="001C53C2" w:rsidRPr="001C53C2">
        <w:rPr>
          <w:rFonts w:ascii="Arial" w:hAnsi="Arial" w:cs="Arial"/>
          <w:b/>
          <w:sz w:val="28"/>
          <w:szCs w:val="28"/>
        </w:rPr>
        <w:t xml:space="preserve"> to use</w:t>
      </w:r>
      <w:r w:rsidR="001C53C2">
        <w:t xml:space="preserve"> </w:t>
      </w:r>
      <w:r w:rsidR="001C53C2">
        <w:rPr>
          <w:rFonts w:ascii="Arial" w:hAnsi="Arial" w:cs="Arial"/>
          <w:b/>
          <w:sz w:val="28"/>
          <w:szCs w:val="28"/>
        </w:rPr>
        <w:t>e</w:t>
      </w:r>
      <w:r w:rsidR="008F554D">
        <w:rPr>
          <w:rFonts w:ascii="Arial" w:hAnsi="Arial" w:cs="Arial"/>
          <w:b/>
          <w:sz w:val="28"/>
          <w:szCs w:val="28"/>
        </w:rPr>
        <w:t>xclusion from s</w:t>
      </w:r>
      <w:r w:rsidR="006E4417">
        <w:rPr>
          <w:rFonts w:ascii="Arial" w:hAnsi="Arial" w:cs="Arial"/>
          <w:b/>
          <w:sz w:val="28"/>
          <w:szCs w:val="28"/>
        </w:rPr>
        <w:t>cope</w:t>
      </w:r>
      <w:r w:rsidR="00A3627D" w:rsidRPr="002F1E70">
        <w:rPr>
          <w:rFonts w:ascii="Arial" w:hAnsi="Arial" w:cs="Arial"/>
          <w:b/>
          <w:sz w:val="28"/>
          <w:szCs w:val="28"/>
        </w:rPr>
        <w:t xml:space="preserve"> </w:t>
      </w:r>
    </w:p>
    <w:p w:rsidR="007859D4" w:rsidRPr="00CF1C1E" w:rsidRDefault="007859D4" w:rsidP="007859D4">
      <w:pPr>
        <w:rPr>
          <w:rFonts w:ascii="Arial" w:hAnsi="Arial" w:cs="Arial"/>
          <w:sz w:val="20"/>
          <w:szCs w:val="20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3402"/>
        <w:gridCol w:w="2410"/>
      </w:tblGrid>
      <w:tr w:rsidR="00A37D8E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snapToGrid w:val="0"/>
                <w:color w:val="000000"/>
              </w:rPr>
              <w:t>Firm name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b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A37D8E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056918">
              <w:rPr>
                <w:rFonts w:ascii="Arial" w:eastAsia="Times New Roman" w:hAnsi="Arial" w:cs="Arial"/>
                <w:snapToGrid w:val="0"/>
              </w:rPr>
              <w:t>Firm reference number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</w:tc>
      </w:tr>
      <w:tr w:rsidR="00A37D8E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</w:rPr>
            </w:pPr>
            <w:r w:rsidRPr="00056918">
              <w:rPr>
                <w:rFonts w:ascii="Arial" w:eastAsia="Times New Roman" w:hAnsi="Arial" w:cs="Arial"/>
                <w:snapToGrid w:val="0"/>
              </w:rPr>
              <w:t>Date of application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noProof/>
                <w:snapToGrid w:val="0"/>
                <w:color w:val="000000"/>
              </w:rPr>
            </w:pPr>
          </w:p>
        </w:tc>
      </w:tr>
      <w:tr w:rsidR="00A37D8E" w:rsidRPr="00056918" w:rsidTr="00BF7A97">
        <w:trPr>
          <w:gridBefore w:val="1"/>
          <w:wBefore w:w="108" w:type="dxa"/>
          <w:cantSplit/>
          <w:trHeight w:val="576"/>
        </w:trPr>
        <w:tc>
          <w:tcPr>
            <w:tcW w:w="2835" w:type="dxa"/>
            <w:tcBorders>
              <w:top w:val="single" w:sz="48" w:space="0" w:color="FFFFFF"/>
              <w:bottom w:val="single" w:sz="48" w:space="0" w:color="FFFFFF"/>
            </w:tcBorders>
          </w:tcPr>
          <w:p w:rsidR="00A37D8E" w:rsidRPr="00056918" w:rsidRDefault="00A37D8E" w:rsidP="00BF7A97">
            <w:pPr>
              <w:spacing w:after="120" w:line="240" w:lineRule="auto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snapToGrid w:val="0"/>
                <w:color w:val="000000"/>
              </w:rPr>
              <w:t>Address</w:t>
            </w:r>
          </w:p>
        </w:tc>
        <w:tc>
          <w:tcPr>
            <w:tcW w:w="5812" w:type="dxa"/>
            <w:gridSpan w:val="2"/>
            <w:tcBorders>
              <w:top w:val="single" w:sz="48" w:space="0" w:color="FFFFFF"/>
              <w:bottom w:val="single" w:sz="48" w:space="0" w:color="FFFFFF"/>
            </w:tcBorders>
            <w:shd w:val="pct10" w:color="000000" w:fill="FFFFFF"/>
            <w:vAlign w:val="center"/>
          </w:tcPr>
          <w:p w:rsidR="00A37D8E" w:rsidRPr="00056918" w:rsidRDefault="00A37D8E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  <w:r w:rsidRPr="00056918">
              <w:rPr>
                <w:rFonts w:ascii="Arial" w:eastAsia="Times New Roman" w:hAnsi="Arial" w:cs="Arial"/>
                <w:noProof/>
                <w:snapToGrid w:val="0"/>
                <w:color w:val="000000"/>
              </w:rPr>
              <w:t xml:space="preserve">     </w:t>
            </w:r>
          </w:p>
          <w:p w:rsidR="00A37D8E" w:rsidRPr="00056918" w:rsidRDefault="00A37D8E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  <w:p w:rsidR="00A37D8E" w:rsidRPr="00056918" w:rsidRDefault="00A37D8E" w:rsidP="00BF7A97">
            <w:pPr>
              <w:spacing w:after="120" w:line="240" w:lineRule="atLeast"/>
              <w:rPr>
                <w:rFonts w:ascii="Arial" w:eastAsia="Times New Roman" w:hAnsi="Arial" w:cs="Arial"/>
                <w:snapToGrid w:val="0"/>
                <w:color w:val="000000"/>
              </w:rPr>
            </w:pPr>
          </w:p>
        </w:tc>
      </w:tr>
      <w:tr w:rsidR="00A37D8E" w:rsidRPr="00056918" w:rsidTr="00BF7A97">
        <w:tblPrEx>
          <w:tblLook w:val="01E0" w:firstRow="1" w:lastRow="1" w:firstColumn="1" w:lastColumn="1" w:noHBand="0" w:noVBand="0"/>
        </w:tblPrEx>
        <w:tc>
          <w:tcPr>
            <w:tcW w:w="6345" w:type="dxa"/>
            <w:gridSpan w:val="3"/>
          </w:tcPr>
          <w:p w:rsidR="00A37D8E" w:rsidRPr="00056918" w:rsidRDefault="00A37D8E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056918">
              <w:rPr>
                <w:rFonts w:cs="Arial"/>
                <w:sz w:val="22"/>
                <w:szCs w:val="22"/>
              </w:rPr>
              <w:t>Application number</w:t>
            </w:r>
          </w:p>
          <w:p w:rsidR="00A37D8E" w:rsidRPr="00056918" w:rsidRDefault="00A37D8E" w:rsidP="00BF7A97">
            <w:pPr>
              <w:pStyle w:val="FormCode"/>
              <w:spacing w:before="0" w:after="0"/>
              <w:jc w:val="right"/>
              <w:rPr>
                <w:rFonts w:cs="Arial"/>
                <w:sz w:val="22"/>
                <w:szCs w:val="22"/>
              </w:rPr>
            </w:pPr>
            <w:r w:rsidRPr="00056918">
              <w:rPr>
                <w:rFonts w:cs="Arial"/>
                <w:sz w:val="22"/>
                <w:szCs w:val="22"/>
              </w:rPr>
              <w:t>(for PRA use only)</w:t>
            </w:r>
          </w:p>
        </w:tc>
        <w:tc>
          <w:tcPr>
            <w:tcW w:w="2410" w:type="dxa"/>
            <w:shd w:val="clear" w:color="auto" w:fill="E6E6E6"/>
          </w:tcPr>
          <w:p w:rsidR="00A37D8E" w:rsidRPr="00056918" w:rsidRDefault="00A37D8E" w:rsidP="00BF7A97">
            <w:pPr>
              <w:pStyle w:val="FormCode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:rsidR="007859D4" w:rsidRDefault="007859D4">
      <w:pPr>
        <w:rPr>
          <w:rFonts w:ascii="Arial" w:hAnsi="Arial" w:cs="Arial"/>
          <w:b/>
        </w:rPr>
      </w:pPr>
    </w:p>
    <w:p w:rsidR="00A37D8E" w:rsidRPr="00056918" w:rsidRDefault="00A37D8E" w:rsidP="00A37D8E">
      <w:pPr>
        <w:rPr>
          <w:rFonts w:ascii="Arial" w:hAnsi="Arial" w:cs="Arial"/>
        </w:rPr>
      </w:pPr>
      <w:r w:rsidRPr="00056918">
        <w:rPr>
          <w:rFonts w:ascii="Arial" w:hAnsi="Arial" w:cs="Arial"/>
        </w:rPr>
        <w:t xml:space="preserve">The information below should be submitted by firms to allow the PRA to consider an application to apply </w:t>
      </w:r>
      <w:r>
        <w:rPr>
          <w:rFonts w:ascii="Arial" w:hAnsi="Arial" w:cs="Arial"/>
        </w:rPr>
        <w:t>to exclude entities from the scope of group supervision</w:t>
      </w:r>
      <w:r w:rsidRPr="00056918">
        <w:rPr>
          <w:rFonts w:ascii="Arial" w:hAnsi="Arial" w:cs="Arial"/>
        </w:rPr>
        <w:t xml:space="preserve">. Firms should submit this information with the Solvency II </w:t>
      </w:r>
      <w:r>
        <w:rPr>
          <w:rFonts w:ascii="Arial" w:hAnsi="Arial" w:cs="Arial"/>
        </w:rPr>
        <w:t>waiver</w:t>
      </w:r>
      <w:r w:rsidRPr="00056918">
        <w:rPr>
          <w:rFonts w:ascii="Arial" w:hAnsi="Arial" w:cs="Arial"/>
        </w:rPr>
        <w:t xml:space="preserve"> application form to</w:t>
      </w:r>
      <w:r>
        <w:rPr>
          <w:rFonts w:ascii="Arial" w:hAnsi="Arial" w:cs="Arial"/>
        </w:rPr>
        <w:t xml:space="preserve"> </w:t>
      </w:r>
      <w:hyperlink r:id="rId8" w:history="1">
        <w:r w:rsidR="00B302C0" w:rsidRPr="00C4445A">
          <w:rPr>
            <w:rStyle w:val="Hyperlink"/>
            <w:rFonts w:ascii="Arial" w:hAnsi="Arial" w:cs="Arial"/>
          </w:rPr>
          <w:t>PRA-Waivers@bankofengland.co.uk</w:t>
        </w:r>
      </w:hyperlink>
      <w:r w:rsidRPr="00056918">
        <w:rPr>
          <w:rFonts w:ascii="Arial" w:hAnsi="Arial" w:cs="Arial"/>
        </w:rPr>
        <w:t xml:space="preserve">. 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6E4417" w:rsidRPr="00A37D8E" w:rsidTr="008C1891">
        <w:trPr>
          <w:trHeight w:val="265"/>
        </w:trPr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A37D8E" w:rsidP="00A37D8E">
            <w:pPr>
              <w:pStyle w:val="BulletHeading"/>
              <w:numPr>
                <w:ilvl w:val="0"/>
                <w:numId w:val="5"/>
              </w:numPr>
              <w:ind w:left="459" w:hanging="425"/>
              <w:jc w:val="both"/>
              <w:outlineLvl w:val="9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Name of the group</w:t>
            </w:r>
          </w:p>
        </w:tc>
      </w:tr>
      <w:tr w:rsidR="006E4417" w:rsidRPr="00A37D8E" w:rsidTr="008C1891">
        <w:trPr>
          <w:trHeight w:val="441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56028C">
            <w:pPr>
              <w:pStyle w:val="BulletHeading"/>
              <w:numPr>
                <w:ilvl w:val="0"/>
                <w:numId w:val="5"/>
              </w:numPr>
              <w:ind w:left="459" w:hanging="425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Is the parent undertaking outside the E</w:t>
            </w:r>
            <w:r w:rsidR="00A37D8E">
              <w:rPr>
                <w:b w:val="0"/>
                <w:sz w:val="22"/>
                <w:szCs w:val="22"/>
              </w:rPr>
              <w:t xml:space="preserve">uropean </w:t>
            </w:r>
            <w:r w:rsidRPr="00A37D8E">
              <w:rPr>
                <w:b w:val="0"/>
                <w:sz w:val="22"/>
                <w:szCs w:val="22"/>
              </w:rPr>
              <w:t>E</w:t>
            </w:r>
            <w:r w:rsidR="00A37D8E">
              <w:rPr>
                <w:b w:val="0"/>
                <w:sz w:val="22"/>
                <w:szCs w:val="22"/>
              </w:rPr>
              <w:t xml:space="preserve">conomic </w:t>
            </w:r>
            <w:r w:rsidRPr="00A37D8E">
              <w:rPr>
                <w:b w:val="0"/>
                <w:sz w:val="22"/>
                <w:szCs w:val="22"/>
              </w:rPr>
              <w:t>A</w:t>
            </w:r>
            <w:r w:rsidR="00A37D8E">
              <w:rPr>
                <w:b w:val="0"/>
                <w:sz w:val="22"/>
                <w:szCs w:val="22"/>
              </w:rPr>
              <w:t>rea</w:t>
            </w:r>
            <w:r w:rsidRPr="00A37D8E">
              <w:rPr>
                <w:b w:val="0"/>
                <w:sz w:val="22"/>
                <w:szCs w:val="22"/>
              </w:rPr>
              <w:t>? If yes, where</w:t>
            </w:r>
            <w:r w:rsidR="007235ED" w:rsidRPr="00A37D8E">
              <w:rPr>
                <w:b w:val="0"/>
                <w:sz w:val="22"/>
                <w:szCs w:val="22"/>
              </w:rPr>
              <w:t xml:space="preserve"> is it</w:t>
            </w:r>
            <w:r w:rsidRPr="00A37D8E">
              <w:rPr>
                <w:b w:val="0"/>
                <w:sz w:val="22"/>
                <w:szCs w:val="22"/>
              </w:rPr>
              <w:t xml:space="preserve"> based?</w:t>
            </w:r>
          </w:p>
        </w:tc>
      </w:tr>
      <w:tr w:rsidR="006E4417" w:rsidRPr="00A37D8E" w:rsidTr="008C1891"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C637CD" w:rsidRPr="00A37D8E" w:rsidRDefault="00C637CD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56028C">
            <w:pPr>
              <w:pStyle w:val="BulletHeading"/>
              <w:numPr>
                <w:ilvl w:val="0"/>
                <w:numId w:val="5"/>
              </w:numPr>
              <w:ind w:left="459" w:hanging="425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Name of the entity to be excluded from scope:</w:t>
            </w:r>
          </w:p>
        </w:tc>
      </w:tr>
      <w:tr w:rsidR="006E4417" w:rsidRPr="00A37D8E" w:rsidTr="008C1891"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56028C">
            <w:pPr>
              <w:pStyle w:val="BulletHeading"/>
              <w:numPr>
                <w:ilvl w:val="0"/>
                <w:numId w:val="5"/>
              </w:numPr>
              <w:ind w:left="459" w:hanging="459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 xml:space="preserve">Where is the head office of this </w:t>
            </w:r>
            <w:r w:rsidR="00632E9E" w:rsidRPr="00A37D8E">
              <w:rPr>
                <w:b w:val="0"/>
                <w:sz w:val="22"/>
                <w:szCs w:val="22"/>
              </w:rPr>
              <w:t>entity based?</w:t>
            </w:r>
          </w:p>
        </w:tc>
      </w:tr>
      <w:tr w:rsidR="006E4417" w:rsidRPr="00A37D8E" w:rsidTr="008C1891">
        <w:trPr>
          <w:trHeight w:val="234"/>
        </w:trPr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56028C">
            <w:pPr>
              <w:pStyle w:val="BulletHeading"/>
              <w:numPr>
                <w:ilvl w:val="0"/>
                <w:numId w:val="5"/>
              </w:numPr>
              <w:ind w:left="459" w:hanging="425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Entity background (e.g. size, business description, relationship with rest of the entities in the group, brief description of financial position etc.)</w:t>
            </w:r>
          </w:p>
        </w:tc>
      </w:tr>
      <w:tr w:rsidR="006E4417" w:rsidRPr="00A37D8E" w:rsidTr="008C1891"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C637CD" w:rsidRPr="00A37D8E" w:rsidRDefault="00C637CD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C637CD" w:rsidRPr="00A37D8E" w:rsidRDefault="00C637CD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56028C">
            <w:pPr>
              <w:pStyle w:val="BulletHeading"/>
              <w:numPr>
                <w:ilvl w:val="0"/>
                <w:numId w:val="5"/>
              </w:numPr>
              <w:ind w:left="459" w:hanging="425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Indicate whether you are applying to exclude this entity from scope under reason a), b) or</w:t>
            </w:r>
            <w:r w:rsidR="00104E1A" w:rsidRPr="00A37D8E">
              <w:rPr>
                <w:b w:val="0"/>
                <w:sz w:val="22"/>
                <w:szCs w:val="22"/>
              </w:rPr>
              <w:t xml:space="preserve"> c) as specified in </w:t>
            </w:r>
            <w:r w:rsidR="00206403" w:rsidRPr="00A37D8E">
              <w:rPr>
                <w:b w:val="0"/>
                <w:sz w:val="22"/>
                <w:szCs w:val="22"/>
              </w:rPr>
              <w:t xml:space="preserve">the Solvency II Directive, </w:t>
            </w:r>
            <w:r w:rsidR="00104E1A" w:rsidRPr="00A37D8E">
              <w:rPr>
                <w:b w:val="0"/>
                <w:sz w:val="22"/>
                <w:szCs w:val="22"/>
              </w:rPr>
              <w:t>Article 214</w:t>
            </w:r>
            <w:r w:rsidR="00206403" w:rsidRPr="00A37D8E">
              <w:rPr>
                <w:b w:val="0"/>
                <w:sz w:val="22"/>
                <w:szCs w:val="22"/>
              </w:rPr>
              <w:t>(2).</w:t>
            </w:r>
          </w:p>
        </w:tc>
      </w:tr>
      <w:tr w:rsidR="006E4417" w:rsidRPr="00A37D8E" w:rsidTr="008C1891"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C637CD" w:rsidRPr="00A37D8E" w:rsidRDefault="00C637CD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 xml:space="preserve">If a), please specify the details of the legal impediment to the transfer of necessary information. </w:t>
            </w: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Where appropriate, please provide a legal opinion of meeting this criterion.</w:t>
            </w: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A37D8E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Please comment on whether you have considered Article 229</w:t>
            </w:r>
            <w:r w:rsidR="00206403" w:rsidRPr="00A37D8E">
              <w:rPr>
                <w:b w:val="0"/>
                <w:sz w:val="22"/>
                <w:szCs w:val="22"/>
              </w:rPr>
              <w:t xml:space="preserve"> of the Solvency II Directive</w:t>
            </w:r>
            <w:r w:rsidRPr="00A37D8E">
              <w:rPr>
                <w:b w:val="0"/>
                <w:sz w:val="22"/>
                <w:szCs w:val="22"/>
              </w:rPr>
              <w:t>, and whether this would be more appropriat</w:t>
            </w:r>
            <w:r w:rsidR="00632E9E" w:rsidRPr="00A37D8E">
              <w:rPr>
                <w:b w:val="0"/>
                <w:sz w:val="22"/>
                <w:szCs w:val="22"/>
              </w:rPr>
              <w:t>e than exclusion from scope of group s</w:t>
            </w:r>
            <w:r w:rsidRPr="00A37D8E">
              <w:rPr>
                <w:b w:val="0"/>
                <w:sz w:val="22"/>
                <w:szCs w:val="22"/>
              </w:rPr>
              <w:t>upervision. Please note that the use of this criterion doesn’t remove the need for the group to appropriately account for the risks relevant</w:t>
            </w:r>
            <w:r w:rsidR="00632E9E" w:rsidRPr="00A37D8E">
              <w:rPr>
                <w:b w:val="0"/>
                <w:sz w:val="22"/>
                <w:szCs w:val="22"/>
              </w:rPr>
              <w:t xml:space="preserve"> to the excluded entity in the g</w:t>
            </w:r>
            <w:r w:rsidRPr="00A37D8E">
              <w:rPr>
                <w:b w:val="0"/>
                <w:sz w:val="22"/>
                <w:szCs w:val="22"/>
              </w:rPr>
              <w:t xml:space="preserve">roup </w:t>
            </w:r>
            <w:r w:rsidR="00A37D8E">
              <w:rPr>
                <w:b w:val="0"/>
                <w:sz w:val="22"/>
                <w:szCs w:val="22"/>
              </w:rPr>
              <w:t>own risk and solvency assessment (ORSA)</w:t>
            </w:r>
            <w:r w:rsidRPr="00A37D8E">
              <w:rPr>
                <w:b w:val="0"/>
                <w:sz w:val="22"/>
                <w:szCs w:val="22"/>
              </w:rPr>
              <w:t xml:space="preserve">. </w:t>
            </w:r>
          </w:p>
        </w:tc>
      </w:tr>
      <w:tr w:rsidR="006E4417" w:rsidRPr="00A37D8E" w:rsidTr="008C1891">
        <w:tc>
          <w:tcPr>
            <w:tcW w:w="9639" w:type="dxa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tcBorders>
              <w:bottom w:val="single" w:sz="4" w:space="0" w:color="auto"/>
            </w:tcBorders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 xml:space="preserve">If b), please provide details of why the undertaking is negligible, including the materiality of the undertaking to the group. </w:t>
            </w: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Include details on: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Effect on group capital if entity is excluded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Materiality in terms of size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Volume and nature of intra-group transactions between this entity and the group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By excluding this entity, will the existence of the group be removed altogether?</w:t>
            </w:r>
          </w:p>
        </w:tc>
      </w:tr>
      <w:tr w:rsidR="006E4417" w:rsidRPr="00A37D8E" w:rsidTr="008C1891">
        <w:tc>
          <w:tcPr>
            <w:tcW w:w="9639" w:type="dxa"/>
            <w:shd w:val="clear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</w:p>
        </w:tc>
      </w:tr>
      <w:tr w:rsidR="006E4417" w:rsidRPr="00A37D8E" w:rsidTr="008C1891">
        <w:tc>
          <w:tcPr>
            <w:tcW w:w="9639" w:type="dxa"/>
            <w:tcBorders>
              <w:bottom w:val="single" w:sz="4" w:space="0" w:color="auto"/>
            </w:tcBorders>
            <w:shd w:val="pct12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If c), please provide details of why inclusion of the undertaking would be inappropriate or misleading with respect to group supervision.</w:t>
            </w: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Include details on: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Effect on group capital if entity is excluded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Details and evidence of why it would be inappropriate or misleading</w:t>
            </w:r>
          </w:p>
          <w:p w:rsidR="006E4417" w:rsidRPr="00A37D8E" w:rsidRDefault="006E4417" w:rsidP="006E4417">
            <w:pPr>
              <w:pStyle w:val="BulletHeading"/>
              <w:numPr>
                <w:ilvl w:val="0"/>
                <w:numId w:val="4"/>
              </w:numPr>
              <w:jc w:val="both"/>
              <w:outlineLvl w:val="9"/>
              <w:rPr>
                <w:b w:val="0"/>
                <w:sz w:val="22"/>
                <w:szCs w:val="22"/>
              </w:rPr>
            </w:pPr>
            <w:r w:rsidRPr="00A37D8E">
              <w:rPr>
                <w:b w:val="0"/>
                <w:sz w:val="22"/>
                <w:szCs w:val="22"/>
              </w:rPr>
              <w:t>Volume and nature of intra-group transactions between this entity and the group</w:t>
            </w:r>
          </w:p>
        </w:tc>
      </w:tr>
      <w:tr w:rsidR="006E4417" w:rsidRPr="00A37D8E" w:rsidTr="008C1891">
        <w:tc>
          <w:tcPr>
            <w:tcW w:w="9639" w:type="dxa"/>
            <w:shd w:val="clear" w:color="auto" w:fill="auto"/>
            <w:tcMar>
              <w:top w:w="57" w:type="dxa"/>
              <w:bottom w:w="57" w:type="dxa"/>
            </w:tcMar>
          </w:tcPr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sz w:val="22"/>
                <w:szCs w:val="22"/>
              </w:rPr>
            </w:pPr>
          </w:p>
          <w:p w:rsidR="0056028C" w:rsidRPr="00A37D8E" w:rsidRDefault="0056028C" w:rsidP="00706660">
            <w:pPr>
              <w:pStyle w:val="BulletHeading"/>
              <w:ind w:left="0" w:firstLine="0"/>
              <w:jc w:val="both"/>
              <w:outlineLvl w:val="9"/>
              <w:rPr>
                <w:sz w:val="22"/>
                <w:szCs w:val="22"/>
              </w:rPr>
            </w:pPr>
          </w:p>
          <w:p w:rsidR="006E4417" w:rsidRPr="00A37D8E" w:rsidRDefault="006E4417" w:rsidP="00706660">
            <w:pPr>
              <w:pStyle w:val="BulletHeading"/>
              <w:ind w:left="0" w:firstLine="0"/>
              <w:jc w:val="both"/>
              <w:outlineLvl w:val="9"/>
              <w:rPr>
                <w:sz w:val="22"/>
                <w:szCs w:val="22"/>
              </w:rPr>
            </w:pPr>
          </w:p>
        </w:tc>
      </w:tr>
    </w:tbl>
    <w:p w:rsidR="006E4417" w:rsidRDefault="006E4417">
      <w:pPr>
        <w:rPr>
          <w:rFonts w:ascii="Arial" w:hAnsi="Arial" w:cs="Arial"/>
          <w:b/>
        </w:rPr>
      </w:pPr>
    </w:p>
    <w:p w:rsidR="006E4417" w:rsidRDefault="006E4417">
      <w:pPr>
        <w:rPr>
          <w:rFonts w:ascii="Arial" w:hAnsi="Arial" w:cs="Arial"/>
          <w:b/>
        </w:rPr>
      </w:pPr>
    </w:p>
    <w:sectPr w:rsidR="006E4417" w:rsidSect="002A0946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B59" w:rsidRDefault="007C4B59" w:rsidP="00A3627D">
      <w:pPr>
        <w:spacing w:after="0" w:line="240" w:lineRule="auto"/>
      </w:pPr>
      <w:r>
        <w:separator/>
      </w:r>
    </w:p>
  </w:endnote>
  <w:endnote w:type="continuationSeparator" w:id="0">
    <w:p w:rsidR="007C4B59" w:rsidRDefault="007C4B59" w:rsidP="00A3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2E6" w:rsidRDefault="003532E6" w:rsidP="00237CE8">
    <w:pPr>
      <w:pStyle w:val="Footer"/>
      <w:jc w:val="right"/>
    </w:pPr>
  </w:p>
  <w:sdt>
    <w:sdtPr>
      <w:id w:val="-5386632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20F5E" w:rsidRDefault="00B302C0" w:rsidP="00B302C0">
            <w:pPr>
              <w:pStyle w:val="Footer"/>
              <w:jc w:val="right"/>
            </w:pPr>
            <w:r w:rsidRPr="00C31159">
              <w:rPr>
                <w:szCs w:val="20"/>
              </w:rPr>
              <w:t xml:space="preserve">Page </w:t>
            </w:r>
            <w:r w:rsidRPr="00C31159">
              <w:rPr>
                <w:b/>
                <w:bCs/>
                <w:szCs w:val="20"/>
              </w:rPr>
              <w:fldChar w:fldCharType="begin"/>
            </w:r>
            <w:r w:rsidRPr="00C31159">
              <w:rPr>
                <w:b/>
                <w:bCs/>
                <w:szCs w:val="20"/>
              </w:rPr>
              <w:instrText xml:space="preserve"> PAGE </w:instrText>
            </w:r>
            <w:r w:rsidRPr="00C31159">
              <w:rPr>
                <w:b/>
                <w:bCs/>
                <w:szCs w:val="20"/>
              </w:rPr>
              <w:fldChar w:fldCharType="separate"/>
            </w:r>
            <w:r w:rsidR="004D053D">
              <w:rPr>
                <w:b/>
                <w:bCs/>
                <w:noProof/>
                <w:szCs w:val="20"/>
              </w:rPr>
              <w:t>1</w:t>
            </w:r>
            <w:r w:rsidRPr="00C31159">
              <w:rPr>
                <w:b/>
                <w:bCs/>
                <w:szCs w:val="20"/>
              </w:rPr>
              <w:fldChar w:fldCharType="end"/>
            </w:r>
            <w:r w:rsidRPr="00C31159">
              <w:rPr>
                <w:szCs w:val="20"/>
              </w:rPr>
              <w:t xml:space="preserve"> of </w:t>
            </w:r>
            <w:r w:rsidRPr="00C31159">
              <w:rPr>
                <w:b/>
                <w:bCs/>
                <w:szCs w:val="20"/>
              </w:rPr>
              <w:fldChar w:fldCharType="begin"/>
            </w:r>
            <w:r w:rsidRPr="00C31159">
              <w:rPr>
                <w:b/>
                <w:bCs/>
                <w:szCs w:val="20"/>
              </w:rPr>
              <w:instrText xml:space="preserve"> NUMPAGES  </w:instrText>
            </w:r>
            <w:r w:rsidRPr="00C31159">
              <w:rPr>
                <w:b/>
                <w:bCs/>
                <w:szCs w:val="20"/>
              </w:rPr>
              <w:fldChar w:fldCharType="separate"/>
            </w:r>
            <w:r w:rsidR="004D053D">
              <w:rPr>
                <w:b/>
                <w:bCs/>
                <w:noProof/>
                <w:szCs w:val="20"/>
              </w:rPr>
              <w:t>2</w:t>
            </w:r>
            <w:r w:rsidRPr="00C31159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B59" w:rsidRDefault="007C4B59" w:rsidP="00A3627D">
      <w:pPr>
        <w:spacing w:after="0" w:line="240" w:lineRule="auto"/>
      </w:pPr>
      <w:r>
        <w:separator/>
      </w:r>
    </w:p>
  </w:footnote>
  <w:footnote w:type="continuationSeparator" w:id="0">
    <w:p w:rsidR="007C4B59" w:rsidRDefault="007C4B59" w:rsidP="00A3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EEC" w:rsidRDefault="00476EEC" w:rsidP="002A0946">
    <w:pPr>
      <w:pStyle w:val="Header"/>
    </w:pPr>
    <w:r>
      <w:rPr>
        <w:noProof/>
        <w:lang w:eastAsia="en-GB"/>
      </w:rPr>
      <w:drawing>
        <wp:inline distT="0" distB="0" distL="0" distR="0" wp14:anchorId="65BFDA28" wp14:editId="0C211709">
          <wp:extent cx="2432685" cy="469265"/>
          <wp:effectExtent l="0" t="0" r="571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ED"/>
    <w:multiLevelType w:val="hybridMultilevel"/>
    <w:tmpl w:val="EF9E025A"/>
    <w:lvl w:ilvl="0" w:tplc="C7ACB6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40E72"/>
    <w:multiLevelType w:val="hybridMultilevel"/>
    <w:tmpl w:val="41526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673EB"/>
    <w:multiLevelType w:val="hybridMultilevel"/>
    <w:tmpl w:val="FBD26B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B6B7F"/>
    <w:multiLevelType w:val="hybridMultilevel"/>
    <w:tmpl w:val="C71CF6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56E55"/>
    <w:multiLevelType w:val="hybridMultilevel"/>
    <w:tmpl w:val="FE4EBC14"/>
    <w:lvl w:ilvl="0" w:tplc="C554B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6"/>
    <w:rsid w:val="000343A6"/>
    <w:rsid w:val="000518A8"/>
    <w:rsid w:val="00104E1A"/>
    <w:rsid w:val="001065BD"/>
    <w:rsid w:val="001707BA"/>
    <w:rsid w:val="00176932"/>
    <w:rsid w:val="00197F13"/>
    <w:rsid w:val="001B5446"/>
    <w:rsid w:val="001C53C2"/>
    <w:rsid w:val="00206403"/>
    <w:rsid w:val="00237CE8"/>
    <w:rsid w:val="00275891"/>
    <w:rsid w:val="00290B79"/>
    <w:rsid w:val="002A0946"/>
    <w:rsid w:val="002F1E70"/>
    <w:rsid w:val="00337B74"/>
    <w:rsid w:val="003532E6"/>
    <w:rsid w:val="00441B18"/>
    <w:rsid w:val="00476EEC"/>
    <w:rsid w:val="0048285A"/>
    <w:rsid w:val="004C5142"/>
    <w:rsid w:val="004D053D"/>
    <w:rsid w:val="004D6808"/>
    <w:rsid w:val="004E5009"/>
    <w:rsid w:val="00520B1A"/>
    <w:rsid w:val="00524415"/>
    <w:rsid w:val="00546831"/>
    <w:rsid w:val="0056028C"/>
    <w:rsid w:val="005A1AA5"/>
    <w:rsid w:val="00605FE8"/>
    <w:rsid w:val="00632E9E"/>
    <w:rsid w:val="00670B57"/>
    <w:rsid w:val="006B1F36"/>
    <w:rsid w:val="006C1936"/>
    <w:rsid w:val="006D179B"/>
    <w:rsid w:val="006E4417"/>
    <w:rsid w:val="007235ED"/>
    <w:rsid w:val="007859D4"/>
    <w:rsid w:val="007B4983"/>
    <w:rsid w:val="007C4B59"/>
    <w:rsid w:val="00855A2C"/>
    <w:rsid w:val="008C1891"/>
    <w:rsid w:val="008C3598"/>
    <w:rsid w:val="008F554D"/>
    <w:rsid w:val="00920F5E"/>
    <w:rsid w:val="009309EA"/>
    <w:rsid w:val="009479CA"/>
    <w:rsid w:val="00953ECC"/>
    <w:rsid w:val="00A05916"/>
    <w:rsid w:val="00A11D0F"/>
    <w:rsid w:val="00A3627D"/>
    <w:rsid w:val="00A37D8E"/>
    <w:rsid w:val="00A544FF"/>
    <w:rsid w:val="00A8311F"/>
    <w:rsid w:val="00A90E59"/>
    <w:rsid w:val="00B302C0"/>
    <w:rsid w:val="00B33C1F"/>
    <w:rsid w:val="00B36F35"/>
    <w:rsid w:val="00B57A75"/>
    <w:rsid w:val="00B83234"/>
    <w:rsid w:val="00B9159D"/>
    <w:rsid w:val="00BD36EA"/>
    <w:rsid w:val="00BD54B3"/>
    <w:rsid w:val="00C00C84"/>
    <w:rsid w:val="00C637CD"/>
    <w:rsid w:val="00C93483"/>
    <w:rsid w:val="00CF1C1E"/>
    <w:rsid w:val="00D42ABE"/>
    <w:rsid w:val="00DB6E6A"/>
    <w:rsid w:val="00DF5D80"/>
    <w:rsid w:val="00E13FEF"/>
    <w:rsid w:val="00E2036E"/>
    <w:rsid w:val="00E857B1"/>
    <w:rsid w:val="00EA55E0"/>
    <w:rsid w:val="00EF1372"/>
    <w:rsid w:val="00EF7134"/>
    <w:rsid w:val="00F7634E"/>
    <w:rsid w:val="00FB4CF7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D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7D"/>
  </w:style>
  <w:style w:type="paragraph" w:styleId="Footer">
    <w:name w:val="footer"/>
    <w:basedOn w:val="Normal"/>
    <w:link w:val="FooterChar"/>
    <w:uiPriority w:val="99"/>
    <w:unhideWhenUsed/>
    <w:rsid w:val="00A36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7D"/>
  </w:style>
  <w:style w:type="paragraph" w:styleId="FootnoteText">
    <w:name w:val="footnote text"/>
    <w:basedOn w:val="Normal"/>
    <w:link w:val="FootnoteTextChar"/>
    <w:uiPriority w:val="99"/>
    <w:semiHidden/>
    <w:unhideWhenUsed/>
    <w:rsid w:val="00785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9D4"/>
    <w:rPr>
      <w:sz w:val="20"/>
      <w:szCs w:val="20"/>
    </w:rPr>
  </w:style>
  <w:style w:type="paragraph" w:customStyle="1" w:styleId="FormCode">
    <w:name w:val="Form Code"/>
    <w:basedOn w:val="Normal"/>
    <w:rsid w:val="007859D4"/>
    <w:pPr>
      <w:tabs>
        <w:tab w:val="left" w:pos="1785"/>
        <w:tab w:val="left" w:pos="7088"/>
      </w:tabs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color w:val="000000"/>
      <w:sz w:val="56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EC"/>
    <w:rPr>
      <w:rFonts w:ascii="Tahoma" w:hAnsi="Tahoma" w:cs="Tahoma"/>
      <w:sz w:val="16"/>
      <w:szCs w:val="16"/>
    </w:rPr>
  </w:style>
  <w:style w:type="paragraph" w:customStyle="1" w:styleId="BulletHeading">
    <w:name w:val="Bullet Heading"/>
    <w:basedOn w:val="ListParagraph"/>
    <w:link w:val="BulletHeadingChar"/>
    <w:qFormat/>
    <w:rsid w:val="006E4417"/>
    <w:pPr>
      <w:spacing w:after="0" w:line="240" w:lineRule="auto"/>
      <w:ind w:hanging="360"/>
      <w:outlineLvl w:val="1"/>
    </w:pPr>
    <w:rPr>
      <w:rFonts w:ascii="Arial" w:eastAsia="Times New Roman" w:hAnsi="Arial" w:cs="Arial"/>
      <w:b/>
      <w:color w:val="2F2F2F"/>
      <w:sz w:val="20"/>
      <w:szCs w:val="20"/>
    </w:rPr>
  </w:style>
  <w:style w:type="character" w:customStyle="1" w:styleId="BulletHeadingChar">
    <w:name w:val="Bullet Heading Char"/>
    <w:basedOn w:val="DefaultParagraphFont"/>
    <w:link w:val="BulletHeading"/>
    <w:rsid w:val="006E4417"/>
    <w:rPr>
      <w:rFonts w:ascii="Arial" w:eastAsia="Times New Roman" w:hAnsi="Arial" w:cs="Arial"/>
      <w:b/>
      <w:color w:val="2F2F2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-Waivers@bankofengland.co.uk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ETwoLevelApprovalUnapprovedUrls xmlns="75afd6ce-d5e2-450c-a4ec-ac3847b33ee0" xsi:nil="true"/>
    <BOEReplicationFlag xmlns="http://schemas.microsoft.com/sharepoint/v3">0</BOEReplicationFlag>
    <BOEReplicateBackwardLinksOnDeployFlag xmlns="http://schemas.microsoft.com/sharepoint/v3">false</BOEReplicateBackwardLinksOnDeployFlag>
    <PublishDate xmlns="http://schemas.microsoft.com/sharepoint/v3" xsi:nil="true"/>
    <BOETaxonomyFieldTaxHTField0 xmlns="75afd6ce-d5e2-450c-a4ec-ac3847b33ee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PRA</TermName>
          <TermId xmlns="http://schemas.microsoft.com/office/infopath/2007/PartnerControls">3ace8b48-457a-4b41-98f4-9f2cd1965516</TermId>
        </TermInfo>
      </Terms>
    </BOETaxonomyFieldTaxHTField0>
    <PublishingExpirationDate xmlns="http://schemas.microsoft.com/sharepoint/v3" xsi:nil="true"/>
    <IncludeContentsInIndex xmlns="http://schemas.microsoft.com/sharepoint/v3">true</IncludeContentsInIndex>
    <PublishingStartDate xmlns="http://schemas.microsoft.com/sharepoint/v3" xsi:nil="true"/>
    <BOEKeywords xmlns="http://schemas.microsoft.com/sharepoint/v3/fields" xsi:nil="true"/>
    <OwnerGroup xmlns="http://schemas.microsoft.com/sharepoint/v3">
      <UserInfo>
        <DisplayName/>
        <AccountId>799</AccountId>
        <AccountType/>
      </UserInfo>
    </OwnerGroup>
    <BOEApprovalStatus xmlns="http://schemas.microsoft.com/sharepoint/v3">Level 2 Approved</BOEApprovalStatus>
    <BOESummaryText xmlns="http://schemas.microsoft.com/sharepoint/v3" xsi:nil="true"/>
    <ArchivalChoice xmlns="http://schemas.microsoft.com/sharepoint/v3">5 Years</ArchivalChoice>
    <ArchivalDate xmlns="http://schemas.microsoft.com/sharepoint/v3">2020-03-17T16:28:22+00:00</ArchivalDate>
    <ApprovedBy xmlns="http://schemas.microsoft.com/sharepoint/v3">
      <UserInfo>
        <DisplayName>Webster, Tom</DisplayName>
        <AccountId>954</AccountId>
        <AccountType/>
      </UserInfo>
    </ApprovedBy>
    <PublishedBy xmlns="http://schemas.microsoft.com/sharepoint/v3">
      <UserInfo>
        <DisplayName>Wells, Lauren</DisplayName>
        <AccountId>420</AccountId>
        <AccountType/>
      </UserInfo>
    </PublishedBy>
    <TaxCatchAll xmlns="a5edd0e9-353e-4089-bcbc-d9218926e91f">
      <Value>1155</Value>
    </TaxCatchAll>
    <ContentReviewDate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442493410834AB5B972D151A2D9E4" ma:contentTypeVersion="462" ma:contentTypeDescription="Create a new document." ma:contentTypeScope="" ma:versionID="20c9908aea6308964edab0d42e6d8083">
  <xsd:schema xmlns:xsd="http://www.w3.org/2001/XMLSchema" xmlns:xs="http://www.w3.org/2001/XMLSchema" xmlns:p="http://schemas.microsoft.com/office/2006/metadata/properties" xmlns:ns1="http://schemas.microsoft.com/sharepoint/v3" xmlns:ns2="75afd6ce-d5e2-450c-a4ec-ac3847b33ee0" xmlns:ns3="a5edd0e9-353e-4089-bcbc-d9218926e91f" xmlns:ns4="A5EDD0E9-353E-4089-BCBC-D9218926E91F" xmlns:ns5="http://schemas.microsoft.com/sharepoint/v3/fields" targetNamespace="http://schemas.microsoft.com/office/2006/metadata/properties" ma:root="true" ma:fieldsID="93b0a7837ecb2a35b9f96dc09050cb64" ns1:_="" ns2:_="" ns3:_="" ns4:_="" ns5:_="">
    <xsd:import namespace="http://schemas.microsoft.com/sharepoint/v3"/>
    <xsd:import namespace="75afd6ce-d5e2-450c-a4ec-ac3847b33ee0"/>
    <xsd:import namespace="a5edd0e9-353e-4089-bcbc-d9218926e91f"/>
    <xsd:import namespace="A5EDD0E9-353E-4089-BCBC-D9218926E91F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1:PublishDate" minOccurs="0"/>
                <xsd:element ref="ns1:OwnerGroup"/>
                <xsd:element ref="ns2:BOETaxonomyFieldTaxHTField0" minOccurs="0"/>
                <xsd:element ref="ns3:TaxCatchAll" minOccurs="0"/>
                <xsd:element ref="ns4:TaxCatchAllLabel" minOccurs="0"/>
                <xsd:element ref="ns5:BOEKeywords" minOccurs="0"/>
                <xsd:element ref="ns1:BOESummaryText" minOccurs="0"/>
                <xsd:element ref="ns1:IncludeContentsInIndex" minOccurs="0"/>
                <xsd:element ref="ns1:BOEApprovalStatus" minOccurs="0"/>
                <xsd:element ref="ns2:BOETwoLevelApprovalUnapprovedUrls" minOccurs="0"/>
                <xsd:element ref="ns1:ApprovedBy" minOccurs="0"/>
                <xsd:element ref="ns1:PublishedBy" minOccurs="0"/>
                <xsd:element ref="ns1:ArchivalDate" minOccurs="0"/>
                <xsd:element ref="ns1:ArchivalChoice"/>
                <xsd:element ref="ns1:BOEReplicationFlag" minOccurs="0"/>
                <xsd:element ref="ns1:BOEReplicateBackwardLinksOnDeployFlag" minOccurs="0"/>
                <xsd:element ref="ns1:ContentReviewD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PublishDate" ma:index="10" nillable="true" ma:displayName="Publication Date" ma:format="DateOnly" ma:internalName="PublishDate">
      <xsd:simpleType>
        <xsd:restriction base="dms:DateTime"/>
      </xsd:simpleType>
    </xsd:element>
    <xsd:element name="OwnerGroup" ma:index="11" ma:displayName="Owner Group" ma:list="UserInfo" ma:SearchPeopleOnly="false" ma:internalName="OwnerGroup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ESummaryText" ma:index="17" nillable="true" ma:displayName="Summary Text" ma:internalName="BOESummaryText" ma:readOnly="false">
      <xsd:simpleType>
        <xsd:restriction base="dms:Note">
          <xsd:maxLength value="255"/>
        </xsd:restriction>
      </xsd:simpleType>
    </xsd:element>
    <xsd:element name="IncludeContentsInIndex" ma:index="18" nillable="true" ma:displayName="Make Content Searchable" ma:default="1" ma:description="" ma:internalName="IncludeContentsInIndex">
      <xsd:simpleType>
        <xsd:restriction base="dms:Boolean"/>
      </xsd:simpleType>
    </xsd:element>
    <xsd:element name="BOEApprovalStatus" ma:index="19" nillable="true" ma:displayName="2 Stage Approval Status" ma:default="Pending Approval" ma:internalName="BOEApprovalStatus">
      <xsd:simpleType>
        <xsd:restriction base="dms:Choice">
          <xsd:enumeration value="Pending Approval"/>
          <xsd:enumeration value="Level 1 Approved"/>
          <xsd:enumeration value="Level 1 Rejected"/>
          <xsd:enumeration value="Level 2 Approved"/>
          <xsd:enumeration value="Level 2 Rejected"/>
        </xsd:restriction>
      </xsd:simpleType>
    </xsd:element>
    <xsd:element name="ApprovedBy" ma:index="21" nillable="true" ma:displayName="Approved By" ma:list="UserInfo" ma:internalName="Appro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By" ma:index="22" nillable="true" ma:displayName="Published By" ma:list="UserInfo" ma:internalName="Publish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alDate" ma:index="23" nillable="true" ma:displayName="Archival Date" ma:format="DateOnly" ma:internalName="ArchivalDate" ma:readOnly="false">
      <xsd:simpleType>
        <xsd:restriction base="dms:DateTime"/>
      </xsd:simpleType>
    </xsd:element>
    <xsd:element name="ArchivalChoice" ma:index="24" ma:displayName="Archive In" ma:default="3 Years" ma:internalName="ArchivalChoice" ma:readOnly="false">
      <xsd:simpleType>
        <xsd:restriction base="dms:Choice">
          <xsd:enumeration value="3 Months"/>
          <xsd:enumeration value="6 Months"/>
          <xsd:enumeration value="1 Year"/>
          <xsd:enumeration value="2 Years"/>
          <xsd:enumeration value="3 Years"/>
          <xsd:enumeration value="4 Years"/>
          <xsd:enumeration value="5 Years"/>
        </xsd:restriction>
      </xsd:simpleType>
    </xsd:element>
    <xsd:element name="BOEReplicationFlag" ma:index="25" nillable="true" ma:displayName="Replicated" ma:default="1" ma:internalName="Replicated">
      <xsd:simpleType>
        <xsd:restriction base="dms:Text"/>
      </xsd:simpleType>
    </xsd:element>
    <xsd:element name="BOEReplicateBackwardLinksOnDeployFlag" ma:index="26" nillable="true" ma:displayName="Replicate Backward Links On Deploy" ma:default="0" ma:internalName="Replicate_x0020_Backward_x0020_Links_x0020_On_x0020_Deploy" ma:readOnly="false">
      <xsd:simpleType>
        <xsd:restriction base="dms:Boolean"/>
      </xsd:simpleType>
    </xsd:element>
    <xsd:element name="ContentReviewDate" ma:index="27" ma:displayName="Content Review Date" ma:internalName="ContentReview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fd6ce-d5e2-450c-a4ec-ac3847b33ee0" elementFormDefault="qualified">
    <xsd:import namespace="http://schemas.microsoft.com/office/2006/documentManagement/types"/>
    <xsd:import namespace="http://schemas.microsoft.com/office/infopath/2007/PartnerControls"/>
    <xsd:element name="BOETaxonomyFieldTaxHTField0" ma:index="13" ma:taxonomy="true" ma:internalName="BOETaxonomyFieldTaxHTField0" ma:taxonomyFieldName="BOETaxonomyField" ma:displayName="Taxonomy" ma:default="" ma:fieldId="{8d0458c1-0fb7-4981-bee1-52d0df01895c}" ma:taxonomyMulti="true" ma:sspId="8879b917-e261-45cf-a9d8-7a379b5709b9" ma:termSetId="f722e845-53bc-4304-a021-71ff6897438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ETwoLevelApprovalUnapprovedUrls" ma:index="20" nillable="true" ma:displayName="Unapproved Urls" ma:internalName="BOETwoLevelApprovalUnapprovedUr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24e5fe3a-2481-4c14-85cb-2566c1d518d1}" ma:internalName="TaxCatchAll" ma:showField="CatchAllData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DD0E9-353E-4089-BCBC-D9218926E91F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24e5fe3a-2481-4c14-85cb-2566c1d518d1}" ma:internalName="TaxCatchAllLabel" ma:readOnly="true" ma:showField="CatchAllDataLabel" ma:web="a5edd0e9-353e-4089-bcbc-d9218926e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BOEKeywords" ma:index="16" nillable="true" ma:displayName="Keywords" ma:hidden="true" ma:internalName="BOEKeywords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91E74-4F3E-49EE-B310-2EC2EED8790F}"/>
</file>

<file path=customXml/itemProps2.xml><?xml version="1.0" encoding="utf-8"?>
<ds:datastoreItem xmlns:ds="http://schemas.openxmlformats.org/officeDocument/2006/customXml" ds:itemID="{8921C62F-D465-4BF5-ACC2-279B7745098E}"/>
</file>

<file path=customXml/itemProps3.xml><?xml version="1.0" encoding="utf-8"?>
<ds:datastoreItem xmlns:ds="http://schemas.openxmlformats.org/officeDocument/2006/customXml" ds:itemID="{2B406D00-5C18-4D67-B1D9-DD20AE74B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 for applications to use exclusion from scope </dc:title>
  <dc:subject/>
  <dc:creator>Venables, Terrence</dc:creator>
  <cp:keywords/>
  <dc:description/>
  <cp:lastModifiedBy>Philbey, Nicola</cp:lastModifiedBy>
  <cp:revision>35</cp:revision>
  <cp:lastPrinted>2015-03-17T12:01:00Z</cp:lastPrinted>
  <dcterms:created xsi:type="dcterms:W3CDTF">2014-09-23T14:42:00Z</dcterms:created>
  <dcterms:modified xsi:type="dcterms:W3CDTF">2015-03-17T10:31:00Z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PRA 2475467</vt:lpwstr>
  </property>
  <property fmtid="{D5CDD505-2E9C-101B-9397-08002B2CF9AE}" pid="3" name="DocVer">
    <vt:lpwstr>PRA 2475467v1</vt:lpwstr>
  </property>
  <property fmtid="{D5CDD505-2E9C-101B-9397-08002B2CF9AE}" pid="4" name="ContentTypeId">
    <vt:lpwstr>0x01010071F442493410834AB5B972D151A2D9E4</vt:lpwstr>
  </property>
  <property fmtid="{D5CDD505-2E9C-101B-9397-08002B2CF9AE}" pid="5" name="BOETaxonomyField">
    <vt:lpwstr>1155;#PRA|3ace8b48-457a-4b41-98f4-9f2cd1965516</vt:lpwstr>
  </property>
  <property fmtid="{D5CDD505-2E9C-101B-9397-08002B2CF9AE}" pid="6" name="Order">
    <vt:r8>796600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PublicationReviewalChoice">
    <vt:lpwstr>12 Months</vt:lpwstr>
  </property>
  <property fmtid="{D5CDD505-2E9C-101B-9397-08002B2CF9AE}" pid="12" name="ReviewalDate">
    <vt:filetime>2016-03-17T16:28:22Z</vt:filetime>
  </property>
</Properties>
</file>