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F9889" w14:textId="77777777" w:rsidR="00595E00" w:rsidRDefault="00A95C7C" w:rsidP="00595E00">
      <w:pPr>
        <w:pStyle w:val="Heading1"/>
      </w:pPr>
      <w:r>
        <w:t>Common Equity Tier 1 compliance template</w:t>
      </w:r>
    </w:p>
    <w:p w14:paraId="5F6B81EE" w14:textId="77777777" w:rsidR="00A95C7C" w:rsidRDefault="00A95C7C" w:rsidP="00A95C7C">
      <w:r>
        <w:t>Complete all sections of this template, providing sufficient details and references to support your answers. An incomplete template or insufficient information provided would not constitute a complete notification and will not be processed by the PRA.</w:t>
      </w:r>
    </w:p>
    <w:p w14:paraId="3A647036" w14:textId="77777777" w:rsidR="00EA789F" w:rsidRDefault="00A95C7C" w:rsidP="00EA789F">
      <w:pPr>
        <w:pStyle w:val="Heading2"/>
      </w:pPr>
      <w:r>
        <w:t>Section 1: features of the issuer’s capital structure</w:t>
      </w:r>
    </w:p>
    <w:tbl>
      <w:tblPr>
        <w:tblStyle w:val="TableGrid"/>
        <w:tblW w:w="0" w:type="auto"/>
        <w:tblCellMar>
          <w:top w:w="113" w:type="dxa"/>
          <w:left w:w="113" w:type="dxa"/>
          <w:bottom w:w="57" w:type="dxa"/>
          <w:right w:w="113" w:type="dxa"/>
        </w:tblCellMar>
        <w:tblLook w:val="04A0" w:firstRow="1" w:lastRow="0" w:firstColumn="1" w:lastColumn="0" w:noHBand="0" w:noVBand="1"/>
      </w:tblPr>
      <w:tblGrid>
        <w:gridCol w:w="4644"/>
        <w:gridCol w:w="4644"/>
      </w:tblGrid>
      <w:tr w:rsidR="00A95C7C" w:rsidRPr="008D101F" w14:paraId="61D33A75" w14:textId="77777777" w:rsidTr="000E3E40">
        <w:trPr>
          <w:trHeight w:val="397"/>
        </w:trPr>
        <w:tc>
          <w:tcPr>
            <w:tcW w:w="4644" w:type="dxa"/>
          </w:tcPr>
          <w:p w14:paraId="3A319EE9" w14:textId="77777777" w:rsidR="00A95C7C" w:rsidRPr="00754FCA" w:rsidRDefault="00754FCA" w:rsidP="00C915BF">
            <w:pPr>
              <w:pStyle w:val="Heading3"/>
              <w:outlineLvl w:val="2"/>
              <w:rPr>
                <w:szCs w:val="24"/>
              </w:rPr>
            </w:pPr>
            <w:r>
              <w:t xml:space="preserve">1. </w:t>
            </w:r>
            <w:r w:rsidR="00A95C7C">
              <w:t xml:space="preserve">Describe the overall capital structure of the entity, including the </w:t>
            </w:r>
            <w:r w:rsidR="00A95C7C" w:rsidRPr="00754FCA">
              <w:rPr>
                <w:szCs w:val="24"/>
              </w:rPr>
              <w:t>below aspects:</w:t>
            </w:r>
            <w:r w:rsidRPr="00754FCA">
              <w:rPr>
                <w:szCs w:val="24"/>
              </w:rPr>
              <w:br/>
            </w:r>
          </w:p>
          <w:p w14:paraId="1CAA1B93" w14:textId="77777777" w:rsidR="00A95C7C" w:rsidRPr="00A95C7C" w:rsidRDefault="00A95C7C" w:rsidP="00A95C7C">
            <w:pPr>
              <w:pStyle w:val="ListParagraph"/>
              <w:numPr>
                <w:ilvl w:val="0"/>
                <w:numId w:val="9"/>
              </w:numPr>
              <w:spacing w:after="0" w:line="276" w:lineRule="auto"/>
              <w:rPr>
                <w:rFonts w:cs="Arial"/>
                <w:szCs w:val="24"/>
              </w:rPr>
            </w:pPr>
            <w:r w:rsidRPr="00A95C7C">
              <w:rPr>
                <w:rFonts w:cs="Arial"/>
                <w:szCs w:val="24"/>
              </w:rPr>
              <w:t xml:space="preserve">Does the firm have only one class of ordinary share? </w:t>
            </w:r>
          </w:p>
          <w:p w14:paraId="44F0A274" w14:textId="77777777" w:rsidR="00A95C7C" w:rsidRPr="00A95C7C" w:rsidRDefault="00A95C7C" w:rsidP="00A95C7C">
            <w:pPr>
              <w:pStyle w:val="ListParagraph"/>
              <w:spacing w:after="0" w:line="276" w:lineRule="auto"/>
              <w:ind w:left="786"/>
              <w:rPr>
                <w:rFonts w:cs="Arial"/>
                <w:szCs w:val="24"/>
              </w:rPr>
            </w:pPr>
          </w:p>
          <w:p w14:paraId="5E9523FD" w14:textId="77777777" w:rsidR="00A95C7C" w:rsidRPr="00A95C7C" w:rsidRDefault="00A95C7C" w:rsidP="00A95C7C">
            <w:pPr>
              <w:pStyle w:val="ListParagraph"/>
              <w:numPr>
                <w:ilvl w:val="0"/>
                <w:numId w:val="9"/>
              </w:numPr>
              <w:spacing w:after="0" w:line="276" w:lineRule="auto"/>
              <w:rPr>
                <w:rFonts w:cs="Arial"/>
                <w:szCs w:val="24"/>
              </w:rPr>
            </w:pPr>
            <w:r w:rsidRPr="00A95C7C">
              <w:rPr>
                <w:rFonts w:cs="Arial"/>
                <w:szCs w:val="24"/>
              </w:rPr>
              <w:t>If there is more than one share class (including preference shares, if applicable), please list the different share classes and their regulatory classification (</w:t>
            </w:r>
            <w:proofErr w:type="gramStart"/>
            <w:r w:rsidRPr="00A95C7C">
              <w:rPr>
                <w:rFonts w:cs="Arial"/>
                <w:szCs w:val="24"/>
              </w:rPr>
              <w:t>e.g.</w:t>
            </w:r>
            <w:proofErr w:type="gramEnd"/>
            <w:r w:rsidRPr="00A95C7C">
              <w:rPr>
                <w:rFonts w:cs="Arial"/>
                <w:szCs w:val="24"/>
              </w:rPr>
              <w:t xml:space="preserve"> CET1 eligible, or non-regulatory capital). </w:t>
            </w:r>
          </w:p>
          <w:p w14:paraId="1A9297AD" w14:textId="77777777" w:rsidR="00A95C7C" w:rsidRPr="00A95C7C" w:rsidRDefault="00A95C7C" w:rsidP="00A95C7C">
            <w:pPr>
              <w:pStyle w:val="ListParagraph"/>
              <w:spacing w:after="0" w:line="276" w:lineRule="auto"/>
              <w:ind w:left="786"/>
              <w:rPr>
                <w:rFonts w:cs="Arial"/>
                <w:szCs w:val="24"/>
              </w:rPr>
            </w:pPr>
          </w:p>
          <w:p w14:paraId="04D17782" w14:textId="77777777" w:rsidR="00A95C7C" w:rsidRPr="00A95C7C" w:rsidRDefault="00A95C7C" w:rsidP="00A95C7C">
            <w:pPr>
              <w:pStyle w:val="ListParagraph"/>
              <w:numPr>
                <w:ilvl w:val="0"/>
                <w:numId w:val="9"/>
              </w:numPr>
              <w:spacing w:after="0" w:line="276" w:lineRule="auto"/>
              <w:rPr>
                <w:rFonts w:cs="Arial"/>
                <w:szCs w:val="24"/>
              </w:rPr>
            </w:pPr>
            <w:r w:rsidRPr="00A95C7C">
              <w:rPr>
                <w:rFonts w:cs="Arial"/>
                <w:szCs w:val="24"/>
              </w:rPr>
              <w:t>Please provide a summary of the key rights and entitlements (</w:t>
            </w:r>
            <w:proofErr w:type="gramStart"/>
            <w:r w:rsidRPr="00A95C7C">
              <w:rPr>
                <w:rFonts w:cs="Arial"/>
                <w:szCs w:val="24"/>
              </w:rPr>
              <w:t>e.g.</w:t>
            </w:r>
            <w:proofErr w:type="gramEnd"/>
            <w:r w:rsidRPr="00A95C7C">
              <w:rPr>
                <w:rFonts w:cs="Arial"/>
                <w:szCs w:val="24"/>
              </w:rPr>
              <w:t xml:space="preserve"> voting rights, dividend rights, redemption rights, ranking in insolvency or liquidation etc.), and, if there are multiple share classes, how these rights and entitlements vary across share classes.</w:t>
            </w:r>
          </w:p>
          <w:p w14:paraId="72E2576B" w14:textId="77777777" w:rsidR="00A95C7C" w:rsidRPr="00A95C7C" w:rsidRDefault="00A95C7C" w:rsidP="00A95C7C">
            <w:pPr>
              <w:spacing w:after="0" w:line="276" w:lineRule="auto"/>
              <w:rPr>
                <w:rFonts w:cs="Arial"/>
                <w:szCs w:val="24"/>
              </w:rPr>
            </w:pPr>
          </w:p>
          <w:p w14:paraId="70408F9E" w14:textId="77777777" w:rsidR="00A95C7C" w:rsidRPr="00754FCA" w:rsidRDefault="00A95C7C" w:rsidP="00754FCA">
            <w:pPr>
              <w:pStyle w:val="ListParagraph"/>
              <w:numPr>
                <w:ilvl w:val="0"/>
                <w:numId w:val="9"/>
              </w:numPr>
              <w:spacing w:after="0" w:line="276" w:lineRule="auto"/>
              <w:rPr>
                <w:rFonts w:cs="Arial"/>
                <w:szCs w:val="24"/>
              </w:rPr>
            </w:pPr>
            <w:r w:rsidRPr="00A95C7C">
              <w:rPr>
                <w:rFonts w:cs="Arial"/>
                <w:szCs w:val="24"/>
              </w:rPr>
              <w:t>Please describe how the residual assets shall be distributed amongst different classes of shares in a winding up / liquidation.</w:t>
            </w:r>
          </w:p>
        </w:tc>
        <w:tc>
          <w:tcPr>
            <w:tcW w:w="4644" w:type="dxa"/>
          </w:tcPr>
          <w:p w14:paraId="77D28207" w14:textId="77777777" w:rsidR="00A95C7C" w:rsidRPr="008D101F" w:rsidRDefault="00A95C7C" w:rsidP="000E3E40">
            <w:pPr>
              <w:spacing w:after="0"/>
            </w:pPr>
          </w:p>
        </w:tc>
      </w:tr>
      <w:tr w:rsidR="00754FCA" w:rsidRPr="008D101F" w14:paraId="6362DE1E" w14:textId="77777777" w:rsidTr="000842B9">
        <w:trPr>
          <w:trHeight w:val="397"/>
        </w:trPr>
        <w:tc>
          <w:tcPr>
            <w:tcW w:w="4644" w:type="dxa"/>
          </w:tcPr>
          <w:p w14:paraId="7F767457" w14:textId="77777777" w:rsidR="00754FCA" w:rsidRDefault="00754FCA" w:rsidP="00C915BF">
            <w:pPr>
              <w:pStyle w:val="Heading3"/>
              <w:outlineLvl w:val="2"/>
            </w:pPr>
            <w:r>
              <w:lastRenderedPageBreak/>
              <w:t xml:space="preserve">2. </w:t>
            </w:r>
            <w:r w:rsidRPr="00A95C7C">
              <w:t>For the proposed CET1 ins</w:t>
            </w:r>
            <w:r>
              <w:t>trument under this notification:</w:t>
            </w:r>
          </w:p>
        </w:tc>
        <w:tc>
          <w:tcPr>
            <w:tcW w:w="4644" w:type="dxa"/>
            <w:shd w:val="clear" w:color="auto" w:fill="D0CECE" w:themeFill="background2" w:themeFillShade="E6"/>
          </w:tcPr>
          <w:p w14:paraId="7E5A25A3" w14:textId="77777777" w:rsidR="00754FCA" w:rsidRPr="008D101F" w:rsidRDefault="00754FCA" w:rsidP="000E3E40">
            <w:pPr>
              <w:spacing w:after="0"/>
            </w:pPr>
          </w:p>
        </w:tc>
      </w:tr>
      <w:tr w:rsidR="00A95C7C" w:rsidRPr="008D101F" w14:paraId="3C2554C5" w14:textId="77777777" w:rsidTr="000E3E40">
        <w:trPr>
          <w:trHeight w:val="397"/>
        </w:trPr>
        <w:tc>
          <w:tcPr>
            <w:tcW w:w="4644" w:type="dxa"/>
          </w:tcPr>
          <w:p w14:paraId="62F00122" w14:textId="76887849" w:rsidR="00A95C7C" w:rsidRPr="008D101F" w:rsidRDefault="00A95C7C" w:rsidP="00A95C7C">
            <w:pPr>
              <w:pStyle w:val="ListParagraph"/>
              <w:numPr>
                <w:ilvl w:val="0"/>
                <w:numId w:val="10"/>
              </w:numPr>
              <w:spacing w:after="0"/>
            </w:pPr>
            <w:r>
              <w:t xml:space="preserve">Please provide the relevant details, </w:t>
            </w:r>
            <w:proofErr w:type="spellStart"/>
            <w:proofErr w:type="gramStart"/>
            <w:r>
              <w:t>eg</w:t>
            </w:r>
            <w:proofErr w:type="spellEnd"/>
            <w:proofErr w:type="gramEnd"/>
            <w:r>
              <w:t xml:space="preserve"> nominal values, quantity, issue price etc.</w:t>
            </w:r>
          </w:p>
        </w:tc>
        <w:tc>
          <w:tcPr>
            <w:tcW w:w="4644" w:type="dxa"/>
          </w:tcPr>
          <w:p w14:paraId="2C686632" w14:textId="77777777" w:rsidR="00A95C7C" w:rsidRPr="008D101F" w:rsidRDefault="00A95C7C" w:rsidP="000E3E40">
            <w:pPr>
              <w:spacing w:after="0"/>
            </w:pPr>
          </w:p>
        </w:tc>
      </w:tr>
      <w:tr w:rsidR="00A95C7C" w:rsidRPr="008D101F" w14:paraId="62DBF30E" w14:textId="77777777" w:rsidTr="000E3E40">
        <w:trPr>
          <w:trHeight w:val="397"/>
        </w:trPr>
        <w:tc>
          <w:tcPr>
            <w:tcW w:w="4644" w:type="dxa"/>
          </w:tcPr>
          <w:p w14:paraId="7F31E3C7" w14:textId="77777777" w:rsidR="00A95C7C" w:rsidRDefault="00A95C7C" w:rsidP="00A95C7C">
            <w:pPr>
              <w:pStyle w:val="ListParagraph"/>
              <w:numPr>
                <w:ilvl w:val="0"/>
                <w:numId w:val="10"/>
              </w:numPr>
              <w:spacing w:after="0"/>
            </w:pPr>
            <w:r w:rsidRPr="00A95C7C">
              <w:t>Is the proposed instrument redeemable solely at the option of the issuer? If not, please describe. Is the instrument subject to redemption at a fixed date or a fixed price</w:t>
            </w:r>
            <w:r>
              <w:t>?</w:t>
            </w:r>
          </w:p>
        </w:tc>
        <w:tc>
          <w:tcPr>
            <w:tcW w:w="4644" w:type="dxa"/>
          </w:tcPr>
          <w:p w14:paraId="37FC3DCF" w14:textId="77777777" w:rsidR="00A95C7C" w:rsidRPr="008D101F" w:rsidRDefault="00A95C7C" w:rsidP="000E3E40">
            <w:pPr>
              <w:spacing w:after="0"/>
            </w:pPr>
          </w:p>
        </w:tc>
      </w:tr>
      <w:tr w:rsidR="00A95C7C" w:rsidRPr="008D101F" w14:paraId="27877B06" w14:textId="77777777" w:rsidTr="000E3E40">
        <w:trPr>
          <w:trHeight w:val="397"/>
        </w:trPr>
        <w:tc>
          <w:tcPr>
            <w:tcW w:w="4644" w:type="dxa"/>
          </w:tcPr>
          <w:p w14:paraId="2B085D84" w14:textId="77777777" w:rsidR="00A95C7C" w:rsidRDefault="00A95C7C" w:rsidP="00A95C7C">
            <w:pPr>
              <w:pStyle w:val="ListParagraph"/>
              <w:numPr>
                <w:ilvl w:val="0"/>
                <w:numId w:val="10"/>
              </w:numPr>
            </w:pPr>
            <w:r w:rsidRPr="00A95C7C">
              <w:t>Is the proposed CET1 instrument the only and most deeply subordinated instrument in the creditor hierarchy in the event of insolvency or liquidation? If not, please describe.</w:t>
            </w:r>
          </w:p>
        </w:tc>
        <w:tc>
          <w:tcPr>
            <w:tcW w:w="4644" w:type="dxa"/>
          </w:tcPr>
          <w:p w14:paraId="7AF86D56" w14:textId="77777777" w:rsidR="00A95C7C" w:rsidRPr="008D101F" w:rsidRDefault="00A95C7C" w:rsidP="000E3E40">
            <w:pPr>
              <w:spacing w:after="0"/>
            </w:pPr>
          </w:p>
        </w:tc>
      </w:tr>
      <w:tr w:rsidR="00A95C7C" w:rsidRPr="008D101F" w14:paraId="2057C5FA" w14:textId="77777777" w:rsidTr="000E3E40">
        <w:trPr>
          <w:trHeight w:val="397"/>
        </w:trPr>
        <w:tc>
          <w:tcPr>
            <w:tcW w:w="4644" w:type="dxa"/>
          </w:tcPr>
          <w:p w14:paraId="1387558C" w14:textId="77777777" w:rsidR="00A95C7C" w:rsidRDefault="00A95C7C" w:rsidP="00A95C7C">
            <w:pPr>
              <w:pStyle w:val="ListParagraph"/>
              <w:numPr>
                <w:ilvl w:val="0"/>
                <w:numId w:val="10"/>
              </w:numPr>
            </w:pPr>
            <w:r w:rsidRPr="00A95C7C">
              <w:t>Are there any terms that may restrict the amount and/or timing of the dividend on this instrument, or other instruments? If so, please describe.</w:t>
            </w:r>
          </w:p>
        </w:tc>
        <w:tc>
          <w:tcPr>
            <w:tcW w:w="4644" w:type="dxa"/>
          </w:tcPr>
          <w:p w14:paraId="49E99075" w14:textId="77777777" w:rsidR="00A95C7C" w:rsidRPr="008D101F" w:rsidRDefault="00A95C7C" w:rsidP="000E3E40">
            <w:pPr>
              <w:spacing w:after="0"/>
            </w:pPr>
          </w:p>
        </w:tc>
      </w:tr>
      <w:tr w:rsidR="00A95C7C" w:rsidRPr="008D101F" w14:paraId="79DA8C71" w14:textId="77777777" w:rsidTr="000E3E40">
        <w:trPr>
          <w:trHeight w:val="397"/>
        </w:trPr>
        <w:tc>
          <w:tcPr>
            <w:tcW w:w="4644" w:type="dxa"/>
          </w:tcPr>
          <w:p w14:paraId="6252C9C1" w14:textId="77777777" w:rsidR="00A95C7C" w:rsidRDefault="00A95C7C" w:rsidP="00A95C7C">
            <w:pPr>
              <w:pStyle w:val="ListParagraph"/>
              <w:numPr>
                <w:ilvl w:val="0"/>
                <w:numId w:val="10"/>
              </w:numPr>
            </w:pPr>
            <w:r w:rsidRPr="00A95C7C">
              <w:t>Conversely, are there any terms of any other instruments that may restrict the amount and/or timing of the dividend on this instrument? If so, please describe.</w:t>
            </w:r>
          </w:p>
        </w:tc>
        <w:tc>
          <w:tcPr>
            <w:tcW w:w="4644" w:type="dxa"/>
          </w:tcPr>
          <w:p w14:paraId="1D12EB53" w14:textId="77777777" w:rsidR="00A95C7C" w:rsidRPr="008D101F" w:rsidRDefault="00A95C7C" w:rsidP="000E3E40">
            <w:pPr>
              <w:spacing w:after="0"/>
            </w:pPr>
          </w:p>
        </w:tc>
      </w:tr>
      <w:tr w:rsidR="00A95C7C" w:rsidRPr="008D101F" w14:paraId="54427B2D" w14:textId="77777777" w:rsidTr="000E3E40">
        <w:trPr>
          <w:trHeight w:val="397"/>
        </w:trPr>
        <w:tc>
          <w:tcPr>
            <w:tcW w:w="4644" w:type="dxa"/>
          </w:tcPr>
          <w:p w14:paraId="504ABB38" w14:textId="77777777" w:rsidR="00A95C7C" w:rsidRDefault="00A95C7C" w:rsidP="00A95C7C">
            <w:pPr>
              <w:pStyle w:val="ListParagraph"/>
              <w:numPr>
                <w:ilvl w:val="0"/>
                <w:numId w:val="10"/>
              </w:numPr>
            </w:pPr>
            <w:r w:rsidRPr="00A95C7C">
              <w:t>Is the instrument subject to any non-cash distributions? If so, you may consider the need to apply to the PRA for a permission under CRR Article 73(1).</w:t>
            </w:r>
          </w:p>
        </w:tc>
        <w:tc>
          <w:tcPr>
            <w:tcW w:w="4644" w:type="dxa"/>
          </w:tcPr>
          <w:p w14:paraId="5DFD2A09" w14:textId="77777777" w:rsidR="00A95C7C" w:rsidRPr="008D101F" w:rsidRDefault="00A95C7C" w:rsidP="000E3E40">
            <w:pPr>
              <w:spacing w:after="0"/>
            </w:pPr>
          </w:p>
        </w:tc>
      </w:tr>
      <w:tr w:rsidR="00A95C7C" w:rsidRPr="008D101F" w14:paraId="4830C592" w14:textId="77777777" w:rsidTr="000E3E40">
        <w:trPr>
          <w:trHeight w:val="397"/>
        </w:trPr>
        <w:tc>
          <w:tcPr>
            <w:tcW w:w="4644" w:type="dxa"/>
          </w:tcPr>
          <w:p w14:paraId="157C5A5F" w14:textId="38E70046" w:rsidR="00A95C7C" w:rsidRDefault="00A95C7C" w:rsidP="00A95C7C">
            <w:pPr>
              <w:pStyle w:val="ListParagraph"/>
              <w:numPr>
                <w:ilvl w:val="0"/>
                <w:numId w:val="10"/>
              </w:numPr>
            </w:pPr>
            <w:r w:rsidRPr="00A95C7C">
              <w:lastRenderedPageBreak/>
              <w:t>Is the instrument subject to any anti-dilution clauses (</w:t>
            </w:r>
            <w:proofErr w:type="spellStart"/>
            <w:proofErr w:type="gramStart"/>
            <w:r w:rsidRPr="00A95C7C">
              <w:t>eg</w:t>
            </w:r>
            <w:proofErr w:type="spellEnd"/>
            <w:proofErr w:type="gramEnd"/>
            <w:r w:rsidR="00F745E2">
              <w:t xml:space="preserve"> </w:t>
            </w:r>
            <w:r w:rsidRPr="00A95C7C">
              <w:t>requiring the firm to issue additional shares to existing shareholder in case of any new issuances in the future)? If so, please describe.</w:t>
            </w:r>
          </w:p>
        </w:tc>
        <w:tc>
          <w:tcPr>
            <w:tcW w:w="4644" w:type="dxa"/>
          </w:tcPr>
          <w:p w14:paraId="5EA3AD00" w14:textId="77777777" w:rsidR="00A95C7C" w:rsidRPr="008D101F" w:rsidRDefault="00A95C7C" w:rsidP="000E3E40">
            <w:pPr>
              <w:spacing w:after="0"/>
            </w:pPr>
          </w:p>
        </w:tc>
      </w:tr>
      <w:tr w:rsidR="00A95C7C" w:rsidRPr="008D101F" w14:paraId="7E94047D" w14:textId="77777777" w:rsidTr="000E3E40">
        <w:trPr>
          <w:trHeight w:val="397"/>
        </w:trPr>
        <w:tc>
          <w:tcPr>
            <w:tcW w:w="4644" w:type="dxa"/>
          </w:tcPr>
          <w:p w14:paraId="12185373" w14:textId="77777777" w:rsidR="00A95C7C" w:rsidRDefault="00A95C7C" w:rsidP="00A95C7C">
            <w:pPr>
              <w:pStyle w:val="ListParagraph"/>
              <w:numPr>
                <w:ilvl w:val="0"/>
                <w:numId w:val="10"/>
              </w:numPr>
            </w:pPr>
            <w:r w:rsidRPr="00A95C7C">
              <w:t>Do any features of the proposed CET1 instrument potentially hinder the ability of the firm to recapitalise in a period of stress?  If so, please describe.</w:t>
            </w:r>
          </w:p>
        </w:tc>
        <w:tc>
          <w:tcPr>
            <w:tcW w:w="4644" w:type="dxa"/>
          </w:tcPr>
          <w:p w14:paraId="4A461B59" w14:textId="77777777" w:rsidR="00A95C7C" w:rsidRPr="008D101F" w:rsidRDefault="00A95C7C" w:rsidP="000E3E40">
            <w:pPr>
              <w:spacing w:after="0"/>
            </w:pPr>
          </w:p>
        </w:tc>
      </w:tr>
    </w:tbl>
    <w:p w14:paraId="0F7D237A" w14:textId="77777777" w:rsidR="00A26EAB" w:rsidRDefault="00A26EAB" w:rsidP="00234A46"/>
    <w:p w14:paraId="4EC6C0BB" w14:textId="77777777" w:rsidR="00A95C7C" w:rsidRDefault="00A95C7C" w:rsidP="00A95C7C">
      <w:pPr>
        <w:pStyle w:val="Heading2"/>
      </w:pPr>
      <w:r>
        <w:t>Section 2: CRR eligibility requirements for Common Equity Tier 1 capital</w:t>
      </w:r>
    </w:p>
    <w:p w14:paraId="39DCB5BA" w14:textId="77777777" w:rsidR="00A95C7C" w:rsidRDefault="00A95C7C" w:rsidP="00A95C7C">
      <w:pPr>
        <w:rPr>
          <w:lang w:eastAsia="en-US"/>
        </w:rPr>
      </w:pPr>
      <w:r>
        <w:rPr>
          <w:lang w:eastAsia="en-US"/>
        </w:rPr>
        <w:t>Please provide separately a properly reasoned independent legal opinion from an appropriately qualified individual confirming that the capital instrument meets the conditions for qualification as CET1 under provisions of the Capital Requirements Regulation (EU) No 575/2013 (as amended, including by Regulation (EU) No 2019/876 of the European Parliament and of the Council of 20 May 2019), and any relevant provisions of the Commission Delegated Regulation (EU) 241/2014, and any successor regulation, in accordance with 7A.2(3) of Definition of Capital.</w:t>
      </w:r>
    </w:p>
    <w:p w14:paraId="63347AB5" w14:textId="77777777" w:rsidR="00A95C7C" w:rsidRPr="00A95C7C" w:rsidRDefault="00A95C7C" w:rsidP="00A95C7C">
      <w:pPr>
        <w:rPr>
          <w:lang w:eastAsia="en-US"/>
        </w:rPr>
      </w:pPr>
      <w:r>
        <w:rPr>
          <w:lang w:eastAsia="en-US"/>
        </w:rPr>
        <w:t>Please have regard to any other relevant guidance, as well as the PRA’s rules and supervisory expectations.</w:t>
      </w:r>
    </w:p>
    <w:tbl>
      <w:tblPr>
        <w:tblStyle w:val="TableGrid"/>
        <w:tblW w:w="0" w:type="auto"/>
        <w:tblCellMar>
          <w:top w:w="113" w:type="dxa"/>
          <w:left w:w="113" w:type="dxa"/>
          <w:bottom w:w="57" w:type="dxa"/>
          <w:right w:w="113" w:type="dxa"/>
        </w:tblCellMar>
        <w:tblLook w:val="04A0" w:firstRow="1" w:lastRow="0" w:firstColumn="1" w:lastColumn="0" w:noHBand="0" w:noVBand="1"/>
      </w:tblPr>
      <w:tblGrid>
        <w:gridCol w:w="4644"/>
        <w:gridCol w:w="4644"/>
      </w:tblGrid>
      <w:tr w:rsidR="00A95C7C" w:rsidRPr="008D101F" w14:paraId="2391E88A" w14:textId="77777777" w:rsidTr="000E3E40">
        <w:trPr>
          <w:trHeight w:val="397"/>
        </w:trPr>
        <w:tc>
          <w:tcPr>
            <w:tcW w:w="4644" w:type="dxa"/>
          </w:tcPr>
          <w:p w14:paraId="6F545F4C" w14:textId="77777777" w:rsidR="00A95C7C" w:rsidRPr="008D101F" w:rsidRDefault="00A95C7C" w:rsidP="000E3E40">
            <w:pPr>
              <w:spacing w:after="0"/>
            </w:pPr>
            <w:r>
              <w:t>Enclosed: draft / final legal opinion from:</w:t>
            </w:r>
          </w:p>
        </w:tc>
        <w:tc>
          <w:tcPr>
            <w:tcW w:w="4644" w:type="dxa"/>
          </w:tcPr>
          <w:p w14:paraId="12D8D5E2" w14:textId="77777777" w:rsidR="00A95C7C" w:rsidRPr="008D101F" w:rsidRDefault="00A95C7C" w:rsidP="000E3E40">
            <w:pPr>
              <w:spacing w:after="0"/>
            </w:pPr>
          </w:p>
        </w:tc>
      </w:tr>
      <w:tr w:rsidR="00A95C7C" w:rsidRPr="008D101F" w14:paraId="33949D52" w14:textId="77777777" w:rsidTr="000E3E40">
        <w:trPr>
          <w:trHeight w:val="397"/>
        </w:trPr>
        <w:tc>
          <w:tcPr>
            <w:tcW w:w="4644" w:type="dxa"/>
          </w:tcPr>
          <w:p w14:paraId="2F92BAC5" w14:textId="77777777" w:rsidR="00A95C7C" w:rsidRPr="008D101F" w:rsidRDefault="00A95C7C" w:rsidP="000E3E40">
            <w:pPr>
              <w:spacing w:after="0"/>
            </w:pPr>
            <w:r>
              <w:t>Dated:</w:t>
            </w:r>
          </w:p>
        </w:tc>
        <w:tc>
          <w:tcPr>
            <w:tcW w:w="4644" w:type="dxa"/>
          </w:tcPr>
          <w:p w14:paraId="2B13D9BB" w14:textId="77777777" w:rsidR="00A95C7C" w:rsidRPr="008D101F" w:rsidRDefault="00A95C7C" w:rsidP="000E3E40">
            <w:pPr>
              <w:spacing w:after="0"/>
            </w:pPr>
          </w:p>
        </w:tc>
      </w:tr>
    </w:tbl>
    <w:p w14:paraId="67642A14" w14:textId="77777777" w:rsidR="00A95C7C" w:rsidRDefault="00A95C7C" w:rsidP="00234A46"/>
    <w:sectPr w:rsidR="00A95C7C" w:rsidSect="002B0BDE">
      <w:headerReference w:type="default" r:id="rId8"/>
      <w:headerReference w:type="first" r:id="rId9"/>
      <w:pgSz w:w="11906" w:h="16838"/>
      <w:pgMar w:top="1172" w:right="1304" w:bottom="998" w:left="1304" w:header="284" w:footer="62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BBBF" w14:textId="77777777" w:rsidR="008C3733" w:rsidRDefault="008C3733" w:rsidP="00766334">
      <w:r>
        <w:separator/>
      </w:r>
    </w:p>
  </w:endnote>
  <w:endnote w:type="continuationSeparator" w:id="0">
    <w:p w14:paraId="49270658" w14:textId="77777777" w:rsidR="008C3733" w:rsidRDefault="008C3733" w:rsidP="00766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DE3E" w14:textId="77777777" w:rsidR="008C3733" w:rsidRPr="006E479E" w:rsidRDefault="008C3733" w:rsidP="006E479E">
      <w:pPr>
        <w:spacing w:after="0"/>
        <w:rPr>
          <w:color w:val="17365D"/>
        </w:rPr>
      </w:pPr>
      <w:r w:rsidRPr="00F62CFA">
        <w:rPr>
          <w:color w:val="17365D"/>
        </w:rPr>
        <w:continuationSeparator/>
      </w:r>
    </w:p>
  </w:footnote>
  <w:footnote w:type="continuationSeparator" w:id="0">
    <w:p w14:paraId="30B39687" w14:textId="77777777" w:rsidR="008C3733" w:rsidRDefault="008C3733" w:rsidP="00766334">
      <w:r>
        <w:continuationSeparator/>
      </w:r>
    </w:p>
  </w:footnote>
  <w:footnote w:type="continuationNotice" w:id="1">
    <w:p w14:paraId="17942BB2" w14:textId="77777777" w:rsidR="008C3733" w:rsidRDefault="008C373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85C05" w14:textId="77777777" w:rsidR="00766334" w:rsidRPr="00046ABC" w:rsidRDefault="00000000" w:rsidP="002B0BDE">
    <w:pPr>
      <w:pStyle w:val="BoECatchline"/>
      <w:pBdr>
        <w:bottom w:val="single" w:sz="8" w:space="7" w:color="12273F"/>
      </w:pBdr>
      <w:tabs>
        <w:tab w:val="clear" w:pos="3799"/>
        <w:tab w:val="left" w:pos="5670"/>
      </w:tabs>
      <w:spacing w:before="480" w:after="240"/>
    </w:pPr>
    <w:sdt>
      <w:sdtPr>
        <w:id w:val="-200637898"/>
        <w:docPartObj>
          <w:docPartGallery w:val="Page Numbers (Top of Page)"/>
          <w:docPartUnique/>
        </w:docPartObj>
      </w:sdtPr>
      <w:sdtEndPr>
        <w:rPr>
          <w:noProof/>
        </w:rPr>
      </w:sdtEndPr>
      <w:sdtContent>
        <w:sdt>
          <w:sdtPr>
            <w:id w:val="-1093771919"/>
            <w:docPartObj>
              <w:docPartGallery w:val="Page Numbers (Top of Page)"/>
              <w:docPartUnique/>
            </w:docPartObj>
          </w:sdtPr>
          <w:sdtEndPr>
            <w:rPr>
              <w:noProof/>
            </w:rPr>
          </w:sdtEndPr>
          <w:sdtContent>
            <w:r w:rsidR="00E84B40">
              <w:t>Bank of England</w:t>
            </w:r>
            <w:r w:rsidR="00A018F8">
              <w:t xml:space="preserve"> </w:t>
            </w:r>
            <w:r w:rsidR="00A018F8" w:rsidRPr="00A018F8">
              <w:t>| Prudential Regulation Authority</w:t>
            </w:r>
            <w:r w:rsidR="00046ABC">
              <w:tab/>
            </w:r>
          </w:sdtContent>
        </w:sdt>
        <w:r w:rsidR="00046ABC" w:rsidRPr="00F2560C">
          <w:rPr>
            <w:b w:val="0"/>
          </w:rPr>
          <w:tab/>
          <w:t xml:space="preserve"> Page </w:t>
        </w:r>
        <w:r w:rsidR="00046ABC" w:rsidRPr="00F2560C">
          <w:rPr>
            <w:b w:val="0"/>
          </w:rPr>
          <w:fldChar w:fldCharType="begin"/>
        </w:r>
        <w:r w:rsidR="00046ABC" w:rsidRPr="00F2560C">
          <w:rPr>
            <w:b w:val="0"/>
          </w:rPr>
          <w:instrText xml:space="preserve"> PAGE   \* MERGEFORMAT </w:instrText>
        </w:r>
        <w:r w:rsidR="00046ABC" w:rsidRPr="00F2560C">
          <w:rPr>
            <w:b w:val="0"/>
          </w:rPr>
          <w:fldChar w:fldCharType="separate"/>
        </w:r>
        <w:r w:rsidR="008F2196">
          <w:rPr>
            <w:b w:val="0"/>
            <w:noProof/>
          </w:rPr>
          <w:t>3</w:t>
        </w:r>
        <w:r w:rsidR="00046ABC" w:rsidRPr="00F2560C">
          <w:rPr>
            <w:b w:val="0"/>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B01A" w14:textId="77777777" w:rsidR="00A018F8" w:rsidRPr="002B0BDE" w:rsidRDefault="00C34087" w:rsidP="00A018F8">
    <w:pPr>
      <w:spacing w:after="1440"/>
      <w:rPr>
        <w:lang w:val="en-US"/>
      </w:rPr>
    </w:pPr>
    <w:r w:rsidRPr="002B0BDE">
      <w:rPr>
        <w:noProof/>
      </w:rPr>
      <w:drawing>
        <wp:anchor distT="0" distB="0" distL="114300" distR="114300" simplePos="0" relativeHeight="251659264" behindDoc="0" locked="0" layoutInCell="1" allowOverlap="1" wp14:anchorId="2D07177D" wp14:editId="041CE071">
          <wp:simplePos x="0" y="0"/>
          <wp:positionH relativeFrom="page">
            <wp:posOffset>826770</wp:posOffset>
          </wp:positionH>
          <wp:positionV relativeFrom="page">
            <wp:posOffset>632460</wp:posOffset>
          </wp:positionV>
          <wp:extent cx="2814320" cy="283845"/>
          <wp:effectExtent l="0" t="0" r="5080" b="1905"/>
          <wp:wrapNone/>
          <wp:docPr id="8" name="B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14320" cy="283845"/>
                  </a:xfrm>
                  <a:prstGeom prst="rect">
                    <a:avLst/>
                  </a:prstGeom>
                </pic:spPr>
              </pic:pic>
            </a:graphicData>
          </a:graphic>
          <wp14:sizeRelH relativeFrom="margin">
            <wp14:pctWidth>0</wp14:pctWidth>
          </wp14:sizeRelH>
          <wp14:sizeRelV relativeFrom="margin">
            <wp14:pctHeight>0</wp14:pctHeight>
          </wp14:sizeRelV>
        </wp:anchor>
      </w:drawing>
    </w:r>
  </w:p>
  <w:p w14:paraId="3E24B43B" w14:textId="77777777" w:rsidR="000556BF" w:rsidRPr="00A018F8" w:rsidRDefault="000556BF" w:rsidP="00C34087">
    <w:pPr>
      <w:pStyle w:val="PRA"/>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744A"/>
    <w:multiLevelType w:val="hybridMultilevel"/>
    <w:tmpl w:val="23DAE0CA"/>
    <w:lvl w:ilvl="0" w:tplc="08090017">
      <w:start w:val="1"/>
      <w:numFmt w:val="lowerLetter"/>
      <w:lvlText w:val="%1)"/>
      <w:lvlJc w:val="left"/>
      <w:pPr>
        <w:ind w:left="786" w:hanging="360"/>
      </w:pPr>
      <w:rPr>
        <w:rFont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177C31A3"/>
    <w:multiLevelType w:val="hybridMultilevel"/>
    <w:tmpl w:val="C04A8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4030C"/>
    <w:multiLevelType w:val="hybridMultilevel"/>
    <w:tmpl w:val="1B305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03771"/>
    <w:multiLevelType w:val="hybridMultilevel"/>
    <w:tmpl w:val="8AC2D2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803ED"/>
    <w:multiLevelType w:val="hybridMultilevel"/>
    <w:tmpl w:val="75465B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8812736"/>
    <w:multiLevelType w:val="hybridMultilevel"/>
    <w:tmpl w:val="AD6E0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B02381"/>
    <w:multiLevelType w:val="hybridMultilevel"/>
    <w:tmpl w:val="3EEE7B6A"/>
    <w:lvl w:ilvl="0" w:tplc="311C59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725387"/>
    <w:multiLevelType w:val="hybridMultilevel"/>
    <w:tmpl w:val="673C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22BAF"/>
    <w:multiLevelType w:val="hybridMultilevel"/>
    <w:tmpl w:val="2726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1A7314"/>
    <w:multiLevelType w:val="hybridMultilevel"/>
    <w:tmpl w:val="4A46C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7308133">
    <w:abstractNumId w:val="2"/>
  </w:num>
  <w:num w:numId="2" w16cid:durableId="32078348">
    <w:abstractNumId w:val="9"/>
  </w:num>
  <w:num w:numId="3" w16cid:durableId="1466042451">
    <w:abstractNumId w:val="5"/>
  </w:num>
  <w:num w:numId="4" w16cid:durableId="616327892">
    <w:abstractNumId w:val="4"/>
  </w:num>
  <w:num w:numId="5" w16cid:durableId="1159350100">
    <w:abstractNumId w:val="7"/>
  </w:num>
  <w:num w:numId="6" w16cid:durableId="1037583747">
    <w:abstractNumId w:val="6"/>
  </w:num>
  <w:num w:numId="7" w16cid:durableId="1775515427">
    <w:abstractNumId w:val="8"/>
  </w:num>
  <w:num w:numId="8" w16cid:durableId="1914587084">
    <w:abstractNumId w:val="1"/>
  </w:num>
  <w:num w:numId="9" w16cid:durableId="1644893830">
    <w:abstractNumId w:val="0"/>
  </w:num>
  <w:num w:numId="10" w16cid:durableId="803891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7C"/>
    <w:rsid w:val="000206DE"/>
    <w:rsid w:val="00046ABC"/>
    <w:rsid w:val="00052B93"/>
    <w:rsid w:val="0005306F"/>
    <w:rsid w:val="000556BF"/>
    <w:rsid w:val="000842B9"/>
    <w:rsid w:val="00090FA4"/>
    <w:rsid w:val="000A0DF3"/>
    <w:rsid w:val="000A4C3D"/>
    <w:rsid w:val="000C0F8D"/>
    <w:rsid w:val="000F0DD0"/>
    <w:rsid w:val="000F1625"/>
    <w:rsid w:val="001510C8"/>
    <w:rsid w:val="001739CE"/>
    <w:rsid w:val="00175270"/>
    <w:rsid w:val="00180A24"/>
    <w:rsid w:val="001821F7"/>
    <w:rsid w:val="00183232"/>
    <w:rsid w:val="00223490"/>
    <w:rsid w:val="00234A46"/>
    <w:rsid w:val="00241867"/>
    <w:rsid w:val="00293939"/>
    <w:rsid w:val="002A6556"/>
    <w:rsid w:val="002B0BDE"/>
    <w:rsid w:val="002B4564"/>
    <w:rsid w:val="002C4385"/>
    <w:rsid w:val="003039AB"/>
    <w:rsid w:val="003063B8"/>
    <w:rsid w:val="00306B91"/>
    <w:rsid w:val="003245DB"/>
    <w:rsid w:val="00345479"/>
    <w:rsid w:val="0036527C"/>
    <w:rsid w:val="00377CC4"/>
    <w:rsid w:val="003B0B6B"/>
    <w:rsid w:val="003E39FE"/>
    <w:rsid w:val="00407C30"/>
    <w:rsid w:val="0041033C"/>
    <w:rsid w:val="0043319C"/>
    <w:rsid w:val="00434E4C"/>
    <w:rsid w:val="00442878"/>
    <w:rsid w:val="0044721A"/>
    <w:rsid w:val="00453499"/>
    <w:rsid w:val="004813D6"/>
    <w:rsid w:val="004957F4"/>
    <w:rsid w:val="004974D5"/>
    <w:rsid w:val="004A5E1B"/>
    <w:rsid w:val="004C6E6C"/>
    <w:rsid w:val="004D04AA"/>
    <w:rsid w:val="004E40CD"/>
    <w:rsid w:val="004E6475"/>
    <w:rsid w:val="0052370C"/>
    <w:rsid w:val="00541C76"/>
    <w:rsid w:val="00547723"/>
    <w:rsid w:val="0055109E"/>
    <w:rsid w:val="00551B39"/>
    <w:rsid w:val="0055525B"/>
    <w:rsid w:val="00585756"/>
    <w:rsid w:val="00595E00"/>
    <w:rsid w:val="00595FB7"/>
    <w:rsid w:val="005E4742"/>
    <w:rsid w:val="00624607"/>
    <w:rsid w:val="00624BFB"/>
    <w:rsid w:val="0064587E"/>
    <w:rsid w:val="00660B65"/>
    <w:rsid w:val="006614FF"/>
    <w:rsid w:val="006A5753"/>
    <w:rsid w:val="006A585F"/>
    <w:rsid w:val="006A7C94"/>
    <w:rsid w:val="006E479E"/>
    <w:rsid w:val="007372BA"/>
    <w:rsid w:val="00754FCA"/>
    <w:rsid w:val="00766334"/>
    <w:rsid w:val="00783B1C"/>
    <w:rsid w:val="007905AB"/>
    <w:rsid w:val="007A2324"/>
    <w:rsid w:val="007A66D3"/>
    <w:rsid w:val="007B475A"/>
    <w:rsid w:val="007F7376"/>
    <w:rsid w:val="00821987"/>
    <w:rsid w:val="008334DB"/>
    <w:rsid w:val="00835ADF"/>
    <w:rsid w:val="00874B0C"/>
    <w:rsid w:val="00887148"/>
    <w:rsid w:val="00891D7B"/>
    <w:rsid w:val="008C3733"/>
    <w:rsid w:val="008F2196"/>
    <w:rsid w:val="00915B9F"/>
    <w:rsid w:val="009160A0"/>
    <w:rsid w:val="00925E66"/>
    <w:rsid w:val="00937858"/>
    <w:rsid w:val="00944346"/>
    <w:rsid w:val="00955482"/>
    <w:rsid w:val="009733EB"/>
    <w:rsid w:val="00A00E1E"/>
    <w:rsid w:val="00A018F8"/>
    <w:rsid w:val="00A21E64"/>
    <w:rsid w:val="00A26EAB"/>
    <w:rsid w:val="00A55808"/>
    <w:rsid w:val="00A62C46"/>
    <w:rsid w:val="00A72783"/>
    <w:rsid w:val="00A840F7"/>
    <w:rsid w:val="00A8685A"/>
    <w:rsid w:val="00A95C7C"/>
    <w:rsid w:val="00AA45A9"/>
    <w:rsid w:val="00AB166D"/>
    <w:rsid w:val="00AD3372"/>
    <w:rsid w:val="00B0272B"/>
    <w:rsid w:val="00B25D60"/>
    <w:rsid w:val="00B27F95"/>
    <w:rsid w:val="00B36DDC"/>
    <w:rsid w:val="00B600D5"/>
    <w:rsid w:val="00B61577"/>
    <w:rsid w:val="00B943AC"/>
    <w:rsid w:val="00BA76EC"/>
    <w:rsid w:val="00BB6E38"/>
    <w:rsid w:val="00BC4AA7"/>
    <w:rsid w:val="00C04442"/>
    <w:rsid w:val="00C233B7"/>
    <w:rsid w:val="00C247A4"/>
    <w:rsid w:val="00C34087"/>
    <w:rsid w:val="00C679DF"/>
    <w:rsid w:val="00C81CFC"/>
    <w:rsid w:val="00C86095"/>
    <w:rsid w:val="00C91304"/>
    <w:rsid w:val="00C915BF"/>
    <w:rsid w:val="00C95CCB"/>
    <w:rsid w:val="00CA136B"/>
    <w:rsid w:val="00CB6E80"/>
    <w:rsid w:val="00CE215E"/>
    <w:rsid w:val="00CE4E88"/>
    <w:rsid w:val="00CE6C56"/>
    <w:rsid w:val="00D024A7"/>
    <w:rsid w:val="00D20DF3"/>
    <w:rsid w:val="00D3270D"/>
    <w:rsid w:val="00D37968"/>
    <w:rsid w:val="00D45051"/>
    <w:rsid w:val="00D56B44"/>
    <w:rsid w:val="00D7627F"/>
    <w:rsid w:val="00D80C6B"/>
    <w:rsid w:val="00D84CA8"/>
    <w:rsid w:val="00D93826"/>
    <w:rsid w:val="00D9569A"/>
    <w:rsid w:val="00DC3434"/>
    <w:rsid w:val="00DD149B"/>
    <w:rsid w:val="00DD2E49"/>
    <w:rsid w:val="00DE3E49"/>
    <w:rsid w:val="00DE4CC8"/>
    <w:rsid w:val="00DF499D"/>
    <w:rsid w:val="00E06EBF"/>
    <w:rsid w:val="00E10DBC"/>
    <w:rsid w:val="00E1341F"/>
    <w:rsid w:val="00E21927"/>
    <w:rsid w:val="00E44BDE"/>
    <w:rsid w:val="00E453A2"/>
    <w:rsid w:val="00E605A6"/>
    <w:rsid w:val="00E72761"/>
    <w:rsid w:val="00E84B40"/>
    <w:rsid w:val="00E977B1"/>
    <w:rsid w:val="00EA1000"/>
    <w:rsid w:val="00EA789F"/>
    <w:rsid w:val="00EE4E3F"/>
    <w:rsid w:val="00EE5F71"/>
    <w:rsid w:val="00F00FCA"/>
    <w:rsid w:val="00F07D10"/>
    <w:rsid w:val="00F1248A"/>
    <w:rsid w:val="00F17ABA"/>
    <w:rsid w:val="00F36393"/>
    <w:rsid w:val="00F3753F"/>
    <w:rsid w:val="00F62388"/>
    <w:rsid w:val="00F745E2"/>
    <w:rsid w:val="00F766A4"/>
    <w:rsid w:val="00FA45AE"/>
    <w:rsid w:val="00FD5FF9"/>
    <w:rsid w:val="00FD62D8"/>
    <w:rsid w:val="00FF3DEE"/>
    <w:rsid w:val="00FF6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1BE2"/>
  <w15:chartTrackingRefBased/>
  <w15:docId w15:val="{F0C0FEBB-FF5B-485F-A887-A25EA127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22" w:qFormat="1"/>
    <w:lsdException w:name="heading 6" w:semiHidden="1" w:uiPriority="22" w:qFormat="1"/>
    <w:lsdException w:name="heading 7" w:semiHidden="1" w:uiPriority="22" w:qFormat="1"/>
    <w:lsdException w:name="heading 8" w:semiHidden="1" w:uiPriority="22" w:qFormat="1"/>
    <w:lsdException w:name="heading 9" w:semiHidden="1" w:uiPriority="2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52"/>
    <w:lsdException w:name="toc 2" w:semiHidden="1" w:uiPriority="52"/>
    <w:lsdException w:name="toc 3" w:semiHidden="1" w:uiPriority="52"/>
    <w:lsdException w:name="toc 4" w:semiHidden="1" w:uiPriority="52"/>
    <w:lsdException w:name="toc 5" w:semiHidden="1" w:uiPriority="52"/>
    <w:lsdException w:name="toc 6" w:semiHidden="1" w:uiPriority="52"/>
    <w:lsdException w:name="toc 7" w:semiHidden="1" w:uiPriority="52"/>
    <w:lsdException w:name="toc 8" w:semiHidden="1" w:uiPriority="52"/>
    <w:lsdException w:name="toc 9" w:semiHidden="1" w:uiPriority="52"/>
    <w:lsdException w:name="Normal Indent" w:semiHidden="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uiPriority="48"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24"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35" w:qFormat="1"/>
    <w:lsdException w:name="Emphasis" w:semiHidden="1" w:uiPriority="33"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42" w:qFormat="1"/>
    <w:lsdException w:name="Intense Quote" w:semiHidden="1" w:uiPriority="43"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2" w:qFormat="1"/>
    <w:lsdException w:name="Intense Emphasis" w:semiHidden="1" w:uiPriority="34" w:qFormat="1"/>
    <w:lsdException w:name="Subtle Reference" w:semiHidden="1" w:uiPriority="44" w:qFormat="1"/>
    <w:lsdException w:name="Intense Reference" w:semiHidden="1" w:uiPriority="45" w:qFormat="1"/>
    <w:lsdException w:name="Book Title" w:semiHidden="1" w:uiPriority="46" w:qFormat="1"/>
    <w:lsdException w:name="Bibliography" w:semiHidden="1" w:uiPriority="50" w:unhideWhenUsed="1"/>
    <w:lsdException w:name="TOC Heading" w:semiHidden="1" w:uiPriority="5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E Body Text"/>
    <w:qFormat/>
    <w:rsid w:val="00FF67E1"/>
    <w:pPr>
      <w:spacing w:after="260" w:line="300" w:lineRule="auto"/>
    </w:pPr>
    <w:rPr>
      <w:rFonts w:ascii="Arial" w:eastAsia="Times New Roman" w:hAnsi="Arial" w:cs="Times New Roman"/>
      <w:sz w:val="24"/>
      <w:lang w:eastAsia="en-GB"/>
    </w:rPr>
  </w:style>
  <w:style w:type="paragraph" w:styleId="Heading1">
    <w:name w:val="heading 1"/>
    <w:aliases w:val="BoE Heading 1"/>
    <w:basedOn w:val="Normal"/>
    <w:next w:val="Normal"/>
    <w:link w:val="Heading1Char"/>
    <w:uiPriority w:val="1"/>
    <w:qFormat/>
    <w:rsid w:val="007F7376"/>
    <w:pPr>
      <w:spacing w:after="320" w:line="240" w:lineRule="auto"/>
      <w:outlineLvl w:val="0"/>
    </w:pPr>
    <w:rPr>
      <w:rFonts w:ascii="Century Gothic" w:hAnsi="Century Gothic" w:cs="Arial"/>
      <w:b/>
      <w:iCs/>
      <w:color w:val="12273F" w:themeColor="text2"/>
      <w:sz w:val="32"/>
      <w:szCs w:val="28"/>
      <w:lang w:eastAsia="en-US"/>
    </w:rPr>
  </w:style>
  <w:style w:type="paragraph" w:styleId="Heading2">
    <w:name w:val="heading 2"/>
    <w:aliases w:val="BoE Heading 2"/>
    <w:basedOn w:val="Normal"/>
    <w:next w:val="Normal"/>
    <w:link w:val="Heading2Char"/>
    <w:uiPriority w:val="2"/>
    <w:qFormat/>
    <w:rsid w:val="007F7376"/>
    <w:pPr>
      <w:spacing w:after="120" w:line="240" w:lineRule="auto"/>
      <w:outlineLvl w:val="1"/>
    </w:pPr>
    <w:rPr>
      <w:rFonts w:ascii="Century Gothic" w:hAnsi="Century Gothic" w:cs="Arial"/>
      <w:b/>
      <w:iCs/>
      <w:color w:val="12273F" w:themeColor="text2"/>
      <w:sz w:val="28"/>
      <w:szCs w:val="28"/>
      <w:lang w:eastAsia="en-US"/>
    </w:rPr>
  </w:style>
  <w:style w:type="paragraph" w:styleId="Heading3">
    <w:name w:val="heading 3"/>
    <w:aliases w:val="BoE Heading 3"/>
    <w:basedOn w:val="Normal"/>
    <w:next w:val="Normal"/>
    <w:link w:val="Heading3Char"/>
    <w:uiPriority w:val="3"/>
    <w:qFormat/>
    <w:rsid w:val="00925E66"/>
    <w:pPr>
      <w:spacing w:after="120" w:line="240" w:lineRule="auto"/>
      <w:outlineLvl w:val="2"/>
    </w:pPr>
    <w:rPr>
      <w:rFonts w:ascii="Century Gothic" w:hAnsi="Century Gothic" w:cs="Arial"/>
      <w:iCs/>
      <w:color w:val="12273F"/>
      <w:sz w:val="28"/>
      <w:szCs w:val="27"/>
      <w:lang w:eastAsia="en-US"/>
    </w:rPr>
  </w:style>
  <w:style w:type="paragraph" w:styleId="Heading4">
    <w:name w:val="heading 4"/>
    <w:aliases w:val="BoE Heading 4"/>
    <w:basedOn w:val="Normal"/>
    <w:next w:val="Normal"/>
    <w:link w:val="Heading4Char"/>
    <w:uiPriority w:val="4"/>
    <w:qFormat/>
    <w:rsid w:val="00D9569A"/>
    <w:pPr>
      <w:outlineLvl w:val="3"/>
    </w:pPr>
    <w:rPr>
      <w:rFonts w:ascii="Century Gothic" w:hAnsi="Century Gothic"/>
      <w:b/>
      <w:color w:val="12273F"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66334"/>
    <w:pPr>
      <w:tabs>
        <w:tab w:val="center" w:pos="4513"/>
        <w:tab w:val="right" w:pos="9026"/>
      </w:tabs>
      <w:spacing w:after="0"/>
    </w:pPr>
  </w:style>
  <w:style w:type="character" w:customStyle="1" w:styleId="HeaderChar">
    <w:name w:val="Header Char"/>
    <w:basedOn w:val="DefaultParagraphFont"/>
    <w:link w:val="Header"/>
    <w:uiPriority w:val="99"/>
    <w:semiHidden/>
    <w:rsid w:val="006E479E"/>
    <w:rPr>
      <w:rFonts w:ascii="Arial" w:eastAsia="Times New Roman" w:hAnsi="Arial" w:cs="Times New Roman"/>
      <w:sz w:val="24"/>
      <w:lang w:eastAsia="en-GB"/>
    </w:rPr>
  </w:style>
  <w:style w:type="paragraph" w:styleId="Footer">
    <w:name w:val="footer"/>
    <w:basedOn w:val="Normal"/>
    <w:link w:val="FooterChar"/>
    <w:uiPriority w:val="99"/>
    <w:semiHidden/>
    <w:rsid w:val="00766334"/>
    <w:pPr>
      <w:tabs>
        <w:tab w:val="center" w:pos="4513"/>
        <w:tab w:val="right" w:pos="9026"/>
      </w:tabs>
      <w:spacing w:after="0"/>
    </w:pPr>
  </w:style>
  <w:style w:type="character" w:customStyle="1" w:styleId="FooterChar">
    <w:name w:val="Footer Char"/>
    <w:basedOn w:val="DefaultParagraphFont"/>
    <w:link w:val="Footer"/>
    <w:uiPriority w:val="99"/>
    <w:semiHidden/>
    <w:rsid w:val="006E479E"/>
    <w:rPr>
      <w:rFonts w:ascii="Arial" w:eastAsia="Times New Roman" w:hAnsi="Arial" w:cs="Times New Roman"/>
      <w:sz w:val="24"/>
      <w:lang w:eastAsia="en-GB"/>
    </w:rPr>
  </w:style>
  <w:style w:type="paragraph" w:customStyle="1" w:styleId="Embargo-template">
    <w:name w:val="Embargo - template"/>
    <w:basedOn w:val="Normal"/>
    <w:uiPriority w:val="12"/>
    <w:semiHidden/>
    <w:qFormat/>
    <w:rsid w:val="00766334"/>
    <w:pPr>
      <w:pBdr>
        <w:top w:val="single" w:sz="18" w:space="1" w:color="FE015B"/>
        <w:left w:val="single" w:sz="48" w:space="4" w:color="FE015B"/>
        <w:bottom w:val="single" w:sz="18" w:space="1" w:color="FE015B"/>
        <w:right w:val="single" w:sz="48" w:space="4" w:color="FE015B"/>
      </w:pBdr>
      <w:shd w:val="clear" w:color="auto" w:fill="FE015B"/>
      <w:spacing w:after="360" w:line="276" w:lineRule="auto"/>
      <w:ind w:left="227" w:right="113"/>
    </w:pPr>
    <w:rPr>
      <w:b/>
      <w:color w:val="FFFFFF" w:themeColor="background1"/>
      <w:sz w:val="32"/>
      <w:szCs w:val="20"/>
      <w:u w:val="single"/>
    </w:rPr>
  </w:style>
  <w:style w:type="paragraph" w:customStyle="1" w:styleId="BoECatchline">
    <w:name w:val="BoE Catchline"/>
    <w:basedOn w:val="Header"/>
    <w:uiPriority w:val="24"/>
    <w:semiHidden/>
    <w:qFormat/>
    <w:rsid w:val="00766334"/>
    <w:pPr>
      <w:pBdr>
        <w:bottom w:val="single" w:sz="8" w:space="6" w:color="12273F"/>
      </w:pBdr>
      <w:tabs>
        <w:tab w:val="clear" w:pos="4513"/>
        <w:tab w:val="clear" w:pos="9026"/>
        <w:tab w:val="left" w:pos="3799"/>
        <w:tab w:val="right" w:pos="9922"/>
      </w:tabs>
    </w:pPr>
    <w:rPr>
      <w:rFonts w:cs="Calibri"/>
      <w:b/>
      <w:color w:val="12273F"/>
      <w:sz w:val="23"/>
      <w:szCs w:val="23"/>
    </w:rPr>
  </w:style>
  <w:style w:type="character" w:customStyle="1" w:styleId="Heading1Char">
    <w:name w:val="Heading 1 Char"/>
    <w:aliases w:val="BoE Heading 1 Char"/>
    <w:basedOn w:val="DefaultParagraphFont"/>
    <w:link w:val="Heading1"/>
    <w:uiPriority w:val="1"/>
    <w:rsid w:val="007F7376"/>
    <w:rPr>
      <w:rFonts w:ascii="Century Gothic" w:eastAsia="Times New Roman" w:hAnsi="Century Gothic" w:cs="Arial"/>
      <w:b/>
      <w:iCs/>
      <w:color w:val="12273F" w:themeColor="text2"/>
      <w:sz w:val="32"/>
      <w:szCs w:val="28"/>
    </w:rPr>
  </w:style>
  <w:style w:type="character" w:customStyle="1" w:styleId="Heading2Char">
    <w:name w:val="Heading 2 Char"/>
    <w:aliases w:val="BoE Heading 2 Char"/>
    <w:basedOn w:val="DefaultParagraphFont"/>
    <w:link w:val="Heading2"/>
    <w:uiPriority w:val="2"/>
    <w:rsid w:val="007F7376"/>
    <w:rPr>
      <w:rFonts w:ascii="Century Gothic" w:eastAsia="Times New Roman" w:hAnsi="Century Gothic" w:cs="Arial"/>
      <w:b/>
      <w:iCs/>
      <w:color w:val="12273F" w:themeColor="text2"/>
      <w:sz w:val="28"/>
      <w:szCs w:val="28"/>
    </w:rPr>
  </w:style>
  <w:style w:type="character" w:styleId="Hyperlink">
    <w:name w:val="Hyperlink"/>
    <w:basedOn w:val="DefaultParagraphFont"/>
    <w:uiPriority w:val="99"/>
    <w:rsid w:val="007F7376"/>
    <w:rPr>
      <w:b/>
      <w:color w:val="12273F" w:themeColor="text2"/>
      <w:u w:val="single" w:color="3CD7D8"/>
    </w:rPr>
  </w:style>
  <w:style w:type="paragraph" w:customStyle="1" w:styleId="WebChartTableImageTitle">
    <w:name w:val="Web Chart/Table/Image Title"/>
    <w:basedOn w:val="Normal"/>
    <w:uiPriority w:val="6"/>
    <w:semiHidden/>
    <w:qFormat/>
    <w:rsid w:val="00766334"/>
    <w:pPr>
      <w:pBdr>
        <w:top w:val="single" w:sz="48" w:space="6" w:color="12273F"/>
        <w:bottom w:val="single" w:sz="48" w:space="1" w:color="12273F"/>
      </w:pBdr>
      <w:shd w:val="clear" w:color="auto" w:fill="12273F"/>
      <w:spacing w:after="0"/>
      <w:ind w:left="45" w:right="40" w:firstLine="329"/>
    </w:pPr>
    <w:rPr>
      <w:rFonts w:cs="Arial"/>
      <w:b/>
      <w:bCs/>
      <w:color w:val="FFFFFF"/>
      <w:szCs w:val="24"/>
    </w:rPr>
  </w:style>
  <w:style w:type="paragraph" w:customStyle="1" w:styleId="WebChartTableImageSubtitle">
    <w:name w:val="Web Chart/Table/Image Subtitle"/>
    <w:basedOn w:val="WebChartTableImageTitle"/>
    <w:uiPriority w:val="7"/>
    <w:semiHidden/>
    <w:qFormat/>
    <w:rsid w:val="00766334"/>
    <w:rPr>
      <w:b w:val="0"/>
      <w:bCs w:val="0"/>
    </w:rPr>
  </w:style>
  <w:style w:type="paragraph" w:customStyle="1" w:styleId="WebImage">
    <w:name w:val="Web Image"/>
    <w:basedOn w:val="Normal"/>
    <w:uiPriority w:val="8"/>
    <w:semiHidden/>
    <w:qFormat/>
    <w:rsid w:val="00766334"/>
    <w:pPr>
      <w:pBdr>
        <w:top w:val="single" w:sz="48" w:space="6" w:color="12273F"/>
        <w:bottom w:val="single" w:sz="48" w:space="1" w:color="12273F"/>
      </w:pBdr>
      <w:shd w:val="clear" w:color="auto" w:fill="12273F"/>
      <w:spacing w:before="360" w:after="240"/>
      <w:ind w:left="45" w:right="40" w:firstLine="329"/>
    </w:pPr>
    <w:rPr>
      <w:rFonts w:eastAsia="Calibri" w:cs="Arial"/>
      <w:sz w:val="20"/>
    </w:rPr>
  </w:style>
  <w:style w:type="paragraph" w:customStyle="1" w:styleId="WebChartTableImageNote">
    <w:name w:val="Web Chart/Table/Image Note"/>
    <w:basedOn w:val="Normal"/>
    <w:uiPriority w:val="9"/>
    <w:semiHidden/>
    <w:qFormat/>
    <w:rsid w:val="00766334"/>
    <w:pPr>
      <w:spacing w:after="240"/>
    </w:pPr>
    <w:rPr>
      <w:rFonts w:eastAsia="Calibri" w:cs="Calibri"/>
      <w:sz w:val="20"/>
    </w:rPr>
  </w:style>
  <w:style w:type="paragraph" w:customStyle="1" w:styleId="BoEHeroParagraph">
    <w:name w:val="BoE Hero Paragraph"/>
    <w:uiPriority w:val="11"/>
    <w:semiHidden/>
    <w:qFormat/>
    <w:rsid w:val="00766334"/>
    <w:pPr>
      <w:pBdr>
        <w:top w:val="single" w:sz="24" w:space="1" w:color="D9D9D9" w:themeColor="background1" w:themeShade="D9"/>
        <w:bottom w:val="single" w:sz="24" w:space="1" w:color="D9D9D9" w:themeColor="background1" w:themeShade="D9"/>
      </w:pBdr>
      <w:shd w:val="clear" w:color="auto" w:fill="D9D9D9" w:themeFill="background1" w:themeFillShade="D9"/>
      <w:spacing w:before="360" w:after="240" w:line="300" w:lineRule="auto"/>
      <w:ind w:left="284" w:hanging="284"/>
    </w:pPr>
    <w:rPr>
      <w:rFonts w:ascii="Arial" w:hAnsi="Arial" w:cs="Calibri"/>
      <w:sz w:val="24"/>
    </w:rPr>
  </w:style>
  <w:style w:type="paragraph" w:styleId="ListParagraph">
    <w:name w:val="List Paragraph"/>
    <w:basedOn w:val="Normal"/>
    <w:uiPriority w:val="34"/>
    <w:qFormat/>
    <w:rsid w:val="00766334"/>
    <w:pPr>
      <w:ind w:left="720"/>
      <w:contextualSpacing/>
    </w:pPr>
    <w:rPr>
      <w:rFonts w:eastAsiaTheme="minorEastAsia"/>
    </w:rPr>
  </w:style>
  <w:style w:type="table" w:customStyle="1" w:styleId="PRATableStyle">
    <w:name w:val="PRA Table Style"/>
    <w:basedOn w:val="TableNormal"/>
    <w:uiPriority w:val="99"/>
    <w:rsid w:val="00887148"/>
    <w:pPr>
      <w:spacing w:after="0" w:line="240" w:lineRule="auto"/>
    </w:pPr>
    <w:rPr>
      <w:rFonts w:ascii="Arial" w:eastAsia="Calibri" w:hAnsi="Arial"/>
      <w:sz w:val="24"/>
    </w:rPr>
    <w:tblPr>
      <w:tblBorders>
        <w:insideH w:val="single" w:sz="4" w:space="0" w:color="BFBFBF"/>
      </w:tblBorders>
      <w:tblCellMar>
        <w:left w:w="227" w:type="dxa"/>
      </w:tblCellMar>
    </w:tblPr>
    <w:tcPr>
      <w:shd w:val="clear" w:color="auto" w:fill="F8F8F8"/>
      <w:tcMar>
        <w:top w:w="113" w:type="dxa"/>
        <w:left w:w="113" w:type="dxa"/>
        <w:right w:w="113" w:type="dxa"/>
      </w:tcMar>
    </w:tcPr>
    <w:tblStylePr w:type="firstRow">
      <w:tblPr/>
      <w:trPr>
        <w:tblHeader/>
      </w:trPr>
      <w:tcPr>
        <w:tcBorders>
          <w:top w:val="single" w:sz="4" w:space="0" w:color="FFFFFF"/>
          <w:left w:val="nil"/>
          <w:bottom w:val="nil"/>
          <w:right w:val="nil"/>
          <w:insideH w:val="nil"/>
          <w:insideV w:val="nil"/>
          <w:tl2br w:val="nil"/>
          <w:tr2bl w:val="nil"/>
        </w:tcBorders>
        <w:shd w:val="clear" w:color="auto" w:fill="12273F"/>
      </w:tcPr>
    </w:tblStylePr>
    <w:tblStylePr w:type="firstCol">
      <w:pPr>
        <w:wordWrap/>
        <w:ind w:leftChars="0" w:left="0"/>
      </w:pPr>
    </w:tblStylePr>
  </w:style>
  <w:style w:type="character" w:customStyle="1" w:styleId="Heading3Char">
    <w:name w:val="Heading 3 Char"/>
    <w:aliases w:val="BoE Heading 3 Char"/>
    <w:basedOn w:val="DefaultParagraphFont"/>
    <w:link w:val="Heading3"/>
    <w:uiPriority w:val="3"/>
    <w:rsid w:val="00925E66"/>
    <w:rPr>
      <w:rFonts w:ascii="Century Gothic" w:eastAsia="Times New Roman" w:hAnsi="Century Gothic" w:cs="Arial"/>
      <w:iCs/>
      <w:color w:val="12273F"/>
      <w:sz w:val="28"/>
      <w:szCs w:val="27"/>
    </w:rPr>
  </w:style>
  <w:style w:type="character" w:customStyle="1" w:styleId="Heading4Char">
    <w:name w:val="Heading 4 Char"/>
    <w:aliases w:val="BoE Heading 4 Char"/>
    <w:basedOn w:val="DefaultParagraphFont"/>
    <w:link w:val="Heading4"/>
    <w:uiPriority w:val="4"/>
    <w:rsid w:val="00D9569A"/>
    <w:rPr>
      <w:rFonts w:ascii="Century Gothic" w:eastAsia="Times New Roman" w:hAnsi="Century Gothic" w:cs="Times New Roman"/>
      <w:b/>
      <w:color w:val="12273F" w:themeColor="text2"/>
      <w:sz w:val="24"/>
      <w:szCs w:val="20"/>
      <w:lang w:eastAsia="en-GB"/>
    </w:rPr>
  </w:style>
  <w:style w:type="paragraph" w:customStyle="1" w:styleId="QuoteNarrativeHighlight">
    <w:name w:val="Quote/Narrative Highlight"/>
    <w:basedOn w:val="Normal"/>
    <w:uiPriority w:val="5"/>
    <w:qFormat/>
    <w:rsid w:val="00D93826"/>
    <w:pPr>
      <w:pBdr>
        <w:left w:val="single" w:sz="12" w:space="4" w:color="3CD7D9"/>
      </w:pBdr>
      <w:tabs>
        <w:tab w:val="center" w:pos="4513"/>
        <w:tab w:val="right" w:pos="9026"/>
      </w:tabs>
      <w:spacing w:after="0"/>
      <w:ind w:left="113"/>
    </w:pPr>
    <w:rPr>
      <w:rFonts w:eastAsia="Calibri" w:cs="Calibri"/>
      <w:b/>
      <w:lang w:eastAsia="en-US"/>
    </w:rPr>
  </w:style>
  <w:style w:type="character" w:styleId="PlaceholderText">
    <w:name w:val="Placeholder Text"/>
    <w:basedOn w:val="DefaultParagraphFont"/>
    <w:uiPriority w:val="99"/>
    <w:semiHidden/>
    <w:rsid w:val="00A00E1E"/>
    <w:rPr>
      <w:color w:val="808080"/>
    </w:rPr>
  </w:style>
  <w:style w:type="paragraph" w:styleId="FootnoteText">
    <w:name w:val="footnote text"/>
    <w:basedOn w:val="Normal"/>
    <w:link w:val="FootnoteTextChar"/>
    <w:uiPriority w:val="99"/>
    <w:semiHidden/>
    <w:rsid w:val="006E479E"/>
    <w:pPr>
      <w:spacing w:after="0"/>
    </w:pPr>
    <w:rPr>
      <w:sz w:val="20"/>
      <w:szCs w:val="20"/>
    </w:rPr>
  </w:style>
  <w:style w:type="character" w:customStyle="1" w:styleId="FootnoteTextChar">
    <w:name w:val="Footnote Text Char"/>
    <w:basedOn w:val="DefaultParagraphFont"/>
    <w:link w:val="FootnoteText"/>
    <w:uiPriority w:val="99"/>
    <w:semiHidden/>
    <w:rsid w:val="006E479E"/>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rsid w:val="006E479E"/>
    <w:rPr>
      <w:vertAlign w:val="superscript"/>
    </w:rPr>
  </w:style>
  <w:style w:type="table" w:styleId="TableGrid">
    <w:name w:val="Table Grid"/>
    <w:basedOn w:val="TableNormal"/>
    <w:uiPriority w:val="59"/>
    <w:rsid w:val="00887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ondPageEmbargoHeader">
    <w:name w:val="Second Page Embargo Header"/>
    <w:basedOn w:val="Normal"/>
    <w:next w:val="Normal"/>
    <w:link w:val="SecondPageEmbargoHeaderChar"/>
    <w:uiPriority w:val="11"/>
    <w:semiHidden/>
    <w:qFormat/>
    <w:rsid w:val="00046ABC"/>
    <w:pPr>
      <w:pBdr>
        <w:top w:val="single" w:sz="18" w:space="1" w:color="FE015B"/>
        <w:left w:val="single" w:sz="48" w:space="4" w:color="FE015B"/>
        <w:bottom w:val="single" w:sz="18" w:space="1" w:color="FE015B"/>
        <w:right w:val="single" w:sz="48" w:space="4" w:color="FE015B"/>
      </w:pBdr>
      <w:shd w:val="clear" w:color="auto" w:fill="FE015B"/>
      <w:spacing w:after="360" w:line="276" w:lineRule="auto"/>
      <w:ind w:left="227" w:right="113"/>
    </w:pPr>
    <w:rPr>
      <w:b/>
      <w:color w:val="FFFFFF" w:themeColor="background1"/>
      <w:szCs w:val="24"/>
      <w:u w:val="single"/>
    </w:rPr>
  </w:style>
  <w:style w:type="character" w:customStyle="1" w:styleId="SecondPageEmbargoHeaderChar">
    <w:name w:val="Second Page Embargo Header Char"/>
    <w:basedOn w:val="DefaultParagraphFont"/>
    <w:link w:val="SecondPageEmbargoHeader"/>
    <w:uiPriority w:val="11"/>
    <w:semiHidden/>
    <w:rsid w:val="00D80C6B"/>
    <w:rPr>
      <w:rFonts w:ascii="Arial" w:eastAsia="Times New Roman" w:hAnsi="Arial" w:cs="Times New Roman"/>
      <w:b/>
      <w:color w:val="FFFFFF" w:themeColor="background1"/>
      <w:sz w:val="24"/>
      <w:szCs w:val="24"/>
      <w:u w:val="single"/>
      <w:shd w:val="clear" w:color="auto" w:fill="FE015B"/>
      <w:lang w:eastAsia="en-GB"/>
    </w:rPr>
  </w:style>
  <w:style w:type="paragraph" w:styleId="Title">
    <w:name w:val="Title"/>
    <w:basedOn w:val="Heading1"/>
    <w:next w:val="Normal"/>
    <w:link w:val="TitleChar"/>
    <w:semiHidden/>
    <w:qFormat/>
    <w:rsid w:val="00377CC4"/>
    <w:pPr>
      <w:spacing w:after="0"/>
      <w:outlineLvl w:val="9"/>
    </w:pPr>
    <w:rPr>
      <w:sz w:val="72"/>
      <w:szCs w:val="32"/>
    </w:rPr>
  </w:style>
  <w:style w:type="character" w:customStyle="1" w:styleId="TitleChar">
    <w:name w:val="Title Char"/>
    <w:basedOn w:val="DefaultParagraphFont"/>
    <w:link w:val="Title"/>
    <w:semiHidden/>
    <w:rsid w:val="00377CC4"/>
    <w:rPr>
      <w:rFonts w:ascii="Century Gothic" w:eastAsia="Times New Roman" w:hAnsi="Century Gothic" w:cs="Arial"/>
      <w:noProof/>
      <w:color w:val="12273F"/>
      <w:kern w:val="28"/>
      <w:sz w:val="72"/>
      <w:szCs w:val="32"/>
      <w:lang w:eastAsia="en-GB"/>
    </w:rPr>
  </w:style>
  <w:style w:type="character" w:styleId="FollowedHyperlink">
    <w:name w:val="FollowedHyperlink"/>
    <w:basedOn w:val="DefaultParagraphFont"/>
    <w:uiPriority w:val="99"/>
    <w:semiHidden/>
    <w:rsid w:val="007F7376"/>
    <w:rPr>
      <w:b/>
      <w:color w:val="12273F" w:themeColor="text2"/>
      <w:u w:val="single" w:color="3CD7D9" w:themeColor="accent1"/>
    </w:rPr>
  </w:style>
  <w:style w:type="paragraph" w:customStyle="1" w:styleId="Footnote">
    <w:name w:val="Footnote"/>
    <w:basedOn w:val="Normal"/>
    <w:qFormat/>
    <w:rsid w:val="00944346"/>
    <w:pPr>
      <w:spacing w:after="0" w:line="276" w:lineRule="auto"/>
    </w:pPr>
    <w:rPr>
      <w:color w:val="0D0D0D" w:themeColor="text1" w:themeTint="F2"/>
      <w:sz w:val="20"/>
      <w:szCs w:val="20"/>
    </w:rPr>
  </w:style>
  <w:style w:type="paragraph" w:customStyle="1" w:styleId="Normal-Bold">
    <w:name w:val="Normal - Bold"/>
    <w:basedOn w:val="Normal"/>
    <w:next w:val="Normal"/>
    <w:qFormat/>
    <w:rsid w:val="00F00FCA"/>
    <w:rPr>
      <w:rFonts w:eastAsiaTheme="minorEastAsia" w:cstheme="minorBidi"/>
      <w:b/>
      <w:color w:val="0D0D0D" w:themeColor="text1" w:themeTint="F2"/>
      <w:szCs w:val="20"/>
    </w:rPr>
  </w:style>
  <w:style w:type="paragraph" w:customStyle="1" w:styleId="Address">
    <w:name w:val="Address"/>
    <w:uiPriority w:val="21"/>
    <w:qFormat/>
    <w:rsid w:val="007F7376"/>
    <w:pPr>
      <w:spacing w:after="0" w:line="240" w:lineRule="auto"/>
      <w:ind w:right="3061"/>
    </w:pPr>
    <w:rPr>
      <w:rFonts w:ascii="Century Gothic" w:eastAsia="Times New Roman" w:hAnsi="Century Gothic" w:cs="Times New Roman"/>
      <w:b/>
      <w:color w:val="12273F" w:themeColor="text2"/>
      <w:sz w:val="20"/>
      <w:szCs w:val="20"/>
      <w:lang w:eastAsia="en-GB"/>
    </w:rPr>
  </w:style>
  <w:style w:type="table" w:customStyle="1" w:styleId="TableEntryBoxes">
    <w:name w:val="Table Entry Boxes"/>
    <w:basedOn w:val="TableNormal"/>
    <w:rsid w:val="00E10DBC"/>
    <w:pPr>
      <w:spacing w:after="0" w:line="240" w:lineRule="auto"/>
    </w:pPr>
    <w:rPr>
      <w:rFonts w:ascii="Arial" w:eastAsia="Times New Roman" w:hAnsi="Arial" w:cs="Times New Roman"/>
      <w:sz w:val="18"/>
      <w:szCs w:val="20"/>
      <w:lang w:eastAsia="en-GB"/>
    </w:rPr>
    <w:tblPr>
      <w:tblBorders>
        <w:left w:val="single" w:sz="4" w:space="0" w:color="auto"/>
        <w:bottom w:val="single" w:sz="4" w:space="0" w:color="auto"/>
        <w:right w:val="single" w:sz="4" w:space="0" w:color="auto"/>
        <w:insideV w:val="single" w:sz="4" w:space="0" w:color="auto"/>
      </w:tblBorders>
    </w:tblPr>
    <w:trPr>
      <w:cantSplit/>
    </w:trPr>
    <w:tcPr>
      <w:noWrap/>
      <w:tcMar>
        <w:left w:w="0" w:type="dxa"/>
        <w:right w:w="0" w:type="dxa"/>
      </w:tcMar>
      <w:vAlign w:val="center"/>
    </w:tcPr>
  </w:style>
  <w:style w:type="table" w:styleId="TableGridLight">
    <w:name w:val="Grid Table Light"/>
    <w:basedOn w:val="TableNormal"/>
    <w:uiPriority w:val="40"/>
    <w:rsid w:val="00A018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RA">
    <w:name w:val="PRA"/>
    <w:uiPriority w:val="21"/>
    <w:semiHidden/>
    <w:qFormat/>
    <w:rsid w:val="00A018F8"/>
    <w:pPr>
      <w:spacing w:after="0" w:line="300" w:lineRule="auto"/>
      <w:ind w:left="-28"/>
    </w:pPr>
    <w:rPr>
      <w:rFonts w:ascii="Century Gothic" w:eastAsia="Times New Roman" w:hAnsi="Century Gothic" w:cs="Times New Roman"/>
      <w:b/>
      <w:color w:val="9194A1"/>
      <w:sz w:val="40"/>
      <w:lang w:eastAsia="en-GB"/>
    </w:rPr>
  </w:style>
  <w:style w:type="table" w:customStyle="1" w:styleId="TableGrid1">
    <w:name w:val="Table Grid1"/>
    <w:basedOn w:val="TableNormal"/>
    <w:next w:val="TableGrid"/>
    <w:uiPriority w:val="59"/>
    <w:rsid w:val="00A018F8"/>
    <w:pPr>
      <w:spacing w:after="0" w:line="240" w:lineRule="auto"/>
    </w:pPr>
    <w:rPr>
      <w:rFonts w:ascii="Arial" w:eastAsia="Times New Roman" w:hAnsi="Arial"/>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5011\Downloads\PRA%20Form%20(1).dotx" TargetMode="External"/></Relationships>
</file>

<file path=word/theme/theme1.xml><?xml version="1.0" encoding="utf-8"?>
<a:theme xmlns:a="http://schemas.openxmlformats.org/drawingml/2006/main" name="Office Theme">
  <a:themeElements>
    <a:clrScheme name="Custom 63">
      <a:dk1>
        <a:srgbClr val="000000"/>
      </a:dk1>
      <a:lt1>
        <a:srgbClr val="FFFFFF"/>
      </a:lt1>
      <a:dk2>
        <a:srgbClr val="12273F"/>
      </a:dk2>
      <a:lt2>
        <a:srgbClr val="E7E6E6"/>
      </a:lt2>
      <a:accent1>
        <a:srgbClr val="3CD7D9"/>
      </a:accent1>
      <a:accent2>
        <a:srgbClr val="FF7300"/>
      </a:accent2>
      <a:accent3>
        <a:srgbClr val="9E71FE"/>
      </a:accent3>
      <a:accent4>
        <a:srgbClr val="D4AF37"/>
      </a:accent4>
      <a:accent5>
        <a:srgbClr val="A5D700"/>
      </a:accent5>
      <a:accent6>
        <a:srgbClr val="FF50C8"/>
      </a:accent6>
      <a:hlink>
        <a:srgbClr val="E9496A"/>
      </a:hlink>
      <a:folHlink>
        <a:srgbClr val="FAD0C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F436FB0-BCCF-4DB7-A792-67978489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 Form (1)</Template>
  <TotalTime>0</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Thomas</dc:creator>
  <cp:keywords/>
  <dc:description/>
  <cp:lastModifiedBy>PRA Communications</cp:lastModifiedBy>
  <cp:revision>2</cp:revision>
  <cp:lastPrinted>2022-04-05T15:08:00Z</cp:lastPrinted>
  <dcterms:created xsi:type="dcterms:W3CDTF">2023-04-21T14:48:00Z</dcterms:created>
  <dcterms:modified xsi:type="dcterms:W3CDTF">2023-04-21T14:48:00Z</dcterms:modified>
  <cp:contentStatus>[Day Month Year]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2074440899</vt:i4>
  </property>
  <property fmtid="{D5CDD505-2E9C-101B-9397-08002B2CF9AE}" pid="3" name="_NewReviewCycle">
    <vt:lpwstr/>
  </property>
  <property fmtid="{D5CDD505-2E9C-101B-9397-08002B2CF9AE}" pid="5" name="_EmailSubject">
    <vt:lpwstr>Update to forms on the Capital instruments - pre/post-issuance notification (PIN) webpage</vt:lpwstr>
  </property>
  <property fmtid="{D5CDD505-2E9C-101B-9397-08002B2CF9AE}" pid="6" name="_AuthorEmail">
    <vt:lpwstr>Meg.Barry@bankofengland.co.uk</vt:lpwstr>
  </property>
  <property fmtid="{D5CDD505-2E9C-101B-9397-08002B2CF9AE}" pid="7" name="_AuthorEmailDisplayName">
    <vt:lpwstr>Barry, Meg</vt:lpwstr>
  </property>
  <property fmtid="{D5CDD505-2E9C-101B-9397-08002B2CF9AE}" pid="8" name="_PreviousAdHocReviewCycleID">
    <vt:i4>-1529365387</vt:i4>
  </property>
</Properties>
</file>