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7.xml" ContentType="application/vnd.openxmlformats-officedocument.wordprocessingml.header+xml"/>
  <Override PartName="/word/footer3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0.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3.xml" ContentType="application/vnd.openxmlformats-officedocument.wordprocessingml.header+xml"/>
  <Override PartName="/word/footer4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6.xml" ContentType="application/vnd.openxmlformats-officedocument.wordprocessingml.header+xml"/>
  <Override PartName="/word/footer4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17" w:rsidRPr="00F914B1" w:rsidRDefault="00F23017" w:rsidP="00F23017">
      <w:pPr>
        <w:rPr>
          <w:color w:val="AA322F"/>
          <w:sz w:val="28"/>
        </w:rPr>
      </w:pPr>
      <w:bookmarkStart w:id="0" w:name="_Toc404328151"/>
      <w:bookmarkStart w:id="1" w:name="_GoBack"/>
      <w:bookmarkEnd w:id="1"/>
      <w:r w:rsidRPr="00F914B1">
        <w:rPr>
          <w:color w:val="AA322F"/>
          <w:sz w:val="28"/>
        </w:rPr>
        <w:t>Summary of disclosure templates and tables</w:t>
      </w:r>
      <w:r w:rsidRPr="001328BA">
        <w:rPr>
          <w:color w:val="AA322F"/>
          <w:sz w:val="28"/>
          <w:vertAlign w:val="superscript"/>
        </w:rPr>
        <w:t xml:space="preserve"> [Note 1]</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1"/>
        <w:gridCol w:w="1417"/>
        <w:gridCol w:w="1134"/>
        <w:gridCol w:w="993"/>
        <w:gridCol w:w="1181"/>
        <w:gridCol w:w="1181"/>
        <w:gridCol w:w="1181"/>
      </w:tblGrid>
      <w:tr w:rsidR="00F23017" w:rsidRPr="00F914B1" w:rsidTr="00F23017">
        <w:trPr>
          <w:trHeight w:val="244"/>
          <w:tblHeader/>
        </w:trPr>
        <w:tc>
          <w:tcPr>
            <w:tcW w:w="2127" w:type="dxa"/>
            <w:vMerge w:val="restart"/>
            <w:tcBorders>
              <w:top w:val="single" w:sz="12" w:space="0" w:color="auto"/>
              <w:left w:val="nil"/>
              <w:right w:val="single" w:sz="12" w:space="0" w:color="auto"/>
            </w:tcBorders>
            <w:shd w:val="clear" w:color="auto" w:fill="BFBFBF"/>
            <w:vAlign w:val="center"/>
          </w:tcPr>
          <w:p w:rsidR="00F23017" w:rsidRPr="00F914B1" w:rsidRDefault="00F23017" w:rsidP="00F23017">
            <w:pPr>
              <w:tabs>
                <w:tab w:val="left" w:pos="794"/>
              </w:tabs>
              <w:jc w:val="center"/>
              <w:rPr>
                <w:rFonts w:cs="Segoe UI"/>
                <w:b/>
                <w:lang w:eastAsia="en-GB"/>
              </w:rPr>
            </w:pPr>
            <w:r w:rsidRPr="00F914B1">
              <w:rPr>
                <w:rFonts w:cs="Segoe UI"/>
                <w:b/>
                <w:lang w:eastAsia="en-GB"/>
              </w:rPr>
              <w:t>Disclosure requirement</w:t>
            </w:r>
          </w:p>
        </w:tc>
        <w:tc>
          <w:tcPr>
            <w:tcW w:w="4961" w:type="dxa"/>
            <w:vMerge w:val="restart"/>
            <w:tcBorders>
              <w:top w:val="single" w:sz="12" w:space="0" w:color="auto"/>
              <w:left w:val="single" w:sz="12" w:space="0" w:color="auto"/>
              <w:right w:val="single" w:sz="12" w:space="0" w:color="auto"/>
            </w:tcBorders>
            <w:shd w:val="clear" w:color="auto" w:fill="BFBFBF"/>
            <w:vAlign w:val="center"/>
          </w:tcPr>
          <w:p w:rsidR="00F23017" w:rsidRPr="00F914B1" w:rsidRDefault="00F23017" w:rsidP="00F23017">
            <w:pPr>
              <w:tabs>
                <w:tab w:val="left" w:pos="794"/>
              </w:tabs>
              <w:jc w:val="center"/>
              <w:rPr>
                <w:rFonts w:cs="Segoe UI"/>
                <w:b/>
                <w:lang w:eastAsia="en-GB"/>
              </w:rPr>
            </w:pPr>
            <w:r w:rsidRPr="00F914B1">
              <w:rPr>
                <w:rFonts w:cs="Segoe UI"/>
                <w:b/>
                <w:lang w:eastAsia="en-GB"/>
              </w:rPr>
              <w:t>Tables and templates*</w:t>
            </w:r>
            <w:r w:rsidR="00005D7B">
              <w:rPr>
                <w:rFonts w:asciiTheme="minorEastAsia" w:eastAsiaTheme="minorEastAsia" w:hAnsiTheme="minorEastAsia" w:cs="Segoe UI" w:hint="eastAsia"/>
                <w:b/>
                <w:lang w:eastAsia="zh-TW"/>
              </w:rPr>
              <w:t>^</w:t>
            </w:r>
          </w:p>
        </w:tc>
        <w:tc>
          <w:tcPr>
            <w:tcW w:w="1417" w:type="dxa"/>
            <w:vMerge w:val="restart"/>
            <w:tcBorders>
              <w:top w:val="single" w:sz="12" w:space="0" w:color="auto"/>
              <w:left w:val="single" w:sz="12" w:space="0" w:color="auto"/>
              <w:right w:val="single" w:sz="12" w:space="0" w:color="auto"/>
            </w:tcBorders>
            <w:shd w:val="clear" w:color="auto" w:fill="BFBFBF"/>
            <w:vAlign w:val="center"/>
          </w:tcPr>
          <w:p w:rsidR="002705F9" w:rsidRPr="005558EF" w:rsidDel="005558EF" w:rsidRDefault="00F23017" w:rsidP="002705F9">
            <w:pPr>
              <w:jc w:val="center"/>
              <w:rPr>
                <w:rFonts w:cs="Segoe UI"/>
                <w:b/>
                <w:sz w:val="18"/>
                <w:szCs w:val="18"/>
                <w:lang w:eastAsia="en-GB"/>
              </w:rPr>
            </w:pPr>
            <w:r w:rsidRPr="00F914B1">
              <w:rPr>
                <w:rFonts w:cs="Segoe UI"/>
                <w:b/>
                <w:lang w:eastAsia="en-GB"/>
              </w:rPr>
              <w:t>Applicability</w:t>
            </w:r>
            <w:r w:rsidR="006D32CF">
              <w:rPr>
                <w:rFonts w:cs="Segoe UI"/>
                <w:b/>
                <w:lang w:eastAsia="en-GB"/>
              </w:rPr>
              <w:t>**</w:t>
            </w:r>
            <w:r w:rsidR="005558EF">
              <w:rPr>
                <w:rFonts w:cs="Segoe UI"/>
                <w:b/>
                <w:lang w:eastAsia="en-GB"/>
              </w:rPr>
              <w:t xml:space="preserve"> </w:t>
            </w:r>
            <w:r w:rsidR="0039131A">
              <w:rPr>
                <w:rFonts w:cs="Segoe UI"/>
                <w:b/>
                <w:lang w:eastAsia="en-GB"/>
              </w:rPr>
              <w:t>[</w:t>
            </w:r>
            <w:r w:rsidR="005558EF" w:rsidRPr="001B530B">
              <w:rPr>
                <w:rFonts w:cs="Segoe UI"/>
                <w:b/>
                <w:sz w:val="18"/>
                <w:szCs w:val="18"/>
                <w:lang w:eastAsia="en-GB"/>
              </w:rPr>
              <w:t>L</w:t>
            </w:r>
            <w:r w:rsidR="00B27D51">
              <w:rPr>
                <w:rFonts w:cs="Segoe UI"/>
                <w:b/>
                <w:sz w:val="18"/>
                <w:szCs w:val="18"/>
                <w:lang w:eastAsia="en-GB"/>
              </w:rPr>
              <w:t>/O]</w:t>
            </w:r>
          </w:p>
          <w:p w:rsidR="00F23017" w:rsidRPr="00F914B1" w:rsidRDefault="00F23017" w:rsidP="00B27D51">
            <w:pPr>
              <w:jc w:val="center"/>
              <w:rPr>
                <w:rFonts w:cs="Segoe UI"/>
                <w:b/>
                <w:lang w:eastAsia="en-GB"/>
              </w:rPr>
            </w:pPr>
          </w:p>
        </w:tc>
        <w:tc>
          <w:tcPr>
            <w:tcW w:w="2127" w:type="dxa"/>
            <w:gridSpan w:val="2"/>
            <w:tcBorders>
              <w:top w:val="single" w:sz="12" w:space="0" w:color="auto"/>
              <w:left w:val="single" w:sz="12" w:space="0" w:color="auto"/>
              <w:bottom w:val="single" w:sz="12" w:space="0" w:color="auto"/>
              <w:right w:val="single" w:sz="12" w:space="0" w:color="auto"/>
            </w:tcBorders>
            <w:shd w:val="clear" w:color="auto" w:fill="BFBFBF"/>
            <w:vAlign w:val="center"/>
          </w:tcPr>
          <w:p w:rsidR="00F23017" w:rsidRPr="00F914B1" w:rsidRDefault="00F23017" w:rsidP="00F23017">
            <w:pPr>
              <w:jc w:val="center"/>
              <w:rPr>
                <w:rFonts w:cs="Segoe UI"/>
                <w:b/>
                <w:lang w:eastAsia="en-GB"/>
              </w:rPr>
            </w:pPr>
            <w:r>
              <w:rPr>
                <w:rFonts w:cs="Segoe UI"/>
                <w:b/>
                <w:lang w:eastAsia="en-GB"/>
              </w:rPr>
              <w:t>F</w:t>
            </w:r>
            <w:r w:rsidRPr="00F914B1">
              <w:rPr>
                <w:rFonts w:cs="Segoe UI"/>
                <w:b/>
                <w:lang w:eastAsia="en-GB"/>
              </w:rPr>
              <w:t>ormat</w:t>
            </w:r>
          </w:p>
        </w:tc>
        <w:tc>
          <w:tcPr>
            <w:tcW w:w="3543" w:type="dxa"/>
            <w:gridSpan w:val="3"/>
            <w:tcBorders>
              <w:top w:val="single" w:sz="12" w:space="0" w:color="auto"/>
              <w:left w:val="single" w:sz="12" w:space="0" w:color="auto"/>
              <w:bottom w:val="single" w:sz="12" w:space="0" w:color="auto"/>
              <w:right w:val="single" w:sz="12" w:space="0" w:color="auto"/>
            </w:tcBorders>
            <w:shd w:val="clear" w:color="auto" w:fill="BFBFBF"/>
            <w:vAlign w:val="center"/>
          </w:tcPr>
          <w:p w:rsidR="00F23017" w:rsidRPr="00F914B1" w:rsidRDefault="00F23017" w:rsidP="00F23017">
            <w:pPr>
              <w:jc w:val="center"/>
              <w:rPr>
                <w:rFonts w:cs="Segoe UI"/>
                <w:b/>
                <w:lang w:eastAsia="en-GB"/>
              </w:rPr>
            </w:pPr>
            <w:r>
              <w:rPr>
                <w:rFonts w:cs="Segoe UI"/>
                <w:b/>
                <w:lang w:eastAsia="en-GB"/>
              </w:rPr>
              <w:t>Frequency of disclosure</w:t>
            </w:r>
          </w:p>
        </w:tc>
      </w:tr>
      <w:tr w:rsidR="00F23017" w:rsidRPr="00F914B1" w:rsidTr="00F23017">
        <w:trPr>
          <w:trHeight w:val="283"/>
          <w:tblHeader/>
        </w:trPr>
        <w:tc>
          <w:tcPr>
            <w:tcW w:w="2127" w:type="dxa"/>
            <w:vMerge/>
            <w:tcBorders>
              <w:left w:val="nil"/>
              <w:bottom w:val="single" w:sz="12" w:space="0" w:color="auto"/>
              <w:right w:val="single" w:sz="12" w:space="0" w:color="auto"/>
            </w:tcBorders>
            <w:shd w:val="clear" w:color="auto" w:fill="BFBFBF"/>
          </w:tcPr>
          <w:p w:rsidR="00F23017" w:rsidRPr="00F914B1" w:rsidRDefault="00F23017" w:rsidP="00F23017">
            <w:pPr>
              <w:tabs>
                <w:tab w:val="left" w:pos="794"/>
              </w:tabs>
              <w:jc w:val="center"/>
              <w:rPr>
                <w:rFonts w:cs="Segoe UI"/>
                <w:b/>
                <w:lang w:eastAsia="en-GB"/>
              </w:rPr>
            </w:pPr>
          </w:p>
        </w:tc>
        <w:tc>
          <w:tcPr>
            <w:tcW w:w="4961" w:type="dxa"/>
            <w:vMerge/>
            <w:tcBorders>
              <w:left w:val="single" w:sz="12" w:space="0" w:color="auto"/>
              <w:bottom w:val="single" w:sz="12" w:space="0" w:color="auto"/>
              <w:right w:val="single" w:sz="12" w:space="0" w:color="auto"/>
            </w:tcBorders>
            <w:shd w:val="clear" w:color="auto" w:fill="BFBFBF"/>
            <w:vAlign w:val="center"/>
          </w:tcPr>
          <w:p w:rsidR="00F23017" w:rsidRPr="00F914B1" w:rsidRDefault="00F23017" w:rsidP="00F23017">
            <w:pPr>
              <w:tabs>
                <w:tab w:val="left" w:pos="794"/>
              </w:tabs>
              <w:jc w:val="center"/>
              <w:rPr>
                <w:rFonts w:cs="Segoe UI"/>
                <w:b/>
                <w:lang w:eastAsia="en-GB"/>
              </w:rPr>
            </w:pPr>
          </w:p>
        </w:tc>
        <w:tc>
          <w:tcPr>
            <w:tcW w:w="1417" w:type="dxa"/>
            <w:vMerge/>
            <w:tcBorders>
              <w:left w:val="single" w:sz="12" w:space="0" w:color="auto"/>
              <w:bottom w:val="single" w:sz="12" w:space="0" w:color="auto"/>
              <w:right w:val="single" w:sz="12" w:space="0" w:color="auto"/>
            </w:tcBorders>
            <w:shd w:val="clear" w:color="auto" w:fill="BFBFBF"/>
            <w:vAlign w:val="center"/>
          </w:tcPr>
          <w:p w:rsidR="00F23017" w:rsidRPr="00F914B1" w:rsidRDefault="00F23017" w:rsidP="00F23017">
            <w:pPr>
              <w:jc w:val="center"/>
              <w:rPr>
                <w:rFonts w:cs="Segoe UI"/>
                <w:b/>
                <w:lang w:eastAsia="en-GB"/>
              </w:rPr>
            </w:pPr>
          </w:p>
        </w:tc>
        <w:tc>
          <w:tcPr>
            <w:tcW w:w="1134" w:type="dxa"/>
            <w:tcBorders>
              <w:top w:val="single" w:sz="12" w:space="0" w:color="auto"/>
              <w:left w:val="single" w:sz="12" w:space="0" w:color="auto"/>
              <w:bottom w:val="single" w:sz="12" w:space="0" w:color="auto"/>
            </w:tcBorders>
            <w:shd w:val="clear" w:color="auto" w:fill="BFBFBF"/>
            <w:vAlign w:val="center"/>
          </w:tcPr>
          <w:p w:rsidR="00F23017" w:rsidRPr="00F914B1" w:rsidRDefault="00F23017" w:rsidP="00F23017">
            <w:pPr>
              <w:jc w:val="center"/>
              <w:rPr>
                <w:rFonts w:cs="Segoe UI"/>
                <w:b/>
                <w:lang w:eastAsia="en-GB"/>
              </w:rPr>
            </w:pPr>
            <w:r w:rsidRPr="00F914B1">
              <w:rPr>
                <w:rFonts w:cs="Segoe UI"/>
                <w:b/>
                <w:lang w:eastAsia="en-GB"/>
              </w:rPr>
              <w:t>Fixed</w:t>
            </w:r>
          </w:p>
        </w:tc>
        <w:tc>
          <w:tcPr>
            <w:tcW w:w="993" w:type="dxa"/>
            <w:tcBorders>
              <w:top w:val="single" w:sz="12" w:space="0" w:color="auto"/>
              <w:bottom w:val="single" w:sz="12" w:space="0" w:color="auto"/>
              <w:right w:val="single" w:sz="12" w:space="0" w:color="auto"/>
            </w:tcBorders>
            <w:shd w:val="clear" w:color="auto" w:fill="BFBFBF"/>
            <w:vAlign w:val="center"/>
          </w:tcPr>
          <w:p w:rsidR="00F23017" w:rsidRPr="00F914B1" w:rsidRDefault="00F23017" w:rsidP="00F23017">
            <w:pPr>
              <w:jc w:val="center"/>
              <w:rPr>
                <w:rFonts w:cs="Segoe UI"/>
                <w:b/>
                <w:lang w:eastAsia="en-GB"/>
              </w:rPr>
            </w:pPr>
            <w:r w:rsidRPr="00F914B1">
              <w:rPr>
                <w:rFonts w:cs="Segoe UI"/>
                <w:b/>
                <w:lang w:eastAsia="en-GB"/>
              </w:rPr>
              <w:t>Flexible</w:t>
            </w:r>
          </w:p>
        </w:tc>
        <w:tc>
          <w:tcPr>
            <w:tcW w:w="1181" w:type="dxa"/>
            <w:tcBorders>
              <w:top w:val="single" w:sz="12" w:space="0" w:color="auto"/>
              <w:left w:val="single" w:sz="12" w:space="0" w:color="auto"/>
              <w:bottom w:val="single" w:sz="12" w:space="0" w:color="auto"/>
            </w:tcBorders>
            <w:shd w:val="clear" w:color="auto" w:fill="BFBFBF"/>
            <w:vAlign w:val="center"/>
          </w:tcPr>
          <w:p w:rsidR="00F23017" w:rsidRPr="00F914B1" w:rsidRDefault="00F23017" w:rsidP="00F23017">
            <w:pPr>
              <w:jc w:val="center"/>
              <w:rPr>
                <w:rFonts w:cs="Segoe UI"/>
                <w:b/>
                <w:lang w:eastAsia="en-GB"/>
              </w:rPr>
            </w:pPr>
            <w:r w:rsidRPr="00F914B1">
              <w:rPr>
                <w:rFonts w:cs="Segoe UI"/>
                <w:b/>
                <w:lang w:eastAsia="en-GB"/>
              </w:rPr>
              <w:t>Quarterly</w:t>
            </w:r>
          </w:p>
        </w:tc>
        <w:tc>
          <w:tcPr>
            <w:tcW w:w="1181" w:type="dxa"/>
            <w:tcBorders>
              <w:top w:val="single" w:sz="12" w:space="0" w:color="auto"/>
              <w:bottom w:val="single" w:sz="12" w:space="0" w:color="auto"/>
            </w:tcBorders>
            <w:shd w:val="clear" w:color="auto" w:fill="BFBFBF"/>
            <w:vAlign w:val="center"/>
          </w:tcPr>
          <w:p w:rsidR="00F23017" w:rsidRPr="00F914B1" w:rsidRDefault="00F23017" w:rsidP="00F23017">
            <w:pPr>
              <w:jc w:val="center"/>
              <w:rPr>
                <w:rFonts w:cs="Segoe UI"/>
                <w:b/>
                <w:lang w:eastAsia="en-GB"/>
              </w:rPr>
            </w:pPr>
            <w:r w:rsidRPr="00F914B1">
              <w:rPr>
                <w:rFonts w:cs="Segoe UI"/>
                <w:b/>
                <w:lang w:eastAsia="en-GB"/>
              </w:rPr>
              <w:t>Semi-</w:t>
            </w:r>
          </w:p>
          <w:p w:rsidR="00F23017" w:rsidRPr="00F914B1" w:rsidRDefault="00F23017" w:rsidP="00F23017">
            <w:pPr>
              <w:jc w:val="center"/>
              <w:rPr>
                <w:rFonts w:cs="Segoe UI"/>
                <w:b/>
                <w:lang w:eastAsia="en-GB"/>
              </w:rPr>
            </w:pPr>
            <w:r w:rsidRPr="00F914B1">
              <w:rPr>
                <w:rFonts w:cs="Segoe UI"/>
                <w:b/>
                <w:lang w:eastAsia="en-GB"/>
              </w:rPr>
              <w:t>annual</w:t>
            </w:r>
          </w:p>
        </w:tc>
        <w:tc>
          <w:tcPr>
            <w:tcW w:w="1181" w:type="dxa"/>
            <w:tcBorders>
              <w:top w:val="single" w:sz="12" w:space="0" w:color="auto"/>
              <w:bottom w:val="single" w:sz="12" w:space="0" w:color="auto"/>
              <w:right w:val="single" w:sz="12" w:space="0" w:color="auto"/>
            </w:tcBorders>
            <w:shd w:val="clear" w:color="auto" w:fill="BFBFBF"/>
            <w:vAlign w:val="center"/>
          </w:tcPr>
          <w:p w:rsidR="00F23017" w:rsidRPr="00F914B1" w:rsidRDefault="00F23017" w:rsidP="00F23017">
            <w:pPr>
              <w:jc w:val="center"/>
              <w:rPr>
                <w:rFonts w:cs="Segoe UI"/>
                <w:b/>
                <w:lang w:eastAsia="en-GB"/>
              </w:rPr>
            </w:pPr>
            <w:r w:rsidRPr="00F914B1">
              <w:rPr>
                <w:rFonts w:cs="Segoe UI"/>
                <w:b/>
                <w:lang w:eastAsia="en-GB"/>
              </w:rPr>
              <w:t>Annual</w:t>
            </w:r>
          </w:p>
        </w:tc>
      </w:tr>
      <w:tr w:rsidR="00F23017" w:rsidRPr="00F914B1" w:rsidTr="00F23017">
        <w:trPr>
          <w:cantSplit/>
          <w:trHeight w:val="283"/>
        </w:trPr>
        <w:tc>
          <w:tcPr>
            <w:tcW w:w="2127" w:type="dxa"/>
            <w:vMerge w:val="restart"/>
            <w:tcBorders>
              <w:left w:val="nil"/>
              <w:right w:val="single" w:sz="12" w:space="0" w:color="auto"/>
            </w:tcBorders>
          </w:tcPr>
          <w:p w:rsidR="00F23017" w:rsidRPr="00F914B1" w:rsidRDefault="00F23017" w:rsidP="00F23017">
            <w:pPr>
              <w:rPr>
                <w:rFonts w:cs="Segoe UI"/>
                <w:lang w:eastAsia="en-GB"/>
              </w:rPr>
            </w:pPr>
            <w:r w:rsidRPr="00F914B1">
              <w:rPr>
                <w:rFonts w:cs="Segoe UI"/>
                <w:lang w:eastAsia="en-GB"/>
              </w:rPr>
              <w:t xml:space="preserve">Part I : </w:t>
            </w:r>
            <w:r w:rsidRPr="005D7A74">
              <w:rPr>
                <w:rFonts w:cs="Segoe UI"/>
                <w:lang w:eastAsia="en-GB"/>
              </w:rPr>
              <w:t>Key prudential ratios,</w:t>
            </w:r>
            <w:r>
              <w:rPr>
                <w:rFonts w:cs="Segoe UI"/>
                <w:lang w:eastAsia="en-GB"/>
              </w:rPr>
              <w:t xml:space="preserve"> o</w:t>
            </w:r>
            <w:r w:rsidRPr="00F914B1">
              <w:rPr>
                <w:rFonts w:cs="Segoe UI"/>
                <w:lang w:eastAsia="en-GB"/>
              </w:rPr>
              <w:t>verview of risk management and RWA</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F23017" w:rsidRPr="003C0ABE" w:rsidRDefault="00F23017" w:rsidP="00F23017">
            <w:pPr>
              <w:rPr>
                <w:rFonts w:cs="Segoe UI"/>
                <w:lang w:val="en-US" w:eastAsia="en-GB"/>
              </w:rPr>
            </w:pPr>
            <w:r>
              <w:rPr>
                <w:rFonts w:cs="Segoe UI"/>
                <w:lang w:eastAsia="en-GB"/>
              </w:rPr>
              <w:t>Template</w:t>
            </w:r>
            <w:r w:rsidRPr="00F914B1">
              <w:rPr>
                <w:rFonts w:cs="Segoe UI"/>
                <w:lang w:eastAsia="en-GB"/>
              </w:rPr>
              <w:t xml:space="preserve"> </w:t>
            </w:r>
            <w:r w:rsidRPr="003C0ABE">
              <w:rPr>
                <w:rFonts w:cs="Segoe UI"/>
                <w:lang w:eastAsia="en-GB"/>
              </w:rPr>
              <w:t>KM1</w:t>
            </w:r>
            <w:r>
              <w:rPr>
                <w:rFonts w:cs="Segoe UI"/>
                <w:lang w:eastAsia="en-GB"/>
              </w:rPr>
              <w:t xml:space="preserve">: </w:t>
            </w:r>
            <w:r w:rsidRPr="00E630AD">
              <w:rPr>
                <w:rFonts w:cs="Segoe UI"/>
                <w:lang w:eastAsia="en-GB"/>
              </w:rPr>
              <w:t>Key prudential ratios</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auto"/>
            <w:vAlign w:val="center"/>
          </w:tcPr>
          <w:p w:rsidR="00F23017" w:rsidRPr="00F914B1" w:rsidRDefault="005558EF" w:rsidP="005558EF">
            <w:pPr>
              <w:jc w:val="center"/>
              <w:rPr>
                <w:rFonts w:cs="Segoe UI"/>
                <w:lang w:eastAsia="en-GB"/>
              </w:rPr>
            </w:pPr>
            <w:r>
              <w:rPr>
                <w:rFonts w:cs="Segoe UI"/>
                <w:lang w:eastAsia="en-GB"/>
              </w:rPr>
              <w:t>L</w:t>
            </w:r>
          </w:p>
        </w:tc>
        <w:tc>
          <w:tcPr>
            <w:tcW w:w="1134" w:type="dxa"/>
            <w:tcBorders>
              <w:top w:val="single" w:sz="12" w:space="0" w:color="auto"/>
              <w:left w:val="single" w:sz="12" w:space="0" w:color="auto"/>
              <w:bottom w:val="single" w:sz="2" w:space="0" w:color="A6A6A6" w:themeColor="background1" w:themeShade="A6"/>
            </w:tcBorders>
            <w:shd w:val="clear" w:color="auto" w:fill="auto"/>
            <w:vAlign w:val="center"/>
          </w:tcPr>
          <w:p w:rsidR="00F23017" w:rsidRPr="00F914B1" w:rsidRDefault="00F23017" w:rsidP="00F23017">
            <w:pPr>
              <w:jc w:val="center"/>
              <w:rPr>
                <w:rFonts w:cs="Segoe UI"/>
                <w:lang w:eastAsia="en-GB"/>
              </w:rPr>
            </w:pPr>
            <w:r w:rsidRPr="00F914B1">
              <w:rPr>
                <w:rFonts w:cs="Segoe UI"/>
                <w:lang w:eastAsia="en-GB"/>
              </w:rPr>
              <w:sym w:font="Wingdings 2" w:char="F050"/>
            </w:r>
          </w:p>
        </w:tc>
        <w:tc>
          <w:tcPr>
            <w:tcW w:w="993" w:type="dxa"/>
            <w:tcBorders>
              <w:top w:val="single" w:sz="12" w:space="0" w:color="auto"/>
              <w:bottom w:val="single" w:sz="2" w:space="0" w:color="A6A6A6" w:themeColor="background1" w:themeShade="A6"/>
              <w:right w:val="single" w:sz="12" w:space="0" w:color="auto"/>
            </w:tcBorders>
            <w:shd w:val="clear" w:color="auto" w:fill="auto"/>
            <w:vAlign w:val="center"/>
          </w:tcPr>
          <w:p w:rsidR="00F23017" w:rsidRPr="00F914B1" w:rsidRDefault="00F23017" w:rsidP="00F23017">
            <w:pPr>
              <w:jc w:val="center"/>
              <w:rPr>
                <w:rFonts w:cs="Segoe UI"/>
                <w:lang w:eastAsia="en-GB"/>
              </w:rPr>
            </w:pPr>
          </w:p>
        </w:tc>
        <w:tc>
          <w:tcPr>
            <w:tcW w:w="1181" w:type="dxa"/>
            <w:tcBorders>
              <w:top w:val="single" w:sz="12" w:space="0" w:color="auto"/>
              <w:left w:val="single" w:sz="12" w:space="0" w:color="auto"/>
              <w:bottom w:val="single" w:sz="2" w:space="0" w:color="A6A6A6" w:themeColor="background1" w:themeShade="A6"/>
            </w:tcBorders>
            <w:shd w:val="clear" w:color="auto" w:fill="auto"/>
            <w:vAlign w:val="center"/>
          </w:tcPr>
          <w:p w:rsidR="00F23017" w:rsidRPr="00F914B1" w:rsidRDefault="00F23017" w:rsidP="00F23017">
            <w:pPr>
              <w:jc w:val="center"/>
              <w:rPr>
                <w:rFonts w:cs="Segoe UI"/>
                <w:lang w:eastAsia="en-GB"/>
              </w:rPr>
            </w:pPr>
            <w:r w:rsidRPr="00F914B1">
              <w:rPr>
                <w:rFonts w:cs="Segoe UI"/>
                <w:lang w:eastAsia="en-GB"/>
              </w:rPr>
              <w:sym w:font="Wingdings 2" w:char="F050"/>
            </w:r>
          </w:p>
        </w:tc>
        <w:tc>
          <w:tcPr>
            <w:tcW w:w="1181" w:type="dxa"/>
            <w:tcBorders>
              <w:top w:val="single" w:sz="12" w:space="0" w:color="auto"/>
              <w:bottom w:val="single" w:sz="2" w:space="0" w:color="A6A6A6" w:themeColor="background1" w:themeShade="A6"/>
            </w:tcBorders>
            <w:shd w:val="clear" w:color="auto" w:fill="auto"/>
            <w:vAlign w:val="center"/>
          </w:tcPr>
          <w:p w:rsidR="00F23017" w:rsidRPr="00F914B1" w:rsidRDefault="00F23017" w:rsidP="00F23017">
            <w:pPr>
              <w:rPr>
                <w:rFonts w:cs="Segoe UI"/>
                <w:lang w:eastAsia="en-GB"/>
              </w:rPr>
            </w:pPr>
          </w:p>
        </w:tc>
        <w:tc>
          <w:tcPr>
            <w:tcW w:w="1181" w:type="dxa"/>
            <w:tcBorders>
              <w:top w:val="single" w:sz="12" w:space="0" w:color="auto"/>
              <w:bottom w:val="single" w:sz="2" w:space="0" w:color="A6A6A6" w:themeColor="background1" w:themeShade="A6"/>
              <w:right w:val="single" w:sz="12" w:space="0" w:color="auto"/>
            </w:tcBorders>
            <w:shd w:val="clear" w:color="auto" w:fill="auto"/>
            <w:vAlign w:val="center"/>
          </w:tcPr>
          <w:p w:rsidR="00F23017" w:rsidRPr="00F914B1" w:rsidRDefault="00F23017" w:rsidP="00F23017">
            <w:pPr>
              <w:jc w:val="center"/>
              <w:rPr>
                <w:rFonts w:cs="Segoe UI"/>
                <w:lang w:eastAsia="en-GB"/>
              </w:rPr>
            </w:pPr>
          </w:p>
        </w:tc>
      </w:tr>
      <w:tr w:rsidR="00F23017" w:rsidRPr="00F914B1" w:rsidTr="004D134E">
        <w:trPr>
          <w:cantSplit/>
          <w:trHeight w:val="283"/>
        </w:trPr>
        <w:tc>
          <w:tcPr>
            <w:tcW w:w="2127" w:type="dxa"/>
            <w:vMerge/>
            <w:tcBorders>
              <w:left w:val="nil"/>
              <w:bottom w:val="single" w:sz="12" w:space="0" w:color="auto"/>
              <w:right w:val="single" w:sz="12" w:space="0" w:color="auto"/>
            </w:tcBorders>
          </w:tcPr>
          <w:p w:rsidR="00F23017" w:rsidRPr="00F914B1" w:rsidRDefault="00F23017" w:rsidP="00F23017">
            <w:pPr>
              <w:rPr>
                <w:rFonts w:cs="Segoe UI"/>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FFCCFF"/>
          </w:tcPr>
          <w:p w:rsidR="00F23017" w:rsidRPr="00443E2F" w:rsidRDefault="00F23017" w:rsidP="00F23017">
            <w:pPr>
              <w:rPr>
                <w:rFonts w:cs="Segoe UI"/>
                <w:lang w:val="en-US" w:eastAsia="en-GB"/>
              </w:rPr>
            </w:pPr>
            <w:r>
              <w:rPr>
                <w:rFonts w:cs="Segoe UI"/>
                <w:lang w:eastAsia="en-GB"/>
              </w:rPr>
              <w:t xml:space="preserve">Template </w:t>
            </w:r>
            <w:r w:rsidRPr="00443E2F">
              <w:rPr>
                <w:rFonts w:cs="Segoe UI"/>
                <w:lang w:eastAsia="en-GB"/>
              </w:rPr>
              <w:t>OV1</w:t>
            </w:r>
            <w:r>
              <w:rPr>
                <w:rFonts w:cs="Segoe UI"/>
                <w:lang w:eastAsia="en-GB"/>
              </w:rPr>
              <w:t>:</w:t>
            </w:r>
            <w:r w:rsidRPr="00443E2F">
              <w:rPr>
                <w:rFonts w:cs="Segoe UI"/>
                <w:lang w:eastAsia="en-GB"/>
              </w:rPr>
              <w:t xml:space="preserve"> Overview of RWA</w:t>
            </w:r>
          </w:p>
        </w:tc>
        <w:tc>
          <w:tcPr>
            <w:tcW w:w="1417" w:type="dxa"/>
            <w:tcBorders>
              <w:top w:val="single" w:sz="2" w:space="0" w:color="A6A6A6" w:themeColor="background1" w:themeShade="A6"/>
              <w:left w:val="single" w:sz="12" w:space="0" w:color="auto"/>
              <w:bottom w:val="single" w:sz="12" w:space="0" w:color="auto"/>
              <w:right w:val="single" w:sz="12" w:space="0" w:color="auto"/>
            </w:tcBorders>
          </w:tcPr>
          <w:p w:rsidR="00F23017" w:rsidRPr="00F914B1" w:rsidRDefault="005558EF" w:rsidP="005558EF">
            <w:pPr>
              <w:jc w:val="center"/>
              <w:rPr>
                <w:rFonts w:cs="Segoe UI"/>
                <w:noProof/>
                <w:lang w:eastAsia="en-GB"/>
              </w:rPr>
            </w:pPr>
            <w:r>
              <w:rPr>
                <w:rFonts w:cs="Segoe UI"/>
                <w:noProof/>
                <w:lang w:eastAsia="en-GB"/>
              </w:rPr>
              <w:t>L</w:t>
            </w:r>
          </w:p>
        </w:tc>
        <w:tc>
          <w:tcPr>
            <w:tcW w:w="1134" w:type="dxa"/>
            <w:tcBorders>
              <w:top w:val="single" w:sz="2" w:space="0" w:color="A6A6A6" w:themeColor="background1" w:themeShade="A6"/>
              <w:left w:val="single" w:sz="12" w:space="0" w:color="auto"/>
              <w:bottom w:val="single" w:sz="12" w:space="0" w:color="auto"/>
            </w:tcBorders>
          </w:tcPr>
          <w:p w:rsidR="00F23017" w:rsidRPr="00F914B1" w:rsidRDefault="00F23017" w:rsidP="00F23017">
            <w:pPr>
              <w:jc w:val="center"/>
              <w:rPr>
                <w:rFonts w:cs="Segoe UI"/>
                <w:noProof/>
                <w:lang w:eastAsia="en-GB"/>
              </w:rPr>
            </w:pPr>
            <w:r w:rsidRPr="00F914B1">
              <w:rPr>
                <w:rFonts w:cs="Segoe UI"/>
                <w:lang w:eastAsia="en-GB"/>
              </w:rPr>
              <w:sym w:font="Wingdings 2" w:char="F050"/>
            </w:r>
          </w:p>
        </w:tc>
        <w:tc>
          <w:tcPr>
            <w:tcW w:w="993" w:type="dxa"/>
            <w:tcBorders>
              <w:top w:val="single" w:sz="2" w:space="0" w:color="A6A6A6" w:themeColor="background1" w:themeShade="A6"/>
              <w:bottom w:val="single" w:sz="12" w:space="0" w:color="auto"/>
              <w:right w:val="single" w:sz="12" w:space="0" w:color="auto"/>
            </w:tcBorders>
          </w:tcPr>
          <w:p w:rsidR="00F23017" w:rsidRPr="00F914B1" w:rsidRDefault="00F23017" w:rsidP="00F23017">
            <w:pPr>
              <w:jc w:val="center"/>
              <w:rPr>
                <w:rFonts w:cs="Segoe UI"/>
                <w:lang w:eastAsia="en-GB"/>
              </w:rPr>
            </w:pPr>
          </w:p>
        </w:tc>
        <w:tc>
          <w:tcPr>
            <w:tcW w:w="1181" w:type="dxa"/>
            <w:tcBorders>
              <w:top w:val="single" w:sz="2" w:space="0" w:color="A6A6A6" w:themeColor="background1" w:themeShade="A6"/>
              <w:left w:val="single" w:sz="12" w:space="0" w:color="auto"/>
              <w:bottom w:val="single" w:sz="12" w:space="0" w:color="auto"/>
            </w:tcBorders>
          </w:tcPr>
          <w:p w:rsidR="00F23017" w:rsidRPr="00F914B1" w:rsidRDefault="00F23017" w:rsidP="00F23017">
            <w:pPr>
              <w:jc w:val="center"/>
              <w:rPr>
                <w:rFonts w:cs="Segoe UI"/>
                <w:noProof/>
                <w:lang w:eastAsia="en-GB"/>
              </w:rPr>
            </w:pPr>
            <w:r w:rsidRPr="00F914B1">
              <w:rPr>
                <w:rFonts w:cs="Segoe UI"/>
                <w:lang w:eastAsia="en-GB"/>
              </w:rPr>
              <w:sym w:font="Wingdings 2" w:char="F050"/>
            </w:r>
          </w:p>
        </w:tc>
        <w:tc>
          <w:tcPr>
            <w:tcW w:w="1181" w:type="dxa"/>
            <w:tcBorders>
              <w:top w:val="single" w:sz="2" w:space="0" w:color="A6A6A6" w:themeColor="background1" w:themeShade="A6"/>
              <w:bottom w:val="single" w:sz="12" w:space="0" w:color="auto"/>
            </w:tcBorders>
          </w:tcPr>
          <w:p w:rsidR="00F23017" w:rsidRPr="00F914B1" w:rsidRDefault="00F23017" w:rsidP="00F23017">
            <w:pPr>
              <w:jc w:val="center"/>
              <w:rPr>
                <w:rFonts w:cs="Segoe UI"/>
                <w:lang w:eastAsia="en-GB"/>
              </w:rPr>
            </w:pPr>
          </w:p>
        </w:tc>
        <w:tc>
          <w:tcPr>
            <w:tcW w:w="1181" w:type="dxa"/>
            <w:tcBorders>
              <w:top w:val="single" w:sz="2" w:space="0" w:color="A6A6A6" w:themeColor="background1" w:themeShade="A6"/>
              <w:bottom w:val="single" w:sz="12" w:space="0" w:color="auto"/>
              <w:right w:val="single" w:sz="12" w:space="0" w:color="auto"/>
            </w:tcBorders>
          </w:tcPr>
          <w:p w:rsidR="00F23017" w:rsidRPr="00F914B1" w:rsidRDefault="00F23017" w:rsidP="00F23017">
            <w:pPr>
              <w:jc w:val="center"/>
              <w:rPr>
                <w:rFonts w:cs="Segoe UI"/>
                <w:lang w:eastAsia="en-GB"/>
              </w:rPr>
            </w:pPr>
          </w:p>
        </w:tc>
      </w:tr>
      <w:tr w:rsidR="00F23017" w:rsidRPr="00F914B1" w:rsidTr="00F23017">
        <w:trPr>
          <w:cantSplit/>
          <w:trHeight w:val="1820"/>
        </w:trPr>
        <w:tc>
          <w:tcPr>
            <w:tcW w:w="2127" w:type="dxa"/>
            <w:tcBorders>
              <w:top w:val="single" w:sz="12" w:space="0" w:color="auto"/>
              <w:left w:val="nil"/>
              <w:right w:val="single" w:sz="12" w:space="0" w:color="auto"/>
            </w:tcBorders>
          </w:tcPr>
          <w:p w:rsidR="00F23017" w:rsidRPr="00F914B1" w:rsidRDefault="00F23017" w:rsidP="00F23017">
            <w:pPr>
              <w:pStyle w:val="TableText"/>
              <w:spacing w:before="0" w:after="0"/>
              <w:rPr>
                <w:rFonts w:cs="Segoe UI"/>
                <w:sz w:val="20"/>
                <w:lang w:eastAsia="en-GB"/>
              </w:rPr>
            </w:pPr>
            <w:r w:rsidRPr="00F914B1">
              <w:rPr>
                <w:rFonts w:cs="Segoe UI"/>
                <w:sz w:val="20"/>
                <w:lang w:eastAsia="en-GB"/>
              </w:rPr>
              <w:t>Part II : Linkages between financial statements and regulatory exposures</w:t>
            </w:r>
          </w:p>
        </w:tc>
        <w:tc>
          <w:tcPr>
            <w:tcW w:w="4961" w:type="dxa"/>
            <w:tcBorders>
              <w:top w:val="single" w:sz="12" w:space="0" w:color="auto"/>
              <w:left w:val="single" w:sz="12" w:space="0" w:color="auto"/>
              <w:right w:val="single" w:sz="12" w:space="0" w:color="auto"/>
            </w:tcBorders>
          </w:tcPr>
          <w:p w:rsidR="00F23017" w:rsidRPr="00A2049C" w:rsidRDefault="00F23017" w:rsidP="00F23017">
            <w:pPr>
              <w:pStyle w:val="TableText"/>
              <w:spacing w:before="0" w:after="0"/>
              <w:rPr>
                <w:rFonts w:cs="Segoe UI"/>
                <w:sz w:val="20"/>
                <w:lang w:val="en-US" w:eastAsia="en-GB"/>
              </w:rPr>
            </w:pPr>
            <w:r w:rsidRPr="00F914B1">
              <w:rPr>
                <w:rFonts w:cs="Segoe UI"/>
                <w:sz w:val="20"/>
                <w:lang w:eastAsia="en-GB"/>
              </w:rPr>
              <w:t>Template</w:t>
            </w:r>
            <w:r>
              <w:rPr>
                <w:rFonts w:cs="Segoe UI"/>
                <w:sz w:val="20"/>
                <w:lang w:eastAsia="en-GB"/>
              </w:rPr>
              <w:t xml:space="preserve"> </w:t>
            </w:r>
            <w:r w:rsidRPr="00A2049C">
              <w:rPr>
                <w:rFonts w:cs="Segoe UI"/>
                <w:sz w:val="20"/>
                <w:lang w:eastAsia="en-GB"/>
              </w:rPr>
              <w:t>PV1</w:t>
            </w:r>
            <w:r>
              <w:rPr>
                <w:rFonts w:cs="Segoe UI"/>
                <w:sz w:val="20"/>
                <w:lang w:eastAsia="en-GB"/>
              </w:rPr>
              <w:t>:</w:t>
            </w:r>
            <w:r w:rsidRPr="00A2049C">
              <w:rPr>
                <w:rFonts w:cs="Segoe UI"/>
                <w:sz w:val="20"/>
                <w:lang w:eastAsia="en-GB"/>
              </w:rPr>
              <w:t xml:space="preserve"> Pru</w:t>
            </w:r>
            <w:r>
              <w:rPr>
                <w:rFonts w:cs="Segoe UI"/>
                <w:sz w:val="20"/>
                <w:lang w:eastAsia="en-GB"/>
              </w:rPr>
              <w:t>dent valuation adjustments</w:t>
            </w:r>
          </w:p>
        </w:tc>
        <w:tc>
          <w:tcPr>
            <w:tcW w:w="1417" w:type="dxa"/>
            <w:tcBorders>
              <w:top w:val="single" w:sz="12" w:space="0" w:color="auto"/>
              <w:left w:val="single" w:sz="12" w:space="0" w:color="auto"/>
              <w:right w:val="single" w:sz="12" w:space="0" w:color="auto"/>
            </w:tcBorders>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12" w:space="0" w:color="auto"/>
              <w:left w:val="single" w:sz="12" w:space="0" w:color="auto"/>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993" w:type="dxa"/>
            <w:tcBorders>
              <w:top w:val="single" w:sz="12" w:space="0" w:color="auto"/>
              <w:right w:val="single" w:sz="12" w:space="0" w:color="auto"/>
            </w:tcBorders>
          </w:tcPr>
          <w:p w:rsidR="00F23017" w:rsidRPr="00F914B1" w:rsidRDefault="00F23017" w:rsidP="00F23017">
            <w:pPr>
              <w:pStyle w:val="TableText"/>
              <w:spacing w:before="0" w:after="0"/>
              <w:jc w:val="center"/>
              <w:rPr>
                <w:rFonts w:cs="Segoe UI"/>
                <w:noProof/>
                <w:sz w:val="20"/>
                <w:lang w:eastAsia="en-GB"/>
              </w:rPr>
            </w:pPr>
          </w:p>
        </w:tc>
        <w:tc>
          <w:tcPr>
            <w:tcW w:w="1181" w:type="dxa"/>
            <w:tcBorders>
              <w:top w:val="single" w:sz="12" w:space="0" w:color="auto"/>
              <w:left w:val="single" w:sz="12" w:space="0" w:color="auto"/>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right w:val="single" w:sz="12" w:space="0" w:color="auto"/>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F23017" w:rsidRPr="00F914B1" w:rsidTr="006D22DE">
        <w:trPr>
          <w:cantSplit/>
          <w:trHeight w:val="200"/>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t xml:space="preserve">Part IIA : Composition of </w:t>
            </w:r>
            <w:r w:rsidR="00F4304E">
              <w:rPr>
                <w:rFonts w:cs="Segoe UI"/>
                <w:sz w:val="20"/>
                <w:lang w:eastAsia="en-GB"/>
              </w:rPr>
              <w:t xml:space="preserve">regulatory </w:t>
            </w:r>
            <w:r w:rsidRPr="007B3828">
              <w:rPr>
                <w:rFonts w:cs="Segoe UI"/>
                <w:sz w:val="20"/>
                <w:lang w:eastAsia="en-GB"/>
              </w:rPr>
              <w:t>capital</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FFCCFF"/>
          </w:tcPr>
          <w:p w:rsidR="00F23017" w:rsidRPr="00026A25" w:rsidRDefault="00F23017" w:rsidP="00F23017">
            <w:pPr>
              <w:pStyle w:val="TableText"/>
              <w:spacing w:before="0" w:after="0"/>
              <w:rPr>
                <w:rFonts w:cs="Segoe UI"/>
                <w:sz w:val="20"/>
                <w:lang w:val="en-US" w:eastAsia="en-GB"/>
              </w:rPr>
            </w:pPr>
            <w:r>
              <w:rPr>
                <w:rFonts w:cs="Segoe UI"/>
                <w:sz w:val="20"/>
                <w:lang w:val="en-US" w:eastAsia="en-GB"/>
              </w:rPr>
              <w:t xml:space="preserve">Template </w:t>
            </w:r>
            <w:r w:rsidRPr="00026A25">
              <w:rPr>
                <w:rFonts w:cs="Segoe UI"/>
                <w:sz w:val="20"/>
                <w:lang w:val="en-US" w:eastAsia="en-GB"/>
              </w:rPr>
              <w:t>CC1</w:t>
            </w:r>
            <w:r>
              <w:rPr>
                <w:rFonts w:cs="Segoe UI"/>
                <w:sz w:val="20"/>
                <w:lang w:val="en-US" w:eastAsia="en-GB"/>
              </w:rPr>
              <w:t>:</w:t>
            </w:r>
            <w:r w:rsidRPr="00026A25">
              <w:rPr>
                <w:rFonts w:cs="Segoe UI"/>
                <w:sz w:val="20"/>
                <w:lang w:val="en-US" w:eastAsia="en-GB"/>
              </w:rPr>
              <w:t xml:space="preserve"> Composition of regulatory capital</w:t>
            </w:r>
          </w:p>
        </w:tc>
        <w:tc>
          <w:tcPr>
            <w:tcW w:w="1417" w:type="dxa"/>
            <w:tcBorders>
              <w:top w:val="single" w:sz="12" w:space="0" w:color="auto"/>
              <w:left w:val="single" w:sz="12" w:space="0" w:color="auto"/>
              <w:bottom w:val="single" w:sz="2" w:space="0" w:color="A6A6A6" w:themeColor="background1" w:themeShade="A6"/>
              <w:right w:val="single" w:sz="12" w:space="0" w:color="auto"/>
            </w:tcBorders>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12" w:space="0" w:color="auto"/>
              <w:left w:val="single" w:sz="12" w:space="0" w:color="auto"/>
              <w:bottom w:val="single" w:sz="2" w:space="0" w:color="A6A6A6" w:themeColor="background1" w:themeShade="A6"/>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993" w:type="dxa"/>
            <w:tcBorders>
              <w:top w:val="single" w:sz="12" w:space="0" w:color="auto"/>
              <w:bottom w:val="single" w:sz="2" w:space="0" w:color="A6A6A6" w:themeColor="background1" w:themeShade="A6"/>
              <w:right w:val="single" w:sz="12" w:space="0" w:color="auto"/>
            </w:tcBorders>
          </w:tcPr>
          <w:p w:rsidR="00F23017" w:rsidRPr="00F914B1" w:rsidRDefault="00F23017" w:rsidP="00F23017">
            <w:pPr>
              <w:pStyle w:val="TableText"/>
              <w:spacing w:before="0" w:after="0"/>
              <w:jc w:val="center"/>
              <w:rPr>
                <w:rFonts w:cs="Segoe UI"/>
                <w:noProof/>
                <w:sz w:val="20"/>
                <w:lang w:eastAsia="en-GB"/>
              </w:rPr>
            </w:pPr>
          </w:p>
        </w:tc>
        <w:tc>
          <w:tcPr>
            <w:tcW w:w="1181" w:type="dxa"/>
            <w:tcBorders>
              <w:top w:val="single" w:sz="12" w:space="0" w:color="auto"/>
              <w:left w:val="single" w:sz="12" w:space="0" w:color="auto"/>
              <w:bottom w:val="single" w:sz="2" w:space="0" w:color="A6A6A6" w:themeColor="background1" w:themeShade="A6"/>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12" w:space="0" w:color="auto"/>
              <w:bottom w:val="single" w:sz="2" w:space="0" w:color="A6A6A6" w:themeColor="background1" w:themeShade="A6"/>
              <w:right w:val="single" w:sz="12" w:space="0" w:color="auto"/>
            </w:tcBorders>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200"/>
        </w:trPr>
        <w:tc>
          <w:tcPr>
            <w:tcW w:w="2127" w:type="dxa"/>
            <w:vMerge/>
            <w:tcBorders>
              <w:left w:val="nil"/>
              <w:right w:val="single" w:sz="12" w:space="0" w:color="auto"/>
            </w:tcBorders>
          </w:tcPr>
          <w:p w:rsidR="00F23017" w:rsidRPr="007B3828"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2" w:space="0" w:color="A6A6A6" w:themeColor="background1" w:themeShade="A6"/>
              <w:right w:val="single" w:sz="12" w:space="0" w:color="auto"/>
            </w:tcBorders>
          </w:tcPr>
          <w:p w:rsidR="00F23017" w:rsidRPr="00026A25" w:rsidRDefault="00F23017" w:rsidP="00F23017">
            <w:pPr>
              <w:pStyle w:val="TableText"/>
              <w:spacing w:before="0" w:after="0"/>
              <w:rPr>
                <w:rFonts w:cs="Segoe UI"/>
                <w:sz w:val="20"/>
                <w:lang w:val="en-US" w:eastAsia="en-GB"/>
              </w:rPr>
            </w:pPr>
            <w:r>
              <w:rPr>
                <w:rFonts w:cs="Segoe UI"/>
                <w:sz w:val="20"/>
                <w:lang w:eastAsia="en-GB"/>
              </w:rPr>
              <w:t xml:space="preserve">Template CC2: </w:t>
            </w:r>
            <w:r w:rsidRPr="00026A25">
              <w:rPr>
                <w:rFonts w:cs="Segoe UI"/>
                <w:sz w:val="20"/>
                <w:lang w:eastAsia="en-GB"/>
              </w:rPr>
              <w:t>Reconciliation of regulatory capital to balance sheet</w:t>
            </w:r>
          </w:p>
        </w:tc>
        <w:tc>
          <w:tcPr>
            <w:tcW w:w="1417" w:type="dxa"/>
            <w:tcBorders>
              <w:top w:val="single" w:sz="2" w:space="0" w:color="A6A6A6" w:themeColor="background1" w:themeShade="A6"/>
              <w:left w:val="single" w:sz="12" w:space="0" w:color="auto"/>
              <w:bottom w:val="single" w:sz="2" w:space="0" w:color="A6A6A6" w:themeColor="background1" w:themeShade="A6"/>
              <w:right w:val="single" w:sz="12" w:space="0" w:color="auto"/>
            </w:tcBorders>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2" w:space="0" w:color="A6A6A6" w:themeColor="background1" w:themeShade="A6"/>
              <w:left w:val="single" w:sz="12" w:space="0" w:color="auto"/>
              <w:bottom w:val="single" w:sz="2" w:space="0" w:color="A6A6A6" w:themeColor="background1" w:themeShade="A6"/>
            </w:tcBorders>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2" w:space="0" w:color="A6A6A6" w:themeColor="background1" w:themeShade="A6"/>
              <w:bottom w:val="single" w:sz="2" w:space="0" w:color="A6A6A6" w:themeColor="background1" w:themeShade="A6"/>
              <w:right w:val="single" w:sz="12" w:space="0" w:color="auto"/>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left w:val="single" w:sz="12" w:space="0" w:color="auto"/>
              <w:bottom w:val="single" w:sz="2" w:space="0" w:color="A6A6A6" w:themeColor="background1" w:themeShade="A6"/>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2" w:space="0" w:color="A6A6A6" w:themeColor="background1" w:themeShade="A6"/>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bottom w:val="single" w:sz="2" w:space="0" w:color="A6A6A6" w:themeColor="background1" w:themeShade="A6"/>
              <w:right w:val="single" w:sz="12" w:space="0" w:color="auto"/>
            </w:tcBorders>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910"/>
        </w:trPr>
        <w:tc>
          <w:tcPr>
            <w:tcW w:w="2127" w:type="dxa"/>
            <w:vMerge/>
            <w:tcBorders>
              <w:left w:val="nil"/>
              <w:bottom w:val="single" w:sz="12" w:space="0" w:color="auto"/>
              <w:right w:val="single" w:sz="12" w:space="0" w:color="auto"/>
            </w:tcBorders>
          </w:tcPr>
          <w:p w:rsidR="00F23017" w:rsidRPr="007B3828"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FDE9D9" w:themeFill="accent6" w:themeFillTint="33"/>
          </w:tcPr>
          <w:p w:rsidR="00F23017" w:rsidRPr="00026A25" w:rsidRDefault="00F23017" w:rsidP="00F23017">
            <w:pPr>
              <w:pStyle w:val="TableText"/>
              <w:spacing w:before="0" w:after="0"/>
              <w:rPr>
                <w:rFonts w:cs="Segoe UI"/>
                <w:sz w:val="20"/>
                <w:lang w:val="en-US" w:eastAsia="en-GB"/>
              </w:rPr>
            </w:pPr>
            <w:r>
              <w:rPr>
                <w:rFonts w:cs="Segoe UI"/>
                <w:sz w:val="20"/>
                <w:lang w:eastAsia="en-GB"/>
              </w:rPr>
              <w:t xml:space="preserve">Table </w:t>
            </w:r>
            <w:r w:rsidRPr="00026A25">
              <w:rPr>
                <w:rFonts w:cs="Segoe UI"/>
                <w:sz w:val="20"/>
                <w:lang w:eastAsia="en-GB"/>
              </w:rPr>
              <w:t>CCA</w:t>
            </w:r>
            <w:r>
              <w:rPr>
                <w:rFonts w:cs="Segoe UI"/>
                <w:sz w:val="20"/>
                <w:lang w:eastAsia="en-GB"/>
              </w:rPr>
              <w:t>:</w:t>
            </w:r>
            <w:r w:rsidRPr="00026A25">
              <w:rPr>
                <w:rFonts w:cs="Segoe UI"/>
                <w:sz w:val="20"/>
                <w:lang w:eastAsia="en-GB"/>
              </w:rPr>
              <w:t xml:space="preserve"> Main features of regulatory capital instruments </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FDE9D9" w:themeFill="accent6" w:themeFillTint="33"/>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2" w:space="0" w:color="A6A6A6" w:themeColor="background1" w:themeShade="A6"/>
              <w:left w:val="single" w:sz="12" w:space="0" w:color="auto"/>
              <w:bottom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2" w:space="0" w:color="A6A6A6" w:themeColor="background1" w:themeShade="A6"/>
              <w:bottom w:val="single" w:sz="12" w:space="0" w:color="auto"/>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left w:val="single" w:sz="12" w:space="0" w:color="auto"/>
              <w:bottom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bottom w:val="single" w:sz="12" w:space="0" w:color="auto"/>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392"/>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t>Part IIB : Macroprudential supervisory measures</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F23017" w:rsidRPr="00746660" w:rsidRDefault="00F23017" w:rsidP="00F4304E">
            <w:pPr>
              <w:pStyle w:val="TableText"/>
              <w:spacing w:before="0" w:after="0"/>
              <w:rPr>
                <w:rFonts w:cs="Segoe UI"/>
                <w:noProof/>
                <w:sz w:val="20"/>
                <w:lang w:val="en-US" w:eastAsia="en-GB"/>
              </w:rPr>
            </w:pPr>
            <w:r w:rsidRPr="00F914B1">
              <w:rPr>
                <w:rFonts w:cs="Segoe UI"/>
                <w:sz w:val="20"/>
                <w:lang w:eastAsia="en-GB"/>
              </w:rPr>
              <w:t xml:space="preserve">Template </w:t>
            </w:r>
            <w:r w:rsidRPr="00746660">
              <w:rPr>
                <w:rFonts w:cs="Segoe UI"/>
                <w:sz w:val="20"/>
                <w:lang w:eastAsia="en-GB"/>
              </w:rPr>
              <w:t>GSIB1</w:t>
            </w:r>
            <w:r>
              <w:rPr>
                <w:rFonts w:cs="Segoe UI"/>
                <w:sz w:val="20"/>
                <w:lang w:eastAsia="en-GB"/>
              </w:rPr>
              <w:t>:</w:t>
            </w:r>
            <w:r w:rsidRPr="00746660">
              <w:rPr>
                <w:rFonts w:cs="Segoe UI"/>
                <w:sz w:val="20"/>
                <w:lang w:eastAsia="en-GB"/>
              </w:rPr>
              <w:t xml:space="preserve"> G-SIB indicators</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F23017" w:rsidRPr="00F914B1" w:rsidRDefault="005558EF" w:rsidP="005A630E">
            <w:pPr>
              <w:pStyle w:val="TableText"/>
              <w:spacing w:before="0" w:after="0"/>
              <w:jc w:val="center"/>
              <w:rPr>
                <w:rFonts w:cs="Segoe UI"/>
                <w:sz w:val="20"/>
                <w:lang w:eastAsia="en-GB"/>
              </w:rPr>
            </w:pPr>
            <w:r>
              <w:rPr>
                <w:rFonts w:cs="Segoe UI"/>
                <w:sz w:val="20"/>
                <w:lang w:eastAsia="en-GB"/>
              </w:rPr>
              <w:t>L [</w:t>
            </w:r>
            <w:r w:rsidR="00F23017">
              <w:rPr>
                <w:rFonts w:cs="Segoe UI"/>
                <w:sz w:val="20"/>
                <w:lang w:eastAsia="en-GB"/>
              </w:rPr>
              <w:t xml:space="preserve">G-SIBs, or AIs falling within BDR </w:t>
            </w:r>
            <w:r w:rsidR="00F23017" w:rsidRPr="001B530B">
              <w:rPr>
                <w:rFonts w:cs="Segoe UI"/>
                <w:sz w:val="20"/>
                <w:lang w:eastAsia="en-GB"/>
              </w:rPr>
              <w:t>§16FF(1)</w:t>
            </w:r>
            <w:r>
              <w:rPr>
                <w:rFonts w:cs="Segoe UI"/>
                <w:sz w:val="20"/>
                <w:lang w:eastAsia="en-GB"/>
              </w:rPr>
              <w:t>]</w:t>
            </w:r>
          </w:p>
        </w:tc>
        <w:tc>
          <w:tcPr>
            <w:tcW w:w="1134" w:type="dxa"/>
            <w:tcBorders>
              <w:top w:val="single" w:sz="12" w:space="0" w:color="auto"/>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12" w:space="0" w:color="auto"/>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12" w:space="0" w:color="auto"/>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F23017" w:rsidRPr="00F914B1" w:rsidTr="00F23017">
        <w:trPr>
          <w:cantSplit/>
          <w:trHeight w:val="834"/>
        </w:trPr>
        <w:tc>
          <w:tcPr>
            <w:tcW w:w="2127" w:type="dxa"/>
            <w:vMerge/>
            <w:tcBorders>
              <w:left w:val="nil"/>
              <w:bottom w:val="single" w:sz="12" w:space="0" w:color="auto"/>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F23017" w:rsidP="00F23017">
            <w:pPr>
              <w:pStyle w:val="TableText"/>
              <w:spacing w:before="0" w:after="0"/>
              <w:rPr>
                <w:rFonts w:cs="Segoe UI"/>
                <w:noProof/>
                <w:sz w:val="20"/>
                <w:lang w:eastAsia="en-GB"/>
              </w:rPr>
            </w:pPr>
            <w:r w:rsidRPr="00F914B1">
              <w:rPr>
                <w:rFonts w:cs="Segoe UI"/>
                <w:sz w:val="20"/>
                <w:lang w:eastAsia="en-GB"/>
              </w:rPr>
              <w:t xml:space="preserve">Template </w:t>
            </w:r>
            <w:r w:rsidRPr="00746660">
              <w:rPr>
                <w:rFonts w:cs="Segoe UI"/>
                <w:sz w:val="20"/>
                <w:lang w:eastAsia="en-GB"/>
              </w:rPr>
              <w:t>CCyB1</w:t>
            </w:r>
            <w:r>
              <w:rPr>
                <w:rFonts w:cs="Segoe UI"/>
                <w:sz w:val="20"/>
                <w:lang w:eastAsia="en-GB"/>
              </w:rPr>
              <w:t>:</w:t>
            </w:r>
            <w:r w:rsidRPr="00746660">
              <w:rPr>
                <w:rFonts w:cs="Segoe UI"/>
                <w:sz w:val="20"/>
                <w:lang w:eastAsia="en-GB"/>
              </w:rPr>
              <w:t xml:space="preserve"> Geographical distribution</w:t>
            </w:r>
            <w:r>
              <w:rPr>
                <w:rFonts w:cs="Segoe UI"/>
                <w:sz w:val="20"/>
                <w:lang w:eastAsia="en-GB"/>
              </w:rPr>
              <w:t xml:space="preserve"> of credit exposures used in</w:t>
            </w:r>
            <w:r w:rsidRPr="00746660">
              <w:rPr>
                <w:rFonts w:cs="Segoe UI"/>
                <w:sz w:val="20"/>
                <w:lang w:eastAsia="en-GB"/>
              </w:rPr>
              <w:t xml:space="preserve"> countercyclical</w:t>
            </w:r>
            <w:r>
              <w:rPr>
                <w:rFonts w:cs="Segoe UI"/>
                <w:sz w:val="20"/>
                <w:lang w:eastAsia="en-GB"/>
              </w:rPr>
              <w:t xml:space="preserve"> capital</w:t>
            </w:r>
            <w:r w:rsidRPr="00746660">
              <w:rPr>
                <w:rFonts w:cs="Segoe UI"/>
                <w:sz w:val="20"/>
                <w:lang w:eastAsia="en-GB"/>
              </w:rPr>
              <w:t xml:space="preserve"> buffer</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5558EF" w:rsidP="00F23017">
            <w:pPr>
              <w:pStyle w:val="TableText"/>
              <w:spacing w:before="0" w:after="0"/>
              <w:jc w:val="center"/>
              <w:rPr>
                <w:rFonts w:cs="Segoe UI"/>
                <w:noProof/>
                <w:sz w:val="20"/>
                <w:lang w:eastAsia="en-GB"/>
              </w:rPr>
            </w:pPr>
            <w:r>
              <w:rPr>
                <w:rFonts w:cs="Segoe UI"/>
                <w:noProof/>
                <w:sz w:val="20"/>
                <w:lang w:eastAsia="en-GB"/>
              </w:rPr>
              <w:t>L</w:t>
            </w:r>
          </w:p>
        </w:tc>
        <w:tc>
          <w:tcPr>
            <w:tcW w:w="1134"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p>
        </w:tc>
        <w:tc>
          <w:tcPr>
            <w:tcW w:w="993"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p>
        </w:tc>
      </w:tr>
      <w:tr w:rsidR="00F23017" w:rsidRPr="00F914B1" w:rsidTr="00F23017">
        <w:trPr>
          <w:cantSplit/>
          <w:trHeight w:val="283"/>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t>Part IIC : Leverage ratio</w:t>
            </w:r>
          </w:p>
        </w:tc>
        <w:tc>
          <w:tcPr>
            <w:tcW w:w="4961" w:type="dxa"/>
            <w:tcBorders>
              <w:top w:val="single" w:sz="12" w:space="0" w:color="auto"/>
              <w:left w:val="single" w:sz="12" w:space="0" w:color="auto"/>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rPr>
                <w:rFonts w:cs="Segoe UI"/>
                <w:noProof/>
                <w:sz w:val="20"/>
                <w:lang w:eastAsia="en-GB"/>
              </w:rPr>
            </w:pPr>
            <w:r>
              <w:rPr>
                <w:rFonts w:cs="Segoe UI"/>
                <w:sz w:val="20"/>
                <w:lang w:eastAsia="en-GB"/>
              </w:rPr>
              <w:t xml:space="preserve">Template </w:t>
            </w:r>
            <w:r w:rsidRPr="00811FD5">
              <w:rPr>
                <w:rFonts w:cs="Segoe UI"/>
                <w:sz w:val="20"/>
                <w:lang w:eastAsia="en-GB"/>
              </w:rPr>
              <w:t>LR1</w:t>
            </w:r>
            <w:r>
              <w:rPr>
                <w:rFonts w:cs="Segoe UI"/>
                <w:sz w:val="20"/>
                <w:lang w:eastAsia="en-GB"/>
              </w:rPr>
              <w:t>:</w:t>
            </w:r>
            <w:r w:rsidRPr="00811FD5">
              <w:rPr>
                <w:rFonts w:cs="Segoe UI"/>
                <w:sz w:val="20"/>
                <w:lang w:eastAsia="en-GB"/>
              </w:rPr>
              <w:t xml:space="preserve"> Summary c</w:t>
            </w:r>
            <w:r>
              <w:rPr>
                <w:rFonts w:cs="Segoe UI"/>
                <w:sz w:val="20"/>
                <w:lang w:eastAsia="en-GB"/>
              </w:rPr>
              <w:t>omparison of accounting assets against</w:t>
            </w:r>
            <w:r w:rsidRPr="00811FD5">
              <w:rPr>
                <w:rFonts w:cs="Segoe UI"/>
                <w:sz w:val="20"/>
                <w:lang w:eastAsia="en-GB"/>
              </w:rPr>
              <w:t xml:space="preserve"> leverage ratio exposure measure</w:t>
            </w:r>
          </w:p>
        </w:tc>
        <w:tc>
          <w:tcPr>
            <w:tcW w:w="1417" w:type="dxa"/>
            <w:tcBorders>
              <w:top w:val="single" w:sz="12" w:space="0" w:color="auto"/>
              <w:left w:val="single" w:sz="12" w:space="0" w:color="auto"/>
              <w:bottom w:val="single" w:sz="4" w:space="0" w:color="A6A6A6" w:themeColor="background1" w:themeShade="A6"/>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12" w:space="0" w:color="auto"/>
              <w:left w:val="single" w:sz="12" w:space="0" w:color="auto"/>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r>
              <w:rPr>
                <w:rFonts w:cs="Segoe UI"/>
                <w:sz w:val="20"/>
                <w:lang w:eastAsia="en-GB"/>
              </w:rPr>
              <w:t xml:space="preserve"> </w:t>
            </w:r>
          </w:p>
        </w:tc>
        <w:tc>
          <w:tcPr>
            <w:tcW w:w="993" w:type="dxa"/>
            <w:tcBorders>
              <w:top w:val="single" w:sz="12" w:space="0" w:color="auto"/>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p>
        </w:tc>
        <w:tc>
          <w:tcPr>
            <w:tcW w:w="1181" w:type="dxa"/>
            <w:tcBorders>
              <w:top w:val="single" w:sz="12" w:space="0" w:color="auto"/>
              <w:left w:val="single" w:sz="12" w:space="0" w:color="auto"/>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12" w:space="0" w:color="auto"/>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p>
        </w:tc>
      </w:tr>
      <w:tr w:rsidR="00F23017" w:rsidRPr="00F914B1" w:rsidTr="00F23017">
        <w:trPr>
          <w:cantSplit/>
          <w:trHeight w:val="790"/>
        </w:trPr>
        <w:tc>
          <w:tcPr>
            <w:tcW w:w="2127" w:type="dxa"/>
            <w:vMerge/>
            <w:tcBorders>
              <w:left w:val="nil"/>
              <w:right w:val="single" w:sz="12" w:space="0" w:color="auto"/>
            </w:tcBorders>
          </w:tcPr>
          <w:p w:rsidR="00F23017" w:rsidRPr="007B3828" w:rsidRDefault="00F23017" w:rsidP="00F23017">
            <w:pPr>
              <w:pStyle w:val="TableText"/>
              <w:spacing w:before="0" w:after="0"/>
              <w:rPr>
                <w:rFonts w:cs="Segoe UI"/>
                <w:sz w:val="20"/>
                <w:lang w:eastAsia="en-GB"/>
              </w:rPr>
            </w:pPr>
          </w:p>
        </w:tc>
        <w:tc>
          <w:tcPr>
            <w:tcW w:w="4961" w:type="dxa"/>
            <w:tcBorders>
              <w:top w:val="single" w:sz="4" w:space="0" w:color="A6A6A6" w:themeColor="background1" w:themeShade="A6"/>
              <w:left w:val="single" w:sz="12" w:space="0" w:color="auto"/>
              <w:bottom w:val="single" w:sz="12" w:space="0" w:color="auto"/>
              <w:right w:val="single" w:sz="12" w:space="0" w:color="auto"/>
            </w:tcBorders>
          </w:tcPr>
          <w:p w:rsidR="00F23017" w:rsidRPr="00F914B1" w:rsidRDefault="00F23017" w:rsidP="00F23017">
            <w:pPr>
              <w:pStyle w:val="TableText"/>
              <w:spacing w:before="0" w:after="0"/>
              <w:rPr>
                <w:rFonts w:cs="Segoe UI"/>
                <w:noProof/>
                <w:sz w:val="20"/>
                <w:lang w:eastAsia="en-GB"/>
              </w:rPr>
            </w:pPr>
            <w:r w:rsidRPr="00F914B1">
              <w:rPr>
                <w:rFonts w:cs="Segoe UI"/>
                <w:sz w:val="20"/>
                <w:lang w:eastAsia="en-GB"/>
              </w:rPr>
              <w:t xml:space="preserve">Template </w:t>
            </w:r>
            <w:r w:rsidRPr="00811FD5">
              <w:rPr>
                <w:rFonts w:cs="Segoe UI"/>
                <w:sz w:val="20"/>
                <w:lang w:eastAsia="en-GB"/>
              </w:rPr>
              <w:t>LR2</w:t>
            </w:r>
            <w:r>
              <w:rPr>
                <w:rFonts w:cs="Segoe UI"/>
                <w:sz w:val="20"/>
                <w:lang w:eastAsia="en-GB"/>
              </w:rPr>
              <w:t>:</w:t>
            </w:r>
            <w:r w:rsidRPr="00811FD5">
              <w:rPr>
                <w:rFonts w:cs="Segoe UI"/>
                <w:sz w:val="20"/>
                <w:lang w:eastAsia="en-GB"/>
              </w:rPr>
              <w:t xml:space="preserve"> Leverage ratio</w:t>
            </w:r>
          </w:p>
        </w:tc>
        <w:tc>
          <w:tcPr>
            <w:tcW w:w="1417" w:type="dxa"/>
            <w:tcBorders>
              <w:top w:val="single" w:sz="4" w:space="0" w:color="A6A6A6" w:themeColor="background1" w:themeShade="A6"/>
              <w:left w:val="single" w:sz="12" w:space="0" w:color="auto"/>
              <w:bottom w:val="single" w:sz="12" w:space="0" w:color="auto"/>
              <w:right w:val="single" w:sz="12" w:space="0" w:color="auto"/>
            </w:tcBorders>
          </w:tcPr>
          <w:p w:rsidR="00F23017" w:rsidRPr="00F914B1" w:rsidRDefault="005558EF" w:rsidP="00F23017">
            <w:pPr>
              <w:pStyle w:val="TableText"/>
              <w:spacing w:before="0" w:after="0"/>
              <w:jc w:val="center"/>
              <w:rPr>
                <w:rFonts w:cs="Segoe UI"/>
                <w:noProof/>
                <w:sz w:val="20"/>
                <w:lang w:eastAsia="en-GB"/>
              </w:rPr>
            </w:pPr>
            <w:r>
              <w:rPr>
                <w:rFonts w:cs="Segoe UI"/>
                <w:noProof/>
                <w:sz w:val="20"/>
                <w:lang w:eastAsia="en-GB"/>
              </w:rPr>
              <w:t>L</w:t>
            </w:r>
          </w:p>
        </w:tc>
        <w:tc>
          <w:tcPr>
            <w:tcW w:w="1134" w:type="dxa"/>
            <w:tcBorders>
              <w:top w:val="single" w:sz="4" w:space="0" w:color="A6A6A6" w:themeColor="background1" w:themeShade="A6"/>
              <w:left w:val="single" w:sz="12" w:space="0" w:color="auto"/>
              <w:bottom w:val="single" w:sz="12" w:space="0" w:color="auto"/>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993" w:type="dxa"/>
            <w:tcBorders>
              <w:top w:val="single" w:sz="4" w:space="0" w:color="A6A6A6" w:themeColor="background1" w:themeShade="A6"/>
              <w:bottom w:val="single" w:sz="12" w:space="0" w:color="auto"/>
              <w:right w:val="single" w:sz="12" w:space="0" w:color="auto"/>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left w:val="single" w:sz="12" w:space="0" w:color="auto"/>
              <w:bottom w:val="single" w:sz="12" w:space="0" w:color="auto"/>
            </w:tcBorders>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4" w:space="0" w:color="A6A6A6" w:themeColor="background1" w:themeShade="A6"/>
              <w:bottom w:val="single" w:sz="12" w:space="0" w:color="auto"/>
            </w:tcBorders>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bottom w:val="single" w:sz="12" w:space="0" w:color="auto"/>
              <w:right w:val="single" w:sz="12" w:space="0" w:color="auto"/>
            </w:tcBorders>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283"/>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t>Part IID : Liquidity</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rPr>
                <w:rFonts w:cs="Segoe UI"/>
                <w:sz w:val="20"/>
                <w:lang w:eastAsia="en-GB"/>
              </w:rPr>
            </w:pPr>
            <w:r w:rsidRPr="00F914B1">
              <w:rPr>
                <w:rFonts w:cs="Segoe UI"/>
                <w:sz w:val="20"/>
                <w:lang w:eastAsia="en-GB"/>
              </w:rPr>
              <w:t xml:space="preserve">Table </w:t>
            </w:r>
            <w:r w:rsidRPr="001E177B">
              <w:rPr>
                <w:rFonts w:cs="Segoe UI"/>
                <w:sz w:val="20"/>
                <w:lang w:eastAsia="en-GB"/>
              </w:rPr>
              <w:t>LIQA</w:t>
            </w:r>
            <w:r>
              <w:rPr>
                <w:rFonts w:cs="Segoe UI"/>
                <w:sz w:val="20"/>
                <w:lang w:eastAsia="en-GB"/>
              </w:rPr>
              <w:t>:</w:t>
            </w:r>
            <w:r w:rsidRPr="001E177B">
              <w:rPr>
                <w:rFonts w:cs="Segoe UI"/>
                <w:sz w:val="20"/>
                <w:lang w:eastAsia="en-GB"/>
              </w:rPr>
              <w:t xml:space="preserve"> Liquidity risk management</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5558EF" w:rsidP="006A446C">
            <w:pPr>
              <w:pStyle w:val="TableText"/>
              <w:spacing w:before="0" w:after="0"/>
              <w:jc w:val="center"/>
              <w:rPr>
                <w:rFonts w:cs="Segoe UI"/>
                <w:sz w:val="20"/>
                <w:lang w:eastAsia="en-GB"/>
              </w:rPr>
            </w:pPr>
            <w:r>
              <w:rPr>
                <w:rFonts w:cs="Segoe UI"/>
                <w:sz w:val="20"/>
                <w:lang w:eastAsia="en-GB"/>
              </w:rPr>
              <w:t>L &amp; O</w:t>
            </w:r>
          </w:p>
        </w:tc>
        <w:tc>
          <w:tcPr>
            <w:tcW w:w="1134" w:type="dxa"/>
            <w:tcBorders>
              <w:top w:val="single" w:sz="12" w:space="0" w:color="auto"/>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12" w:space="0" w:color="auto"/>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r>
      <w:tr w:rsidR="00F23017" w:rsidRPr="00F914B1" w:rsidTr="00F23017">
        <w:trPr>
          <w:cantSplit/>
          <w:trHeight w:val="283"/>
        </w:trPr>
        <w:tc>
          <w:tcPr>
            <w:tcW w:w="2127" w:type="dxa"/>
            <w:vMerge/>
            <w:tcBorders>
              <w:left w:val="nil"/>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rPr>
                <w:rFonts w:cs="Segoe UI"/>
                <w:sz w:val="20"/>
                <w:lang w:eastAsia="en-GB"/>
              </w:rPr>
            </w:pPr>
            <w:r w:rsidRPr="00F914B1">
              <w:rPr>
                <w:rFonts w:cs="Segoe UI"/>
                <w:sz w:val="20"/>
                <w:lang w:eastAsia="en-GB"/>
              </w:rPr>
              <w:t xml:space="preserve">Template </w:t>
            </w:r>
            <w:r w:rsidRPr="001E177B">
              <w:rPr>
                <w:rFonts w:cs="Segoe UI"/>
                <w:sz w:val="20"/>
                <w:lang w:eastAsia="en-GB"/>
              </w:rPr>
              <w:t>LIQ1</w:t>
            </w:r>
            <w:r>
              <w:rPr>
                <w:rFonts w:cs="Segoe UI"/>
                <w:sz w:val="20"/>
                <w:lang w:eastAsia="en-GB"/>
              </w:rPr>
              <w:t xml:space="preserve">: </w:t>
            </w:r>
            <w:r w:rsidRPr="001E5BFF">
              <w:rPr>
                <w:rFonts w:cs="Segoe UI"/>
                <w:sz w:val="20"/>
                <w:lang w:eastAsia="en-GB"/>
              </w:rPr>
              <w:t>Liquidity Coverage Ratio – for category 1 institution</w:t>
            </w:r>
          </w:p>
        </w:tc>
        <w:tc>
          <w:tcPr>
            <w:tcW w:w="1417" w:type="dxa"/>
            <w:tcBorders>
              <w:top w:val="single" w:sz="2" w:space="0" w:color="A6A6A6" w:themeColor="background1" w:themeShade="A6"/>
              <w:left w:val="single" w:sz="12" w:space="0" w:color="auto"/>
              <w:bottom w:val="single" w:sz="2" w:space="0" w:color="A6A6A6" w:themeColor="background1" w:themeShade="A6"/>
              <w:right w:val="single" w:sz="12" w:space="0" w:color="auto"/>
            </w:tcBorders>
            <w:shd w:val="clear" w:color="auto" w:fill="auto"/>
          </w:tcPr>
          <w:p w:rsidR="00F23017" w:rsidRPr="00F914B1" w:rsidRDefault="002705F9" w:rsidP="002705F9">
            <w:pPr>
              <w:pStyle w:val="TableText"/>
              <w:spacing w:before="0" w:after="0"/>
              <w:jc w:val="center"/>
              <w:rPr>
                <w:rFonts w:cs="Segoe UI"/>
                <w:sz w:val="20"/>
                <w:lang w:eastAsia="en-GB"/>
              </w:rPr>
            </w:pPr>
            <w:r>
              <w:rPr>
                <w:rFonts w:cs="Segoe UI"/>
                <w:sz w:val="20"/>
                <w:lang w:eastAsia="en-GB"/>
              </w:rPr>
              <w:t>L &amp; O [</w:t>
            </w:r>
            <w:r w:rsidR="00F23017" w:rsidRPr="00074D82">
              <w:rPr>
                <w:rFonts w:cs="Segoe UI"/>
                <w:sz w:val="20"/>
                <w:lang w:eastAsia="en-GB"/>
              </w:rPr>
              <w:t>designated as category 1 institution</w:t>
            </w:r>
            <w:r w:rsidR="005558EF">
              <w:rPr>
                <w:rFonts w:cs="Segoe UI"/>
                <w:sz w:val="20"/>
                <w:lang w:eastAsia="en-GB"/>
              </w:rPr>
              <w:t>]</w:t>
            </w:r>
          </w:p>
        </w:tc>
        <w:tc>
          <w:tcPr>
            <w:tcW w:w="1134" w:type="dxa"/>
            <w:tcBorders>
              <w:top w:val="single" w:sz="2" w:space="0" w:color="A6A6A6" w:themeColor="background1" w:themeShade="A6"/>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993" w:type="dxa"/>
            <w:tcBorders>
              <w:top w:val="single" w:sz="2" w:space="0" w:color="A6A6A6" w:themeColor="background1" w:themeShade="A6"/>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bottom w:val="single" w:sz="2" w:space="0" w:color="A6A6A6" w:themeColor="background1" w:themeShade="A6"/>
            </w:tcBorders>
            <w:shd w:val="clear" w:color="auto" w:fill="auto"/>
          </w:tcPr>
          <w:p w:rsidR="00F23017" w:rsidRPr="00F914B1" w:rsidRDefault="00F23017" w:rsidP="00F23017">
            <w:pPr>
              <w:pStyle w:val="TableText"/>
              <w:rPr>
                <w:rFonts w:cs="Segoe UI"/>
                <w:sz w:val="20"/>
                <w:lang w:eastAsia="en-GB"/>
              </w:rPr>
            </w:pPr>
          </w:p>
        </w:tc>
        <w:tc>
          <w:tcPr>
            <w:tcW w:w="1181" w:type="dxa"/>
            <w:tcBorders>
              <w:top w:val="single" w:sz="2" w:space="0" w:color="A6A6A6" w:themeColor="background1" w:themeShade="A6"/>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359"/>
        </w:trPr>
        <w:tc>
          <w:tcPr>
            <w:tcW w:w="2127" w:type="dxa"/>
            <w:vMerge/>
            <w:tcBorders>
              <w:left w:val="nil"/>
              <w:bottom w:val="single" w:sz="12" w:space="0" w:color="auto"/>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F23017" w:rsidP="00F23017">
            <w:pPr>
              <w:pStyle w:val="TableText"/>
              <w:spacing w:before="0" w:after="0"/>
              <w:rPr>
                <w:rFonts w:cs="Segoe UI"/>
                <w:sz w:val="20"/>
                <w:lang w:eastAsia="en-GB"/>
              </w:rPr>
            </w:pPr>
            <w:r w:rsidRPr="00F914B1">
              <w:rPr>
                <w:rFonts w:cs="Segoe UI"/>
                <w:sz w:val="20"/>
                <w:lang w:eastAsia="en-GB"/>
              </w:rPr>
              <w:t xml:space="preserve">Template </w:t>
            </w:r>
            <w:r w:rsidRPr="001E177B">
              <w:rPr>
                <w:rFonts w:cs="Segoe UI"/>
                <w:sz w:val="20"/>
                <w:lang w:eastAsia="en-GB"/>
              </w:rPr>
              <w:t>LIQ2</w:t>
            </w:r>
            <w:r>
              <w:rPr>
                <w:rFonts w:cs="Segoe UI"/>
                <w:sz w:val="20"/>
                <w:lang w:eastAsia="en-GB"/>
              </w:rPr>
              <w:t>: Net Stable Funding Ratio</w:t>
            </w:r>
            <w:r w:rsidRPr="00D17F5E">
              <w:rPr>
                <w:rFonts w:cs="Segoe UI"/>
                <w:sz w:val="20"/>
                <w:lang w:eastAsia="en-GB"/>
              </w:rPr>
              <w:t xml:space="preserve"> – for category 1 institution</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 &amp; O</w:t>
            </w:r>
            <w:r w:rsidR="00F23017" w:rsidRPr="00074D82">
              <w:rPr>
                <w:rFonts w:cs="Segoe UI"/>
                <w:sz w:val="20"/>
                <w:lang w:eastAsia="en-GB"/>
              </w:rPr>
              <w:t xml:space="preserve"> </w:t>
            </w:r>
            <w:r>
              <w:rPr>
                <w:rFonts w:cs="Segoe UI"/>
                <w:sz w:val="20"/>
                <w:lang w:eastAsia="en-GB"/>
              </w:rPr>
              <w:t>[</w:t>
            </w:r>
            <w:r w:rsidR="00F23017" w:rsidRPr="00074D82">
              <w:rPr>
                <w:rFonts w:cs="Segoe UI"/>
                <w:sz w:val="20"/>
                <w:lang w:eastAsia="en-GB"/>
              </w:rPr>
              <w:t>designated as category 1 institution</w:t>
            </w:r>
            <w:r>
              <w:rPr>
                <w:rFonts w:cs="Segoe UI"/>
                <w:sz w:val="20"/>
                <w:lang w:eastAsia="en-GB"/>
              </w:rPr>
              <w:t>]</w:t>
            </w:r>
          </w:p>
        </w:tc>
        <w:tc>
          <w:tcPr>
            <w:tcW w:w="1134"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993"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r>
      <w:tr w:rsidR="00F23017" w:rsidRPr="00F914B1" w:rsidTr="00F23017">
        <w:trPr>
          <w:cantSplit/>
          <w:trHeight w:val="283"/>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t>Part VII : Interest rate risk in banking book</w:t>
            </w:r>
            <w:r w:rsidRPr="001B530B">
              <w:rPr>
                <w:rFonts w:cs="Segoe UI"/>
                <w:sz w:val="20"/>
                <w:vertAlign w:val="superscript"/>
                <w:lang w:eastAsia="en-GB"/>
              </w:rPr>
              <w:t>[Note 2]</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rPr>
                <w:rFonts w:cs="Segoe UI"/>
                <w:noProof/>
                <w:sz w:val="20"/>
                <w:lang w:eastAsia="en-GB"/>
              </w:rPr>
            </w:pPr>
            <w:r w:rsidRPr="005F0AA2">
              <w:rPr>
                <w:rFonts w:cs="Segoe UI"/>
                <w:noProof/>
                <w:sz w:val="20"/>
                <w:lang w:eastAsia="en-GB"/>
              </w:rPr>
              <w:t xml:space="preserve">Table IRRBB: Interest rate exposures in banking book </w:t>
            </w:r>
            <w:r w:rsidR="00571848">
              <w:rPr>
                <w:rFonts w:cs="Segoe UI"/>
                <w:noProof/>
                <w:sz w:val="20"/>
                <w:lang w:eastAsia="en-GB"/>
              </w:rPr>
              <w:t>(</w:t>
            </w:r>
            <w:r w:rsidRPr="005F0AA2">
              <w:rPr>
                <w:rFonts w:cs="Segoe UI"/>
                <w:noProof/>
                <w:sz w:val="20"/>
                <w:lang w:eastAsia="en-GB"/>
              </w:rPr>
              <w:t>related to financial year end before 30 June 2019</w:t>
            </w:r>
            <w:r w:rsidR="00571848">
              <w:rPr>
                <w:rFonts w:cs="Segoe UI"/>
                <w:noProof/>
                <w:sz w:val="20"/>
                <w:lang w:eastAsia="en-GB"/>
              </w:rPr>
              <w:t>)</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6A446C"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12" w:space="0" w:color="auto"/>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12" w:space="0" w:color="auto"/>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F23017" w:rsidRPr="00F914B1" w:rsidTr="00F23017">
        <w:trPr>
          <w:cantSplit/>
          <w:trHeight w:val="400"/>
        </w:trPr>
        <w:tc>
          <w:tcPr>
            <w:tcW w:w="2127" w:type="dxa"/>
            <w:vMerge/>
            <w:tcBorders>
              <w:left w:val="nil"/>
              <w:right w:val="single" w:sz="12" w:space="0" w:color="auto"/>
            </w:tcBorders>
          </w:tcPr>
          <w:p w:rsidR="00F23017" w:rsidRPr="007B3828"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rPr>
                <w:rFonts w:cs="Segoe UI"/>
                <w:noProof/>
                <w:sz w:val="20"/>
                <w:lang w:eastAsia="en-GB"/>
              </w:rPr>
            </w:pPr>
            <w:r w:rsidRPr="00F914B1">
              <w:rPr>
                <w:rFonts w:cs="Segoe UI"/>
                <w:sz w:val="20"/>
                <w:lang w:eastAsia="en-GB"/>
              </w:rPr>
              <w:t>Table</w:t>
            </w:r>
            <w:r>
              <w:rPr>
                <w:rFonts w:cs="Segoe UI"/>
                <w:sz w:val="20"/>
                <w:lang w:eastAsia="en-GB"/>
              </w:rPr>
              <w:t xml:space="preserve"> </w:t>
            </w:r>
            <w:r w:rsidRPr="001E177B">
              <w:rPr>
                <w:rFonts w:cs="Segoe UI"/>
                <w:sz w:val="20"/>
                <w:lang w:eastAsia="en-GB"/>
              </w:rPr>
              <w:t>IRRBBA</w:t>
            </w:r>
            <w:r>
              <w:rPr>
                <w:rFonts w:cs="Segoe UI"/>
                <w:sz w:val="20"/>
                <w:lang w:eastAsia="en-GB"/>
              </w:rPr>
              <w:t xml:space="preserve">: Interest rate risk in </w:t>
            </w:r>
            <w:r w:rsidRPr="00F9056F">
              <w:rPr>
                <w:rFonts w:cs="Segoe UI"/>
                <w:sz w:val="20"/>
                <w:lang w:eastAsia="en-GB"/>
              </w:rPr>
              <w:t>banking book – risk management objectives and policies</w:t>
            </w:r>
          </w:p>
        </w:tc>
        <w:tc>
          <w:tcPr>
            <w:tcW w:w="1417" w:type="dxa"/>
            <w:tcBorders>
              <w:top w:val="single" w:sz="2" w:space="0" w:color="A6A6A6" w:themeColor="background1" w:themeShade="A6"/>
              <w:left w:val="single" w:sz="12" w:space="0" w:color="auto"/>
              <w:bottom w:val="single" w:sz="2" w:space="0" w:color="A6A6A6" w:themeColor="background1" w:themeShade="A6"/>
              <w:right w:val="single" w:sz="12" w:space="0" w:color="auto"/>
            </w:tcBorders>
            <w:shd w:val="clear" w:color="auto" w:fill="FDE9D9" w:themeFill="accent6" w:themeFillTint="33"/>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2" w:space="0" w:color="A6A6A6" w:themeColor="background1" w:themeShade="A6"/>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2" w:space="0" w:color="A6A6A6" w:themeColor="background1" w:themeShade="A6"/>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left w:val="single" w:sz="12" w:space="0" w:color="auto"/>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2"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2"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noProof/>
                <w:sz w:val="20"/>
                <w:lang w:eastAsia="en-GB"/>
              </w:rPr>
            </w:pPr>
            <w:r w:rsidRPr="00F914B1">
              <w:rPr>
                <w:rFonts w:cs="Segoe UI"/>
                <w:sz w:val="20"/>
                <w:lang w:eastAsia="en-GB"/>
              </w:rPr>
              <w:sym w:font="Wingdings 2" w:char="F050"/>
            </w:r>
          </w:p>
        </w:tc>
      </w:tr>
      <w:tr w:rsidR="00F23017" w:rsidRPr="00F914B1" w:rsidTr="004D134E">
        <w:trPr>
          <w:cantSplit/>
          <w:trHeight w:val="400"/>
        </w:trPr>
        <w:tc>
          <w:tcPr>
            <w:tcW w:w="2127" w:type="dxa"/>
            <w:vMerge/>
            <w:tcBorders>
              <w:left w:val="nil"/>
              <w:bottom w:val="single" w:sz="12" w:space="0" w:color="auto"/>
              <w:right w:val="single" w:sz="12" w:space="0" w:color="auto"/>
            </w:tcBorders>
          </w:tcPr>
          <w:p w:rsidR="00F23017" w:rsidRPr="007B3828"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FFFF00"/>
          </w:tcPr>
          <w:p w:rsidR="00F23017" w:rsidRPr="00F914B1" w:rsidRDefault="00F23017" w:rsidP="00F23017">
            <w:pPr>
              <w:pStyle w:val="TableText"/>
              <w:spacing w:before="0" w:after="0"/>
              <w:rPr>
                <w:rFonts w:cs="Segoe UI"/>
                <w:noProof/>
                <w:sz w:val="20"/>
                <w:lang w:eastAsia="en-GB"/>
              </w:rPr>
            </w:pPr>
            <w:r w:rsidRPr="00F914B1">
              <w:rPr>
                <w:rFonts w:cs="Segoe UI"/>
                <w:sz w:val="20"/>
                <w:lang w:eastAsia="en-GB"/>
              </w:rPr>
              <w:t xml:space="preserve">Template </w:t>
            </w:r>
            <w:r w:rsidRPr="001E177B">
              <w:rPr>
                <w:rFonts w:cs="Segoe UI"/>
                <w:sz w:val="20"/>
                <w:lang w:eastAsia="en-GB"/>
              </w:rPr>
              <w:t>IRRBB1</w:t>
            </w:r>
            <w:r>
              <w:rPr>
                <w:rFonts w:cs="Segoe UI"/>
                <w:sz w:val="20"/>
                <w:lang w:eastAsia="en-GB"/>
              </w:rPr>
              <w:t>:</w:t>
            </w:r>
            <w:r w:rsidRPr="001E177B">
              <w:rPr>
                <w:rFonts w:cs="Segoe UI"/>
                <w:sz w:val="20"/>
                <w:lang w:eastAsia="en-GB"/>
              </w:rPr>
              <w:t xml:space="preserve"> Quantitative in</w:t>
            </w:r>
            <w:r>
              <w:rPr>
                <w:rFonts w:cs="Segoe UI"/>
                <w:sz w:val="20"/>
                <w:lang w:eastAsia="en-GB"/>
              </w:rPr>
              <w:t xml:space="preserve">formation on interest rate risk in </w:t>
            </w:r>
            <w:r w:rsidRPr="00F9056F">
              <w:rPr>
                <w:rFonts w:cs="Segoe UI"/>
                <w:sz w:val="20"/>
                <w:lang w:eastAsia="en-GB"/>
              </w:rPr>
              <w:t>banking book</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993"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noProof/>
                <w:sz w:val="20"/>
                <w:lang w:eastAsia="en-GB"/>
              </w:rPr>
            </w:pPr>
          </w:p>
        </w:tc>
        <w:tc>
          <w:tcPr>
            <w:tcW w:w="1181"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right w:val="single" w:sz="12" w:space="0" w:color="auto"/>
            </w:tcBorders>
            <w:shd w:val="clear" w:color="auto" w:fill="auto"/>
          </w:tcPr>
          <w:p w:rsidR="00F23017"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p w:rsidR="00F23017" w:rsidRPr="00F914B1" w:rsidRDefault="00F23017" w:rsidP="00F23017">
            <w:pPr>
              <w:pStyle w:val="TableText"/>
              <w:spacing w:before="0" w:after="0"/>
              <w:jc w:val="center"/>
              <w:rPr>
                <w:rFonts w:cs="Segoe UI"/>
                <w:noProof/>
                <w:sz w:val="20"/>
                <w:lang w:eastAsia="en-GB"/>
              </w:rPr>
            </w:pPr>
          </w:p>
        </w:tc>
      </w:tr>
      <w:tr w:rsidR="00F23017" w:rsidRPr="00F914B1" w:rsidTr="00F23017">
        <w:trPr>
          <w:cantSplit/>
          <w:trHeight w:val="300"/>
        </w:trPr>
        <w:tc>
          <w:tcPr>
            <w:tcW w:w="2127" w:type="dxa"/>
            <w:vMerge w:val="restart"/>
            <w:tcBorders>
              <w:top w:val="single" w:sz="12" w:space="0" w:color="auto"/>
              <w:left w:val="nil"/>
              <w:right w:val="single" w:sz="12" w:space="0" w:color="auto"/>
            </w:tcBorders>
          </w:tcPr>
          <w:p w:rsidR="00F23017" w:rsidRPr="007B3828" w:rsidRDefault="00F23017" w:rsidP="00F23017">
            <w:pPr>
              <w:pStyle w:val="TableText"/>
              <w:spacing w:before="0" w:after="0"/>
              <w:rPr>
                <w:rFonts w:cs="Segoe UI"/>
                <w:sz w:val="20"/>
                <w:lang w:eastAsia="en-GB"/>
              </w:rPr>
            </w:pPr>
            <w:r w:rsidRPr="007B3828">
              <w:rPr>
                <w:rFonts w:cs="Segoe UI"/>
                <w:sz w:val="20"/>
                <w:lang w:eastAsia="en-GB"/>
              </w:rPr>
              <w:lastRenderedPageBreak/>
              <w:t>Part VIII : Remuneration</w:t>
            </w:r>
          </w:p>
        </w:tc>
        <w:tc>
          <w:tcPr>
            <w:tcW w:w="4961" w:type="dxa"/>
            <w:tcBorders>
              <w:top w:val="single" w:sz="12" w:space="0" w:color="auto"/>
              <w:left w:val="single" w:sz="12" w:space="0" w:color="auto"/>
              <w:bottom w:val="single" w:sz="4"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rPr>
                <w:rFonts w:cs="Segoe UI"/>
                <w:sz w:val="20"/>
                <w:lang w:eastAsia="en-GB"/>
              </w:rPr>
            </w:pPr>
            <w:r>
              <w:rPr>
                <w:rFonts w:cs="Segoe UI"/>
                <w:sz w:val="20"/>
                <w:lang w:eastAsia="en-GB"/>
              </w:rPr>
              <w:t xml:space="preserve">Table </w:t>
            </w:r>
            <w:r w:rsidRPr="00CE45F8">
              <w:rPr>
                <w:rFonts w:cs="Segoe UI"/>
                <w:sz w:val="20"/>
                <w:lang w:eastAsia="en-GB"/>
              </w:rPr>
              <w:t>REMA</w:t>
            </w:r>
            <w:r>
              <w:rPr>
                <w:rFonts w:cs="Segoe UI"/>
                <w:sz w:val="20"/>
                <w:lang w:eastAsia="en-GB"/>
              </w:rPr>
              <w:t>:</w:t>
            </w:r>
            <w:r w:rsidRPr="00CE45F8">
              <w:rPr>
                <w:rFonts w:cs="Segoe UI"/>
                <w:sz w:val="20"/>
                <w:lang w:eastAsia="en-GB"/>
              </w:rPr>
              <w:t xml:space="preserve"> Remuneration policy</w:t>
            </w:r>
          </w:p>
        </w:tc>
        <w:tc>
          <w:tcPr>
            <w:tcW w:w="1417" w:type="dxa"/>
            <w:tcBorders>
              <w:top w:val="single" w:sz="12" w:space="0" w:color="auto"/>
              <w:left w:val="single" w:sz="12" w:space="0" w:color="auto"/>
              <w:bottom w:val="single" w:sz="4" w:space="0" w:color="A6A6A6" w:themeColor="background1" w:themeShade="A6"/>
              <w:right w:val="single" w:sz="12" w:space="0" w:color="auto"/>
            </w:tcBorders>
            <w:shd w:val="clear" w:color="auto" w:fill="FDE9D9" w:themeFill="accent6" w:themeFillTint="33"/>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12" w:space="0" w:color="auto"/>
              <w:left w:val="single" w:sz="12" w:space="0" w:color="auto"/>
              <w:bottom w:val="single" w:sz="4"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12" w:space="0" w:color="auto"/>
              <w:bottom w:val="single" w:sz="4"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12" w:space="0" w:color="auto"/>
              <w:left w:val="single" w:sz="12" w:space="0" w:color="auto"/>
              <w:bottom w:val="single" w:sz="4"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4" w:space="0" w:color="A6A6A6" w:themeColor="background1" w:themeShade="A6"/>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12" w:space="0" w:color="auto"/>
              <w:bottom w:val="single" w:sz="4" w:space="0" w:color="A6A6A6" w:themeColor="background1" w:themeShade="A6"/>
              <w:right w:val="single" w:sz="12" w:space="0" w:color="auto"/>
            </w:tcBorders>
            <w:shd w:val="clear" w:color="auto" w:fill="FDE9D9" w:themeFill="accent6" w:themeFillTint="33"/>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r>
      <w:tr w:rsidR="00F23017" w:rsidRPr="00F914B1" w:rsidTr="00F23017">
        <w:trPr>
          <w:cantSplit/>
          <w:trHeight w:val="300"/>
        </w:trPr>
        <w:tc>
          <w:tcPr>
            <w:tcW w:w="2127" w:type="dxa"/>
            <w:vMerge/>
            <w:tcBorders>
              <w:left w:val="nil"/>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4" w:space="0" w:color="A6A6A6" w:themeColor="background1" w:themeShade="A6"/>
              <w:left w:val="single" w:sz="12" w:space="0" w:color="auto"/>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rPr>
                <w:rFonts w:cs="Segoe UI"/>
                <w:sz w:val="20"/>
                <w:lang w:eastAsia="en-GB"/>
              </w:rPr>
            </w:pPr>
            <w:r>
              <w:rPr>
                <w:rFonts w:cs="Segoe UI"/>
                <w:sz w:val="20"/>
                <w:lang w:eastAsia="en-GB"/>
              </w:rPr>
              <w:t xml:space="preserve">Template </w:t>
            </w:r>
            <w:r w:rsidRPr="00CE45F8">
              <w:rPr>
                <w:rFonts w:cs="Segoe UI"/>
                <w:sz w:val="20"/>
                <w:lang w:eastAsia="en-GB"/>
              </w:rPr>
              <w:t>REM1</w:t>
            </w:r>
            <w:r>
              <w:rPr>
                <w:rFonts w:cs="Segoe UI"/>
                <w:sz w:val="20"/>
                <w:lang w:eastAsia="en-GB"/>
              </w:rPr>
              <w:t>:</w:t>
            </w:r>
            <w:r w:rsidRPr="00CE45F8">
              <w:rPr>
                <w:rFonts w:cs="Segoe UI"/>
                <w:sz w:val="20"/>
                <w:lang w:eastAsia="en-GB"/>
              </w:rPr>
              <w:t xml:space="preserve"> </w:t>
            </w:r>
            <w:r>
              <w:rPr>
                <w:rFonts w:cs="Segoe UI"/>
                <w:sz w:val="20"/>
                <w:lang w:eastAsia="en-GB"/>
              </w:rPr>
              <w:t xml:space="preserve">Remuneration awarded during </w:t>
            </w:r>
            <w:r w:rsidRPr="00CE45F8">
              <w:rPr>
                <w:rFonts w:cs="Segoe UI"/>
                <w:sz w:val="20"/>
                <w:lang w:eastAsia="en-GB"/>
              </w:rPr>
              <w:t>financial year</w:t>
            </w:r>
          </w:p>
        </w:tc>
        <w:tc>
          <w:tcPr>
            <w:tcW w:w="1417" w:type="dxa"/>
            <w:tcBorders>
              <w:top w:val="single" w:sz="4" w:space="0" w:color="A6A6A6" w:themeColor="background1" w:themeShade="A6"/>
              <w:left w:val="single" w:sz="12" w:space="0" w:color="auto"/>
              <w:bottom w:val="single" w:sz="4" w:space="0" w:color="A6A6A6" w:themeColor="background1" w:themeShade="A6"/>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4" w:space="0" w:color="A6A6A6" w:themeColor="background1" w:themeShade="A6"/>
              <w:left w:val="single" w:sz="12" w:space="0" w:color="auto"/>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4" w:space="0" w:color="A6A6A6" w:themeColor="background1" w:themeShade="A6"/>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4" w:space="0" w:color="A6A6A6" w:themeColor="background1" w:themeShade="A6"/>
              <w:left w:val="single" w:sz="12" w:space="0" w:color="auto"/>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bottom w:val="single" w:sz="4"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bottom w:val="single" w:sz="4"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r>
      <w:tr w:rsidR="00F23017" w:rsidRPr="00F914B1" w:rsidTr="00F23017">
        <w:trPr>
          <w:cantSplit/>
          <w:trHeight w:val="257"/>
        </w:trPr>
        <w:tc>
          <w:tcPr>
            <w:tcW w:w="2127" w:type="dxa"/>
            <w:vMerge/>
            <w:tcBorders>
              <w:left w:val="nil"/>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4" w:space="0" w:color="A6A6A6" w:themeColor="background1" w:themeShade="A6"/>
              <w:left w:val="single" w:sz="12" w:space="0" w:color="auto"/>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rPr>
                <w:rFonts w:cs="Segoe UI"/>
                <w:sz w:val="20"/>
                <w:lang w:eastAsia="en-GB"/>
              </w:rPr>
            </w:pPr>
            <w:r>
              <w:rPr>
                <w:rFonts w:cs="Segoe UI"/>
                <w:sz w:val="20"/>
                <w:lang w:eastAsia="en-GB"/>
              </w:rPr>
              <w:t xml:space="preserve">Template </w:t>
            </w:r>
            <w:r w:rsidRPr="00CE45F8">
              <w:rPr>
                <w:rFonts w:cs="Segoe UI"/>
                <w:sz w:val="20"/>
                <w:lang w:eastAsia="en-GB"/>
              </w:rPr>
              <w:t>REM2</w:t>
            </w:r>
            <w:r>
              <w:rPr>
                <w:rFonts w:cs="Segoe UI"/>
                <w:sz w:val="20"/>
                <w:lang w:eastAsia="en-GB"/>
              </w:rPr>
              <w:t>:</w:t>
            </w:r>
            <w:r w:rsidRPr="00CE45F8">
              <w:rPr>
                <w:rFonts w:cs="Segoe UI"/>
                <w:sz w:val="20"/>
                <w:lang w:eastAsia="en-GB"/>
              </w:rPr>
              <w:t xml:space="preserve"> Special payments</w:t>
            </w:r>
          </w:p>
        </w:tc>
        <w:tc>
          <w:tcPr>
            <w:tcW w:w="1417" w:type="dxa"/>
            <w:tcBorders>
              <w:top w:val="single" w:sz="4" w:space="0" w:color="A6A6A6" w:themeColor="background1" w:themeShade="A6"/>
              <w:left w:val="single" w:sz="12" w:space="0" w:color="auto"/>
              <w:bottom w:val="single" w:sz="2" w:space="0" w:color="A6A6A6" w:themeColor="background1" w:themeShade="A6"/>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4" w:space="0" w:color="A6A6A6" w:themeColor="background1" w:themeShade="A6"/>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4" w:space="0" w:color="A6A6A6" w:themeColor="background1" w:themeShade="A6"/>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4" w:space="0" w:color="A6A6A6" w:themeColor="background1" w:themeShade="A6"/>
              <w:left w:val="single" w:sz="12" w:space="0" w:color="auto"/>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bottom w:val="single" w:sz="2" w:space="0" w:color="A6A6A6" w:themeColor="background1" w:themeShade="A6"/>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4" w:space="0" w:color="A6A6A6" w:themeColor="background1" w:themeShade="A6"/>
              <w:bottom w:val="single" w:sz="2" w:space="0" w:color="A6A6A6" w:themeColor="background1" w:themeShade="A6"/>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r>
      <w:tr w:rsidR="00F23017" w:rsidRPr="00F914B1" w:rsidTr="00F23017">
        <w:trPr>
          <w:cantSplit/>
          <w:trHeight w:val="257"/>
        </w:trPr>
        <w:tc>
          <w:tcPr>
            <w:tcW w:w="2127" w:type="dxa"/>
            <w:vMerge/>
            <w:tcBorders>
              <w:left w:val="nil"/>
              <w:bottom w:val="single" w:sz="12" w:space="0" w:color="auto"/>
              <w:right w:val="single" w:sz="12" w:space="0" w:color="auto"/>
            </w:tcBorders>
          </w:tcPr>
          <w:p w:rsidR="00F23017" w:rsidRPr="00F914B1" w:rsidRDefault="00F23017" w:rsidP="00F23017">
            <w:pPr>
              <w:pStyle w:val="TableText"/>
              <w:spacing w:before="0" w:after="0"/>
              <w:rPr>
                <w:rFonts w:cs="Segoe UI"/>
                <w:sz w:val="20"/>
                <w:lang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Default="00F23017" w:rsidP="00F23017">
            <w:pPr>
              <w:pStyle w:val="TableText"/>
              <w:spacing w:before="0" w:after="0"/>
              <w:rPr>
                <w:rFonts w:cs="Segoe UI"/>
                <w:sz w:val="20"/>
                <w:lang w:eastAsia="en-GB"/>
              </w:rPr>
            </w:pPr>
            <w:r>
              <w:rPr>
                <w:rFonts w:cs="Segoe UI"/>
                <w:sz w:val="20"/>
                <w:lang w:eastAsia="en-GB"/>
              </w:rPr>
              <w:t xml:space="preserve">Template REM3: </w:t>
            </w:r>
            <w:r w:rsidRPr="004421BD">
              <w:rPr>
                <w:rFonts w:cs="Segoe UI"/>
                <w:sz w:val="20"/>
                <w:lang w:eastAsia="en-GB"/>
              </w:rPr>
              <w:t>Deferred remuneration</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F23017" w:rsidRPr="00F914B1" w:rsidRDefault="005558EF" w:rsidP="00F23017">
            <w:pPr>
              <w:pStyle w:val="TableText"/>
              <w:spacing w:before="0" w:after="0"/>
              <w:jc w:val="center"/>
              <w:rPr>
                <w:rFonts w:cs="Segoe UI"/>
                <w:sz w:val="20"/>
                <w:lang w:eastAsia="en-GB"/>
              </w:rPr>
            </w:pPr>
            <w:r>
              <w:rPr>
                <w:rFonts w:cs="Segoe UI"/>
                <w:sz w:val="20"/>
                <w:lang w:eastAsia="en-GB"/>
              </w:rPr>
              <w:t>L</w:t>
            </w:r>
          </w:p>
        </w:tc>
        <w:tc>
          <w:tcPr>
            <w:tcW w:w="1134"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993"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c>
          <w:tcPr>
            <w:tcW w:w="1181" w:type="dxa"/>
            <w:tcBorders>
              <w:top w:val="single" w:sz="2" w:space="0" w:color="A6A6A6" w:themeColor="background1" w:themeShade="A6"/>
              <w:left w:val="single" w:sz="12" w:space="0" w:color="auto"/>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p>
        </w:tc>
        <w:tc>
          <w:tcPr>
            <w:tcW w:w="1181" w:type="dxa"/>
            <w:tcBorders>
              <w:top w:val="single" w:sz="2" w:space="0" w:color="A6A6A6" w:themeColor="background1" w:themeShade="A6"/>
              <w:bottom w:val="single" w:sz="12" w:space="0" w:color="auto"/>
              <w:right w:val="single" w:sz="12" w:space="0" w:color="auto"/>
            </w:tcBorders>
            <w:shd w:val="clear" w:color="auto" w:fill="auto"/>
          </w:tcPr>
          <w:p w:rsidR="00F23017" w:rsidRPr="00F914B1" w:rsidRDefault="00F23017" w:rsidP="00F23017">
            <w:pPr>
              <w:pStyle w:val="TableText"/>
              <w:spacing w:before="0" w:after="0"/>
              <w:jc w:val="center"/>
              <w:rPr>
                <w:rFonts w:cs="Segoe UI"/>
                <w:sz w:val="20"/>
                <w:lang w:eastAsia="en-GB"/>
              </w:rPr>
            </w:pPr>
            <w:r w:rsidRPr="00F914B1">
              <w:rPr>
                <w:rFonts w:cs="Segoe UI"/>
                <w:sz w:val="20"/>
                <w:lang w:eastAsia="en-GB"/>
              </w:rPr>
              <w:sym w:font="Wingdings 2" w:char="F050"/>
            </w:r>
          </w:p>
        </w:tc>
      </w:tr>
      <w:tr w:rsidR="00F23017" w:rsidRPr="00F914B1" w:rsidTr="00F23017">
        <w:trPr>
          <w:cantSplit/>
          <w:trHeight w:val="257"/>
        </w:trPr>
        <w:tc>
          <w:tcPr>
            <w:tcW w:w="14175" w:type="dxa"/>
            <w:gridSpan w:val="8"/>
            <w:tcBorders>
              <w:top w:val="single" w:sz="12" w:space="0" w:color="auto"/>
              <w:left w:val="nil"/>
              <w:bottom w:val="single" w:sz="4" w:space="0" w:color="D9D9D9" w:themeColor="background1" w:themeShade="D9"/>
              <w:right w:val="single" w:sz="4" w:space="0" w:color="D9D9D9" w:themeColor="background1" w:themeShade="D9"/>
            </w:tcBorders>
          </w:tcPr>
          <w:p w:rsidR="00F23017" w:rsidRDefault="00F23017" w:rsidP="00985138">
            <w:pPr>
              <w:jc w:val="both"/>
              <w:rPr>
                <w:rFonts w:cs="Segoe UI"/>
              </w:rPr>
            </w:pPr>
            <w:r w:rsidRPr="00EF63F2">
              <w:rPr>
                <w:rFonts w:cs="Segoe UI"/>
                <w:b/>
                <w:lang w:eastAsia="en-GB"/>
              </w:rPr>
              <w:t>*</w:t>
            </w:r>
            <w:r w:rsidRPr="006D32CF">
              <w:rPr>
                <w:rFonts w:cs="Segoe UI"/>
              </w:rPr>
              <w:t xml:space="preserve"> </w:t>
            </w:r>
            <w:r w:rsidRPr="006D32CF">
              <w:rPr>
                <w:rFonts w:cs="Segoe UI"/>
              </w:rPr>
              <w:tab/>
            </w:r>
            <w:r w:rsidRPr="000744A6">
              <w:t>The</w:t>
            </w:r>
            <w:r>
              <w:rPr>
                <w:rFonts w:cs="Segoe UI"/>
              </w:rPr>
              <w:t xml:space="preserve"> above templates and tables will </w:t>
            </w:r>
            <w:r w:rsidRPr="000B35C7">
              <w:rPr>
                <w:rFonts w:cs="Segoe UI"/>
              </w:rPr>
              <w:t xml:space="preserve">take effect from the first interim disclosure </w:t>
            </w:r>
            <w:r w:rsidR="000C30BE" w:rsidRPr="000C30BE">
              <w:rPr>
                <w:rFonts w:cs="Segoe UI"/>
              </w:rPr>
              <w:t xml:space="preserve">(including quarterly disclosure for the second quarter ending on the same </w:t>
            </w:r>
            <w:r w:rsidR="00D51E67">
              <w:rPr>
                <w:rFonts w:cs="Segoe UI"/>
              </w:rPr>
              <w:tab/>
            </w:r>
            <w:r w:rsidR="000C30BE" w:rsidRPr="000C30BE">
              <w:rPr>
                <w:rFonts w:cs="Segoe UI"/>
              </w:rPr>
              <w:t>date as the first interim reporting period)</w:t>
            </w:r>
            <w:r w:rsidR="000C30BE">
              <w:rPr>
                <w:rFonts w:cs="Segoe UI"/>
              </w:rPr>
              <w:t xml:space="preserve"> </w:t>
            </w:r>
            <w:r w:rsidRPr="000B35C7">
              <w:rPr>
                <w:rFonts w:cs="Segoe UI"/>
              </w:rPr>
              <w:t xml:space="preserve">of any financial year starting </w:t>
            </w:r>
            <w:r>
              <w:rPr>
                <w:rFonts w:cs="Segoe UI"/>
              </w:rPr>
              <w:t>on or after</w:t>
            </w:r>
            <w:r w:rsidRPr="000B35C7">
              <w:rPr>
                <w:rFonts w:cs="Segoe UI"/>
              </w:rPr>
              <w:t xml:space="preserve"> 1 January 2018</w:t>
            </w:r>
            <w:r>
              <w:rPr>
                <w:rFonts w:cs="Segoe UI"/>
              </w:rPr>
              <w:t>, except for Part </w:t>
            </w:r>
            <w:r w:rsidRPr="007B3828">
              <w:rPr>
                <w:rFonts w:cs="Segoe UI"/>
              </w:rPr>
              <w:t xml:space="preserve">VII: </w:t>
            </w:r>
            <w:r w:rsidRPr="007B3828">
              <w:rPr>
                <w:rFonts w:cs="Segoe UI"/>
                <w:lang w:eastAsia="en-GB"/>
              </w:rPr>
              <w:t>Interes</w:t>
            </w:r>
            <w:r>
              <w:rPr>
                <w:rFonts w:cs="Segoe UI"/>
                <w:lang w:eastAsia="en-GB"/>
              </w:rPr>
              <w:t xml:space="preserve">t rate risk in </w:t>
            </w:r>
            <w:r w:rsidRPr="001E177B">
              <w:rPr>
                <w:rFonts w:cs="Segoe UI"/>
                <w:lang w:eastAsia="en-GB"/>
              </w:rPr>
              <w:t>banking book</w:t>
            </w:r>
            <w:r>
              <w:rPr>
                <w:rFonts w:cs="Segoe UI"/>
                <w:lang w:eastAsia="en-GB"/>
              </w:rPr>
              <w:t xml:space="preserve">.  </w:t>
            </w:r>
            <w:r w:rsidR="00D51E67">
              <w:rPr>
                <w:rFonts w:cs="Segoe UI"/>
              </w:rPr>
              <w:tab/>
            </w:r>
            <w:r>
              <w:rPr>
                <w:rFonts w:cs="Segoe UI"/>
              </w:rPr>
              <w:t xml:space="preserve">The shaded rows are tables (primarily for qualitative disclosure) and the unshaded rows are templates (for quantitative disclosure supplemented with </w:t>
            </w:r>
            <w:r w:rsidR="00D51E67">
              <w:rPr>
                <w:rFonts w:cs="Segoe UI"/>
              </w:rPr>
              <w:tab/>
            </w:r>
            <w:r>
              <w:rPr>
                <w:rFonts w:cs="Segoe UI"/>
              </w:rPr>
              <w:t>accompanying narrative).</w:t>
            </w:r>
          </w:p>
          <w:p w:rsidR="006D32CF" w:rsidRDefault="006D32CF" w:rsidP="006D32CF">
            <w:pPr>
              <w:jc w:val="both"/>
              <w:rPr>
                <w:rFonts w:eastAsiaTheme="minorEastAsia" w:cs="Segoe UI"/>
                <w:lang w:eastAsia="zh-TW"/>
              </w:rPr>
            </w:pPr>
            <w:r>
              <w:rPr>
                <w:rFonts w:cs="Segoe UI"/>
              </w:rPr>
              <w:t>**</w:t>
            </w:r>
            <w:r>
              <w:rPr>
                <w:rFonts w:cs="Segoe UI"/>
              </w:rPr>
              <w:tab/>
              <w:t>‘L’ denotes applicable to locally incorporated AIs; ‘O’ denotes applicable to overseas incorporated AIs.</w:t>
            </w:r>
          </w:p>
          <w:p w:rsidR="00005D7B" w:rsidRPr="00D34955" w:rsidRDefault="00005D7B" w:rsidP="00D51E67">
            <w:pPr>
              <w:jc w:val="both"/>
              <w:rPr>
                <w:rFonts w:eastAsiaTheme="minorEastAsia" w:cs="Segoe UI"/>
                <w:lang w:eastAsia="zh-TW"/>
              </w:rPr>
            </w:pPr>
            <w:r>
              <w:rPr>
                <w:rFonts w:eastAsiaTheme="minorEastAsia" w:cs="Segoe UI" w:hint="eastAsia"/>
                <w:lang w:eastAsia="zh-TW"/>
              </w:rPr>
              <w:t>^</w:t>
            </w:r>
            <w:r>
              <w:rPr>
                <w:rFonts w:cs="Segoe UI"/>
              </w:rPr>
              <w:tab/>
            </w:r>
            <w:r w:rsidR="005F68AA">
              <w:rPr>
                <w:rFonts w:cs="Segoe UI"/>
              </w:rPr>
              <w:t>For ease of reference, the titles of t</w:t>
            </w:r>
            <w:r>
              <w:rPr>
                <w:rFonts w:cs="Segoe UI"/>
              </w:rPr>
              <w:t>emplate</w:t>
            </w:r>
            <w:r w:rsidR="005F68AA">
              <w:rPr>
                <w:rFonts w:cs="Segoe UI"/>
              </w:rPr>
              <w:t xml:space="preserve">s that have been revised are highlighted.  Those highlighted in pink contain revisions to reflect changes of </w:t>
            </w:r>
            <w:r w:rsidR="00D51E67">
              <w:rPr>
                <w:rFonts w:cs="Segoe UI"/>
              </w:rPr>
              <w:tab/>
            </w:r>
            <w:r w:rsidR="005F68AA">
              <w:rPr>
                <w:rFonts w:cs="Segoe UI"/>
              </w:rPr>
              <w:t xml:space="preserve">capital requirements introduced in the Banking (Capital) (Amendment) Rules 2018, viz., to incorporate </w:t>
            </w:r>
            <w:r>
              <w:rPr>
                <w:rFonts w:cs="Segoe UI"/>
              </w:rPr>
              <w:t xml:space="preserve">changes on securitization </w:t>
            </w:r>
            <w:r w:rsidR="005F68AA">
              <w:rPr>
                <w:rFonts w:cs="Segoe UI"/>
              </w:rPr>
              <w:t xml:space="preserve">framework </w:t>
            </w:r>
            <w:r w:rsidR="005E3EAA">
              <w:rPr>
                <w:rFonts w:eastAsiaTheme="minorEastAsia" w:cs="Segoe UI" w:hint="eastAsia"/>
                <w:lang w:eastAsia="zh-TW"/>
              </w:rPr>
              <w:t>and</w:t>
            </w:r>
            <w:r w:rsidR="005F68AA">
              <w:rPr>
                <w:rFonts w:eastAsiaTheme="minorEastAsia" w:cs="Segoe UI"/>
                <w:lang w:eastAsia="zh-TW"/>
              </w:rPr>
              <w:t xml:space="preserve"> </w:t>
            </w:r>
            <w:r w:rsidR="005E3EAA" w:rsidRPr="005E3EAA">
              <w:rPr>
                <w:rFonts w:eastAsiaTheme="minorEastAsia" w:cs="Segoe UI"/>
                <w:lang w:eastAsia="zh-TW"/>
              </w:rPr>
              <w:t xml:space="preserve">the </w:t>
            </w:r>
            <w:r w:rsidR="00D51E67">
              <w:rPr>
                <w:rFonts w:cs="Segoe UI"/>
              </w:rPr>
              <w:tab/>
            </w:r>
            <w:r w:rsidR="005E3EAA" w:rsidRPr="005E3EAA">
              <w:rPr>
                <w:rFonts w:eastAsiaTheme="minorEastAsia" w:cs="Segoe UI"/>
                <w:lang w:eastAsia="zh-TW"/>
              </w:rPr>
              <w:t>capital requirement of sovereign concentration risk</w:t>
            </w:r>
            <w:r w:rsidR="005F68AA">
              <w:rPr>
                <w:rFonts w:eastAsiaTheme="minorEastAsia" w:cs="Segoe UI"/>
                <w:lang w:eastAsia="zh-TW"/>
              </w:rPr>
              <w:t xml:space="preserve"> (Template OV1), and </w:t>
            </w:r>
            <w:r w:rsidR="005E3EAA">
              <w:rPr>
                <w:rFonts w:cs="Segoe UI"/>
              </w:rPr>
              <w:t xml:space="preserve">to incorporate changes </w:t>
            </w:r>
            <w:r w:rsidR="005E3EAA">
              <w:rPr>
                <w:rFonts w:eastAsiaTheme="minorEastAsia" w:cs="Segoe UI" w:hint="eastAsia"/>
                <w:lang w:eastAsia="zh-TW"/>
              </w:rPr>
              <w:t xml:space="preserve">on </w:t>
            </w:r>
            <w:r w:rsidR="00114F17">
              <w:rPr>
                <w:rFonts w:eastAsiaTheme="minorEastAsia" w:cs="Segoe UI"/>
                <w:lang w:eastAsia="zh-TW"/>
              </w:rPr>
              <w:t>the deduction</w:t>
            </w:r>
            <w:r w:rsidR="007829EF">
              <w:rPr>
                <w:rFonts w:eastAsiaTheme="minorEastAsia" w:cs="Segoe UI"/>
                <w:lang w:eastAsia="zh-TW"/>
              </w:rPr>
              <w:t xml:space="preserve"> </w:t>
            </w:r>
            <w:r w:rsidR="005E3EAA" w:rsidRPr="005E3EAA">
              <w:rPr>
                <w:rFonts w:eastAsiaTheme="minorEastAsia" w:cs="Segoe UI"/>
                <w:lang w:eastAsia="zh-TW"/>
              </w:rPr>
              <w:t>treatment of non-capital LAC liabilities</w:t>
            </w:r>
            <w:r w:rsidR="005F68AA">
              <w:rPr>
                <w:rFonts w:eastAsiaTheme="minorEastAsia" w:cs="Segoe UI"/>
                <w:lang w:eastAsia="zh-TW"/>
              </w:rPr>
              <w:t xml:space="preserve"> </w:t>
            </w:r>
            <w:r w:rsidR="00D51E67">
              <w:rPr>
                <w:rFonts w:cs="Segoe UI"/>
              </w:rPr>
              <w:tab/>
            </w:r>
            <w:r w:rsidR="005F68AA">
              <w:rPr>
                <w:rFonts w:eastAsiaTheme="minorEastAsia" w:cs="Segoe UI"/>
                <w:lang w:eastAsia="zh-TW"/>
              </w:rPr>
              <w:t>(Template CC1)</w:t>
            </w:r>
            <w:r w:rsidR="005E3EAA">
              <w:rPr>
                <w:rFonts w:eastAsiaTheme="minorEastAsia" w:cs="Segoe UI" w:hint="eastAsia"/>
                <w:lang w:eastAsia="zh-TW"/>
              </w:rPr>
              <w:t>.</w:t>
            </w:r>
            <w:r w:rsidR="00D34955">
              <w:rPr>
                <w:rFonts w:eastAsiaTheme="minorEastAsia" w:cs="Segoe UI" w:hint="eastAsia"/>
                <w:lang w:eastAsia="zh-TW"/>
              </w:rPr>
              <w:t xml:space="preserve">  </w:t>
            </w:r>
            <w:r w:rsidR="007829EF">
              <w:rPr>
                <w:rFonts w:eastAsiaTheme="minorEastAsia" w:cs="Segoe UI" w:hint="eastAsia"/>
                <w:lang w:eastAsia="zh-TW"/>
              </w:rPr>
              <w:t xml:space="preserve">For </w:t>
            </w:r>
            <w:r w:rsidR="007829EF">
              <w:rPr>
                <w:rFonts w:eastAsiaTheme="minorEastAsia" w:cs="Segoe UI"/>
                <w:lang w:eastAsia="zh-TW"/>
              </w:rPr>
              <w:t>T</w:t>
            </w:r>
            <w:r w:rsidR="00D34955">
              <w:rPr>
                <w:rFonts w:eastAsiaTheme="minorEastAsia" w:cs="Segoe UI" w:hint="eastAsia"/>
                <w:lang w:eastAsia="zh-TW"/>
              </w:rPr>
              <w:t>emplate IRRBB1</w:t>
            </w:r>
            <w:r w:rsidR="005F68AA">
              <w:rPr>
                <w:rFonts w:eastAsiaTheme="minorEastAsia" w:cs="Segoe UI"/>
                <w:lang w:eastAsia="zh-TW"/>
              </w:rPr>
              <w:t>, which is</w:t>
            </w:r>
            <w:r w:rsidR="00D34955">
              <w:rPr>
                <w:rFonts w:eastAsiaTheme="minorEastAsia" w:cs="Segoe UI" w:hint="eastAsia"/>
                <w:lang w:eastAsia="zh-TW"/>
              </w:rPr>
              <w:t xml:space="preserve"> </w:t>
            </w:r>
            <w:r w:rsidR="00D34955">
              <w:rPr>
                <w:rFonts w:eastAsiaTheme="minorEastAsia" w:cs="Segoe UI"/>
                <w:lang w:eastAsia="zh-TW"/>
              </w:rPr>
              <w:t>highlighted</w:t>
            </w:r>
            <w:r w:rsidR="00D34955">
              <w:rPr>
                <w:rFonts w:eastAsiaTheme="minorEastAsia" w:cs="Segoe UI" w:hint="eastAsia"/>
                <w:lang w:eastAsia="zh-TW"/>
              </w:rPr>
              <w:t xml:space="preserve"> in yellow, </w:t>
            </w:r>
            <w:r w:rsidR="00D34955" w:rsidRPr="00D34955">
              <w:rPr>
                <w:rFonts w:eastAsiaTheme="minorEastAsia" w:cs="Segoe UI"/>
                <w:lang w:eastAsia="zh-TW"/>
              </w:rPr>
              <w:t xml:space="preserve">certain descriptions </w:t>
            </w:r>
            <w:r w:rsidR="00D34955">
              <w:rPr>
                <w:rFonts w:eastAsiaTheme="minorEastAsia" w:cs="Segoe UI" w:hint="eastAsia"/>
                <w:lang w:eastAsia="zh-TW"/>
              </w:rPr>
              <w:t xml:space="preserve">are refined </w:t>
            </w:r>
            <w:r w:rsidR="00D34955" w:rsidRPr="00D34955">
              <w:rPr>
                <w:rFonts w:eastAsiaTheme="minorEastAsia" w:cs="Segoe UI"/>
                <w:lang w:eastAsia="zh-TW"/>
              </w:rPr>
              <w:t xml:space="preserve">to reflect the </w:t>
            </w:r>
            <w:r w:rsidR="005F68AA">
              <w:rPr>
                <w:rFonts w:eastAsiaTheme="minorEastAsia" w:cs="Segoe UI"/>
                <w:lang w:eastAsia="zh-TW"/>
              </w:rPr>
              <w:t xml:space="preserve">latest </w:t>
            </w:r>
            <w:r w:rsidR="00D34955" w:rsidRPr="00D34955">
              <w:rPr>
                <w:rFonts w:eastAsiaTheme="minorEastAsia" w:cs="Segoe UI"/>
                <w:lang w:eastAsia="zh-TW"/>
              </w:rPr>
              <w:t>terminologies</w:t>
            </w:r>
            <w:r w:rsidR="00D34955">
              <w:rPr>
                <w:rFonts w:eastAsiaTheme="minorEastAsia" w:cs="Segoe UI" w:hint="eastAsia"/>
                <w:lang w:eastAsia="zh-TW"/>
              </w:rPr>
              <w:t>.</w:t>
            </w:r>
          </w:p>
        </w:tc>
      </w:tr>
    </w:tbl>
    <w:p w:rsidR="00F23017" w:rsidRDefault="00F23017" w:rsidP="00F23017">
      <w:pPr>
        <w:jc w:val="both"/>
        <w:rPr>
          <w:rFonts w:cs="Segoe UI"/>
        </w:rPr>
      </w:pPr>
    </w:p>
    <w:p w:rsidR="00F23017" w:rsidRDefault="00F23017" w:rsidP="00F23017">
      <w:pPr>
        <w:tabs>
          <w:tab w:val="left" w:pos="851"/>
        </w:tabs>
        <w:ind w:left="850" w:hangingChars="425" w:hanging="850"/>
        <w:jc w:val="both"/>
        <w:rPr>
          <w:rFonts w:cs="Segoe UI"/>
        </w:rPr>
      </w:pPr>
      <w:r>
        <w:rPr>
          <w:rFonts w:cs="Segoe UI"/>
        </w:rPr>
        <w:t xml:space="preserve">[Note 1] </w:t>
      </w:r>
      <w:r>
        <w:rPr>
          <w:rFonts w:cs="Segoe UI"/>
        </w:rPr>
        <w:tab/>
        <w:t>This summary of disclosure templates and tables should be read in conjunction with that published alongside the Phase I templates and tables on 30 March 2017. (</w:t>
      </w:r>
      <w:hyperlink r:id="rId9" w:history="1">
        <w:r w:rsidRPr="009236EA">
          <w:rPr>
            <w:rStyle w:val="Hyperlink"/>
            <w:rFonts w:cs="Segoe UI"/>
          </w:rPr>
          <w:t>http://www.hkma.gov.hk/media/eng/doc/key-functions/banking-stability/disclosure/20170330e1.pdf</w:t>
        </w:r>
      </w:hyperlink>
      <w:r>
        <w:rPr>
          <w:rFonts w:cs="Segoe UI"/>
        </w:rPr>
        <w:t>)</w:t>
      </w:r>
    </w:p>
    <w:p w:rsidR="00E34CA5" w:rsidRDefault="00F23017" w:rsidP="000D76A4">
      <w:pPr>
        <w:tabs>
          <w:tab w:val="left" w:pos="851"/>
        </w:tabs>
        <w:ind w:left="850" w:hangingChars="425" w:hanging="850"/>
        <w:jc w:val="both"/>
        <w:rPr>
          <w:sz w:val="22"/>
        </w:rPr>
      </w:pPr>
      <w:r>
        <w:rPr>
          <w:rFonts w:cs="Segoe UI"/>
        </w:rPr>
        <w:t>[Note 2]</w:t>
      </w:r>
      <w:r>
        <w:rPr>
          <w:rFonts w:cs="Segoe UI"/>
        </w:rPr>
        <w:tab/>
      </w:r>
      <w:r>
        <w:rPr>
          <w:rFonts w:cs="Segoe UI"/>
          <w:lang w:eastAsia="en-GB"/>
        </w:rPr>
        <w:t xml:space="preserve">An AI should use Table </w:t>
      </w:r>
      <w:r w:rsidRPr="005F0AA2">
        <w:rPr>
          <w:rFonts w:cs="Segoe UI"/>
          <w:noProof/>
          <w:lang w:eastAsia="en-GB"/>
        </w:rPr>
        <w:t>IRRBB</w:t>
      </w:r>
      <w:r>
        <w:rPr>
          <w:rFonts w:cs="Segoe UI"/>
          <w:noProof/>
          <w:lang w:eastAsia="en-GB"/>
        </w:rPr>
        <w:t xml:space="preserve"> </w:t>
      </w:r>
      <w:r>
        <w:t>to</w:t>
      </w:r>
      <w:r w:rsidRPr="00895DAC">
        <w:t xml:space="preserve"> report</w:t>
      </w:r>
      <w:r>
        <w:t xml:space="preserve"> it</w:t>
      </w:r>
      <w:r w:rsidRPr="00895DAC">
        <w:t xml:space="preserve">s interest rate exposures </w:t>
      </w:r>
      <w:r w:rsidR="005B68BD">
        <w:t xml:space="preserve">in banking book </w:t>
      </w:r>
      <w:r w:rsidRPr="00895DAC">
        <w:t xml:space="preserve">related to </w:t>
      </w:r>
      <w:r>
        <w:t xml:space="preserve">a </w:t>
      </w:r>
      <w:r w:rsidRPr="00895DAC">
        <w:t>financial year end</w:t>
      </w:r>
      <w:r>
        <w:t>ed</w:t>
      </w:r>
      <w:r w:rsidRPr="00895DAC">
        <w:t xml:space="preserve"> before 30 June 2019</w:t>
      </w:r>
      <w:r>
        <w:t>.  F</w:t>
      </w:r>
      <w:r w:rsidRPr="00895DAC">
        <w:t xml:space="preserve">or interest rate </w:t>
      </w:r>
      <w:r>
        <w:t>risk in banking book</w:t>
      </w:r>
      <w:r w:rsidRPr="00895DAC">
        <w:t xml:space="preserve"> </w:t>
      </w:r>
      <w:r>
        <w:t>for</w:t>
      </w:r>
      <w:r w:rsidRPr="00895DAC">
        <w:t xml:space="preserve"> </w:t>
      </w:r>
      <w:r>
        <w:t xml:space="preserve">a </w:t>
      </w:r>
      <w:r w:rsidRPr="00895DAC">
        <w:t>financial year end</w:t>
      </w:r>
      <w:r>
        <w:t>ed</w:t>
      </w:r>
      <w:r w:rsidRPr="00895DAC">
        <w:t xml:space="preserve"> on or after 30 June 2019, an AI should use</w:t>
      </w:r>
      <w:r>
        <w:t xml:space="preserve"> T</w:t>
      </w:r>
      <w:r w:rsidRPr="00895DAC">
        <w:t>able IRRBBA and Template IRRBB1 instead</w:t>
      </w:r>
      <w:r>
        <w:t xml:space="preserve"> for disclosure purpose</w:t>
      </w:r>
      <w:r w:rsidRPr="00895DAC">
        <w:t>.</w:t>
      </w:r>
      <w:bookmarkEnd w:id="0"/>
    </w:p>
    <w:p w:rsidR="00E34CA5" w:rsidRDefault="00E34CA5">
      <w:pPr>
        <w:sectPr w:rsidR="00E34CA5" w:rsidSect="006E4B37">
          <w:footerReference w:type="default" r:id="rId10"/>
          <w:pgSz w:w="16838" w:h="11906" w:orient="landscape" w:code="9"/>
          <w:pgMar w:top="1418" w:right="1440" w:bottom="1276" w:left="1440" w:header="851" w:footer="737" w:gutter="0"/>
          <w:cols w:space="425"/>
          <w:docGrid w:type="linesAndChars" w:linePitch="360"/>
        </w:sectPr>
      </w:pPr>
    </w:p>
    <w:p w:rsidR="00545554" w:rsidRPr="00844CB5" w:rsidRDefault="00545554" w:rsidP="00844CB5">
      <w:pPr>
        <w:pStyle w:val="Heading1"/>
        <w:tabs>
          <w:tab w:val="clear" w:pos="794"/>
          <w:tab w:val="left" w:pos="567"/>
        </w:tabs>
        <w:spacing w:before="0"/>
        <w:ind w:leftChars="-213" w:left="-426"/>
        <w:rPr>
          <w:rFonts w:cs="Segoe UI"/>
          <w:szCs w:val="28"/>
        </w:rPr>
      </w:pPr>
      <w:r w:rsidRPr="00844CB5">
        <w:rPr>
          <w:rFonts w:cs="Segoe UI"/>
          <w:szCs w:val="28"/>
        </w:rPr>
        <w:lastRenderedPageBreak/>
        <w:t xml:space="preserve">Part I: </w:t>
      </w:r>
      <w:r w:rsidR="00844CB5">
        <w:rPr>
          <w:rFonts w:cs="Segoe UI"/>
          <w:szCs w:val="28"/>
        </w:rPr>
        <w:tab/>
      </w:r>
      <w:r w:rsidRPr="00844CB5">
        <w:rPr>
          <w:rFonts w:cs="Segoe UI"/>
          <w:szCs w:val="28"/>
        </w:rPr>
        <w:t>Key prudential ratios, overview of risk management and RWA</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004B8D" w:rsidTr="00545554">
        <w:tc>
          <w:tcPr>
            <w:tcW w:w="9242" w:type="dxa"/>
            <w:gridSpan w:val="2"/>
            <w:tcBorders>
              <w:top w:val="nil"/>
            </w:tcBorders>
          </w:tcPr>
          <w:p w:rsidR="00545554" w:rsidRPr="0023654F" w:rsidRDefault="00545554" w:rsidP="00545554">
            <w:pPr>
              <w:spacing w:before="40" w:after="40"/>
              <w:rPr>
                <w:noProof/>
                <w:sz w:val="17"/>
                <w:lang w:eastAsia="en-GB"/>
              </w:rPr>
            </w:pPr>
            <w:r w:rsidRPr="00892D0C">
              <w:rPr>
                <w:sz w:val="22"/>
              </w:rPr>
              <w:t xml:space="preserve">Template KM1: Key </w:t>
            </w:r>
            <w:r>
              <w:rPr>
                <w:sz w:val="22"/>
              </w:rPr>
              <w:t>prudential ratios</w:t>
            </w:r>
          </w:p>
        </w:tc>
      </w:tr>
      <w:tr w:rsidR="00545554" w:rsidRPr="00B54EA4"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892D0C" w:rsidRDefault="00545554" w:rsidP="00545554">
            <w:pPr>
              <w:spacing w:before="40" w:after="40"/>
              <w:jc w:val="both"/>
              <w:rPr>
                <w:rFonts w:eastAsia="新細明體"/>
                <w:noProof/>
                <w:sz w:val="17"/>
                <w:lang w:eastAsia="en-GB"/>
              </w:rPr>
            </w:pPr>
            <w:r w:rsidRPr="00892D0C">
              <w:rPr>
                <w:rFonts w:eastAsia="新細明體"/>
                <w:noProof/>
                <w:sz w:val="17"/>
                <w:lang w:eastAsia="en-GB"/>
              </w:rPr>
              <w:t xml:space="preserve">To provide an overview of an AI’s </w:t>
            </w:r>
            <w:r>
              <w:rPr>
                <w:rFonts w:eastAsia="新細明體"/>
                <w:noProof/>
                <w:sz w:val="17"/>
                <w:lang w:eastAsia="en-GB"/>
              </w:rPr>
              <w:t xml:space="preserve">key </w:t>
            </w:r>
            <w:r w:rsidRPr="00892D0C">
              <w:rPr>
                <w:rFonts w:eastAsia="新細明體"/>
                <w:noProof/>
                <w:sz w:val="17"/>
                <w:lang w:eastAsia="en-GB"/>
              </w:rPr>
              <w:t xml:space="preserve">prudential </w:t>
            </w:r>
            <w:r>
              <w:rPr>
                <w:rFonts w:eastAsia="新細明體"/>
                <w:noProof/>
                <w:sz w:val="17"/>
                <w:lang w:eastAsia="en-GB"/>
              </w:rPr>
              <w:t>ratio</w:t>
            </w:r>
            <w:r w:rsidRPr="00892D0C">
              <w:rPr>
                <w:rFonts w:eastAsia="新細明體"/>
                <w:noProof/>
                <w:sz w:val="17"/>
                <w:lang w:eastAsia="en-GB"/>
              </w:rPr>
              <w:t>s.</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892D0C" w:rsidRDefault="00545554" w:rsidP="00545554">
            <w:pPr>
              <w:spacing w:before="40" w:after="40"/>
              <w:jc w:val="both"/>
              <w:rPr>
                <w:rFonts w:eastAsia="新細明體"/>
                <w:sz w:val="17"/>
                <w:lang w:eastAsia="en-GB"/>
              </w:rPr>
            </w:pPr>
            <w:r w:rsidRPr="00892D0C">
              <w:rPr>
                <w:rFonts w:eastAsia="新細明體"/>
                <w:sz w:val="17"/>
                <w:lang w:eastAsia="en-GB"/>
              </w:rPr>
              <w:t>The template is mandatory for all AIs incorporated in Hong Kong.</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892D0C" w:rsidRDefault="00545554" w:rsidP="00545554">
            <w:pPr>
              <w:spacing w:before="40" w:after="40"/>
              <w:ind w:left="1"/>
              <w:jc w:val="both"/>
              <w:rPr>
                <w:rFonts w:eastAsia="新細明體"/>
                <w:sz w:val="17"/>
                <w:lang w:eastAsia="en-GB"/>
              </w:rPr>
            </w:pPr>
            <w:r w:rsidRPr="00892D0C">
              <w:rPr>
                <w:rFonts w:eastAsia="新細明體"/>
                <w:sz w:val="17"/>
                <w:lang w:eastAsia="en-GB"/>
              </w:rPr>
              <w:t xml:space="preserve">Key prudential </w:t>
            </w:r>
            <w:r>
              <w:rPr>
                <w:rFonts w:eastAsia="新細明體"/>
                <w:sz w:val="17"/>
                <w:lang w:eastAsia="en-GB"/>
              </w:rPr>
              <w:t>ratio</w:t>
            </w:r>
            <w:r w:rsidRPr="00892D0C">
              <w:rPr>
                <w:rFonts w:eastAsia="新細明體"/>
                <w:sz w:val="17"/>
                <w:lang w:eastAsia="en-GB"/>
              </w:rPr>
              <w:t>s related to regulatory capital</w:t>
            </w:r>
            <w:r>
              <w:rPr>
                <w:rFonts w:eastAsia="新細明體"/>
                <w:sz w:val="17"/>
                <w:lang w:eastAsia="en-GB"/>
              </w:rPr>
              <w:t xml:space="preserve"> and buffers</w:t>
            </w:r>
            <w:r w:rsidRPr="00892D0C">
              <w:rPr>
                <w:rFonts w:eastAsia="新細明體"/>
                <w:sz w:val="17"/>
                <w:lang w:eastAsia="en-GB"/>
              </w:rPr>
              <w:t>, leverage ratio and liquidity standards.</w:t>
            </w:r>
            <w:r>
              <w:rPr>
                <w:rFonts w:eastAsia="新細明體"/>
                <w:sz w:val="17"/>
                <w:lang w:eastAsia="en-GB"/>
              </w:rPr>
              <w:t xml:space="preserve">  An </w:t>
            </w:r>
            <w:r w:rsidRPr="00892D0C">
              <w:rPr>
                <w:rFonts w:eastAsia="新細明體"/>
                <w:sz w:val="17"/>
                <w:lang w:eastAsia="en-GB"/>
              </w:rPr>
              <w:t xml:space="preserve">AI </w:t>
            </w:r>
            <w:r>
              <w:rPr>
                <w:rFonts w:eastAsia="新細明體"/>
                <w:sz w:val="17"/>
                <w:lang w:eastAsia="en-GB"/>
              </w:rPr>
              <w:t>should</w:t>
            </w:r>
            <w:r w:rsidRPr="00892D0C">
              <w:rPr>
                <w:rFonts w:eastAsia="新細明體"/>
                <w:sz w:val="17"/>
                <w:lang w:eastAsia="en-GB"/>
              </w:rPr>
              <w:t xml:space="preserve"> disclose each </w:t>
            </w:r>
            <w:r>
              <w:rPr>
                <w:rFonts w:eastAsia="新細明體"/>
                <w:sz w:val="17"/>
                <w:lang w:eastAsia="en-GB"/>
              </w:rPr>
              <w:t>ratio</w:t>
            </w:r>
            <w:r w:rsidRPr="00892D0C">
              <w:rPr>
                <w:rFonts w:eastAsia="新細明體"/>
                <w:sz w:val="17"/>
                <w:lang w:eastAsia="en-GB"/>
              </w:rPr>
              <w:t>’s value using the corresponding specifications pursuant to t</w:t>
            </w:r>
            <w:r w:rsidRPr="00D87725">
              <w:rPr>
                <w:rFonts w:eastAsia="新細明體"/>
                <w:sz w:val="17"/>
                <w:lang w:eastAsia="en-GB"/>
              </w:rPr>
              <w:t>he Banking (Capital) Rules (“BCR”) and Banking (Liquidity) Rules (“BLR”), f</w:t>
            </w:r>
            <w:r w:rsidRPr="00892D0C">
              <w:rPr>
                <w:rFonts w:eastAsia="新細明體"/>
                <w:sz w:val="17"/>
                <w:lang w:eastAsia="en-GB"/>
              </w:rPr>
              <w:t xml:space="preserve">or the </w:t>
            </w:r>
            <w:r>
              <w:rPr>
                <w:rFonts w:eastAsia="新細明體"/>
                <w:sz w:val="17"/>
                <w:lang w:eastAsia="en-GB"/>
              </w:rPr>
              <w:t xml:space="preserve">current </w:t>
            </w:r>
            <w:r w:rsidRPr="00892D0C">
              <w:rPr>
                <w:rFonts w:eastAsia="新細明體"/>
                <w:sz w:val="17"/>
                <w:lang w:eastAsia="en-GB"/>
              </w:rPr>
              <w:t xml:space="preserve">reporting period (designated </w:t>
            </w:r>
            <w:r>
              <w:rPr>
                <w:rFonts w:eastAsia="新細明體"/>
                <w:sz w:val="17"/>
                <w:lang w:eastAsia="en-GB"/>
              </w:rPr>
              <w:t>as</w:t>
            </w:r>
            <w:r w:rsidRPr="00892D0C">
              <w:rPr>
                <w:rFonts w:eastAsia="新細明體"/>
                <w:sz w:val="17"/>
                <w:lang w:eastAsia="en-GB"/>
              </w:rPr>
              <w:t xml:space="preserve"> T in the template below) as well as the four previous quarter</w:t>
            </w:r>
            <w:r>
              <w:rPr>
                <w:rFonts w:eastAsia="新細明體"/>
                <w:sz w:val="17"/>
                <w:lang w:eastAsia="en-GB"/>
              </w:rPr>
              <w:t>ly reporting periods</w:t>
            </w:r>
            <w:r w:rsidRPr="00892D0C">
              <w:rPr>
                <w:rFonts w:eastAsia="新細明體"/>
                <w:sz w:val="17"/>
                <w:lang w:eastAsia="en-GB"/>
              </w:rPr>
              <w:t xml:space="preserve"> (designated </w:t>
            </w:r>
            <w:r>
              <w:rPr>
                <w:rFonts w:eastAsia="新細明體"/>
                <w:sz w:val="17"/>
                <w:lang w:eastAsia="en-GB"/>
              </w:rPr>
              <w:t>as</w:t>
            </w:r>
            <w:r w:rsidRPr="00892D0C">
              <w:rPr>
                <w:rFonts w:eastAsia="新細明體"/>
                <w:sz w:val="17"/>
                <w:lang w:eastAsia="en-GB"/>
              </w:rPr>
              <w:t xml:space="preserve"> T-1 to T-4</w:t>
            </w:r>
            <w:r>
              <w:rPr>
                <w:rFonts w:eastAsia="新細明體"/>
                <w:sz w:val="17"/>
                <w:lang w:eastAsia="en-GB"/>
              </w:rPr>
              <w:t xml:space="preserve"> respectively</w:t>
            </w:r>
            <w:r w:rsidRPr="00892D0C">
              <w:rPr>
                <w:rFonts w:eastAsia="新細明體"/>
                <w:sz w:val="17"/>
                <w:lang w:eastAsia="en-GB"/>
              </w:rPr>
              <w:t>).</w:t>
            </w:r>
            <w:r>
              <w:rPr>
                <w:rFonts w:eastAsia="新細明體"/>
                <w:sz w:val="17"/>
                <w:lang w:eastAsia="en-GB"/>
              </w:rPr>
              <w:t xml:space="preserve">   As Hong Kong does not provide any transitional arrangements for implementation of expected credit loss provisioning under HKFRS 9, information disclosed in this template is based on a “fully-loaded” basis.</w:t>
            </w:r>
          </w:p>
        </w:tc>
      </w:tr>
      <w:tr w:rsidR="00545554" w:rsidRPr="00E60D4A"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892D0C" w:rsidRDefault="00545554" w:rsidP="00545554">
            <w:pPr>
              <w:spacing w:before="40" w:after="40"/>
              <w:jc w:val="both"/>
              <w:rPr>
                <w:rFonts w:eastAsia="新細明體"/>
                <w:sz w:val="17"/>
                <w:lang w:eastAsia="en-GB"/>
              </w:rPr>
            </w:pPr>
            <w:r w:rsidRPr="00892D0C">
              <w:rPr>
                <w:rFonts w:eastAsia="新細明體"/>
                <w:sz w:val="17"/>
                <w:lang w:eastAsia="en-GB"/>
              </w:rPr>
              <w:t>Quarterly.</w:t>
            </w:r>
          </w:p>
        </w:tc>
      </w:tr>
      <w:tr w:rsidR="00545554" w:rsidRPr="00E60D4A"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892D0C" w:rsidRDefault="00545554" w:rsidP="002462DA">
            <w:pPr>
              <w:spacing w:before="40" w:after="40"/>
              <w:jc w:val="both"/>
              <w:rPr>
                <w:rFonts w:eastAsia="新細明體"/>
                <w:noProof/>
                <w:sz w:val="17"/>
                <w:lang w:eastAsia="en-GB"/>
              </w:rPr>
            </w:pPr>
            <w:r w:rsidRPr="00892D0C">
              <w:rPr>
                <w:rFonts w:eastAsia="新細明體"/>
                <w:noProof/>
                <w:sz w:val="17"/>
                <w:lang w:eastAsia="en-GB"/>
              </w:rPr>
              <w:t>Fixed.</w:t>
            </w:r>
            <w:r>
              <w:rPr>
                <w:rFonts w:eastAsia="新細明體"/>
                <w:noProof/>
                <w:sz w:val="17"/>
                <w:lang w:eastAsia="en-GB"/>
              </w:rPr>
              <w:t xml:space="preserve">  </w:t>
            </w:r>
            <w:r w:rsidRPr="00082B5E">
              <w:rPr>
                <w:rFonts w:eastAsia="新細明體"/>
                <w:noProof/>
                <w:sz w:val="17"/>
                <w:lang w:eastAsia="en-GB"/>
              </w:rPr>
              <w:t xml:space="preserve">If </w:t>
            </w:r>
            <w:r>
              <w:rPr>
                <w:rFonts w:eastAsia="新細明體"/>
                <w:noProof/>
                <w:sz w:val="17"/>
                <w:lang w:eastAsia="en-GB"/>
              </w:rPr>
              <w:t>an AI</w:t>
            </w:r>
            <w:r w:rsidRPr="00082B5E">
              <w:rPr>
                <w:rFonts w:eastAsia="新細明體"/>
                <w:noProof/>
                <w:sz w:val="17"/>
                <w:lang w:eastAsia="en-GB"/>
              </w:rPr>
              <w:t xml:space="preserve"> wish</w:t>
            </w:r>
            <w:r>
              <w:rPr>
                <w:rFonts w:eastAsia="新細明體"/>
                <w:noProof/>
                <w:sz w:val="17"/>
                <w:lang w:eastAsia="en-GB"/>
              </w:rPr>
              <w:t>es</w:t>
            </w:r>
            <w:r w:rsidRPr="00082B5E">
              <w:rPr>
                <w:rFonts w:eastAsia="新細明體"/>
                <w:noProof/>
                <w:sz w:val="17"/>
                <w:lang w:eastAsia="en-GB"/>
              </w:rPr>
              <w:t xml:space="preserve"> to add rows to provide additional regulatory or financial </w:t>
            </w:r>
            <w:r>
              <w:rPr>
                <w:rFonts w:eastAsia="新細明體"/>
                <w:noProof/>
                <w:sz w:val="17"/>
                <w:lang w:eastAsia="en-GB"/>
              </w:rPr>
              <w:t>ratio</w:t>
            </w:r>
            <w:r w:rsidRPr="00082B5E">
              <w:rPr>
                <w:rFonts w:eastAsia="新細明體"/>
                <w:noProof/>
                <w:sz w:val="17"/>
                <w:lang w:eastAsia="en-GB"/>
              </w:rPr>
              <w:t xml:space="preserve">s, </w:t>
            </w:r>
            <w:r w:rsidR="002462DA">
              <w:rPr>
                <w:rFonts w:eastAsia="新細明體"/>
                <w:noProof/>
                <w:sz w:val="17"/>
                <w:lang w:eastAsia="en-GB"/>
              </w:rPr>
              <w:t>it</w:t>
            </w:r>
            <w:r w:rsidR="002462DA" w:rsidRPr="00082B5E">
              <w:rPr>
                <w:rFonts w:eastAsia="新細明體"/>
                <w:noProof/>
                <w:sz w:val="17"/>
                <w:lang w:eastAsia="en-GB"/>
              </w:rPr>
              <w:t xml:space="preserve"> </w:t>
            </w:r>
            <w:r>
              <w:rPr>
                <w:rFonts w:eastAsia="新細明體"/>
                <w:noProof/>
                <w:sz w:val="17"/>
                <w:lang w:eastAsia="en-GB"/>
              </w:rPr>
              <w:t>should</w:t>
            </w:r>
            <w:r w:rsidRPr="00082B5E">
              <w:rPr>
                <w:rFonts w:eastAsia="新細明體"/>
                <w:noProof/>
                <w:sz w:val="17"/>
                <w:lang w:eastAsia="en-GB"/>
              </w:rPr>
              <w:t xml:space="preserve"> provide definitions for these </w:t>
            </w:r>
            <w:r>
              <w:rPr>
                <w:rFonts w:eastAsia="新細明體"/>
                <w:noProof/>
                <w:sz w:val="17"/>
                <w:lang w:eastAsia="en-GB"/>
              </w:rPr>
              <w:t>ratio</w:t>
            </w:r>
            <w:r w:rsidRPr="00082B5E">
              <w:rPr>
                <w:rFonts w:eastAsia="新細明體"/>
                <w:noProof/>
                <w:sz w:val="17"/>
                <w:lang w:eastAsia="en-GB"/>
              </w:rPr>
              <w:t xml:space="preserve">s and a full explanation of how the </w:t>
            </w:r>
            <w:r>
              <w:rPr>
                <w:rFonts w:eastAsia="新細明體"/>
                <w:noProof/>
                <w:sz w:val="17"/>
                <w:lang w:eastAsia="en-GB"/>
              </w:rPr>
              <w:t>ratio</w:t>
            </w:r>
            <w:r w:rsidRPr="00082B5E">
              <w:rPr>
                <w:rFonts w:eastAsia="新細明體"/>
                <w:noProof/>
                <w:sz w:val="17"/>
                <w:lang w:eastAsia="en-GB"/>
              </w:rPr>
              <w:t xml:space="preserve">s are calculated (including the scope of consolidation and the regulatory capital used if relevant). </w:t>
            </w:r>
            <w:r>
              <w:rPr>
                <w:rFonts w:eastAsia="新細明體"/>
                <w:noProof/>
                <w:sz w:val="17"/>
                <w:lang w:eastAsia="en-GB"/>
              </w:rPr>
              <w:t xml:space="preserve"> </w:t>
            </w:r>
            <w:r w:rsidRPr="00082B5E">
              <w:rPr>
                <w:rFonts w:eastAsia="新細明體"/>
                <w:noProof/>
                <w:sz w:val="17"/>
                <w:lang w:eastAsia="en-GB"/>
              </w:rPr>
              <w:t xml:space="preserve">The additional </w:t>
            </w:r>
            <w:r>
              <w:rPr>
                <w:rFonts w:eastAsia="新細明體"/>
                <w:noProof/>
                <w:sz w:val="17"/>
                <w:lang w:eastAsia="en-GB"/>
              </w:rPr>
              <w:t>ratio</w:t>
            </w:r>
            <w:r w:rsidRPr="00082B5E">
              <w:rPr>
                <w:rFonts w:eastAsia="新細明體"/>
                <w:noProof/>
                <w:sz w:val="17"/>
                <w:lang w:eastAsia="en-GB"/>
              </w:rPr>
              <w:t xml:space="preserve">s </w:t>
            </w:r>
            <w:r>
              <w:rPr>
                <w:rFonts w:eastAsia="新細明體"/>
                <w:noProof/>
                <w:sz w:val="17"/>
                <w:lang w:eastAsia="en-GB"/>
              </w:rPr>
              <w:t>should</w:t>
            </w:r>
            <w:r w:rsidRPr="00082B5E">
              <w:rPr>
                <w:rFonts w:eastAsia="新細明體"/>
                <w:noProof/>
                <w:sz w:val="17"/>
                <w:lang w:eastAsia="en-GB"/>
              </w:rPr>
              <w:t xml:space="preserve"> not replace the</w:t>
            </w:r>
            <w:r w:rsidRPr="00892D0C">
              <w:rPr>
                <w:rFonts w:eastAsia="新細明體"/>
                <w:noProof/>
                <w:sz w:val="17"/>
                <w:lang w:eastAsia="en-GB"/>
              </w:rPr>
              <w:t xml:space="preserve"> prudential </w:t>
            </w:r>
            <w:r>
              <w:rPr>
                <w:rFonts w:eastAsia="新細明體"/>
                <w:noProof/>
                <w:sz w:val="17"/>
                <w:lang w:eastAsia="en-GB"/>
              </w:rPr>
              <w:t>ratio</w:t>
            </w:r>
            <w:r w:rsidRPr="00082B5E">
              <w:rPr>
                <w:rFonts w:eastAsia="新細明體"/>
                <w:noProof/>
                <w:sz w:val="17"/>
                <w:lang w:eastAsia="en-GB"/>
              </w:rPr>
              <w:t xml:space="preserve">s </w:t>
            </w:r>
            <w:r>
              <w:rPr>
                <w:rFonts w:eastAsia="新細明體"/>
                <w:noProof/>
                <w:sz w:val="17"/>
                <w:lang w:eastAsia="en-GB"/>
              </w:rPr>
              <w:t>on</w:t>
            </w:r>
            <w:r w:rsidRPr="00082B5E">
              <w:rPr>
                <w:rFonts w:eastAsia="新細明體"/>
                <w:noProof/>
                <w:sz w:val="17"/>
                <w:lang w:eastAsia="en-GB"/>
              </w:rPr>
              <w:t xml:space="preserve"> this </w:t>
            </w:r>
            <w:r>
              <w:rPr>
                <w:rFonts w:eastAsia="新細明體"/>
                <w:noProof/>
                <w:sz w:val="17"/>
                <w:lang w:eastAsia="en-GB"/>
              </w:rPr>
              <w:t>template</w:t>
            </w:r>
            <w:r w:rsidRPr="00082B5E">
              <w:rPr>
                <w:rFonts w:eastAsia="新細明體"/>
                <w:noProof/>
                <w:sz w:val="17"/>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892D0C">
              <w:rPr>
                <w:rFonts w:eastAsia="新細明體"/>
                <w:b/>
                <w:sz w:val="17"/>
                <w:szCs w:val="17"/>
                <w:lang w:eastAsia="en-GB"/>
              </w:rPr>
              <w:t>Accompanying narrative</w:t>
            </w:r>
            <w:r w:rsidRPr="00892D0C">
              <w:rPr>
                <w:rFonts w:eastAsia="新細明體"/>
                <w:sz w:val="17"/>
                <w:szCs w:val="17"/>
                <w:lang w:eastAsia="en-GB"/>
              </w:rPr>
              <w:t>:</w:t>
            </w:r>
          </w:p>
        </w:tc>
        <w:tc>
          <w:tcPr>
            <w:tcW w:w="7234" w:type="dxa"/>
          </w:tcPr>
          <w:p w:rsidR="00545554" w:rsidRPr="0023654F" w:rsidRDefault="00545554" w:rsidP="00545554">
            <w:pPr>
              <w:pStyle w:val="TableText"/>
              <w:jc w:val="both"/>
              <w:rPr>
                <w:lang w:eastAsia="en-GB"/>
              </w:rPr>
            </w:pPr>
            <w:r w:rsidRPr="00892D0C">
              <w:rPr>
                <w:rFonts w:eastAsia="新細明體"/>
                <w:noProof/>
                <w:lang w:eastAsia="en-GB"/>
              </w:rPr>
              <w:t>An AI should explain the key drivers (e.g. whether the changes are due to changes in the regulatory framework, group structure or business model) behind</w:t>
            </w:r>
            <w:r>
              <w:rPr>
                <w:rFonts w:eastAsia="新細明體"/>
                <w:noProof/>
                <w:lang w:eastAsia="en-GB"/>
              </w:rPr>
              <w:t xml:space="preserve"> any material</w:t>
            </w:r>
            <w:r w:rsidRPr="00892D0C">
              <w:rPr>
                <w:rFonts w:eastAsia="新細明體"/>
                <w:noProof/>
                <w:lang w:eastAsia="en-GB"/>
              </w:rPr>
              <w:t xml:space="preserve"> </w:t>
            </w:r>
            <w:r>
              <w:rPr>
                <w:rFonts w:eastAsia="新細明體"/>
                <w:noProof/>
                <w:lang w:eastAsia="en-GB"/>
              </w:rPr>
              <w:t>change</w:t>
            </w:r>
            <w:r w:rsidRPr="00892D0C">
              <w:rPr>
                <w:rFonts w:eastAsia="新細明體"/>
                <w:noProof/>
                <w:lang w:eastAsia="en-GB"/>
              </w:rPr>
              <w:t xml:space="preserve">s </w:t>
            </w:r>
            <w:r>
              <w:rPr>
                <w:rFonts w:eastAsia="新細明體"/>
                <w:noProof/>
                <w:lang w:eastAsia="en-GB"/>
              </w:rPr>
              <w:t xml:space="preserve">across </w:t>
            </w:r>
            <w:r w:rsidRPr="00892D0C">
              <w:rPr>
                <w:rFonts w:eastAsia="新細明體"/>
                <w:noProof/>
                <w:lang w:eastAsia="en-GB"/>
              </w:rPr>
              <w:t xml:space="preserve">reporting periods for each </w:t>
            </w:r>
            <w:r>
              <w:rPr>
                <w:rFonts w:eastAsia="新細明體"/>
                <w:noProof/>
                <w:lang w:eastAsia="en-GB"/>
              </w:rPr>
              <w:t>ratio</w:t>
            </w:r>
            <w:r w:rsidRPr="00892D0C">
              <w:rPr>
                <w:rFonts w:eastAsia="新細明體"/>
                <w:noProof/>
                <w:lang w:eastAsia="en-GB"/>
              </w:rPr>
              <w:t xml:space="preserve">’s value </w:t>
            </w:r>
            <w:r>
              <w:rPr>
                <w:rFonts w:eastAsia="新細明體"/>
                <w:noProof/>
                <w:lang w:eastAsia="en-GB"/>
              </w:rPr>
              <w:t>in</w:t>
            </w:r>
            <w:r w:rsidRPr="00892D0C">
              <w:rPr>
                <w:rFonts w:eastAsia="新細明體"/>
                <w:noProof/>
                <w:lang w:eastAsia="en-GB"/>
              </w:rPr>
              <w:t xml:space="preserve"> a narrative commentary.</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Corresponding BDR section:</w:t>
            </w:r>
          </w:p>
        </w:tc>
        <w:tc>
          <w:tcPr>
            <w:tcW w:w="7234" w:type="dxa"/>
          </w:tcPr>
          <w:p w:rsidR="00545554" w:rsidRPr="0023654F" w:rsidRDefault="00545554" w:rsidP="007A7271">
            <w:pPr>
              <w:pStyle w:val="TableText"/>
              <w:jc w:val="both"/>
              <w:rPr>
                <w:lang w:eastAsia="en-GB"/>
              </w:rPr>
            </w:pPr>
            <w:r w:rsidRPr="001B530B">
              <w:rPr>
                <w:rFonts w:eastAsia="新細明體"/>
                <w:szCs w:val="17"/>
                <w:lang w:eastAsia="en-GB"/>
              </w:rPr>
              <w:t>16AB</w:t>
            </w:r>
          </w:p>
        </w:tc>
      </w:tr>
    </w:tbl>
    <w:p w:rsidR="00545554" w:rsidRPr="00A66171" w:rsidRDefault="00545554" w:rsidP="00545554">
      <w:pPr>
        <w:ind w:leftChars="-177" w:left="-354"/>
        <w:rPr>
          <w:rFonts w:cs="Segoe UI"/>
          <w:color w:val="AA322F"/>
          <w:sz w:val="26"/>
          <w:szCs w:val="26"/>
        </w:rPr>
      </w:pPr>
    </w:p>
    <w:tbl>
      <w:tblPr>
        <w:tblStyle w:val="TableGrid1"/>
        <w:tblW w:w="9356" w:type="dxa"/>
        <w:tblInd w:w="-459" w:type="dxa"/>
        <w:tblLayout w:type="fixed"/>
        <w:tblLook w:val="04A0" w:firstRow="1" w:lastRow="0" w:firstColumn="1" w:lastColumn="0" w:noHBand="0" w:noVBand="1"/>
      </w:tblPr>
      <w:tblGrid>
        <w:gridCol w:w="567"/>
        <w:gridCol w:w="4536"/>
        <w:gridCol w:w="851"/>
        <w:gridCol w:w="850"/>
        <w:gridCol w:w="851"/>
        <w:gridCol w:w="850"/>
        <w:gridCol w:w="851"/>
      </w:tblGrid>
      <w:tr w:rsidR="00545554" w:rsidRPr="00892D0C" w:rsidTr="00545554">
        <w:trPr>
          <w:tblHeader/>
        </w:trPr>
        <w:tc>
          <w:tcPr>
            <w:tcW w:w="567" w:type="dxa"/>
            <w:tcBorders>
              <w:top w:val="nil"/>
              <w:left w:val="nil"/>
              <w:bottom w:val="nil"/>
              <w:right w:val="nil"/>
            </w:tcBorders>
          </w:tcPr>
          <w:p w:rsidR="00545554" w:rsidRPr="00892D0C" w:rsidRDefault="00545554" w:rsidP="00545554">
            <w:pPr>
              <w:rPr>
                <w:rFonts w:cs="Segoe UI"/>
                <w:sz w:val="17"/>
                <w:szCs w:val="17"/>
              </w:rPr>
            </w:pPr>
          </w:p>
        </w:tc>
        <w:tc>
          <w:tcPr>
            <w:tcW w:w="4536" w:type="dxa"/>
            <w:tcBorders>
              <w:top w:val="nil"/>
              <w:left w:val="nil"/>
              <w:bottom w:val="nil"/>
            </w:tcBorders>
          </w:tcPr>
          <w:p w:rsidR="00545554" w:rsidRPr="00892D0C" w:rsidRDefault="00545554" w:rsidP="00545554">
            <w:pPr>
              <w:rPr>
                <w:rFonts w:cs="Segoe UI"/>
                <w:sz w:val="17"/>
                <w:szCs w:val="17"/>
              </w:rPr>
            </w:pPr>
          </w:p>
        </w:tc>
        <w:tc>
          <w:tcPr>
            <w:tcW w:w="851" w:type="dxa"/>
          </w:tcPr>
          <w:p w:rsidR="00545554" w:rsidRPr="00892D0C" w:rsidRDefault="00545554" w:rsidP="00545554">
            <w:pPr>
              <w:jc w:val="center"/>
              <w:rPr>
                <w:rFonts w:cs="Segoe UI"/>
                <w:sz w:val="17"/>
                <w:szCs w:val="17"/>
              </w:rPr>
            </w:pPr>
            <w:r>
              <w:rPr>
                <w:rFonts w:cs="Segoe UI"/>
                <w:sz w:val="17"/>
                <w:szCs w:val="17"/>
              </w:rPr>
              <w:t>(</w:t>
            </w:r>
            <w:r w:rsidRPr="00892D0C">
              <w:rPr>
                <w:rFonts w:cs="Segoe UI"/>
                <w:sz w:val="17"/>
                <w:szCs w:val="17"/>
              </w:rPr>
              <w:t>a</w:t>
            </w:r>
            <w:r>
              <w:rPr>
                <w:rFonts w:cs="Segoe UI"/>
                <w:sz w:val="17"/>
                <w:szCs w:val="17"/>
              </w:rPr>
              <w:t>)</w:t>
            </w:r>
          </w:p>
        </w:tc>
        <w:tc>
          <w:tcPr>
            <w:tcW w:w="850" w:type="dxa"/>
          </w:tcPr>
          <w:p w:rsidR="00545554" w:rsidRPr="00892D0C" w:rsidRDefault="00545554" w:rsidP="00545554">
            <w:pPr>
              <w:jc w:val="center"/>
              <w:rPr>
                <w:rFonts w:cs="Segoe UI"/>
                <w:sz w:val="17"/>
                <w:szCs w:val="17"/>
              </w:rPr>
            </w:pPr>
            <w:r>
              <w:rPr>
                <w:rFonts w:cs="Segoe UI"/>
                <w:sz w:val="17"/>
                <w:szCs w:val="17"/>
              </w:rPr>
              <w:t>(</w:t>
            </w:r>
            <w:r w:rsidRPr="00892D0C">
              <w:rPr>
                <w:rFonts w:cs="Segoe UI"/>
                <w:sz w:val="17"/>
                <w:szCs w:val="17"/>
              </w:rPr>
              <w:t>b</w:t>
            </w:r>
            <w:r>
              <w:rPr>
                <w:rFonts w:cs="Segoe UI"/>
                <w:sz w:val="17"/>
                <w:szCs w:val="17"/>
              </w:rPr>
              <w:t>)</w:t>
            </w:r>
          </w:p>
        </w:tc>
        <w:tc>
          <w:tcPr>
            <w:tcW w:w="851" w:type="dxa"/>
          </w:tcPr>
          <w:p w:rsidR="00545554" w:rsidRPr="00892D0C" w:rsidRDefault="00545554" w:rsidP="00545554">
            <w:pPr>
              <w:jc w:val="center"/>
              <w:rPr>
                <w:rFonts w:cs="Segoe UI"/>
                <w:sz w:val="17"/>
                <w:szCs w:val="17"/>
              </w:rPr>
            </w:pPr>
            <w:r>
              <w:rPr>
                <w:rFonts w:cs="Segoe UI"/>
                <w:sz w:val="17"/>
                <w:szCs w:val="17"/>
              </w:rPr>
              <w:t>(</w:t>
            </w:r>
            <w:r w:rsidRPr="00892D0C">
              <w:rPr>
                <w:rFonts w:cs="Segoe UI"/>
                <w:sz w:val="17"/>
                <w:szCs w:val="17"/>
              </w:rPr>
              <w:t>c</w:t>
            </w:r>
            <w:r>
              <w:rPr>
                <w:rFonts w:cs="Segoe UI"/>
                <w:sz w:val="17"/>
                <w:szCs w:val="17"/>
              </w:rPr>
              <w:t>)</w:t>
            </w:r>
          </w:p>
        </w:tc>
        <w:tc>
          <w:tcPr>
            <w:tcW w:w="850" w:type="dxa"/>
          </w:tcPr>
          <w:p w:rsidR="00545554" w:rsidRPr="00892D0C" w:rsidRDefault="00545554" w:rsidP="00545554">
            <w:pPr>
              <w:jc w:val="center"/>
              <w:rPr>
                <w:rFonts w:cs="Segoe UI"/>
                <w:sz w:val="17"/>
                <w:szCs w:val="17"/>
              </w:rPr>
            </w:pPr>
            <w:r>
              <w:rPr>
                <w:rFonts w:cs="Segoe UI"/>
                <w:sz w:val="17"/>
                <w:szCs w:val="17"/>
              </w:rPr>
              <w:t>(</w:t>
            </w:r>
            <w:r w:rsidRPr="00892D0C">
              <w:rPr>
                <w:rFonts w:cs="Segoe UI"/>
                <w:sz w:val="17"/>
                <w:szCs w:val="17"/>
              </w:rPr>
              <w:t>d</w:t>
            </w:r>
            <w:r>
              <w:rPr>
                <w:rFonts w:cs="Segoe UI"/>
                <w:sz w:val="17"/>
                <w:szCs w:val="17"/>
              </w:rPr>
              <w:t>)</w:t>
            </w:r>
          </w:p>
        </w:tc>
        <w:tc>
          <w:tcPr>
            <w:tcW w:w="851" w:type="dxa"/>
            <w:tcBorders>
              <w:right w:val="single" w:sz="4" w:space="0" w:color="auto"/>
            </w:tcBorders>
          </w:tcPr>
          <w:p w:rsidR="00545554" w:rsidRPr="00892D0C" w:rsidRDefault="00545554" w:rsidP="00545554">
            <w:pPr>
              <w:jc w:val="center"/>
              <w:rPr>
                <w:rFonts w:cs="Segoe UI"/>
                <w:sz w:val="17"/>
                <w:szCs w:val="17"/>
              </w:rPr>
            </w:pPr>
            <w:r>
              <w:rPr>
                <w:rFonts w:cs="Segoe UI"/>
                <w:sz w:val="17"/>
                <w:szCs w:val="17"/>
              </w:rPr>
              <w:t>(</w:t>
            </w:r>
            <w:r w:rsidRPr="00892D0C">
              <w:rPr>
                <w:rFonts w:cs="Segoe UI"/>
                <w:sz w:val="17"/>
                <w:szCs w:val="17"/>
              </w:rPr>
              <w:t>e</w:t>
            </w:r>
            <w:r>
              <w:rPr>
                <w:rFonts w:cs="Segoe UI"/>
                <w:sz w:val="17"/>
                <w:szCs w:val="17"/>
              </w:rPr>
              <w:t>)</w:t>
            </w:r>
          </w:p>
        </w:tc>
      </w:tr>
      <w:tr w:rsidR="00545554" w:rsidRPr="00892D0C" w:rsidTr="00545554">
        <w:trPr>
          <w:tblHeader/>
        </w:trPr>
        <w:tc>
          <w:tcPr>
            <w:tcW w:w="567" w:type="dxa"/>
            <w:tcBorders>
              <w:top w:val="nil"/>
              <w:left w:val="nil"/>
              <w:right w:val="nil"/>
            </w:tcBorders>
          </w:tcPr>
          <w:p w:rsidR="00545554" w:rsidRPr="00892D0C" w:rsidRDefault="00545554" w:rsidP="00545554">
            <w:pPr>
              <w:rPr>
                <w:rFonts w:cs="Segoe UI"/>
                <w:sz w:val="17"/>
                <w:szCs w:val="17"/>
              </w:rPr>
            </w:pPr>
          </w:p>
        </w:tc>
        <w:tc>
          <w:tcPr>
            <w:tcW w:w="4536" w:type="dxa"/>
            <w:tcBorders>
              <w:top w:val="nil"/>
              <w:left w:val="nil"/>
            </w:tcBorders>
          </w:tcPr>
          <w:p w:rsidR="00545554" w:rsidRPr="00892D0C" w:rsidRDefault="00545554" w:rsidP="00545554">
            <w:pPr>
              <w:rPr>
                <w:rFonts w:cs="Segoe UI"/>
                <w:sz w:val="17"/>
                <w:szCs w:val="17"/>
              </w:rPr>
            </w:pPr>
          </w:p>
        </w:tc>
        <w:tc>
          <w:tcPr>
            <w:tcW w:w="851" w:type="dxa"/>
          </w:tcPr>
          <w:p w:rsidR="00545554" w:rsidRPr="00892D0C" w:rsidRDefault="00545554" w:rsidP="00545554">
            <w:pPr>
              <w:jc w:val="center"/>
              <w:rPr>
                <w:rFonts w:cs="Segoe UI"/>
                <w:sz w:val="17"/>
                <w:szCs w:val="17"/>
              </w:rPr>
            </w:pPr>
            <w:r w:rsidRPr="00892D0C">
              <w:rPr>
                <w:rFonts w:cs="Segoe UI"/>
                <w:sz w:val="17"/>
                <w:szCs w:val="17"/>
              </w:rPr>
              <w:t>T</w:t>
            </w:r>
          </w:p>
        </w:tc>
        <w:tc>
          <w:tcPr>
            <w:tcW w:w="850" w:type="dxa"/>
          </w:tcPr>
          <w:p w:rsidR="00545554" w:rsidRPr="00892D0C" w:rsidRDefault="00545554" w:rsidP="00545554">
            <w:pPr>
              <w:jc w:val="center"/>
              <w:rPr>
                <w:rFonts w:cs="Segoe UI"/>
                <w:sz w:val="17"/>
                <w:szCs w:val="17"/>
              </w:rPr>
            </w:pPr>
            <w:r w:rsidRPr="00892D0C">
              <w:rPr>
                <w:rFonts w:cs="Segoe UI"/>
                <w:sz w:val="17"/>
                <w:szCs w:val="17"/>
              </w:rPr>
              <w:t>T-1</w:t>
            </w:r>
          </w:p>
        </w:tc>
        <w:tc>
          <w:tcPr>
            <w:tcW w:w="851" w:type="dxa"/>
          </w:tcPr>
          <w:p w:rsidR="00545554" w:rsidRPr="00892D0C" w:rsidRDefault="00545554" w:rsidP="00545554">
            <w:pPr>
              <w:jc w:val="center"/>
              <w:rPr>
                <w:rFonts w:cs="Segoe UI"/>
                <w:sz w:val="17"/>
                <w:szCs w:val="17"/>
              </w:rPr>
            </w:pPr>
            <w:r w:rsidRPr="00892D0C">
              <w:rPr>
                <w:rFonts w:cs="Segoe UI"/>
                <w:sz w:val="17"/>
                <w:szCs w:val="17"/>
              </w:rPr>
              <w:t>T-2</w:t>
            </w:r>
          </w:p>
        </w:tc>
        <w:tc>
          <w:tcPr>
            <w:tcW w:w="850" w:type="dxa"/>
          </w:tcPr>
          <w:p w:rsidR="00545554" w:rsidRPr="00892D0C" w:rsidRDefault="00545554" w:rsidP="00545554">
            <w:pPr>
              <w:jc w:val="center"/>
              <w:rPr>
                <w:rFonts w:cs="Segoe UI"/>
                <w:sz w:val="17"/>
                <w:szCs w:val="17"/>
              </w:rPr>
            </w:pPr>
            <w:r w:rsidRPr="00892D0C">
              <w:rPr>
                <w:rFonts w:cs="Segoe UI"/>
                <w:sz w:val="17"/>
                <w:szCs w:val="17"/>
              </w:rPr>
              <w:t>T-3</w:t>
            </w:r>
          </w:p>
        </w:tc>
        <w:tc>
          <w:tcPr>
            <w:tcW w:w="851" w:type="dxa"/>
            <w:tcBorders>
              <w:right w:val="single" w:sz="4" w:space="0" w:color="auto"/>
            </w:tcBorders>
          </w:tcPr>
          <w:p w:rsidR="00545554" w:rsidRPr="00892D0C" w:rsidRDefault="00545554" w:rsidP="00545554">
            <w:pPr>
              <w:jc w:val="center"/>
              <w:rPr>
                <w:rFonts w:cs="Segoe UI"/>
                <w:sz w:val="17"/>
                <w:szCs w:val="17"/>
              </w:rPr>
            </w:pPr>
            <w:r w:rsidRPr="00892D0C">
              <w:rPr>
                <w:rFonts w:cs="Segoe UI"/>
                <w:sz w:val="17"/>
                <w:szCs w:val="17"/>
              </w:rPr>
              <w:t>T-4</w:t>
            </w: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892D0C" w:rsidRDefault="00545554" w:rsidP="00545554">
            <w:pPr>
              <w:pStyle w:val="TableText"/>
              <w:snapToGrid w:val="0"/>
              <w:ind w:left="34" w:rightChars="71" w:right="142"/>
              <w:rPr>
                <w:rFonts w:cs="Segoe UI"/>
                <w:szCs w:val="17"/>
              </w:rPr>
            </w:pPr>
            <w:r>
              <w:rPr>
                <w:rFonts w:cs="Segoe UI"/>
                <w:b/>
                <w:szCs w:val="17"/>
              </w:rPr>
              <w:t>Regulatory</w:t>
            </w:r>
            <w:r w:rsidRPr="00892D0C">
              <w:rPr>
                <w:rFonts w:cs="Segoe UI"/>
                <w:b/>
                <w:szCs w:val="17"/>
              </w:rPr>
              <w:t xml:space="preserve"> capital</w:t>
            </w:r>
            <w:r>
              <w:rPr>
                <w:rFonts w:cs="Segoe UI"/>
                <w:b/>
                <w:szCs w:val="17"/>
              </w:rPr>
              <w:t xml:space="preserve"> (amount)</w:t>
            </w:r>
          </w:p>
        </w:tc>
      </w:tr>
      <w:tr w:rsidR="00545554" w:rsidRPr="00892D0C" w:rsidTr="00545554">
        <w:trPr>
          <w:trHeight w:val="121"/>
        </w:trPr>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Common Equity Tier</w:t>
            </w:r>
            <w:r>
              <w:rPr>
                <w:rFonts w:cs="Segoe UI"/>
                <w:szCs w:val="17"/>
              </w:rPr>
              <w:t xml:space="preserve"> </w:t>
            </w:r>
            <w:r w:rsidRPr="00892D0C">
              <w:rPr>
                <w:rFonts w:cs="Segoe UI"/>
                <w:szCs w:val="17"/>
              </w:rPr>
              <w:t>1 (CET1)</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2</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Tier 1</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3</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Total capital</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892D0C" w:rsidRDefault="00545554" w:rsidP="00545554">
            <w:pPr>
              <w:pStyle w:val="TableText"/>
              <w:snapToGrid w:val="0"/>
              <w:ind w:left="34" w:rightChars="71" w:right="142"/>
              <w:rPr>
                <w:rFonts w:cs="Segoe UI"/>
                <w:szCs w:val="17"/>
              </w:rPr>
            </w:pPr>
            <w:r w:rsidRPr="00892D0C">
              <w:rPr>
                <w:rFonts w:cs="Segoe UI"/>
                <w:b/>
                <w:szCs w:val="17"/>
              </w:rPr>
              <w:t>R</w:t>
            </w:r>
            <w:r>
              <w:rPr>
                <w:rFonts w:cs="Segoe UI"/>
                <w:b/>
                <w:szCs w:val="17"/>
              </w:rPr>
              <w:t>WA (amount)</w:t>
            </w: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4</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 xml:space="preserve">Total </w:t>
            </w:r>
            <w:r>
              <w:rPr>
                <w:rFonts w:cs="Segoe UI"/>
                <w:szCs w:val="17"/>
              </w:rPr>
              <w:t>RWA</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892D0C" w:rsidRDefault="00545554" w:rsidP="00545554">
            <w:pPr>
              <w:pStyle w:val="TableText"/>
              <w:snapToGrid w:val="0"/>
              <w:ind w:left="34" w:rightChars="71" w:right="142"/>
              <w:rPr>
                <w:rFonts w:cs="Segoe UI"/>
                <w:szCs w:val="17"/>
              </w:rPr>
            </w:pPr>
            <w:r w:rsidRPr="00892D0C">
              <w:rPr>
                <w:rFonts w:cs="Segoe UI"/>
                <w:b/>
                <w:szCs w:val="17"/>
              </w:rPr>
              <w:t xml:space="preserve">Risk-based </w:t>
            </w:r>
            <w:r>
              <w:rPr>
                <w:rFonts w:cs="Segoe UI"/>
                <w:b/>
                <w:szCs w:val="17"/>
              </w:rPr>
              <w:t xml:space="preserve">regulatory </w:t>
            </w:r>
            <w:r w:rsidRPr="00892D0C">
              <w:rPr>
                <w:rFonts w:cs="Segoe UI"/>
                <w:b/>
                <w:szCs w:val="17"/>
              </w:rPr>
              <w:t xml:space="preserve">capital ratios </w:t>
            </w:r>
            <w:r>
              <w:rPr>
                <w:rFonts w:cs="Segoe UI"/>
                <w:b/>
                <w:szCs w:val="17"/>
              </w:rPr>
              <w:t>(</w:t>
            </w:r>
            <w:r w:rsidRPr="00892D0C">
              <w:rPr>
                <w:rFonts w:cs="Segoe UI"/>
                <w:b/>
                <w:szCs w:val="17"/>
              </w:rPr>
              <w:t>as a percentage of RWA</w:t>
            </w:r>
            <w:r>
              <w:rPr>
                <w:rFonts w:cs="Segoe UI"/>
                <w:b/>
                <w:szCs w:val="17"/>
              </w:rPr>
              <w:t>)</w:t>
            </w: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5</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CET1 ratio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6</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Tier 1 ratio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7</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Total capital ratio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892D0C" w:rsidRDefault="00545554" w:rsidP="00545554">
            <w:pPr>
              <w:pStyle w:val="TableText"/>
              <w:snapToGrid w:val="0"/>
              <w:ind w:left="34" w:rightChars="71" w:right="142"/>
              <w:rPr>
                <w:rFonts w:cs="Segoe UI"/>
                <w:szCs w:val="17"/>
              </w:rPr>
            </w:pPr>
            <w:r w:rsidRPr="00892D0C">
              <w:rPr>
                <w:rFonts w:cs="Segoe UI"/>
                <w:b/>
                <w:szCs w:val="17"/>
              </w:rPr>
              <w:t xml:space="preserve">Additional CET1 buffer requirements </w:t>
            </w:r>
            <w:r>
              <w:rPr>
                <w:rFonts w:cs="Segoe UI"/>
                <w:b/>
                <w:szCs w:val="17"/>
              </w:rPr>
              <w:t>(</w:t>
            </w:r>
            <w:r w:rsidRPr="00892D0C">
              <w:rPr>
                <w:rFonts w:cs="Segoe UI"/>
                <w:b/>
                <w:szCs w:val="17"/>
              </w:rPr>
              <w:t>as a percentage of RWA</w:t>
            </w:r>
            <w:r>
              <w:rPr>
                <w:rFonts w:cs="Segoe UI"/>
                <w:b/>
                <w:szCs w:val="17"/>
              </w:rPr>
              <w:t>)</w:t>
            </w: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8</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Capital conservation buffer requirement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lastRenderedPageBreak/>
              <w:t>9</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 xml:space="preserve">Countercyclical </w:t>
            </w:r>
            <w:r>
              <w:rPr>
                <w:rFonts w:cs="Segoe UI"/>
                <w:szCs w:val="17"/>
              </w:rPr>
              <w:t xml:space="preserve">capital </w:t>
            </w:r>
            <w:r w:rsidRPr="00892D0C">
              <w:rPr>
                <w:rFonts w:cs="Segoe UI"/>
                <w:szCs w:val="17"/>
              </w:rPr>
              <w:t>buffer requirement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10</w:t>
            </w:r>
          </w:p>
        </w:tc>
        <w:tc>
          <w:tcPr>
            <w:tcW w:w="4536" w:type="dxa"/>
          </w:tcPr>
          <w:p w:rsidR="00545554" w:rsidRPr="00892D0C" w:rsidRDefault="00545554" w:rsidP="00545554">
            <w:pPr>
              <w:pStyle w:val="TableText"/>
              <w:snapToGrid w:val="0"/>
              <w:ind w:left="34" w:rightChars="71" w:right="142"/>
              <w:rPr>
                <w:rFonts w:cs="Segoe UI"/>
                <w:szCs w:val="17"/>
              </w:rPr>
            </w:pPr>
            <w:r>
              <w:rPr>
                <w:rFonts w:cs="Segoe UI"/>
                <w:szCs w:val="17"/>
              </w:rPr>
              <w:t xml:space="preserve">Higher loss absorbency </w:t>
            </w:r>
            <w:r w:rsidRPr="00892D0C">
              <w:rPr>
                <w:rFonts w:cs="Segoe UI"/>
                <w:szCs w:val="17"/>
              </w:rPr>
              <w:t>requirements (%)</w:t>
            </w:r>
            <w:r>
              <w:rPr>
                <w:rFonts w:cs="Segoe UI"/>
                <w:szCs w:val="17"/>
              </w:rPr>
              <w:t xml:space="preserve"> (applicable only to G-SIBs or D-SIBs)</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11</w:t>
            </w:r>
          </w:p>
        </w:tc>
        <w:tc>
          <w:tcPr>
            <w:tcW w:w="4536" w:type="dxa"/>
          </w:tcPr>
          <w:p w:rsidR="00545554" w:rsidRPr="00892D0C" w:rsidRDefault="00545554" w:rsidP="002462DA">
            <w:pPr>
              <w:pStyle w:val="TableText"/>
              <w:snapToGrid w:val="0"/>
              <w:ind w:left="34" w:rightChars="71" w:right="142"/>
              <w:rPr>
                <w:rFonts w:cs="Segoe UI"/>
                <w:szCs w:val="17"/>
              </w:rPr>
            </w:pPr>
            <w:r w:rsidRPr="00892D0C">
              <w:rPr>
                <w:rFonts w:cs="Segoe UI"/>
                <w:szCs w:val="17"/>
              </w:rPr>
              <w:t xml:space="preserve">Total </w:t>
            </w:r>
            <w:r>
              <w:rPr>
                <w:rFonts w:cs="Segoe UI"/>
                <w:szCs w:val="17"/>
              </w:rPr>
              <w:t>AI-</w:t>
            </w:r>
            <w:r w:rsidRPr="00892D0C">
              <w:rPr>
                <w:rFonts w:cs="Segoe UI"/>
                <w:szCs w:val="17"/>
              </w:rPr>
              <w:t>specific CET1</w:t>
            </w:r>
            <w:r>
              <w:rPr>
                <w:rFonts w:cs="Segoe UI"/>
                <w:szCs w:val="17"/>
              </w:rPr>
              <w:t xml:space="preserve"> </w:t>
            </w:r>
            <w:r w:rsidRPr="00892D0C">
              <w:rPr>
                <w:rFonts w:cs="Segoe UI"/>
                <w:szCs w:val="17"/>
              </w:rPr>
              <w:t>buffer requirements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12</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 xml:space="preserve">CET1 available after meeting the </w:t>
            </w:r>
            <w:r>
              <w:rPr>
                <w:rFonts w:cs="Segoe UI"/>
                <w:szCs w:val="17"/>
              </w:rPr>
              <w:t xml:space="preserve">AI’s </w:t>
            </w:r>
            <w:r w:rsidRPr="00892D0C">
              <w:rPr>
                <w:rFonts w:cs="Segoe UI"/>
                <w:szCs w:val="17"/>
              </w:rPr>
              <w:t>minimum capital requirements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892D0C" w:rsidRDefault="00545554" w:rsidP="00545554">
            <w:pPr>
              <w:pStyle w:val="TableText"/>
              <w:snapToGrid w:val="0"/>
              <w:ind w:left="34" w:rightChars="71" w:right="142"/>
              <w:rPr>
                <w:rFonts w:cs="Segoe UI"/>
                <w:szCs w:val="17"/>
              </w:rPr>
            </w:pPr>
            <w:r w:rsidRPr="00892D0C">
              <w:rPr>
                <w:rFonts w:cs="Segoe UI"/>
                <w:b/>
                <w:szCs w:val="17"/>
              </w:rPr>
              <w:t>Basel III leverage ratio</w:t>
            </w: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13</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 xml:space="preserve">Total leverage ratio </w:t>
            </w:r>
            <w:r>
              <w:rPr>
                <w:rFonts w:cs="Segoe UI"/>
                <w:szCs w:val="17"/>
              </w:rPr>
              <w:t xml:space="preserve">(LR) </w:t>
            </w:r>
            <w:r w:rsidRPr="00892D0C">
              <w:rPr>
                <w:rFonts w:cs="Segoe UI"/>
                <w:szCs w:val="17"/>
              </w:rPr>
              <w:t>exposure measure</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14</w:t>
            </w:r>
          </w:p>
        </w:tc>
        <w:tc>
          <w:tcPr>
            <w:tcW w:w="4536" w:type="dxa"/>
          </w:tcPr>
          <w:p w:rsidR="00545554" w:rsidRPr="00892D0C" w:rsidRDefault="00545554" w:rsidP="00545554">
            <w:pPr>
              <w:pStyle w:val="TableText"/>
              <w:snapToGrid w:val="0"/>
              <w:ind w:left="34" w:rightChars="71" w:right="142"/>
              <w:rPr>
                <w:rFonts w:cs="Segoe UI"/>
                <w:szCs w:val="17"/>
              </w:rPr>
            </w:pPr>
            <w:r>
              <w:rPr>
                <w:rFonts w:cs="Segoe UI"/>
                <w:szCs w:val="17"/>
              </w:rPr>
              <w:t>LR</w:t>
            </w:r>
            <w:r w:rsidRPr="00892D0C">
              <w:rPr>
                <w:rFonts w:cs="Segoe UI"/>
                <w:szCs w:val="17"/>
              </w:rPr>
              <w:t xml:space="preserve">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AF1BAA" w:rsidRDefault="00545554" w:rsidP="00545554">
            <w:pPr>
              <w:pStyle w:val="TableText"/>
              <w:snapToGrid w:val="0"/>
              <w:ind w:left="34" w:rightChars="71" w:right="142"/>
              <w:rPr>
                <w:rFonts w:cs="Segoe UI"/>
                <w:b/>
                <w:szCs w:val="17"/>
              </w:rPr>
            </w:pPr>
            <w:r w:rsidRPr="00253907">
              <w:rPr>
                <w:rFonts w:cs="Segoe UI"/>
                <w:b/>
                <w:szCs w:val="17"/>
              </w:rPr>
              <w:t>Liquidity Coverage Ratio</w:t>
            </w:r>
            <w:r>
              <w:rPr>
                <w:rFonts w:cs="Segoe UI"/>
                <w:b/>
                <w:szCs w:val="17"/>
              </w:rPr>
              <w:t xml:space="preserve"> (LCR) / </w:t>
            </w:r>
            <w:r w:rsidRPr="00253907">
              <w:rPr>
                <w:rFonts w:cs="Segoe UI"/>
                <w:b/>
                <w:szCs w:val="17"/>
              </w:rPr>
              <w:t>Liquidity Maintenance Ratio</w:t>
            </w:r>
            <w:r>
              <w:rPr>
                <w:rFonts w:cs="Segoe UI"/>
                <w:b/>
                <w:szCs w:val="17"/>
              </w:rPr>
              <w:t xml:space="preserve"> (LMR)</w:t>
            </w:r>
          </w:p>
        </w:tc>
      </w:tr>
      <w:tr w:rsidR="00545554" w:rsidRPr="00892D0C" w:rsidTr="00545554">
        <w:tc>
          <w:tcPr>
            <w:tcW w:w="567" w:type="dxa"/>
            <w:tcBorders>
              <w:left w:val="nil"/>
            </w:tcBorders>
            <w:shd w:val="clear" w:color="auto" w:fill="F2F2F2" w:themeFill="background1" w:themeFillShade="F2"/>
          </w:tcPr>
          <w:p w:rsidR="00545554" w:rsidRPr="00892D0C" w:rsidRDefault="00545554" w:rsidP="00545554">
            <w:pPr>
              <w:pStyle w:val="TableText"/>
              <w:snapToGrid w:val="0"/>
              <w:ind w:left="33"/>
              <w:rPr>
                <w:rFonts w:cs="Segoe UI"/>
                <w:szCs w:val="17"/>
              </w:rPr>
            </w:pPr>
          </w:p>
        </w:tc>
        <w:tc>
          <w:tcPr>
            <w:tcW w:w="4536" w:type="dxa"/>
            <w:shd w:val="clear" w:color="auto" w:fill="F2F2F2" w:themeFill="background1" w:themeFillShade="F2"/>
          </w:tcPr>
          <w:p w:rsidR="00545554" w:rsidRPr="00892D0C" w:rsidRDefault="00545554">
            <w:pPr>
              <w:pStyle w:val="TableText"/>
              <w:snapToGrid w:val="0"/>
              <w:ind w:left="34" w:rightChars="71" w:right="142"/>
              <w:rPr>
                <w:rFonts w:cs="Segoe UI"/>
                <w:szCs w:val="17"/>
              </w:rPr>
            </w:pPr>
            <w:r>
              <w:rPr>
                <w:rFonts w:cs="Segoe UI"/>
                <w:szCs w:val="17"/>
              </w:rPr>
              <w:t>Applicable to category 1 institution only:</w:t>
            </w:r>
            <w:r w:rsidDel="00D65757">
              <w:rPr>
                <w:rFonts w:cs="Segoe UI"/>
                <w:szCs w:val="17"/>
              </w:rPr>
              <w:t xml:space="preserve"> </w:t>
            </w: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tcBorders>
              <w:right w:val="single" w:sz="4" w:space="0" w:color="auto"/>
            </w:tcBorders>
            <w:shd w:val="clear" w:color="auto" w:fill="F2F2F2" w:themeFill="background1" w:themeFillShade="F2"/>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15</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w:t>
            </w:r>
            <w:r w:rsidRPr="00D87725">
              <w:rPr>
                <w:rFonts w:cs="Segoe UI"/>
                <w:szCs w:val="17"/>
              </w:rPr>
              <w:t>al high quality liquid assets (HQLA)</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w:t>
            </w:r>
            <w:r>
              <w:rPr>
                <w:rFonts w:cs="Segoe UI"/>
                <w:szCs w:val="17"/>
              </w:rPr>
              <w:t>6</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Total net cash outflow</w:t>
            </w:r>
            <w:r>
              <w:rPr>
                <w:rFonts w:cs="Segoe UI"/>
                <w:szCs w:val="17"/>
              </w:rPr>
              <w:t>s</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w:t>
            </w:r>
            <w:r>
              <w:rPr>
                <w:rFonts w:cs="Segoe UI"/>
                <w:szCs w:val="17"/>
              </w:rPr>
              <w:t>7</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LCR</w:t>
            </w:r>
            <w:r>
              <w:rPr>
                <w:rFonts w:cs="Segoe UI"/>
                <w:szCs w:val="17"/>
              </w:rPr>
              <w:t xml:space="preserve"> </w:t>
            </w:r>
            <w:r w:rsidRPr="00892D0C">
              <w:rPr>
                <w:rFonts w:cs="Segoe UI"/>
                <w:szCs w:val="17"/>
              </w:rPr>
              <w:t>(%)</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F2F2F2" w:themeFill="background1" w:themeFillShade="F2"/>
          </w:tcPr>
          <w:p w:rsidR="00545554" w:rsidRPr="00892D0C" w:rsidRDefault="00545554" w:rsidP="00545554">
            <w:pPr>
              <w:pStyle w:val="TableText"/>
              <w:snapToGrid w:val="0"/>
              <w:ind w:left="33"/>
              <w:rPr>
                <w:rFonts w:cs="Segoe UI"/>
                <w:szCs w:val="17"/>
              </w:rPr>
            </w:pPr>
          </w:p>
        </w:tc>
        <w:tc>
          <w:tcPr>
            <w:tcW w:w="4536" w:type="dxa"/>
            <w:shd w:val="clear" w:color="auto" w:fill="F2F2F2" w:themeFill="background1" w:themeFillShade="F2"/>
          </w:tcPr>
          <w:p w:rsidR="00545554" w:rsidRPr="00892D0C" w:rsidRDefault="00545554">
            <w:pPr>
              <w:pStyle w:val="TableText"/>
              <w:snapToGrid w:val="0"/>
              <w:ind w:left="34" w:rightChars="71" w:right="142"/>
              <w:rPr>
                <w:rFonts w:cs="Segoe UI"/>
                <w:szCs w:val="17"/>
              </w:rPr>
            </w:pPr>
            <w:r>
              <w:rPr>
                <w:rFonts w:cs="Segoe UI"/>
                <w:szCs w:val="17"/>
              </w:rPr>
              <w:t>Applicable to category 2 institution only:</w:t>
            </w: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tcBorders>
              <w:right w:val="single" w:sz="4" w:space="0" w:color="auto"/>
            </w:tcBorders>
            <w:shd w:val="clear" w:color="auto" w:fill="F2F2F2" w:themeFill="background1" w:themeFillShade="F2"/>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w:t>
            </w:r>
            <w:r>
              <w:rPr>
                <w:rFonts w:cs="Segoe UI"/>
                <w:szCs w:val="17"/>
              </w:rPr>
              <w:t>7</w:t>
            </w:r>
            <w:r w:rsidRPr="00892D0C">
              <w:rPr>
                <w:rFonts w:cs="Segoe UI"/>
                <w:szCs w:val="17"/>
              </w:rPr>
              <w:t>a</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LMR (%)</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BFBFBF" w:themeFill="background1" w:themeFillShade="BF"/>
          </w:tcPr>
          <w:p w:rsidR="00545554" w:rsidRPr="00892D0C" w:rsidRDefault="00545554" w:rsidP="00545554">
            <w:pPr>
              <w:pStyle w:val="TableText"/>
              <w:snapToGrid w:val="0"/>
              <w:ind w:left="57" w:rightChars="71" w:right="142"/>
              <w:rPr>
                <w:rFonts w:cs="Segoe UI"/>
                <w:szCs w:val="17"/>
              </w:rPr>
            </w:pPr>
          </w:p>
        </w:tc>
        <w:tc>
          <w:tcPr>
            <w:tcW w:w="8789" w:type="dxa"/>
            <w:gridSpan w:val="6"/>
            <w:tcBorders>
              <w:right w:val="single" w:sz="4" w:space="0" w:color="auto"/>
            </w:tcBorders>
            <w:shd w:val="clear" w:color="auto" w:fill="BFBFBF" w:themeFill="background1" w:themeFillShade="BF"/>
          </w:tcPr>
          <w:p w:rsidR="00545554" w:rsidRPr="00AF1BAA" w:rsidRDefault="00545554" w:rsidP="00545554">
            <w:pPr>
              <w:pStyle w:val="TableText"/>
              <w:snapToGrid w:val="0"/>
              <w:ind w:left="57" w:rightChars="71" w:right="142"/>
              <w:rPr>
                <w:rFonts w:cs="Segoe UI"/>
                <w:b/>
                <w:szCs w:val="17"/>
              </w:rPr>
            </w:pPr>
            <w:r w:rsidRPr="00AF1BAA">
              <w:rPr>
                <w:rFonts w:cs="Segoe UI"/>
                <w:b/>
                <w:szCs w:val="17"/>
              </w:rPr>
              <w:t>Net Stable Funding Ratio (NSFR) / Core Funding Ratio (CFR)</w:t>
            </w:r>
          </w:p>
        </w:tc>
      </w:tr>
      <w:tr w:rsidR="00545554" w:rsidRPr="00892D0C" w:rsidTr="00545554">
        <w:tc>
          <w:tcPr>
            <w:tcW w:w="567" w:type="dxa"/>
            <w:tcBorders>
              <w:left w:val="nil"/>
            </w:tcBorders>
            <w:shd w:val="clear" w:color="auto" w:fill="F2F2F2" w:themeFill="background1" w:themeFillShade="F2"/>
          </w:tcPr>
          <w:p w:rsidR="00545554" w:rsidRPr="00892D0C" w:rsidRDefault="00545554" w:rsidP="00545554">
            <w:pPr>
              <w:pStyle w:val="TableText"/>
              <w:snapToGrid w:val="0"/>
              <w:ind w:left="33"/>
              <w:rPr>
                <w:rFonts w:cs="Segoe UI"/>
                <w:szCs w:val="17"/>
              </w:rPr>
            </w:pPr>
          </w:p>
        </w:tc>
        <w:tc>
          <w:tcPr>
            <w:tcW w:w="4536" w:type="dxa"/>
            <w:shd w:val="clear" w:color="auto" w:fill="F2F2F2" w:themeFill="background1" w:themeFillShade="F2"/>
          </w:tcPr>
          <w:p w:rsidR="00545554" w:rsidRPr="00892D0C" w:rsidRDefault="00545554" w:rsidP="00545554">
            <w:pPr>
              <w:pStyle w:val="TableText"/>
              <w:snapToGrid w:val="0"/>
              <w:ind w:left="34" w:rightChars="71" w:right="142"/>
              <w:rPr>
                <w:rFonts w:cs="Segoe UI"/>
                <w:szCs w:val="17"/>
              </w:rPr>
            </w:pPr>
            <w:r>
              <w:rPr>
                <w:rFonts w:cs="Segoe UI"/>
                <w:szCs w:val="17"/>
              </w:rPr>
              <w:t xml:space="preserve">Applicable to category 1 institution only: </w:t>
            </w: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tcBorders>
              <w:right w:val="single" w:sz="4" w:space="0" w:color="auto"/>
            </w:tcBorders>
            <w:shd w:val="clear" w:color="auto" w:fill="F2F2F2" w:themeFill="background1" w:themeFillShade="F2"/>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18</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Total available stable funding</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19</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Total required stable funding</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20</w:t>
            </w:r>
          </w:p>
        </w:tc>
        <w:tc>
          <w:tcPr>
            <w:tcW w:w="4536" w:type="dxa"/>
          </w:tcPr>
          <w:p w:rsidR="00545554" w:rsidRPr="00892D0C" w:rsidRDefault="00545554" w:rsidP="00545554">
            <w:pPr>
              <w:pStyle w:val="TableText"/>
              <w:snapToGrid w:val="0"/>
              <w:ind w:left="34" w:rightChars="71" w:right="142"/>
              <w:rPr>
                <w:rFonts w:cs="Segoe UI"/>
                <w:szCs w:val="17"/>
              </w:rPr>
            </w:pPr>
            <w:r w:rsidRPr="00892D0C">
              <w:rPr>
                <w:rFonts w:cs="Segoe UI"/>
                <w:szCs w:val="17"/>
              </w:rPr>
              <w:t>NSFR</w:t>
            </w:r>
            <w:r>
              <w:rPr>
                <w:rFonts w:cs="Segoe UI"/>
                <w:szCs w:val="17"/>
              </w:rPr>
              <w:t xml:space="preserve"> </w:t>
            </w:r>
            <w:r w:rsidRPr="00892D0C">
              <w:rPr>
                <w:rFonts w:cs="Segoe UI"/>
                <w:szCs w:val="17"/>
              </w:rPr>
              <w:t>(%)</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shd w:val="clear" w:color="auto" w:fill="F2F2F2" w:themeFill="background1" w:themeFillShade="F2"/>
          </w:tcPr>
          <w:p w:rsidR="00545554" w:rsidRPr="00892D0C" w:rsidRDefault="00545554" w:rsidP="00545554">
            <w:pPr>
              <w:pStyle w:val="TableText"/>
              <w:snapToGrid w:val="0"/>
              <w:ind w:left="33"/>
              <w:rPr>
                <w:rFonts w:cs="Segoe UI"/>
                <w:szCs w:val="17"/>
              </w:rPr>
            </w:pPr>
          </w:p>
        </w:tc>
        <w:tc>
          <w:tcPr>
            <w:tcW w:w="4536" w:type="dxa"/>
            <w:shd w:val="clear" w:color="auto" w:fill="F2F2F2" w:themeFill="background1" w:themeFillShade="F2"/>
          </w:tcPr>
          <w:p w:rsidR="00545554" w:rsidRDefault="00545554" w:rsidP="00545554">
            <w:pPr>
              <w:pStyle w:val="TableText"/>
              <w:snapToGrid w:val="0"/>
              <w:ind w:left="34" w:rightChars="71" w:right="142"/>
              <w:rPr>
                <w:rFonts w:cs="Segoe UI"/>
                <w:szCs w:val="17"/>
              </w:rPr>
            </w:pPr>
            <w:r>
              <w:rPr>
                <w:rFonts w:cs="Segoe UI"/>
                <w:szCs w:val="17"/>
              </w:rPr>
              <w:t>Applicable to category 2A institution only:</w:t>
            </w: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shd w:val="clear" w:color="auto" w:fill="F2F2F2" w:themeFill="background1" w:themeFillShade="F2"/>
          </w:tcPr>
          <w:p w:rsidR="00545554" w:rsidRPr="00AF1BAA" w:rsidRDefault="00545554" w:rsidP="00545554">
            <w:pPr>
              <w:pStyle w:val="TableText"/>
              <w:snapToGrid w:val="0"/>
              <w:rPr>
                <w:lang w:eastAsia="it-IT"/>
              </w:rPr>
            </w:pPr>
          </w:p>
        </w:tc>
        <w:tc>
          <w:tcPr>
            <w:tcW w:w="850" w:type="dxa"/>
            <w:shd w:val="clear" w:color="auto" w:fill="F2F2F2" w:themeFill="background1" w:themeFillShade="F2"/>
          </w:tcPr>
          <w:p w:rsidR="00545554" w:rsidRPr="00AF1BAA" w:rsidRDefault="00545554" w:rsidP="00545554">
            <w:pPr>
              <w:pStyle w:val="TableText"/>
              <w:snapToGrid w:val="0"/>
              <w:rPr>
                <w:lang w:eastAsia="it-IT"/>
              </w:rPr>
            </w:pPr>
          </w:p>
        </w:tc>
        <w:tc>
          <w:tcPr>
            <w:tcW w:w="851" w:type="dxa"/>
            <w:tcBorders>
              <w:right w:val="single" w:sz="4" w:space="0" w:color="auto"/>
            </w:tcBorders>
            <w:shd w:val="clear" w:color="auto" w:fill="F2F2F2" w:themeFill="background1" w:themeFillShade="F2"/>
          </w:tcPr>
          <w:p w:rsidR="00545554" w:rsidRPr="00AF1BAA" w:rsidRDefault="00545554" w:rsidP="00545554">
            <w:pPr>
              <w:pStyle w:val="TableText"/>
              <w:snapToGrid w:val="0"/>
              <w:rPr>
                <w:lang w:eastAsia="it-IT"/>
              </w:rPr>
            </w:pPr>
          </w:p>
        </w:tc>
      </w:tr>
      <w:tr w:rsidR="00545554" w:rsidRPr="00892D0C" w:rsidTr="00545554">
        <w:tc>
          <w:tcPr>
            <w:tcW w:w="567" w:type="dxa"/>
            <w:tcBorders>
              <w:left w:val="nil"/>
            </w:tcBorders>
          </w:tcPr>
          <w:p w:rsidR="00545554" w:rsidRPr="00892D0C" w:rsidRDefault="00545554" w:rsidP="00545554">
            <w:pPr>
              <w:pStyle w:val="TableText"/>
              <w:snapToGrid w:val="0"/>
              <w:ind w:left="33"/>
              <w:rPr>
                <w:rFonts w:cs="Segoe UI"/>
                <w:szCs w:val="17"/>
              </w:rPr>
            </w:pPr>
            <w:r w:rsidRPr="00892D0C">
              <w:rPr>
                <w:rFonts w:cs="Segoe UI"/>
                <w:szCs w:val="17"/>
              </w:rPr>
              <w:t>20a</w:t>
            </w:r>
          </w:p>
        </w:tc>
        <w:tc>
          <w:tcPr>
            <w:tcW w:w="4536" w:type="dxa"/>
          </w:tcPr>
          <w:p w:rsidR="00545554" w:rsidRPr="00892D0C" w:rsidRDefault="00545554" w:rsidP="00545554">
            <w:pPr>
              <w:pStyle w:val="TableText"/>
              <w:snapToGrid w:val="0"/>
              <w:ind w:left="34" w:rightChars="71" w:right="142"/>
              <w:rPr>
                <w:rFonts w:cs="Segoe UI"/>
                <w:szCs w:val="17"/>
              </w:rPr>
            </w:pPr>
            <w:r>
              <w:rPr>
                <w:rFonts w:cs="Segoe UI"/>
                <w:szCs w:val="17"/>
              </w:rPr>
              <w:t xml:space="preserve">CFR </w:t>
            </w:r>
            <w:r w:rsidRPr="00892D0C">
              <w:rPr>
                <w:rFonts w:cs="Segoe UI"/>
                <w:szCs w:val="17"/>
              </w:rPr>
              <w:t>(%)</w:t>
            </w: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Pr>
          <w:p w:rsidR="00545554" w:rsidRPr="00AF1BAA" w:rsidRDefault="00545554" w:rsidP="00545554">
            <w:pPr>
              <w:pStyle w:val="TableText"/>
              <w:snapToGrid w:val="0"/>
              <w:rPr>
                <w:lang w:eastAsia="it-IT"/>
              </w:rPr>
            </w:pPr>
          </w:p>
        </w:tc>
        <w:tc>
          <w:tcPr>
            <w:tcW w:w="850" w:type="dxa"/>
          </w:tcPr>
          <w:p w:rsidR="00545554" w:rsidRPr="00AF1BAA" w:rsidRDefault="00545554" w:rsidP="00545554">
            <w:pPr>
              <w:pStyle w:val="TableText"/>
              <w:snapToGrid w:val="0"/>
              <w:rPr>
                <w:lang w:eastAsia="it-IT"/>
              </w:rPr>
            </w:pPr>
          </w:p>
        </w:tc>
        <w:tc>
          <w:tcPr>
            <w:tcW w:w="851" w:type="dxa"/>
            <w:tcBorders>
              <w:right w:val="single" w:sz="4" w:space="0" w:color="auto"/>
            </w:tcBorders>
          </w:tcPr>
          <w:p w:rsidR="00545554" w:rsidRPr="00AF1BAA" w:rsidRDefault="00545554" w:rsidP="00545554">
            <w:pPr>
              <w:pStyle w:val="TableText"/>
              <w:snapToGrid w:val="0"/>
              <w:rPr>
                <w:lang w:eastAsia="it-IT"/>
              </w:rPr>
            </w:pPr>
          </w:p>
        </w:tc>
      </w:tr>
    </w:tbl>
    <w:p w:rsidR="00545554" w:rsidRDefault="00545554" w:rsidP="00545554"/>
    <w:tbl>
      <w:tblPr>
        <w:tblStyle w:val="TableGrid2"/>
        <w:tblW w:w="9356" w:type="dxa"/>
        <w:tblInd w:w="-459" w:type="dxa"/>
        <w:tblLook w:val="04A0" w:firstRow="1" w:lastRow="0" w:firstColumn="1" w:lastColumn="0" w:noHBand="0" w:noVBand="1"/>
      </w:tblPr>
      <w:tblGrid>
        <w:gridCol w:w="567"/>
        <w:gridCol w:w="8789"/>
      </w:tblGrid>
      <w:tr w:rsidR="00545554" w:rsidRPr="00892D0C" w:rsidTr="00545554">
        <w:tc>
          <w:tcPr>
            <w:tcW w:w="9356" w:type="dxa"/>
            <w:gridSpan w:val="2"/>
            <w:shd w:val="clear" w:color="auto" w:fill="A6A6A6" w:themeFill="background1" w:themeFillShade="A6"/>
          </w:tcPr>
          <w:p w:rsidR="00545554" w:rsidRPr="00892D0C" w:rsidRDefault="00545554" w:rsidP="00545554">
            <w:pPr>
              <w:rPr>
                <w:rFonts w:cs="Segoe UI"/>
                <w:b/>
                <w:sz w:val="17"/>
                <w:szCs w:val="17"/>
              </w:rPr>
            </w:pPr>
            <w:r w:rsidRPr="00892D0C">
              <w:rPr>
                <w:rFonts w:cs="Segoe UI"/>
                <w:b/>
                <w:sz w:val="17"/>
                <w:szCs w:val="17"/>
              </w:rPr>
              <w:t>Explanatory Note</w:t>
            </w:r>
          </w:p>
        </w:tc>
      </w:tr>
      <w:tr w:rsidR="00545554" w:rsidRPr="00892D0C" w:rsidTr="00545554">
        <w:tc>
          <w:tcPr>
            <w:tcW w:w="9356" w:type="dxa"/>
            <w:gridSpan w:val="2"/>
            <w:shd w:val="clear" w:color="auto" w:fill="BFBFBF" w:themeFill="background1" w:themeFillShade="BF"/>
          </w:tcPr>
          <w:p w:rsidR="00545554" w:rsidRPr="00892D0C" w:rsidRDefault="00545554" w:rsidP="00545554">
            <w:pPr>
              <w:rPr>
                <w:rFonts w:cs="Segoe UI"/>
                <w:b/>
                <w:sz w:val="17"/>
                <w:szCs w:val="17"/>
              </w:rPr>
            </w:pPr>
            <w:r w:rsidRPr="00892D0C">
              <w:rPr>
                <w:rFonts w:cs="Segoe UI"/>
                <w:b/>
                <w:sz w:val="17"/>
                <w:szCs w:val="17"/>
              </w:rPr>
              <w:t>Rows</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1</w:t>
            </w:r>
          </w:p>
        </w:tc>
        <w:tc>
          <w:tcPr>
            <w:tcW w:w="8789" w:type="dxa"/>
          </w:tcPr>
          <w:p w:rsidR="00545554" w:rsidRPr="00892D0C" w:rsidRDefault="00545554" w:rsidP="00545554">
            <w:pPr>
              <w:autoSpaceDE w:val="0"/>
              <w:autoSpaceDN w:val="0"/>
              <w:adjustRightInd w:val="0"/>
              <w:jc w:val="both"/>
              <w:rPr>
                <w:rFonts w:cs="Segoe UI"/>
                <w:color w:val="000000"/>
                <w:sz w:val="17"/>
                <w:szCs w:val="17"/>
              </w:rPr>
            </w:pPr>
            <w:r w:rsidRPr="00892D0C">
              <w:rPr>
                <w:rFonts w:cs="Segoe UI"/>
                <w:i/>
                <w:iCs/>
                <w:color w:val="000000"/>
                <w:sz w:val="17"/>
                <w:szCs w:val="17"/>
              </w:rPr>
              <w:t>Common Equity Tier</w:t>
            </w:r>
            <w:r>
              <w:rPr>
                <w:rFonts w:cs="Segoe UI"/>
                <w:i/>
                <w:iCs/>
                <w:color w:val="000000"/>
                <w:sz w:val="17"/>
                <w:szCs w:val="17"/>
              </w:rPr>
              <w:t xml:space="preserve"> </w:t>
            </w:r>
            <w:r w:rsidRPr="00892D0C">
              <w:rPr>
                <w:rFonts w:cs="Segoe UI"/>
                <w:i/>
                <w:iCs/>
                <w:color w:val="000000"/>
                <w:sz w:val="17"/>
                <w:szCs w:val="17"/>
              </w:rPr>
              <w:t>1 (CET1)</w:t>
            </w:r>
            <w:r w:rsidRPr="00892D0C">
              <w:rPr>
                <w:rFonts w:cs="Segoe UI"/>
                <w:iCs/>
                <w:color w:val="000000"/>
                <w:sz w:val="17"/>
                <w:szCs w:val="17"/>
              </w:rPr>
              <w:t>:</w:t>
            </w:r>
            <w:r w:rsidRPr="00892D0C">
              <w:rPr>
                <w:rFonts w:cs="Segoe UI"/>
                <w: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[KM1:1/a] should be equal to the value in [CC1:29/a].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2</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Tier 1</w:t>
            </w:r>
            <w:r w:rsidRPr="00892D0C">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[KM1:2/a] should be equal to the value in [CC1:45/a].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3</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Total capital</w:t>
            </w:r>
            <w:r w:rsidRPr="00AF1BAA">
              <w:rPr>
                <w:rFonts w:cs="Segoe UI"/>
                <w:iCs/>
                <w:color w:val="000000"/>
                <w:sz w:val="17"/>
                <w:szCs w:val="17"/>
              </w:rPr>
              <w:t>:</w:t>
            </w:r>
            <w:r w:rsidRPr="00892D0C">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[KM1:3/a] should be equal to the value in [CC1:59/a].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4</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 xml:space="preserve">Total </w:t>
            </w:r>
            <w:r>
              <w:rPr>
                <w:rFonts w:cs="Segoe UI"/>
                <w:i/>
                <w:iCs/>
                <w:color w:val="000000"/>
                <w:sz w:val="17"/>
                <w:szCs w:val="17"/>
              </w:rPr>
              <w:t>RWA</w:t>
            </w:r>
            <w:r w:rsidRPr="00F8266B">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[KM1:4/a] should be equal to the value in [CC1:60/a].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5</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Pr>
                <w:rFonts w:cs="Segoe UI"/>
                <w:i/>
                <w:iCs/>
                <w:color w:val="000000"/>
                <w:sz w:val="17"/>
                <w:szCs w:val="17"/>
              </w:rPr>
              <w:t>CET1</w:t>
            </w:r>
            <w:r w:rsidRPr="00892D0C">
              <w:rPr>
                <w:rFonts w:cs="Segoe UI"/>
                <w:i/>
                <w:iCs/>
                <w:color w:val="000000"/>
                <w:sz w:val="17"/>
                <w:szCs w:val="17"/>
              </w:rPr>
              <w:t xml:space="preserve"> ratio</w:t>
            </w:r>
            <w:r>
              <w:rPr>
                <w:rFonts w:cs="Segoe UI"/>
                <w:i/>
                <w:iCs/>
                <w:color w:val="000000"/>
                <w:sz w:val="17"/>
                <w:szCs w:val="17"/>
              </w:rPr>
              <w:t xml:space="preserve"> (%)</w:t>
            </w:r>
            <w:r w:rsidRPr="00892D0C">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[KM1:5/a] should be equal to the value in [CC1:61/a].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6</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Tier 1 ratio</w:t>
            </w:r>
            <w:r>
              <w:rPr>
                <w:rFonts w:cs="Segoe UI"/>
                <w:i/>
                <w:iCs/>
                <w:color w:val="000000"/>
                <w:sz w:val="17"/>
                <w:szCs w:val="17"/>
              </w:rPr>
              <w:t xml:space="preserve"> (%)</w:t>
            </w:r>
            <w:r w:rsidRPr="00892D0C">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[KM1:6/a] should be equal to the value in [CC1:62/a].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7</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Total capital ratio</w:t>
            </w:r>
            <w:r>
              <w:rPr>
                <w:rFonts w:cs="Segoe UI"/>
                <w:i/>
                <w:iCs/>
                <w:color w:val="000000"/>
                <w:sz w:val="17"/>
                <w:szCs w:val="17"/>
              </w:rPr>
              <w:t xml:space="preserve"> (%)</w:t>
            </w:r>
            <w:r w:rsidRPr="00892D0C">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[KM1:7/a] should be equal to the value in [CC1:63/a].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lastRenderedPageBreak/>
              <w:t>8</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Capital conservation buffer requirement</w:t>
            </w:r>
            <w:r>
              <w:rPr>
                <w:rFonts w:cs="Segoe UI"/>
                <w:i/>
                <w:iCs/>
                <w:color w:val="000000"/>
                <w:sz w:val="17"/>
                <w:szCs w:val="17"/>
              </w:rPr>
              <w:t xml:space="preserve"> (%)</w:t>
            </w:r>
            <w:r w:rsidRPr="00F8266B">
              <w:rPr>
                <w:rFonts w:cs="Segoe UI"/>
                <w:iCs/>
                <w:color w:val="000000"/>
                <w:sz w:val="17"/>
                <w:szCs w:val="17"/>
              </w:rPr>
              <w:t xml:space="preserve">: </w:t>
            </w:r>
            <w:r>
              <w:rPr>
                <w:rFonts w:cs="Segoe UI"/>
                <w:iCs/>
                <w:color w:val="000000"/>
                <w:sz w:val="17"/>
                <w:szCs w:val="17"/>
              </w:rPr>
              <w:t>for an interim or annual reporting period, t</w:t>
            </w:r>
            <w:r w:rsidRPr="00892D0C">
              <w:rPr>
                <w:rFonts w:cs="Segoe UI"/>
                <w:iCs/>
                <w:color w:val="000000"/>
                <w:sz w:val="17"/>
                <w:szCs w:val="17"/>
              </w:rPr>
              <w:t>he value in [KM1:8/a] should be equal to the value in [CC1:65/a].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9</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 xml:space="preserve">Countercyclical </w:t>
            </w:r>
            <w:r>
              <w:rPr>
                <w:rFonts w:cs="Segoe UI"/>
                <w:i/>
                <w:iCs/>
                <w:color w:val="000000"/>
                <w:sz w:val="17"/>
                <w:szCs w:val="17"/>
              </w:rPr>
              <w:t xml:space="preserve">capital </w:t>
            </w:r>
            <w:r w:rsidRPr="00892D0C">
              <w:rPr>
                <w:rFonts w:cs="Segoe UI"/>
                <w:i/>
                <w:iCs/>
                <w:color w:val="000000"/>
                <w:sz w:val="17"/>
                <w:szCs w:val="17"/>
              </w:rPr>
              <w:t>buffer requirement</w:t>
            </w:r>
            <w:r>
              <w:rPr>
                <w:rFonts w:cs="Segoe UI"/>
                <w:i/>
                <w:iCs/>
                <w:color w:val="000000"/>
                <w:sz w:val="17"/>
                <w:szCs w:val="17"/>
              </w:rPr>
              <w:t xml:space="preserve"> (%)</w:t>
            </w:r>
            <w:r w:rsidRPr="00892D0C">
              <w:rPr>
                <w:rFonts w:cs="Segoe UI"/>
                <w:iCs/>
                <w:color w:val="000000"/>
                <w:sz w:val="17"/>
                <w:szCs w:val="17"/>
              </w:rPr>
              <w:t>:</w:t>
            </w:r>
            <w:r>
              <w:rPr>
                <w:rFonts w:cs="Segoe UI"/>
                <w:iCs/>
                <w:color w:val="000000"/>
                <w:sz w:val="17"/>
                <w:szCs w:val="17"/>
              </w:rPr>
              <w:t xml:space="preserve"> for an interim or annual reporting period, t</w:t>
            </w:r>
            <w:r w:rsidRPr="00892D0C">
              <w:rPr>
                <w:rFonts w:cs="Segoe UI"/>
                <w:iCs/>
                <w:color w:val="000000"/>
                <w:sz w:val="17"/>
                <w:szCs w:val="17"/>
              </w:rPr>
              <w:t>he value in [KM1:9/a] should be equal to the value in [CC1:66/a].</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10</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F8266B">
              <w:rPr>
                <w:rFonts w:cs="Segoe UI"/>
                <w:i/>
                <w:iCs/>
                <w:color w:val="000000"/>
                <w:sz w:val="17"/>
                <w:szCs w:val="17"/>
              </w:rPr>
              <w:t xml:space="preserve">Higher loss absorbency requirements (%) (applicable </w:t>
            </w:r>
            <w:r>
              <w:rPr>
                <w:rFonts w:cs="Segoe UI"/>
                <w:i/>
                <w:iCs/>
                <w:color w:val="000000"/>
                <w:sz w:val="17"/>
                <w:szCs w:val="17"/>
              </w:rPr>
              <w:t xml:space="preserve">only to </w:t>
            </w:r>
            <w:r w:rsidRPr="00F8266B">
              <w:rPr>
                <w:rFonts w:cs="Segoe UI"/>
                <w:i/>
                <w:iCs/>
                <w:color w:val="000000"/>
                <w:sz w:val="17"/>
                <w:szCs w:val="17"/>
              </w:rPr>
              <w:t>G-SIB</w:t>
            </w:r>
            <w:r>
              <w:rPr>
                <w:rFonts w:cs="Segoe UI"/>
                <w:i/>
                <w:iCs/>
                <w:color w:val="000000"/>
                <w:sz w:val="17"/>
                <w:szCs w:val="17"/>
              </w:rPr>
              <w:t>s</w:t>
            </w:r>
            <w:r w:rsidRPr="00F8266B">
              <w:rPr>
                <w:rFonts w:cs="Segoe UI"/>
                <w:i/>
                <w:iCs/>
                <w:color w:val="000000"/>
                <w:sz w:val="17"/>
                <w:szCs w:val="17"/>
              </w:rPr>
              <w:t xml:space="preserve"> or D-SIB</w:t>
            </w:r>
            <w:r>
              <w:rPr>
                <w:rFonts w:cs="Segoe UI"/>
                <w:i/>
                <w:iCs/>
                <w:color w:val="000000"/>
                <w:sz w:val="17"/>
                <w:szCs w:val="17"/>
              </w:rPr>
              <w:t>s</w:t>
            </w:r>
            <w:r w:rsidRPr="00F8266B">
              <w:rPr>
                <w:rFonts w:cs="Segoe UI"/>
                <w:i/>
                <w:iCs/>
                <w:color w:val="000000"/>
                <w:sz w:val="17"/>
                <w:szCs w:val="17"/>
              </w:rPr>
              <w:t>)</w:t>
            </w:r>
            <w:r>
              <w:rPr>
                <w:rFonts w:cs="Segoe UI"/>
                <w:iCs/>
                <w:color w:val="000000"/>
                <w:sz w:val="17"/>
                <w:szCs w:val="17"/>
              </w:rPr>
              <w:t>: for an interim or annual reporting period, t</w:t>
            </w:r>
            <w:r w:rsidRPr="00892D0C">
              <w:rPr>
                <w:rFonts w:cs="Segoe UI"/>
                <w:iCs/>
                <w:color w:val="000000"/>
                <w:sz w:val="17"/>
                <w:szCs w:val="17"/>
              </w:rPr>
              <w:t>he value in [KM1:10/a] should be equal to the value in [CC1:67/a].</w:t>
            </w:r>
          </w:p>
        </w:tc>
      </w:tr>
      <w:tr w:rsidR="00545554" w:rsidRPr="00892D0C" w:rsidTr="00545554">
        <w:tc>
          <w:tcPr>
            <w:tcW w:w="567" w:type="dxa"/>
          </w:tcPr>
          <w:p w:rsidR="00545554" w:rsidRPr="00892D0C" w:rsidRDefault="00545554" w:rsidP="00545554">
            <w:pPr>
              <w:rPr>
                <w:rFonts w:cs="Segoe UI"/>
                <w:sz w:val="17"/>
                <w:szCs w:val="17"/>
              </w:rPr>
            </w:pPr>
            <w:r>
              <w:rPr>
                <w:rFonts w:cs="Segoe UI"/>
                <w:sz w:val="17"/>
                <w:szCs w:val="17"/>
              </w:rPr>
              <w:t>11</w:t>
            </w:r>
          </w:p>
        </w:tc>
        <w:tc>
          <w:tcPr>
            <w:tcW w:w="8789" w:type="dxa"/>
          </w:tcPr>
          <w:p w:rsidR="00545554" w:rsidRPr="00F8266B" w:rsidRDefault="00545554" w:rsidP="00964989">
            <w:pPr>
              <w:autoSpaceDE w:val="0"/>
              <w:autoSpaceDN w:val="0"/>
              <w:adjustRightInd w:val="0"/>
              <w:jc w:val="both"/>
              <w:rPr>
                <w:rFonts w:cs="Segoe UI"/>
                <w:iCs/>
                <w:color w:val="000000"/>
                <w:sz w:val="17"/>
                <w:szCs w:val="17"/>
              </w:rPr>
            </w:pPr>
            <w:r w:rsidRPr="0008787A">
              <w:rPr>
                <w:rFonts w:cs="Segoe UI"/>
                <w:i/>
                <w:iCs/>
                <w:color w:val="000000"/>
                <w:sz w:val="17"/>
                <w:szCs w:val="17"/>
              </w:rPr>
              <w:t xml:space="preserve">Total </w:t>
            </w:r>
            <w:r w:rsidR="00964989">
              <w:rPr>
                <w:rFonts w:cs="Segoe UI"/>
                <w:i/>
                <w:iCs/>
                <w:color w:val="000000"/>
                <w:sz w:val="17"/>
                <w:szCs w:val="17"/>
              </w:rPr>
              <w:t>AI</w:t>
            </w:r>
            <w:r>
              <w:rPr>
                <w:rFonts w:cs="Segoe UI"/>
                <w:i/>
                <w:iCs/>
                <w:color w:val="000000"/>
                <w:sz w:val="17"/>
                <w:szCs w:val="17"/>
              </w:rPr>
              <w:t>-</w:t>
            </w:r>
            <w:r w:rsidRPr="0008787A">
              <w:rPr>
                <w:rFonts w:cs="Segoe UI"/>
                <w:i/>
                <w:iCs/>
                <w:color w:val="000000"/>
                <w:sz w:val="17"/>
                <w:szCs w:val="17"/>
              </w:rPr>
              <w:t>specific buffer requirements (%)</w:t>
            </w:r>
            <w:r w:rsidRPr="005821D0">
              <w:rPr>
                <w:rFonts w:cs="Segoe UI"/>
                <w:i/>
                <w:iCs/>
                <w:color w:val="000000"/>
                <w:sz w:val="17"/>
                <w:szCs w:val="17"/>
              </w:rPr>
              <w:t>:</w:t>
            </w:r>
            <w:r>
              <w:rPr>
                <w:rFonts w:cs="Segoe UI"/>
                <w:iCs/>
                <w:color w:val="000000"/>
                <w:sz w:val="17"/>
                <w:szCs w:val="17"/>
              </w:rPr>
              <w:t xml:space="preserve"> this is equal to the sum of values in rows 8, 9 and 10.</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12</w:t>
            </w:r>
          </w:p>
        </w:tc>
        <w:tc>
          <w:tcPr>
            <w:tcW w:w="8789" w:type="dxa"/>
          </w:tcPr>
          <w:p w:rsidR="00545554" w:rsidRPr="002D6315" w:rsidRDefault="00545554" w:rsidP="00545554">
            <w:pPr>
              <w:autoSpaceDE w:val="0"/>
              <w:autoSpaceDN w:val="0"/>
              <w:adjustRightInd w:val="0"/>
              <w:jc w:val="both"/>
              <w:rPr>
                <w:rFonts w:cs="Segoe UI"/>
                <w:color w:val="000000"/>
                <w:sz w:val="17"/>
                <w:szCs w:val="17"/>
              </w:rPr>
            </w:pPr>
            <w:r w:rsidRPr="00892D0C">
              <w:rPr>
                <w:rFonts w:cs="Segoe UI"/>
                <w:i/>
                <w:iCs/>
                <w:color w:val="000000"/>
                <w:sz w:val="17"/>
                <w:szCs w:val="17"/>
              </w:rPr>
              <w:t xml:space="preserve">CET1 available after meeting the </w:t>
            </w:r>
            <w:r>
              <w:rPr>
                <w:rFonts w:cs="Segoe UI"/>
                <w:i/>
                <w:iCs/>
                <w:color w:val="000000"/>
                <w:sz w:val="17"/>
                <w:szCs w:val="17"/>
              </w:rPr>
              <w:t xml:space="preserve">AI’s </w:t>
            </w:r>
            <w:r w:rsidRPr="00892D0C">
              <w:rPr>
                <w:rFonts w:cs="Segoe UI"/>
                <w:i/>
                <w:iCs/>
                <w:color w:val="000000"/>
                <w:sz w:val="17"/>
                <w:szCs w:val="17"/>
              </w:rPr>
              <w:t>minimum capital requirements (</w:t>
            </w:r>
            <w:r>
              <w:rPr>
                <w:rFonts w:cs="Segoe UI"/>
                <w:i/>
                <w:iCs/>
                <w:color w:val="000000"/>
                <w:sz w:val="17"/>
                <w:szCs w:val="17"/>
              </w:rPr>
              <w:t>%</w:t>
            </w:r>
            <w:r w:rsidRPr="00892D0C">
              <w:rPr>
                <w:rFonts w:cs="Segoe UI"/>
                <w:i/>
                <w:iCs/>
                <w:color w:val="000000"/>
                <w:sz w:val="17"/>
                <w:szCs w:val="17"/>
              </w:rPr>
              <w:t>)</w:t>
            </w:r>
            <w:r w:rsidRPr="00892D0C">
              <w:rPr>
                <w:rFonts w:cs="Segoe UI"/>
                <w:color w:val="000000"/>
                <w:sz w:val="17"/>
                <w:szCs w:val="17"/>
              </w:rPr>
              <w:t xml:space="preserve">: </w:t>
            </w:r>
            <w:r>
              <w:rPr>
                <w:rFonts w:cs="Segoe UI"/>
                <w:color w:val="000000"/>
                <w:sz w:val="17"/>
                <w:szCs w:val="17"/>
              </w:rPr>
              <w:t>it</w:t>
            </w:r>
            <w:r w:rsidRPr="00892D0C">
              <w:rPr>
                <w:rFonts w:cs="Segoe UI"/>
                <w:color w:val="000000"/>
                <w:sz w:val="17"/>
                <w:szCs w:val="17"/>
              </w:rPr>
              <w:t xml:space="preserve"> may not necessarily </w:t>
            </w:r>
            <w:r>
              <w:rPr>
                <w:rFonts w:cs="Segoe UI"/>
                <w:color w:val="000000"/>
                <w:sz w:val="17"/>
                <w:szCs w:val="17"/>
              </w:rPr>
              <w:t xml:space="preserve">refer to </w:t>
            </w:r>
            <w:r w:rsidRPr="00892D0C">
              <w:rPr>
                <w:rFonts w:cs="Segoe UI"/>
                <w:color w:val="000000"/>
                <w:sz w:val="17"/>
                <w:szCs w:val="17"/>
              </w:rPr>
              <w:t xml:space="preserve">the difference between </w:t>
            </w:r>
            <w:r w:rsidRPr="00892D0C">
              <w:rPr>
                <w:rFonts w:cs="Segoe UI"/>
                <w:sz w:val="17"/>
                <w:szCs w:val="17"/>
              </w:rPr>
              <w:t>CET1 ratio</w:t>
            </w:r>
            <w:r w:rsidRPr="00892D0C">
              <w:rPr>
                <w:rFonts w:cs="Segoe UI"/>
                <w:color w:val="000000"/>
                <w:sz w:val="17"/>
                <w:szCs w:val="17"/>
              </w:rPr>
              <w:t xml:space="preserve"> (row 5) and the </w:t>
            </w:r>
            <w:r w:rsidRPr="008E6F81">
              <w:rPr>
                <w:rFonts w:cs="Segoe UI"/>
                <w:color w:val="000000"/>
                <w:sz w:val="17"/>
                <w:szCs w:val="17"/>
              </w:rPr>
              <w:t>4.5% minimum CET1 requirement under BCR</w:t>
            </w:r>
            <w:r>
              <w:rPr>
                <w:rFonts w:cs="Segoe UI"/>
                <w:color w:val="000000"/>
                <w:sz w:val="17"/>
                <w:szCs w:val="17"/>
              </w:rPr>
              <w:t xml:space="preserve"> </w:t>
            </w:r>
            <w:r w:rsidRPr="00FC04CD">
              <w:rPr>
                <w:rFonts w:cs="Segoe UI"/>
                <w:color w:val="000000"/>
                <w:sz w:val="17"/>
                <w:szCs w:val="17"/>
              </w:rPr>
              <w:t>§</w:t>
            </w:r>
            <w:r w:rsidRPr="008E6F81">
              <w:rPr>
                <w:rFonts w:cs="Segoe UI"/>
                <w:color w:val="000000"/>
                <w:sz w:val="17"/>
                <w:szCs w:val="17"/>
              </w:rPr>
              <w:t xml:space="preserve">3B </w:t>
            </w:r>
            <w:r>
              <w:rPr>
                <w:rFonts w:cs="Segoe UI"/>
                <w:color w:val="000000"/>
                <w:sz w:val="17"/>
                <w:szCs w:val="17"/>
              </w:rPr>
              <w:t xml:space="preserve">as an AI may have used </w:t>
            </w:r>
            <w:r w:rsidRPr="00892D0C">
              <w:rPr>
                <w:rFonts w:cs="Segoe UI"/>
                <w:color w:val="000000"/>
                <w:sz w:val="17"/>
                <w:szCs w:val="17"/>
              </w:rPr>
              <w:t xml:space="preserve">CET1 capital to meet </w:t>
            </w:r>
            <w:r>
              <w:rPr>
                <w:rFonts w:cs="Segoe UI"/>
                <w:color w:val="000000"/>
                <w:sz w:val="17"/>
                <w:szCs w:val="17"/>
              </w:rPr>
              <w:t xml:space="preserve">its </w:t>
            </w:r>
            <w:r w:rsidRPr="008E6F81">
              <w:rPr>
                <w:rFonts w:cs="Segoe UI"/>
                <w:color w:val="000000"/>
                <w:sz w:val="17"/>
                <w:szCs w:val="17"/>
              </w:rPr>
              <w:t>minimum Tier 1 and</w:t>
            </w:r>
            <w:r>
              <w:rPr>
                <w:rFonts w:cs="Segoe UI"/>
                <w:color w:val="000000"/>
                <w:sz w:val="17"/>
                <w:szCs w:val="17"/>
              </w:rPr>
              <w:t>/or</w:t>
            </w:r>
            <w:r w:rsidRPr="008E6F81">
              <w:rPr>
                <w:rFonts w:cs="Segoe UI"/>
                <w:color w:val="000000"/>
                <w:sz w:val="17"/>
                <w:szCs w:val="17"/>
              </w:rPr>
              <w:t xml:space="preserve"> </w:t>
            </w:r>
            <w:r>
              <w:rPr>
                <w:rFonts w:cs="Segoe UI"/>
                <w:color w:val="000000"/>
                <w:sz w:val="17"/>
                <w:szCs w:val="17"/>
              </w:rPr>
              <w:t>t</w:t>
            </w:r>
            <w:r w:rsidRPr="008E6F81">
              <w:rPr>
                <w:rFonts w:cs="Segoe UI"/>
                <w:color w:val="000000"/>
                <w:sz w:val="17"/>
                <w:szCs w:val="17"/>
              </w:rPr>
              <w:t>otal capital requirements</w:t>
            </w:r>
            <w:r>
              <w:rPr>
                <w:rFonts w:cs="Segoe UI"/>
                <w:color w:val="000000"/>
                <w:sz w:val="17"/>
                <w:szCs w:val="17"/>
              </w:rPr>
              <w:t>.</w:t>
            </w:r>
            <w:r w:rsidRPr="00892D0C">
              <w:rPr>
                <w:rFonts w:cs="Segoe UI"/>
                <w:color w:val="000000"/>
                <w:sz w:val="17"/>
                <w:szCs w:val="17"/>
              </w:rPr>
              <w:t xml:space="preserve"> </w:t>
            </w:r>
            <w:r>
              <w:rPr>
                <w:rFonts w:cs="Segoe UI"/>
                <w:color w:val="000000"/>
                <w:sz w:val="17"/>
                <w:szCs w:val="17"/>
              </w:rPr>
              <w:t xml:space="preserve"> </w:t>
            </w:r>
            <w:r>
              <w:rPr>
                <w:rFonts w:cs="Segoe UI"/>
                <w:iCs/>
                <w:color w:val="000000"/>
                <w:sz w:val="17"/>
                <w:szCs w:val="17"/>
              </w:rPr>
              <w:t xml:space="preserve">For an interim or annual reporting period, </w:t>
            </w:r>
            <w:r>
              <w:rPr>
                <w:rFonts w:cs="Segoe UI"/>
                <w:color w:val="000000"/>
                <w:sz w:val="17"/>
                <w:szCs w:val="17"/>
              </w:rPr>
              <w:t>t</w:t>
            </w:r>
            <w:r w:rsidRPr="00892D0C">
              <w:rPr>
                <w:rFonts w:cs="Segoe UI"/>
                <w:color w:val="000000"/>
                <w:sz w:val="17"/>
                <w:szCs w:val="17"/>
              </w:rPr>
              <w:t>he value in [KM1:12/a] should be equal to the value in [CC1:68/a].</w:t>
            </w:r>
          </w:p>
        </w:tc>
      </w:tr>
      <w:tr w:rsidR="00545554" w:rsidRPr="00892D0C" w:rsidTr="00545554">
        <w:tc>
          <w:tcPr>
            <w:tcW w:w="567" w:type="dxa"/>
          </w:tcPr>
          <w:p w:rsidR="00545554" w:rsidRPr="00892D0C" w:rsidRDefault="00545554" w:rsidP="00545554">
            <w:pPr>
              <w:rPr>
                <w:rFonts w:cs="Segoe UI"/>
                <w:sz w:val="17"/>
                <w:szCs w:val="17"/>
              </w:rPr>
            </w:pPr>
            <w:r w:rsidRPr="006F267B">
              <w:rPr>
                <w:rFonts w:cs="Segoe UI"/>
                <w:sz w:val="17"/>
                <w:szCs w:val="17"/>
              </w:rPr>
              <w:t>13</w:t>
            </w:r>
          </w:p>
        </w:tc>
        <w:tc>
          <w:tcPr>
            <w:tcW w:w="8789" w:type="dxa"/>
          </w:tcPr>
          <w:p w:rsidR="00545554" w:rsidRPr="00892D0C" w:rsidRDefault="00545554" w:rsidP="00545554">
            <w:pPr>
              <w:autoSpaceDE w:val="0"/>
              <w:autoSpaceDN w:val="0"/>
              <w:adjustRightInd w:val="0"/>
              <w:jc w:val="both"/>
              <w:rPr>
                <w:rFonts w:cs="Segoe UI"/>
                <w:color w:val="000000"/>
                <w:sz w:val="17"/>
                <w:szCs w:val="17"/>
              </w:rPr>
            </w:pPr>
            <w:r w:rsidRPr="00892D0C">
              <w:rPr>
                <w:rFonts w:cs="Segoe UI"/>
                <w:i/>
                <w:iCs/>
                <w:color w:val="000000"/>
                <w:sz w:val="17"/>
                <w:szCs w:val="17"/>
              </w:rPr>
              <w:t xml:space="preserve">Total leverage ratio </w:t>
            </w:r>
            <w:r>
              <w:rPr>
                <w:rFonts w:cs="Segoe UI"/>
                <w:i/>
                <w:iCs/>
                <w:color w:val="000000"/>
                <w:sz w:val="17"/>
                <w:szCs w:val="17"/>
              </w:rPr>
              <w:t xml:space="preserve">(LR) </w:t>
            </w:r>
            <w:r w:rsidRPr="00892D0C">
              <w:rPr>
                <w:rFonts w:cs="Segoe UI"/>
                <w:i/>
                <w:iCs/>
                <w:color w:val="000000"/>
                <w:sz w:val="17"/>
                <w:szCs w:val="17"/>
              </w:rPr>
              <w:t>exposure measure</w:t>
            </w:r>
            <w:r w:rsidRPr="00892D0C">
              <w:rPr>
                <w:rFonts w:cs="Segoe UI"/>
                <w:color w:val="000000"/>
                <w:sz w:val="17"/>
                <w:szCs w:val="17"/>
              </w:rPr>
              <w:t xml:space="preserve">: </w:t>
            </w:r>
            <w:r>
              <w:rPr>
                <w:rFonts w:cs="Segoe UI"/>
                <w:color w:val="000000"/>
                <w:sz w:val="17"/>
                <w:szCs w:val="17"/>
              </w:rPr>
              <w:t>a</w:t>
            </w:r>
            <w:r w:rsidRPr="00892D0C">
              <w:rPr>
                <w:rFonts w:cs="Segoe UI"/>
                <w:color w:val="000000"/>
                <w:sz w:val="17"/>
                <w:szCs w:val="17"/>
              </w:rPr>
              <w:t xml:space="preserve">ccording to </w:t>
            </w:r>
            <w:r>
              <w:rPr>
                <w:rFonts w:cs="Segoe UI"/>
                <w:color w:val="000000"/>
                <w:sz w:val="17"/>
                <w:szCs w:val="17"/>
              </w:rPr>
              <w:t xml:space="preserve">the </w:t>
            </w:r>
            <w:r w:rsidRPr="00892D0C">
              <w:rPr>
                <w:rFonts w:cs="Segoe UI"/>
                <w:color w:val="000000"/>
                <w:sz w:val="17"/>
                <w:szCs w:val="17"/>
              </w:rPr>
              <w:t xml:space="preserve">specifications set out in </w:t>
            </w:r>
            <w:r>
              <w:rPr>
                <w:rFonts w:cs="Segoe UI"/>
                <w:color w:val="000000"/>
                <w:sz w:val="17"/>
                <w:szCs w:val="17"/>
              </w:rPr>
              <w:t>T</w:t>
            </w:r>
            <w:r w:rsidRPr="00892D0C">
              <w:rPr>
                <w:rFonts w:cs="Segoe UI"/>
                <w:color w:val="000000"/>
                <w:sz w:val="17"/>
                <w:szCs w:val="17"/>
              </w:rPr>
              <w:t>emplate</w:t>
            </w:r>
            <w:r>
              <w:rPr>
                <w:rFonts w:cs="Segoe UI"/>
                <w:color w:val="000000"/>
                <w:sz w:val="17"/>
                <w:szCs w:val="17"/>
              </w:rPr>
              <w:t>s</w:t>
            </w:r>
            <w:r w:rsidRPr="00892D0C">
              <w:rPr>
                <w:rFonts w:cs="Segoe UI"/>
                <w:color w:val="000000"/>
                <w:sz w:val="17"/>
                <w:szCs w:val="17"/>
              </w:rPr>
              <w:t xml:space="preserve"> </w:t>
            </w:r>
            <w:r>
              <w:rPr>
                <w:rFonts w:cs="Segoe UI"/>
                <w:color w:val="000000"/>
                <w:sz w:val="17"/>
                <w:szCs w:val="17"/>
              </w:rPr>
              <w:t xml:space="preserve">LR1 and </w:t>
            </w:r>
            <w:r w:rsidRPr="00892D0C">
              <w:rPr>
                <w:rFonts w:cs="Segoe UI"/>
                <w:color w:val="000000"/>
                <w:sz w:val="17"/>
                <w:szCs w:val="17"/>
              </w:rPr>
              <w:t>LR2</w:t>
            </w:r>
            <w:r>
              <w:rPr>
                <w:rFonts w:cs="Segoe UI"/>
                <w:color w:val="000000"/>
                <w:sz w:val="17"/>
                <w:szCs w:val="17"/>
              </w:rPr>
              <w:t xml:space="preserve">. </w:t>
            </w:r>
            <w:r>
              <w:rPr>
                <w:rFonts w:cs="Segoe UI" w:hint="eastAsia"/>
                <w:color w:val="000000"/>
                <w:sz w:val="17"/>
                <w:szCs w:val="17"/>
              </w:rPr>
              <w:t xml:space="preserve"> </w:t>
            </w:r>
            <w:r w:rsidRPr="00892D0C">
              <w:rPr>
                <w:rFonts w:cs="Segoe UI"/>
                <w:color w:val="000000"/>
                <w:sz w:val="17"/>
                <w:szCs w:val="17"/>
              </w:rPr>
              <w:t>The value in [KM1:13/a] should be equal to the value in [LR2:21/a].</w:t>
            </w:r>
          </w:p>
        </w:tc>
      </w:tr>
      <w:tr w:rsidR="00545554" w:rsidRPr="00040AB7" w:rsidTr="00545554">
        <w:tc>
          <w:tcPr>
            <w:tcW w:w="567" w:type="dxa"/>
          </w:tcPr>
          <w:p w:rsidR="00545554" w:rsidRPr="00892D0C" w:rsidRDefault="00545554" w:rsidP="00545554">
            <w:pPr>
              <w:rPr>
                <w:rFonts w:cs="Segoe UI"/>
                <w:sz w:val="17"/>
                <w:szCs w:val="17"/>
              </w:rPr>
            </w:pPr>
            <w:r w:rsidRPr="00892D0C">
              <w:rPr>
                <w:rFonts w:cs="Segoe UI"/>
                <w:sz w:val="17"/>
                <w:szCs w:val="17"/>
              </w:rPr>
              <w:t>14</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Pr>
                <w:rFonts w:cs="Segoe UI"/>
                <w:i/>
                <w:iCs/>
                <w:color w:val="000000"/>
                <w:sz w:val="17"/>
                <w:szCs w:val="17"/>
              </w:rPr>
              <w:t>LR</w:t>
            </w:r>
            <w:r w:rsidRPr="00227D17">
              <w:rPr>
                <w:rFonts w:cs="Segoe UI"/>
                <w:i/>
                <w:iCs/>
                <w:color w:val="000000"/>
                <w:sz w:val="17"/>
                <w:szCs w:val="17"/>
              </w:rPr>
              <w:t xml:space="preserve"> (%)</w:t>
            </w:r>
            <w:r>
              <w:rPr>
                <w:rFonts w:cs="Segoe UI"/>
                <w:iCs/>
                <w:color w:val="000000"/>
                <w:sz w:val="17"/>
                <w:szCs w:val="17"/>
              </w:rPr>
              <w:t>:</w:t>
            </w:r>
            <w:r w:rsidRPr="00892D0C">
              <w:rPr>
                <w:rFonts w:cs="Segoe UI"/>
                <w:iCs/>
                <w:color w:val="000000"/>
                <w:sz w:val="17"/>
                <w:szCs w:val="17"/>
              </w:rPr>
              <w:t xml:space="preserve"> </w:t>
            </w:r>
            <w:r>
              <w:rPr>
                <w:rFonts w:cs="Segoe UI"/>
                <w:iCs/>
                <w:color w:val="000000"/>
                <w:sz w:val="17"/>
                <w:szCs w:val="17"/>
              </w:rPr>
              <w:t xml:space="preserve">it is derived from the value reported in row 2 divided by the value reported in row 13, expressed as a percentage.  </w:t>
            </w:r>
            <w:r w:rsidRPr="00892D0C">
              <w:rPr>
                <w:rFonts w:cs="Segoe UI"/>
                <w:iCs/>
                <w:color w:val="000000"/>
                <w:sz w:val="17"/>
                <w:szCs w:val="17"/>
              </w:rPr>
              <w:t>The value in [KM1:14/a] should be equal to the value in [LR2:22/a].</w:t>
            </w:r>
          </w:p>
        </w:tc>
      </w:tr>
      <w:tr w:rsidR="00545554" w:rsidRPr="00892D0C" w:rsidTr="00545554">
        <w:tc>
          <w:tcPr>
            <w:tcW w:w="567" w:type="dxa"/>
          </w:tcPr>
          <w:p w:rsidR="00545554" w:rsidRPr="00892D0C" w:rsidRDefault="00545554" w:rsidP="00545554">
            <w:pPr>
              <w:jc w:val="both"/>
              <w:rPr>
                <w:rFonts w:cs="Segoe UI"/>
                <w:sz w:val="17"/>
                <w:szCs w:val="17"/>
              </w:rPr>
            </w:pPr>
            <w:r w:rsidRPr="00892D0C">
              <w:rPr>
                <w:rFonts w:cs="Segoe UI"/>
                <w:sz w:val="17"/>
                <w:szCs w:val="17"/>
              </w:rPr>
              <w:t>15</w:t>
            </w:r>
          </w:p>
        </w:tc>
        <w:tc>
          <w:tcPr>
            <w:tcW w:w="8789" w:type="dxa"/>
          </w:tcPr>
          <w:p w:rsidR="00545554" w:rsidRPr="00892D0C" w:rsidRDefault="00545554" w:rsidP="00545554">
            <w:pPr>
              <w:autoSpaceDE w:val="0"/>
              <w:autoSpaceDN w:val="0"/>
              <w:adjustRightInd w:val="0"/>
              <w:ind w:left="1"/>
              <w:jc w:val="both"/>
              <w:rPr>
                <w:rFonts w:cs="Segoe UI"/>
                <w:color w:val="000000"/>
                <w:sz w:val="17"/>
                <w:szCs w:val="17"/>
              </w:rPr>
            </w:pPr>
            <w:r w:rsidRPr="00892D0C">
              <w:rPr>
                <w:rFonts w:cs="Segoe UI"/>
                <w:i/>
                <w:iCs/>
                <w:color w:val="000000"/>
                <w:sz w:val="17"/>
                <w:szCs w:val="17"/>
              </w:rPr>
              <w:t xml:space="preserve">Total HQLA: </w:t>
            </w:r>
            <w:r>
              <w:rPr>
                <w:rFonts w:cs="Segoe UI"/>
                <w:iCs/>
                <w:color w:val="000000"/>
                <w:sz w:val="17"/>
                <w:szCs w:val="17"/>
              </w:rPr>
              <w:t xml:space="preserve">an AI designated as a category 1 institution should disclose the </w:t>
            </w:r>
            <w:r>
              <w:rPr>
                <w:rFonts w:cs="Segoe UI"/>
                <w:color w:val="000000"/>
                <w:sz w:val="17"/>
                <w:szCs w:val="17"/>
              </w:rPr>
              <w:t>t</w:t>
            </w:r>
            <w:r w:rsidRPr="00892D0C">
              <w:rPr>
                <w:rFonts w:cs="Segoe UI"/>
                <w:color w:val="000000"/>
                <w:sz w:val="17"/>
                <w:szCs w:val="17"/>
              </w:rPr>
              <w:t xml:space="preserve">otal adjusted value according to </w:t>
            </w:r>
            <w:r>
              <w:rPr>
                <w:rFonts w:cs="Segoe UI"/>
                <w:color w:val="000000"/>
                <w:sz w:val="17"/>
                <w:szCs w:val="17"/>
              </w:rPr>
              <w:t xml:space="preserve">the </w:t>
            </w:r>
            <w:r w:rsidRPr="00892D0C">
              <w:rPr>
                <w:rFonts w:cs="Segoe UI"/>
                <w:color w:val="000000"/>
                <w:sz w:val="17"/>
                <w:szCs w:val="17"/>
              </w:rPr>
              <w:t xml:space="preserve">specifications set out in </w:t>
            </w:r>
            <w:r>
              <w:rPr>
                <w:rFonts w:cs="Segoe UI"/>
                <w:color w:val="000000"/>
                <w:sz w:val="17"/>
                <w:szCs w:val="17"/>
              </w:rPr>
              <w:t>T</w:t>
            </w:r>
            <w:r w:rsidRPr="00892D0C">
              <w:rPr>
                <w:rFonts w:cs="Segoe UI"/>
                <w:color w:val="000000"/>
                <w:sz w:val="17"/>
                <w:szCs w:val="17"/>
              </w:rPr>
              <w:t>emplate LIQ1</w:t>
            </w:r>
            <w:r>
              <w:rPr>
                <w:rFonts w:cs="Segoe UI"/>
                <w:color w:val="000000"/>
                <w:sz w:val="17"/>
                <w:szCs w:val="17"/>
              </w:rPr>
              <w:t xml:space="preserve">.  </w:t>
            </w:r>
            <w:r w:rsidRPr="00B074BE">
              <w:rPr>
                <w:rFonts w:cs="Segoe UI"/>
                <w:color w:val="000000"/>
                <w:sz w:val="17"/>
                <w:szCs w:val="17"/>
              </w:rPr>
              <w:t>Data should be presented as</w:t>
            </w:r>
            <w:r w:rsidRPr="00892D0C">
              <w:rPr>
                <w:rFonts w:cs="Segoe UI"/>
                <w:color w:val="000000"/>
                <w:sz w:val="17"/>
                <w:szCs w:val="17"/>
              </w:rPr>
              <w:t xml:space="preserve"> simple averages of daily observations over </w:t>
            </w:r>
            <w:r>
              <w:rPr>
                <w:rFonts w:cs="Segoe UI"/>
                <w:color w:val="000000"/>
                <w:sz w:val="17"/>
                <w:szCs w:val="17"/>
              </w:rPr>
              <w:t xml:space="preserve">all working days of </w:t>
            </w:r>
            <w:r w:rsidRPr="00892D0C">
              <w:rPr>
                <w:rFonts w:cs="Segoe UI"/>
                <w:color w:val="000000"/>
                <w:sz w:val="17"/>
                <w:szCs w:val="17"/>
              </w:rPr>
              <w:t xml:space="preserve">the quarter. </w:t>
            </w:r>
            <w:r>
              <w:rPr>
                <w:rFonts w:cs="Segoe UI"/>
                <w:color w:val="000000"/>
                <w:sz w:val="17"/>
                <w:szCs w:val="17"/>
              </w:rPr>
              <w:t xml:space="preserve"> </w:t>
            </w:r>
            <w:r w:rsidRPr="00892D0C">
              <w:rPr>
                <w:rFonts w:cs="Segoe UI"/>
                <w:iCs/>
                <w:color w:val="000000"/>
                <w:sz w:val="17"/>
                <w:szCs w:val="17"/>
              </w:rPr>
              <w:t>The value in [KM1:15/a] should be equal to the value in [LIQ1:21/b].</w:t>
            </w:r>
          </w:p>
        </w:tc>
      </w:tr>
      <w:tr w:rsidR="00545554" w:rsidRPr="00040AB7" w:rsidTr="00545554">
        <w:tc>
          <w:tcPr>
            <w:tcW w:w="567" w:type="dxa"/>
          </w:tcPr>
          <w:p w:rsidR="00545554" w:rsidRPr="00892D0C" w:rsidRDefault="00545554" w:rsidP="00545554">
            <w:pPr>
              <w:rPr>
                <w:rFonts w:cs="Segoe UI"/>
                <w:sz w:val="17"/>
                <w:szCs w:val="17"/>
              </w:rPr>
            </w:pPr>
            <w:r w:rsidRPr="00892D0C">
              <w:rPr>
                <w:rFonts w:cs="Segoe UI"/>
                <w:sz w:val="17"/>
                <w:szCs w:val="17"/>
              </w:rPr>
              <w:t>16</w:t>
            </w:r>
          </w:p>
        </w:tc>
        <w:tc>
          <w:tcPr>
            <w:tcW w:w="8789" w:type="dxa"/>
          </w:tcPr>
          <w:p w:rsidR="00545554" w:rsidRPr="00892D0C" w:rsidRDefault="00545554" w:rsidP="00545554">
            <w:pPr>
              <w:autoSpaceDE w:val="0"/>
              <w:autoSpaceDN w:val="0"/>
              <w:adjustRightInd w:val="0"/>
              <w:jc w:val="both"/>
              <w:rPr>
                <w:rFonts w:cs="Segoe UI"/>
                <w:color w:val="000000"/>
                <w:sz w:val="17"/>
                <w:szCs w:val="17"/>
              </w:rPr>
            </w:pPr>
            <w:r w:rsidRPr="00892D0C">
              <w:rPr>
                <w:rFonts w:cs="Segoe UI"/>
                <w:i/>
                <w:iCs/>
                <w:color w:val="000000"/>
                <w:sz w:val="17"/>
                <w:szCs w:val="17"/>
              </w:rPr>
              <w:t>Total net cash outflow</w:t>
            </w:r>
            <w:r>
              <w:rPr>
                <w:rFonts w:cs="Segoe UI"/>
                <w:i/>
                <w:iCs/>
                <w:color w:val="000000"/>
                <w:sz w:val="17"/>
                <w:szCs w:val="17"/>
              </w:rPr>
              <w:t>s</w:t>
            </w:r>
            <w:r w:rsidRPr="00892D0C">
              <w:rPr>
                <w:rFonts w:cs="Segoe UI"/>
                <w:i/>
                <w:iCs/>
                <w:color w:val="000000"/>
                <w:sz w:val="17"/>
                <w:szCs w:val="17"/>
              </w:rPr>
              <w:t xml:space="preserve">: </w:t>
            </w:r>
            <w:r>
              <w:rPr>
                <w:rFonts w:cs="Segoe UI"/>
                <w:iCs/>
                <w:color w:val="000000"/>
                <w:sz w:val="17"/>
                <w:szCs w:val="17"/>
              </w:rPr>
              <w:t>an AI designated as a category 1 institution should disclose the</w:t>
            </w:r>
            <w:r>
              <w:rPr>
                <w:rFonts w:cs="Segoe UI"/>
                <w:color w:val="000000"/>
                <w:sz w:val="17"/>
                <w:szCs w:val="17"/>
              </w:rPr>
              <w:t xml:space="preserve"> t</w:t>
            </w:r>
            <w:r w:rsidRPr="00892D0C">
              <w:rPr>
                <w:rFonts w:cs="Segoe UI"/>
                <w:color w:val="000000"/>
                <w:sz w:val="17"/>
                <w:szCs w:val="17"/>
              </w:rPr>
              <w:t xml:space="preserve">otal adjusted value according to </w:t>
            </w:r>
            <w:r>
              <w:rPr>
                <w:rFonts w:cs="Segoe UI"/>
                <w:color w:val="000000"/>
                <w:sz w:val="17"/>
                <w:szCs w:val="17"/>
              </w:rPr>
              <w:t xml:space="preserve">the </w:t>
            </w:r>
            <w:r w:rsidRPr="00892D0C">
              <w:rPr>
                <w:rFonts w:cs="Segoe UI"/>
                <w:color w:val="000000"/>
                <w:sz w:val="17"/>
                <w:szCs w:val="17"/>
              </w:rPr>
              <w:t xml:space="preserve">specifications set out in </w:t>
            </w:r>
            <w:r>
              <w:rPr>
                <w:rFonts w:cs="Segoe UI"/>
                <w:color w:val="000000"/>
                <w:sz w:val="17"/>
                <w:szCs w:val="17"/>
              </w:rPr>
              <w:t>T</w:t>
            </w:r>
            <w:r w:rsidRPr="00892D0C">
              <w:rPr>
                <w:rFonts w:cs="Segoe UI"/>
                <w:color w:val="000000"/>
                <w:sz w:val="17"/>
                <w:szCs w:val="17"/>
              </w:rPr>
              <w:t>emplate LIQ1</w:t>
            </w:r>
            <w:r>
              <w:rPr>
                <w:rFonts w:cs="Segoe UI"/>
                <w:color w:val="000000"/>
                <w:sz w:val="17"/>
                <w:szCs w:val="17"/>
              </w:rPr>
              <w:t xml:space="preserve">.  Data should be presented as </w:t>
            </w:r>
            <w:r w:rsidRPr="00892D0C">
              <w:rPr>
                <w:rFonts w:cs="Segoe UI"/>
                <w:color w:val="000000"/>
                <w:sz w:val="17"/>
                <w:szCs w:val="17"/>
              </w:rPr>
              <w:t xml:space="preserve">simple averages of daily observations over </w:t>
            </w:r>
            <w:r>
              <w:rPr>
                <w:rFonts w:cs="Segoe UI"/>
                <w:color w:val="000000"/>
                <w:sz w:val="17"/>
                <w:szCs w:val="17"/>
              </w:rPr>
              <w:t xml:space="preserve">all working days of </w:t>
            </w:r>
            <w:r w:rsidRPr="00892D0C">
              <w:rPr>
                <w:rFonts w:cs="Segoe UI"/>
                <w:color w:val="000000"/>
                <w:sz w:val="17"/>
                <w:szCs w:val="17"/>
              </w:rPr>
              <w:t>the quarter.</w:t>
            </w:r>
            <w:r>
              <w:rPr>
                <w:rFonts w:cs="Segoe UI"/>
                <w:color w:val="000000"/>
                <w:sz w:val="17"/>
                <w:szCs w:val="17"/>
              </w:rPr>
              <w:t xml:space="preserve"> </w:t>
            </w:r>
            <w:r w:rsidRPr="00892D0C">
              <w:rPr>
                <w:rFonts w:cs="Segoe UI"/>
                <w:color w:val="000000"/>
                <w:sz w:val="17"/>
                <w:szCs w:val="17"/>
              </w:rPr>
              <w:t xml:space="preserve"> The value in [KM1:16/a] should be equal to the value in [LIQ1:22/b].</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17</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LCR</w:t>
            </w:r>
            <w:r>
              <w:rPr>
                <w:rFonts w:cs="Segoe UI"/>
                <w:i/>
                <w:iCs/>
                <w:color w:val="000000"/>
                <w:sz w:val="17"/>
                <w:szCs w:val="17"/>
              </w:rPr>
              <w:t xml:space="preserve"> (%)</w:t>
            </w:r>
            <w:r w:rsidRPr="00892D0C">
              <w:rPr>
                <w:rFonts w:cs="Segoe UI"/>
                <w:iCs/>
                <w:color w:val="000000"/>
                <w:sz w:val="17"/>
                <w:szCs w:val="17"/>
              </w:rPr>
              <w:t xml:space="preserve">: </w:t>
            </w:r>
            <w:r>
              <w:rPr>
                <w:rFonts w:cs="Segoe UI"/>
                <w:iCs/>
                <w:color w:val="000000"/>
                <w:sz w:val="17"/>
                <w:szCs w:val="17"/>
              </w:rPr>
              <w:t>t</w:t>
            </w:r>
            <w:r w:rsidRPr="00892D0C">
              <w:rPr>
                <w:rFonts w:cs="Segoe UI"/>
                <w:iCs/>
                <w:color w:val="000000"/>
                <w:sz w:val="17"/>
                <w:szCs w:val="17"/>
              </w:rPr>
              <w:t>he value in [KM1:17/a] should be equal to the value in [LIQ1:23/b].</w:t>
            </w:r>
          </w:p>
        </w:tc>
      </w:tr>
      <w:tr w:rsidR="00545554" w:rsidRPr="00892D0C" w:rsidTr="00545554">
        <w:tc>
          <w:tcPr>
            <w:tcW w:w="567" w:type="dxa"/>
          </w:tcPr>
          <w:p w:rsidR="00545554" w:rsidRPr="00F55053" w:rsidRDefault="00545554" w:rsidP="00545554">
            <w:pPr>
              <w:rPr>
                <w:rFonts w:cs="Segoe UI"/>
                <w:sz w:val="17"/>
                <w:szCs w:val="17"/>
              </w:rPr>
            </w:pPr>
            <w:r w:rsidRPr="00ED0DF5">
              <w:rPr>
                <w:rFonts w:cs="Segoe UI"/>
                <w:sz w:val="17"/>
                <w:szCs w:val="17"/>
              </w:rPr>
              <w:t>17a</w:t>
            </w:r>
          </w:p>
        </w:tc>
        <w:tc>
          <w:tcPr>
            <w:tcW w:w="8789" w:type="dxa"/>
          </w:tcPr>
          <w:p w:rsidR="00545554" w:rsidRPr="00613F55" w:rsidRDefault="00545554" w:rsidP="00545554">
            <w:pPr>
              <w:autoSpaceDE w:val="0"/>
              <w:autoSpaceDN w:val="0"/>
              <w:adjustRightInd w:val="0"/>
              <w:jc w:val="both"/>
              <w:rPr>
                <w:rFonts w:cs="Segoe UI"/>
                <w:iCs/>
                <w:color w:val="000000"/>
                <w:sz w:val="17"/>
                <w:szCs w:val="17"/>
              </w:rPr>
            </w:pPr>
            <w:r w:rsidRPr="007362F4">
              <w:rPr>
                <w:rFonts w:cs="Segoe UI"/>
                <w:i/>
                <w:sz w:val="17"/>
                <w:szCs w:val="17"/>
              </w:rPr>
              <w:t>LMR (%)</w:t>
            </w:r>
            <w:r w:rsidRPr="007362F4">
              <w:rPr>
                <w:rFonts w:cs="Segoe UI"/>
                <w:sz w:val="17"/>
                <w:szCs w:val="17"/>
              </w:rPr>
              <w:t xml:space="preserve">: </w:t>
            </w:r>
            <w:r w:rsidRPr="007362F4">
              <w:rPr>
                <w:rFonts w:cs="Segoe UI"/>
                <w:iCs/>
                <w:color w:val="000000"/>
                <w:sz w:val="17"/>
                <w:szCs w:val="17"/>
              </w:rPr>
              <w:t>an AI that is a category 2 institution should disclose in this row the arithmetic mean of the average LMRs of the 3 calendar months withi</w:t>
            </w:r>
            <w:r w:rsidRPr="00126576">
              <w:rPr>
                <w:rFonts w:cs="Segoe UI"/>
                <w:iCs/>
                <w:color w:val="000000"/>
                <w:sz w:val="17"/>
                <w:szCs w:val="17"/>
              </w:rPr>
              <w:t>n the qua</w:t>
            </w:r>
            <w:r w:rsidRPr="007362F4">
              <w:rPr>
                <w:rFonts w:cs="Segoe UI"/>
                <w:iCs/>
                <w:color w:val="000000"/>
                <w:sz w:val="17"/>
                <w:szCs w:val="17"/>
              </w:rPr>
              <w:t xml:space="preserve">rter.  </w:t>
            </w:r>
            <w:r w:rsidRPr="00126576">
              <w:rPr>
                <w:rFonts w:cs="Segoe UI"/>
                <w:iCs/>
                <w:color w:val="000000"/>
                <w:sz w:val="17"/>
                <w:szCs w:val="17"/>
              </w:rPr>
              <w:t xml:space="preserve">The average LMR of each calendar month should be the figure reported in its </w:t>
            </w:r>
            <w:r>
              <w:rPr>
                <w:rFonts w:cs="Segoe UI"/>
                <w:iCs/>
                <w:color w:val="000000"/>
                <w:sz w:val="17"/>
                <w:szCs w:val="17"/>
              </w:rPr>
              <w:t>R</w:t>
            </w:r>
            <w:r w:rsidRPr="00126576">
              <w:rPr>
                <w:rFonts w:cs="Segoe UI"/>
                <w:iCs/>
                <w:color w:val="000000"/>
                <w:sz w:val="17"/>
                <w:szCs w:val="17"/>
              </w:rPr>
              <w:t xml:space="preserve">eturn </w:t>
            </w:r>
            <w:r>
              <w:rPr>
                <w:rFonts w:cs="Segoe UI"/>
                <w:iCs/>
                <w:color w:val="000000"/>
                <w:sz w:val="17"/>
                <w:szCs w:val="17"/>
              </w:rPr>
              <w:t>of L</w:t>
            </w:r>
            <w:r w:rsidRPr="00126576">
              <w:rPr>
                <w:rFonts w:cs="Segoe UI"/>
                <w:iCs/>
                <w:color w:val="000000"/>
                <w:sz w:val="17"/>
                <w:szCs w:val="17"/>
              </w:rPr>
              <w:t xml:space="preserve">iquidity </w:t>
            </w:r>
            <w:r>
              <w:rPr>
                <w:rFonts w:cs="Segoe UI"/>
                <w:iCs/>
                <w:color w:val="000000"/>
                <w:sz w:val="17"/>
                <w:szCs w:val="17"/>
              </w:rPr>
              <w:t>P</w:t>
            </w:r>
            <w:r w:rsidRPr="00126576">
              <w:rPr>
                <w:rFonts w:cs="Segoe UI"/>
                <w:iCs/>
                <w:color w:val="000000"/>
                <w:sz w:val="17"/>
                <w:szCs w:val="17"/>
              </w:rPr>
              <w:t>osition (MA(BS)1E) submitted for the reporting month.</w:t>
            </w:r>
          </w:p>
        </w:tc>
      </w:tr>
      <w:tr w:rsidR="00545554" w:rsidRPr="00892D0C" w:rsidTr="00545554">
        <w:tc>
          <w:tcPr>
            <w:tcW w:w="567" w:type="dxa"/>
          </w:tcPr>
          <w:p w:rsidR="00545554" w:rsidRPr="00892D0C" w:rsidRDefault="00545554" w:rsidP="00545554">
            <w:pPr>
              <w:jc w:val="both"/>
              <w:rPr>
                <w:rFonts w:cs="Segoe UI"/>
                <w:sz w:val="17"/>
                <w:szCs w:val="17"/>
              </w:rPr>
            </w:pPr>
            <w:r w:rsidRPr="00892D0C">
              <w:rPr>
                <w:rFonts w:cs="Segoe UI"/>
                <w:sz w:val="17"/>
                <w:szCs w:val="17"/>
              </w:rPr>
              <w:t>18</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Total available stable funding</w:t>
            </w:r>
            <w:r w:rsidRPr="00892D0C">
              <w:rPr>
                <w:rFonts w:cs="Segoe UI"/>
                <w:iCs/>
                <w:color w:val="000000"/>
                <w:sz w:val="17"/>
                <w:szCs w:val="17"/>
              </w:rPr>
              <w:t xml:space="preserve">: </w:t>
            </w:r>
            <w:r>
              <w:rPr>
                <w:rFonts w:cs="Segoe UI"/>
                <w:iCs/>
                <w:color w:val="000000"/>
                <w:sz w:val="17"/>
                <w:szCs w:val="17"/>
              </w:rPr>
              <w:t>t</w:t>
            </w:r>
            <w:r w:rsidRPr="00892D0C">
              <w:rPr>
                <w:rFonts w:cs="Segoe UI"/>
                <w:iCs/>
                <w:color w:val="000000"/>
                <w:sz w:val="17"/>
                <w:szCs w:val="17"/>
              </w:rPr>
              <w:t>he value in [KM1:18/a] should be equal to the value in [LIQ2:14/e].</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19</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892D0C">
              <w:rPr>
                <w:rFonts w:cs="Segoe UI"/>
                <w:i/>
                <w:iCs/>
                <w:color w:val="000000"/>
                <w:sz w:val="17"/>
                <w:szCs w:val="17"/>
              </w:rPr>
              <w:t>Total required stable funding</w:t>
            </w:r>
            <w:r w:rsidRPr="00892D0C">
              <w:rPr>
                <w:rFonts w:cs="Segoe UI"/>
                <w:iCs/>
                <w:color w:val="000000"/>
                <w:sz w:val="17"/>
                <w:szCs w:val="17"/>
              </w:rPr>
              <w:t xml:space="preserve">: </w:t>
            </w:r>
            <w:r>
              <w:rPr>
                <w:rFonts w:cs="Segoe UI"/>
                <w:iCs/>
                <w:color w:val="000000"/>
                <w:sz w:val="17"/>
                <w:szCs w:val="17"/>
              </w:rPr>
              <w:t>t</w:t>
            </w:r>
            <w:r w:rsidRPr="00892D0C">
              <w:rPr>
                <w:rFonts w:cs="Segoe UI"/>
                <w:iCs/>
                <w:color w:val="000000"/>
                <w:sz w:val="17"/>
                <w:szCs w:val="17"/>
              </w:rPr>
              <w:t>he value in [KM1:19/a] should be equal to the value in [LIQ2:33/e].</w:t>
            </w:r>
          </w:p>
        </w:tc>
      </w:tr>
      <w:tr w:rsidR="00545554" w:rsidRPr="00892D0C" w:rsidTr="00545554">
        <w:tc>
          <w:tcPr>
            <w:tcW w:w="567" w:type="dxa"/>
          </w:tcPr>
          <w:p w:rsidR="00545554" w:rsidRPr="00892D0C" w:rsidRDefault="00545554" w:rsidP="00545554">
            <w:pPr>
              <w:rPr>
                <w:rFonts w:cs="Segoe UI"/>
                <w:sz w:val="17"/>
                <w:szCs w:val="17"/>
              </w:rPr>
            </w:pPr>
            <w:r w:rsidRPr="00892D0C">
              <w:rPr>
                <w:rFonts w:cs="Segoe UI"/>
                <w:sz w:val="17"/>
                <w:szCs w:val="17"/>
              </w:rPr>
              <w:t>20</w:t>
            </w:r>
          </w:p>
        </w:tc>
        <w:tc>
          <w:tcPr>
            <w:tcW w:w="8789" w:type="dxa"/>
          </w:tcPr>
          <w:p w:rsidR="00545554" w:rsidRPr="00892D0C" w:rsidRDefault="00545554" w:rsidP="00545554">
            <w:pPr>
              <w:autoSpaceDE w:val="0"/>
              <w:autoSpaceDN w:val="0"/>
              <w:adjustRightInd w:val="0"/>
              <w:jc w:val="both"/>
              <w:rPr>
                <w:rFonts w:cs="Segoe UI"/>
                <w:iCs/>
                <w:color w:val="000000"/>
                <w:sz w:val="17"/>
                <w:szCs w:val="17"/>
              </w:rPr>
            </w:pPr>
            <w:r w:rsidRPr="000D030E">
              <w:rPr>
                <w:rFonts w:cs="Segoe UI" w:hint="eastAsia"/>
                <w:i/>
                <w:iCs/>
                <w:color w:val="000000"/>
                <w:sz w:val="17"/>
                <w:szCs w:val="17"/>
              </w:rPr>
              <w:t>NSFR</w:t>
            </w:r>
            <w:r>
              <w:rPr>
                <w:rFonts w:cs="Segoe UI"/>
                <w:i/>
                <w:iCs/>
                <w:color w:val="000000"/>
                <w:sz w:val="17"/>
                <w:szCs w:val="17"/>
              </w:rPr>
              <w:t xml:space="preserve"> </w:t>
            </w:r>
            <w:r w:rsidRPr="000D030E">
              <w:rPr>
                <w:rFonts w:cs="Segoe UI"/>
                <w:i/>
                <w:iCs/>
                <w:color w:val="000000"/>
                <w:sz w:val="17"/>
                <w:szCs w:val="17"/>
              </w:rPr>
              <w:t>(</w:t>
            </w:r>
            <w:r>
              <w:rPr>
                <w:rFonts w:cs="Segoe UI"/>
                <w:i/>
                <w:iCs/>
                <w:color w:val="000000"/>
                <w:sz w:val="17"/>
                <w:szCs w:val="17"/>
              </w:rPr>
              <w:t>%</w:t>
            </w:r>
            <w:r w:rsidRPr="000D030E">
              <w:rPr>
                <w:rFonts w:cs="Segoe UI"/>
                <w:i/>
                <w:iCs/>
                <w:color w:val="000000"/>
                <w:sz w:val="17"/>
                <w:szCs w:val="17"/>
              </w:rPr>
              <w:t>)</w:t>
            </w:r>
            <w:r w:rsidRPr="000D030E">
              <w:rPr>
                <w:rFonts w:cs="Segoe UI" w:hint="eastAsia"/>
                <w:i/>
                <w:iCs/>
                <w:color w:val="000000"/>
                <w:sz w:val="17"/>
                <w:szCs w:val="17"/>
              </w:rPr>
              <w:t>:</w:t>
            </w:r>
            <w:r>
              <w:rPr>
                <w:rFonts w:cs="Segoe UI" w:hint="eastAsia"/>
                <w:iCs/>
                <w:color w:val="000000"/>
                <w:sz w:val="17"/>
                <w:szCs w:val="17"/>
              </w:rPr>
              <w:t xml:space="preserve"> </w:t>
            </w:r>
            <w:r>
              <w:rPr>
                <w:rFonts w:cs="Segoe UI"/>
                <w:iCs/>
                <w:color w:val="000000"/>
                <w:sz w:val="17"/>
                <w:szCs w:val="17"/>
              </w:rPr>
              <w:t>t</w:t>
            </w:r>
            <w:r w:rsidRPr="00892D0C">
              <w:rPr>
                <w:rFonts w:cs="Segoe UI"/>
                <w:iCs/>
                <w:color w:val="000000"/>
                <w:sz w:val="17"/>
                <w:szCs w:val="17"/>
              </w:rPr>
              <w:t>he value in [KM1:20/a] should be equal to the value in [LIQ2:34/e].</w:t>
            </w:r>
          </w:p>
        </w:tc>
      </w:tr>
      <w:tr w:rsidR="00545554" w:rsidRPr="00892D0C" w:rsidTr="00545554">
        <w:tc>
          <w:tcPr>
            <w:tcW w:w="567" w:type="dxa"/>
          </w:tcPr>
          <w:p w:rsidR="00545554" w:rsidRPr="00892D0C" w:rsidRDefault="00545554" w:rsidP="00545554">
            <w:pPr>
              <w:rPr>
                <w:rFonts w:cs="Segoe UI"/>
                <w:sz w:val="17"/>
                <w:szCs w:val="17"/>
              </w:rPr>
            </w:pPr>
            <w:r w:rsidRPr="00473B84">
              <w:rPr>
                <w:rFonts w:cs="Segoe UI"/>
                <w:sz w:val="17"/>
                <w:szCs w:val="17"/>
              </w:rPr>
              <w:t>20a</w:t>
            </w:r>
          </w:p>
        </w:tc>
        <w:tc>
          <w:tcPr>
            <w:tcW w:w="8789" w:type="dxa"/>
          </w:tcPr>
          <w:p w:rsidR="00545554" w:rsidRPr="00473B84" w:rsidRDefault="00545554" w:rsidP="00545554">
            <w:pPr>
              <w:autoSpaceDE w:val="0"/>
              <w:autoSpaceDN w:val="0"/>
              <w:adjustRightInd w:val="0"/>
              <w:jc w:val="both"/>
              <w:rPr>
                <w:sz w:val="17"/>
                <w:szCs w:val="17"/>
                <w:highlight w:val="yellow"/>
              </w:rPr>
            </w:pPr>
            <w:r>
              <w:rPr>
                <w:rFonts w:cs="Segoe UI"/>
                <w:i/>
                <w:iCs/>
                <w:color w:val="000000"/>
                <w:sz w:val="17"/>
                <w:szCs w:val="17"/>
              </w:rPr>
              <w:t>CFR</w:t>
            </w:r>
            <w:r>
              <w:rPr>
                <w:rFonts w:cs="Segoe UI" w:hint="eastAsia"/>
                <w:i/>
                <w:iCs/>
                <w:color w:val="000000"/>
                <w:sz w:val="17"/>
                <w:szCs w:val="17"/>
              </w:rPr>
              <w:t xml:space="preserve"> </w:t>
            </w:r>
            <w:r w:rsidRPr="000D030E">
              <w:rPr>
                <w:rFonts w:cs="Segoe UI"/>
                <w:i/>
                <w:iCs/>
                <w:color w:val="000000"/>
                <w:sz w:val="17"/>
                <w:szCs w:val="17"/>
              </w:rPr>
              <w:t>(</w:t>
            </w:r>
            <w:r>
              <w:rPr>
                <w:rFonts w:cs="Segoe UI"/>
                <w:i/>
                <w:iCs/>
                <w:color w:val="000000"/>
                <w:sz w:val="17"/>
                <w:szCs w:val="17"/>
              </w:rPr>
              <w:t>%</w:t>
            </w:r>
            <w:r w:rsidRPr="000D030E">
              <w:rPr>
                <w:rFonts w:cs="Segoe UI"/>
                <w:i/>
                <w:iCs/>
                <w:color w:val="000000"/>
                <w:sz w:val="17"/>
                <w:szCs w:val="17"/>
              </w:rPr>
              <w:t>)</w:t>
            </w:r>
            <w:r>
              <w:rPr>
                <w:rFonts w:cs="Segoe UI"/>
                <w:iCs/>
                <w:color w:val="000000"/>
                <w:sz w:val="17"/>
                <w:szCs w:val="17"/>
              </w:rPr>
              <w:t>: an AI designated as a category 2A institution should disclose in this row the a</w:t>
            </w:r>
            <w:r w:rsidRPr="00E7544B">
              <w:rPr>
                <w:rFonts w:cs="Segoe UI"/>
                <w:iCs/>
                <w:color w:val="000000"/>
                <w:sz w:val="17"/>
                <w:szCs w:val="17"/>
              </w:rPr>
              <w:t xml:space="preserve">rithmetic mean of </w:t>
            </w:r>
            <w:r>
              <w:rPr>
                <w:rFonts w:cs="Segoe UI"/>
                <w:iCs/>
                <w:color w:val="000000"/>
                <w:sz w:val="17"/>
                <w:szCs w:val="17"/>
              </w:rPr>
              <w:t xml:space="preserve">the </w:t>
            </w:r>
            <w:r w:rsidRPr="00E7544B">
              <w:rPr>
                <w:rFonts w:cs="Segoe UI"/>
                <w:iCs/>
                <w:color w:val="000000"/>
                <w:sz w:val="17"/>
                <w:szCs w:val="17"/>
              </w:rPr>
              <w:t>average CFR</w:t>
            </w:r>
            <w:r>
              <w:rPr>
                <w:rFonts w:cs="Segoe UI"/>
                <w:iCs/>
                <w:color w:val="000000"/>
                <w:sz w:val="17"/>
                <w:szCs w:val="17"/>
              </w:rPr>
              <w:t>s</w:t>
            </w:r>
            <w:r w:rsidRPr="00E7544B">
              <w:rPr>
                <w:rFonts w:cs="Segoe UI"/>
                <w:iCs/>
                <w:color w:val="000000"/>
                <w:sz w:val="17"/>
                <w:szCs w:val="17"/>
              </w:rPr>
              <w:t xml:space="preserve"> of the </w:t>
            </w:r>
            <w:r>
              <w:rPr>
                <w:rFonts w:cs="Segoe UI"/>
                <w:iCs/>
                <w:color w:val="000000"/>
                <w:sz w:val="17"/>
                <w:szCs w:val="17"/>
              </w:rPr>
              <w:t>3</w:t>
            </w:r>
            <w:r w:rsidRPr="00E7544B">
              <w:rPr>
                <w:rFonts w:cs="Segoe UI"/>
                <w:iCs/>
                <w:color w:val="000000"/>
                <w:sz w:val="17"/>
                <w:szCs w:val="17"/>
              </w:rPr>
              <w:t xml:space="preserve"> c</w:t>
            </w:r>
            <w:r>
              <w:rPr>
                <w:rFonts w:cs="Segoe UI"/>
                <w:iCs/>
                <w:color w:val="000000"/>
                <w:sz w:val="17"/>
                <w:szCs w:val="17"/>
              </w:rPr>
              <w:t>alendar months wit</w:t>
            </w:r>
            <w:r w:rsidRPr="0053238C">
              <w:rPr>
                <w:rFonts w:cs="Segoe UI"/>
                <w:iCs/>
                <w:color w:val="000000"/>
                <w:sz w:val="17"/>
                <w:szCs w:val="17"/>
              </w:rPr>
              <w:t>hin the quarter</w:t>
            </w:r>
            <w:r>
              <w:rPr>
                <w:rFonts w:cs="Segoe UI"/>
                <w:iCs/>
                <w:color w:val="000000"/>
                <w:sz w:val="17"/>
                <w:szCs w:val="17"/>
              </w:rPr>
              <w:t xml:space="preserve">.  </w:t>
            </w:r>
            <w:r w:rsidRPr="00126576">
              <w:rPr>
                <w:rFonts w:cs="Segoe UI"/>
                <w:iCs/>
                <w:color w:val="000000"/>
                <w:sz w:val="17"/>
                <w:szCs w:val="17"/>
              </w:rPr>
              <w:t xml:space="preserve">The average </w:t>
            </w:r>
            <w:r>
              <w:rPr>
                <w:rFonts w:cs="Segoe UI"/>
                <w:iCs/>
                <w:color w:val="000000"/>
                <w:sz w:val="17"/>
                <w:szCs w:val="17"/>
              </w:rPr>
              <w:t>CFR</w:t>
            </w:r>
            <w:r w:rsidRPr="00126576">
              <w:rPr>
                <w:rFonts w:cs="Segoe UI"/>
                <w:iCs/>
                <w:color w:val="000000"/>
                <w:sz w:val="17"/>
                <w:szCs w:val="17"/>
              </w:rPr>
              <w:t xml:space="preserve"> of each calendar month should be the figure reported in its </w:t>
            </w:r>
            <w:r>
              <w:rPr>
                <w:rFonts w:cs="Segoe UI"/>
                <w:iCs/>
                <w:color w:val="000000"/>
                <w:sz w:val="17"/>
                <w:szCs w:val="17"/>
              </w:rPr>
              <w:t>R</w:t>
            </w:r>
            <w:r w:rsidRPr="00126576">
              <w:rPr>
                <w:rFonts w:cs="Segoe UI"/>
                <w:iCs/>
                <w:color w:val="000000"/>
                <w:sz w:val="17"/>
                <w:szCs w:val="17"/>
              </w:rPr>
              <w:t>eturn</w:t>
            </w:r>
            <w:r>
              <w:rPr>
                <w:rFonts w:cs="Segoe UI"/>
                <w:iCs/>
                <w:color w:val="000000"/>
                <w:sz w:val="17"/>
                <w:szCs w:val="17"/>
              </w:rPr>
              <w:t xml:space="preserve"> of Stable Funding Position</w:t>
            </w:r>
            <w:r w:rsidRPr="00126576">
              <w:rPr>
                <w:rFonts w:cs="Segoe UI"/>
                <w:iCs/>
                <w:color w:val="000000"/>
                <w:sz w:val="17"/>
                <w:szCs w:val="17"/>
              </w:rPr>
              <w:t xml:space="preserve"> (MA(BS)</w:t>
            </w:r>
            <w:r>
              <w:rPr>
                <w:rFonts w:cs="Segoe UI"/>
                <w:iCs/>
                <w:color w:val="000000"/>
                <w:sz w:val="17"/>
                <w:szCs w:val="17"/>
              </w:rPr>
              <w:t>26</w:t>
            </w:r>
            <w:r w:rsidRPr="00126576">
              <w:rPr>
                <w:rFonts w:cs="Segoe UI"/>
                <w:iCs/>
                <w:color w:val="000000"/>
                <w:sz w:val="17"/>
                <w:szCs w:val="17"/>
              </w:rPr>
              <w:t>) submitted for the reporting month.</w:t>
            </w:r>
          </w:p>
        </w:tc>
      </w:tr>
    </w:tbl>
    <w:p w:rsidR="00545554" w:rsidRPr="00473B84" w:rsidRDefault="00545554" w:rsidP="00545554"/>
    <w:p w:rsidR="00545554" w:rsidRDefault="00545554" w:rsidP="003F0A7B">
      <w:pPr>
        <w:pStyle w:val="Heading1"/>
        <w:tabs>
          <w:tab w:val="clear" w:pos="794"/>
          <w:tab w:val="left" w:pos="426"/>
        </w:tabs>
        <w:spacing w:before="0"/>
        <w:ind w:leftChars="-283" w:left="-566"/>
        <w:sectPr w:rsidR="00545554" w:rsidSect="00545554">
          <w:footerReference w:type="default" r:id="rId11"/>
          <w:pgSz w:w="11906" w:h="16838"/>
          <w:pgMar w:top="1440" w:right="1800" w:bottom="1440" w:left="1800" w:header="851" w:footer="751"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4406FA" w:rsidRPr="004E457E" w:rsidTr="00D334F9">
        <w:tc>
          <w:tcPr>
            <w:tcW w:w="9242" w:type="dxa"/>
            <w:gridSpan w:val="2"/>
            <w:tcBorders>
              <w:top w:val="nil"/>
            </w:tcBorders>
          </w:tcPr>
          <w:p w:rsidR="004406FA" w:rsidRPr="004E457E" w:rsidRDefault="004406FA" w:rsidP="00D334F9">
            <w:pPr>
              <w:spacing w:before="40" w:after="40"/>
              <w:rPr>
                <w:noProof/>
                <w:sz w:val="17"/>
                <w:lang w:eastAsia="en-GB"/>
              </w:rPr>
            </w:pPr>
            <w:r w:rsidRPr="004E457E">
              <w:rPr>
                <w:sz w:val="22"/>
              </w:rPr>
              <w:lastRenderedPageBreak/>
              <w:t>Template OV1: Overview of RWA</w:t>
            </w:r>
          </w:p>
        </w:tc>
      </w:tr>
      <w:tr w:rsidR="004406FA" w:rsidRPr="004E457E" w:rsidTr="00D334F9">
        <w:tc>
          <w:tcPr>
            <w:tcW w:w="2127" w:type="dxa"/>
          </w:tcPr>
          <w:p w:rsidR="004406FA" w:rsidRPr="004E457E" w:rsidRDefault="004406FA" w:rsidP="00D334F9">
            <w:pPr>
              <w:spacing w:before="40" w:after="40"/>
              <w:rPr>
                <w:noProof/>
                <w:sz w:val="17"/>
                <w:lang w:eastAsia="en-GB"/>
              </w:rPr>
            </w:pPr>
            <w:r w:rsidRPr="004E457E">
              <w:rPr>
                <w:b/>
                <w:sz w:val="17"/>
                <w:lang w:eastAsia="en-GB"/>
              </w:rPr>
              <w:t>Purpose:</w:t>
            </w:r>
            <w:r w:rsidRPr="004E457E">
              <w:rPr>
                <w:sz w:val="17"/>
                <w:lang w:eastAsia="en-GB"/>
              </w:rPr>
              <w:t xml:space="preserve"> </w:t>
            </w:r>
          </w:p>
        </w:tc>
        <w:tc>
          <w:tcPr>
            <w:tcW w:w="7115" w:type="dxa"/>
          </w:tcPr>
          <w:p w:rsidR="004406FA" w:rsidRPr="004E457E" w:rsidRDefault="004406FA" w:rsidP="00D334F9">
            <w:pPr>
              <w:spacing w:before="40" w:after="40"/>
              <w:jc w:val="both"/>
              <w:rPr>
                <w:rFonts w:eastAsia="新細明體"/>
                <w:noProof/>
                <w:sz w:val="17"/>
                <w:lang w:eastAsia="en-GB"/>
              </w:rPr>
            </w:pPr>
            <w:r w:rsidRPr="004E457E">
              <w:rPr>
                <w:rFonts w:eastAsia="新細明體"/>
                <w:sz w:val="17"/>
                <w:lang w:eastAsia="en-GB"/>
              </w:rPr>
              <w:t>To provide an overview of capital requirements in terms of a detailed breakdowns of RWAs for various risks.</w:t>
            </w:r>
          </w:p>
        </w:tc>
      </w:tr>
      <w:tr w:rsidR="004406FA" w:rsidRPr="004E457E" w:rsidTr="00D334F9">
        <w:tc>
          <w:tcPr>
            <w:tcW w:w="2127" w:type="dxa"/>
          </w:tcPr>
          <w:p w:rsidR="004406FA" w:rsidRPr="004E457E" w:rsidRDefault="004406FA" w:rsidP="00D334F9">
            <w:pPr>
              <w:spacing w:before="40" w:after="40"/>
              <w:rPr>
                <w:b/>
                <w:sz w:val="17"/>
                <w:lang w:eastAsia="en-GB"/>
              </w:rPr>
            </w:pPr>
            <w:r w:rsidRPr="004E457E">
              <w:rPr>
                <w:b/>
                <w:sz w:val="17"/>
                <w:lang w:eastAsia="en-GB"/>
              </w:rPr>
              <w:t xml:space="preserve">Scope of application: </w:t>
            </w:r>
          </w:p>
        </w:tc>
        <w:tc>
          <w:tcPr>
            <w:tcW w:w="7115" w:type="dxa"/>
          </w:tcPr>
          <w:p w:rsidR="004406FA" w:rsidRPr="004E457E" w:rsidRDefault="004406FA" w:rsidP="00D334F9">
            <w:pPr>
              <w:spacing w:before="40" w:after="40"/>
              <w:jc w:val="both"/>
              <w:rPr>
                <w:rFonts w:eastAsia="新細明體"/>
                <w:b/>
                <w:sz w:val="17"/>
                <w:lang w:eastAsia="en-GB"/>
              </w:rPr>
            </w:pPr>
            <w:r w:rsidRPr="004E457E">
              <w:rPr>
                <w:rFonts w:eastAsia="新細明體"/>
                <w:sz w:val="17"/>
                <w:lang w:eastAsia="en-GB"/>
              </w:rPr>
              <w:t>The template is mandatory for all AIs</w:t>
            </w:r>
            <w:r w:rsidRPr="004E457E">
              <w:t xml:space="preserve"> </w:t>
            </w:r>
            <w:r w:rsidRPr="004E457E">
              <w:rPr>
                <w:rFonts w:eastAsia="新細明體"/>
                <w:sz w:val="17"/>
                <w:lang w:eastAsia="en-GB"/>
              </w:rPr>
              <w:t>incorporated in Hong Kong.</w:t>
            </w:r>
          </w:p>
        </w:tc>
      </w:tr>
      <w:tr w:rsidR="004406FA" w:rsidRPr="004E457E" w:rsidTr="00D334F9">
        <w:tc>
          <w:tcPr>
            <w:tcW w:w="2127" w:type="dxa"/>
          </w:tcPr>
          <w:p w:rsidR="004406FA" w:rsidRPr="004E457E" w:rsidRDefault="004406FA" w:rsidP="00D334F9">
            <w:pPr>
              <w:spacing w:before="40" w:after="40"/>
              <w:rPr>
                <w:b/>
                <w:sz w:val="17"/>
                <w:lang w:eastAsia="en-GB"/>
              </w:rPr>
            </w:pPr>
            <w:r w:rsidRPr="004E457E">
              <w:rPr>
                <w:b/>
                <w:sz w:val="17"/>
                <w:lang w:eastAsia="en-GB"/>
              </w:rPr>
              <w:t xml:space="preserve">Content: </w:t>
            </w:r>
          </w:p>
        </w:tc>
        <w:tc>
          <w:tcPr>
            <w:tcW w:w="7115" w:type="dxa"/>
          </w:tcPr>
          <w:p w:rsidR="004406FA" w:rsidRPr="004E457E" w:rsidRDefault="004406FA" w:rsidP="00D334F9">
            <w:pPr>
              <w:spacing w:before="40" w:after="40"/>
              <w:jc w:val="both"/>
              <w:rPr>
                <w:rFonts w:eastAsia="新細明體"/>
                <w:b/>
                <w:sz w:val="17"/>
                <w:lang w:eastAsia="en-GB"/>
              </w:rPr>
            </w:pPr>
            <w:r w:rsidRPr="004E457E">
              <w:rPr>
                <w:rFonts w:eastAsia="新細明體"/>
                <w:sz w:val="17"/>
                <w:lang w:eastAsia="en-GB"/>
              </w:rPr>
              <w:t>RWA and capital requirements under the Pillar 1 framework.</w:t>
            </w:r>
          </w:p>
        </w:tc>
      </w:tr>
      <w:tr w:rsidR="004406FA" w:rsidRPr="004E457E" w:rsidTr="00D334F9">
        <w:tc>
          <w:tcPr>
            <w:tcW w:w="2127" w:type="dxa"/>
          </w:tcPr>
          <w:p w:rsidR="004406FA" w:rsidRPr="004E457E" w:rsidRDefault="004406FA" w:rsidP="00D334F9">
            <w:pPr>
              <w:spacing w:before="40" w:after="40"/>
              <w:rPr>
                <w:sz w:val="17"/>
                <w:lang w:eastAsia="en-GB"/>
              </w:rPr>
            </w:pPr>
            <w:r w:rsidRPr="004E457E">
              <w:rPr>
                <w:b/>
                <w:sz w:val="17"/>
                <w:lang w:eastAsia="en-GB"/>
              </w:rPr>
              <w:t>Frequency:</w:t>
            </w:r>
            <w:r w:rsidRPr="004E457E">
              <w:rPr>
                <w:sz w:val="17"/>
                <w:lang w:eastAsia="en-GB"/>
              </w:rPr>
              <w:t xml:space="preserve"> </w:t>
            </w:r>
          </w:p>
        </w:tc>
        <w:tc>
          <w:tcPr>
            <w:tcW w:w="7115" w:type="dxa"/>
          </w:tcPr>
          <w:p w:rsidR="004406FA" w:rsidRPr="004E457E" w:rsidRDefault="004406FA" w:rsidP="00D334F9">
            <w:pPr>
              <w:spacing w:before="40" w:after="40"/>
              <w:jc w:val="both"/>
              <w:rPr>
                <w:rFonts w:eastAsia="新細明體"/>
                <w:sz w:val="17"/>
                <w:lang w:eastAsia="en-GB"/>
              </w:rPr>
            </w:pPr>
            <w:r w:rsidRPr="004E457E">
              <w:rPr>
                <w:rFonts w:eastAsia="新細明體"/>
                <w:sz w:val="17"/>
                <w:lang w:eastAsia="en-GB"/>
              </w:rPr>
              <w:t>Quarterly.</w:t>
            </w:r>
          </w:p>
        </w:tc>
      </w:tr>
      <w:tr w:rsidR="004406FA" w:rsidRPr="004E457E" w:rsidTr="00D334F9">
        <w:tc>
          <w:tcPr>
            <w:tcW w:w="2127" w:type="dxa"/>
          </w:tcPr>
          <w:p w:rsidR="004406FA" w:rsidRPr="004E457E" w:rsidRDefault="004406FA" w:rsidP="00D334F9">
            <w:pPr>
              <w:spacing w:before="40" w:after="40"/>
              <w:rPr>
                <w:sz w:val="17"/>
                <w:lang w:eastAsia="en-GB"/>
              </w:rPr>
            </w:pPr>
            <w:r w:rsidRPr="004E457E">
              <w:rPr>
                <w:b/>
                <w:sz w:val="17"/>
                <w:lang w:eastAsia="en-GB"/>
              </w:rPr>
              <w:t>Format:</w:t>
            </w:r>
            <w:r w:rsidRPr="004E457E">
              <w:rPr>
                <w:sz w:val="17"/>
                <w:lang w:eastAsia="en-GB"/>
              </w:rPr>
              <w:t xml:space="preserve"> </w:t>
            </w:r>
          </w:p>
        </w:tc>
        <w:tc>
          <w:tcPr>
            <w:tcW w:w="7115" w:type="dxa"/>
          </w:tcPr>
          <w:p w:rsidR="004406FA" w:rsidRPr="004E457E" w:rsidRDefault="004406FA" w:rsidP="00D334F9">
            <w:pPr>
              <w:spacing w:before="40" w:after="40"/>
              <w:jc w:val="both"/>
              <w:rPr>
                <w:rFonts w:eastAsia="新細明體"/>
                <w:noProof/>
                <w:sz w:val="17"/>
                <w:lang w:eastAsia="en-GB"/>
              </w:rPr>
            </w:pPr>
            <w:r w:rsidRPr="004E457E">
              <w:rPr>
                <w:rFonts w:eastAsia="新細明體"/>
                <w:sz w:val="17"/>
                <w:lang w:eastAsia="en-GB"/>
              </w:rPr>
              <w:t>Fixed.</w:t>
            </w:r>
          </w:p>
        </w:tc>
      </w:tr>
      <w:tr w:rsidR="004406FA" w:rsidRPr="004E457E" w:rsidTr="00D334F9">
        <w:tc>
          <w:tcPr>
            <w:tcW w:w="2127" w:type="dxa"/>
          </w:tcPr>
          <w:p w:rsidR="004406FA" w:rsidRPr="004E457E" w:rsidRDefault="004406FA" w:rsidP="00D334F9">
            <w:pPr>
              <w:spacing w:before="40" w:after="40"/>
              <w:rPr>
                <w:b/>
                <w:sz w:val="17"/>
                <w:lang w:eastAsia="en-GB"/>
              </w:rPr>
            </w:pPr>
            <w:r w:rsidRPr="004E457E">
              <w:rPr>
                <w:rFonts w:eastAsia="新細明體"/>
                <w:b/>
                <w:sz w:val="17"/>
                <w:szCs w:val="17"/>
                <w:lang w:eastAsia="en-GB"/>
              </w:rPr>
              <w:t>Accompanying narrative</w:t>
            </w:r>
            <w:r w:rsidRPr="004E457E">
              <w:rPr>
                <w:rFonts w:eastAsia="新細明體"/>
                <w:sz w:val="17"/>
                <w:szCs w:val="17"/>
                <w:lang w:eastAsia="en-GB"/>
              </w:rPr>
              <w:t>:</w:t>
            </w:r>
          </w:p>
        </w:tc>
        <w:tc>
          <w:tcPr>
            <w:tcW w:w="7115" w:type="dxa"/>
          </w:tcPr>
          <w:p w:rsidR="004406FA" w:rsidRPr="004E457E" w:rsidRDefault="004406FA" w:rsidP="00B227E1">
            <w:pPr>
              <w:spacing w:before="40" w:after="40"/>
              <w:jc w:val="both"/>
              <w:rPr>
                <w:rFonts w:eastAsia="新細明體"/>
                <w:noProof/>
                <w:sz w:val="17"/>
                <w:lang w:eastAsia="en-GB"/>
              </w:rPr>
            </w:pPr>
            <w:r w:rsidRPr="004E457E">
              <w:rPr>
                <w:rFonts w:eastAsia="新細明體"/>
                <w:sz w:val="17"/>
                <w:szCs w:val="17"/>
                <w:lang w:eastAsia="en-GB"/>
              </w:rPr>
              <w:t xml:space="preserve">An AI should </w:t>
            </w:r>
            <w:r w:rsidRPr="004E457E">
              <w:rPr>
                <w:rFonts w:eastAsia="新細明體"/>
                <w:sz w:val="17"/>
                <w:lang w:eastAsia="en-GB"/>
              </w:rPr>
              <w:t>explain the drivers behind differences in reporting periods T and T-1 where these differences are material.  The AI should also explain the adjustments made if capital requirements in column (c) do not correspond to 8% of RWA in column (a).  If an AI uses the internal models method to calculate its equity exposures in the banking book pursuant to the BCR, it should provide a description of its internal models used in an accompanying narrative.</w:t>
            </w:r>
          </w:p>
        </w:tc>
      </w:tr>
      <w:tr w:rsidR="004406FA" w:rsidRPr="004E457E" w:rsidTr="00D334F9">
        <w:tc>
          <w:tcPr>
            <w:tcW w:w="2127" w:type="dxa"/>
          </w:tcPr>
          <w:p w:rsidR="004406FA" w:rsidRPr="004E457E" w:rsidRDefault="004406FA" w:rsidP="00D334F9">
            <w:pPr>
              <w:spacing w:before="40" w:after="40"/>
              <w:rPr>
                <w:rFonts w:eastAsia="新細明體"/>
                <w:b/>
                <w:sz w:val="17"/>
                <w:szCs w:val="17"/>
                <w:lang w:eastAsia="en-GB"/>
              </w:rPr>
            </w:pPr>
            <w:r w:rsidRPr="004E457E">
              <w:rPr>
                <w:rFonts w:eastAsia="新細明體"/>
                <w:b/>
                <w:sz w:val="17"/>
                <w:szCs w:val="17"/>
                <w:lang w:eastAsia="en-GB"/>
              </w:rPr>
              <w:t>Corresponding BDR section:</w:t>
            </w:r>
          </w:p>
        </w:tc>
        <w:tc>
          <w:tcPr>
            <w:tcW w:w="7115" w:type="dxa"/>
          </w:tcPr>
          <w:p w:rsidR="004406FA" w:rsidRPr="004E457E" w:rsidRDefault="004406FA" w:rsidP="00897571">
            <w:pPr>
              <w:spacing w:before="40" w:after="40"/>
              <w:jc w:val="both"/>
              <w:rPr>
                <w:rFonts w:eastAsia="新細明體"/>
                <w:sz w:val="17"/>
                <w:szCs w:val="17"/>
                <w:lang w:eastAsia="en-GB"/>
              </w:rPr>
            </w:pPr>
            <w:r w:rsidRPr="001B530B">
              <w:rPr>
                <w:rFonts w:eastAsia="新細明體"/>
                <w:sz w:val="17"/>
                <w:szCs w:val="17"/>
                <w:lang w:eastAsia="en-GB"/>
              </w:rPr>
              <w:t>16C</w:t>
            </w:r>
          </w:p>
        </w:tc>
      </w:tr>
    </w:tbl>
    <w:p w:rsidR="004406FA" w:rsidRPr="004E457E" w:rsidRDefault="004406FA" w:rsidP="004406FA">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600" w:firstRow="0" w:lastRow="0" w:firstColumn="0" w:lastColumn="0" w:noHBand="1" w:noVBand="1"/>
      </w:tblPr>
      <w:tblGrid>
        <w:gridCol w:w="567"/>
        <w:gridCol w:w="5245"/>
        <w:gridCol w:w="921"/>
        <w:gridCol w:w="922"/>
        <w:gridCol w:w="1559"/>
      </w:tblGrid>
      <w:tr w:rsidR="004406FA" w:rsidRPr="004E457E" w:rsidTr="00D334F9">
        <w:trPr>
          <w:trHeight w:val="299"/>
          <w:tblHeader/>
        </w:trPr>
        <w:tc>
          <w:tcPr>
            <w:tcW w:w="567" w:type="dxa"/>
            <w:tcBorders>
              <w:top w:val="nil"/>
              <w:left w:val="nil"/>
              <w:bottom w:val="nil"/>
              <w:right w:val="nil"/>
            </w:tcBorders>
          </w:tcPr>
          <w:p w:rsidR="004406FA" w:rsidRPr="004E457E" w:rsidRDefault="004406FA" w:rsidP="00D334F9">
            <w:pPr>
              <w:keepLines/>
              <w:snapToGrid w:val="0"/>
              <w:rPr>
                <w:rFonts w:cs="Segoe UI"/>
                <w:i/>
                <w:sz w:val="17"/>
                <w:szCs w:val="17"/>
                <w:lang w:eastAsia="en-GB"/>
              </w:rPr>
            </w:pPr>
          </w:p>
        </w:tc>
        <w:tc>
          <w:tcPr>
            <w:tcW w:w="5245" w:type="dxa"/>
            <w:tcBorders>
              <w:top w:val="nil"/>
              <w:left w:val="nil"/>
              <w:bottom w:val="nil"/>
              <w:right w:val="single" w:sz="4" w:space="0" w:color="auto"/>
            </w:tcBorders>
          </w:tcPr>
          <w:p w:rsidR="004406FA" w:rsidRPr="004E457E" w:rsidRDefault="004406FA" w:rsidP="00D334F9">
            <w:pPr>
              <w:keepLines/>
              <w:snapToGrid w:val="0"/>
              <w:rPr>
                <w:rFonts w:cs="Segoe UI"/>
                <w:i/>
                <w:sz w:val="17"/>
                <w:szCs w:val="17"/>
                <w:lang w:eastAsia="en-GB"/>
              </w:rPr>
            </w:pPr>
          </w:p>
        </w:tc>
        <w:tc>
          <w:tcPr>
            <w:tcW w:w="921"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sz w:val="17"/>
                <w:szCs w:val="17"/>
                <w:lang w:eastAsia="en-GB"/>
              </w:rPr>
            </w:pPr>
            <w:r w:rsidRPr="004E457E">
              <w:rPr>
                <w:rFonts w:cs="Segoe UI"/>
                <w:sz w:val="17"/>
                <w:szCs w:val="17"/>
                <w:lang w:eastAsia="en-GB"/>
              </w:rPr>
              <w:t>(a)</w:t>
            </w:r>
          </w:p>
        </w:tc>
        <w:tc>
          <w:tcPr>
            <w:tcW w:w="922"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sz w:val="17"/>
                <w:szCs w:val="17"/>
                <w:lang w:eastAsia="en-GB"/>
              </w:rPr>
            </w:pPr>
            <w:r w:rsidRPr="004E457E">
              <w:rPr>
                <w:rFonts w:cs="Segoe UI"/>
                <w:sz w:val="17"/>
                <w:szCs w:val="17"/>
                <w:lang w:eastAsia="en-GB"/>
              </w:rPr>
              <w:t>(b)</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sz w:val="17"/>
                <w:szCs w:val="17"/>
                <w:lang w:eastAsia="en-GB"/>
              </w:rPr>
            </w:pPr>
            <w:r w:rsidRPr="004E457E">
              <w:rPr>
                <w:rFonts w:cs="Segoe UI"/>
                <w:sz w:val="17"/>
                <w:szCs w:val="17"/>
                <w:lang w:eastAsia="en-GB"/>
              </w:rPr>
              <w:t>(c)</w:t>
            </w:r>
          </w:p>
        </w:tc>
      </w:tr>
      <w:tr w:rsidR="004406FA" w:rsidRPr="004E457E" w:rsidTr="00D334F9">
        <w:trPr>
          <w:trHeight w:val="275"/>
          <w:tblHeader/>
        </w:trPr>
        <w:tc>
          <w:tcPr>
            <w:tcW w:w="567" w:type="dxa"/>
            <w:tcBorders>
              <w:top w:val="nil"/>
              <w:left w:val="nil"/>
              <w:bottom w:val="nil"/>
              <w:right w:val="nil"/>
            </w:tcBorders>
          </w:tcPr>
          <w:p w:rsidR="004406FA" w:rsidRPr="004E457E" w:rsidRDefault="004406FA" w:rsidP="00D334F9">
            <w:pPr>
              <w:keepLines/>
              <w:snapToGrid w:val="0"/>
              <w:rPr>
                <w:rFonts w:cs="Segoe UI"/>
                <w:i/>
                <w:sz w:val="17"/>
                <w:szCs w:val="17"/>
                <w:lang w:eastAsia="en-GB"/>
              </w:rPr>
            </w:pPr>
          </w:p>
        </w:tc>
        <w:tc>
          <w:tcPr>
            <w:tcW w:w="5245" w:type="dxa"/>
            <w:vMerge w:val="restart"/>
            <w:tcBorders>
              <w:top w:val="nil"/>
              <w:left w:val="nil"/>
              <w:bottom w:val="single" w:sz="4" w:space="0" w:color="auto"/>
              <w:right w:val="single" w:sz="4" w:space="0" w:color="auto"/>
            </w:tcBorders>
          </w:tcPr>
          <w:p w:rsidR="004406FA" w:rsidRPr="004E457E" w:rsidRDefault="004406FA" w:rsidP="00D334F9">
            <w:pPr>
              <w:keepLines/>
              <w:snapToGrid w:val="0"/>
              <w:rPr>
                <w:rFonts w:cs="Segoe UI"/>
                <w:i/>
                <w:noProof/>
                <w:sz w:val="17"/>
                <w:szCs w:val="17"/>
                <w:lang w:eastAsia="en-GB"/>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406FA" w:rsidRPr="004E457E" w:rsidRDefault="004406FA" w:rsidP="00D334F9">
            <w:pPr>
              <w:keepLines/>
              <w:snapToGrid w:val="0"/>
              <w:spacing w:before="40" w:after="40"/>
              <w:jc w:val="center"/>
              <w:rPr>
                <w:rFonts w:cs="Segoe UI"/>
                <w:noProof/>
                <w:sz w:val="17"/>
                <w:szCs w:val="17"/>
                <w:lang w:eastAsia="en-GB"/>
              </w:rPr>
            </w:pPr>
            <w:r w:rsidRPr="004E457E">
              <w:rPr>
                <w:rFonts w:cs="Segoe UI"/>
                <w:sz w:val="17"/>
                <w:szCs w:val="17"/>
                <w:lang w:eastAsia="en-GB"/>
              </w:rPr>
              <w:t>RWA</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noProof/>
                <w:spacing w:val="-20"/>
                <w:sz w:val="17"/>
                <w:szCs w:val="17"/>
                <w:lang w:eastAsia="en-GB"/>
              </w:rPr>
            </w:pPr>
            <w:r w:rsidRPr="004E457E">
              <w:rPr>
                <w:rFonts w:cs="Segoe UI"/>
                <w:sz w:val="17"/>
                <w:szCs w:val="17"/>
                <w:lang w:eastAsia="en-GB"/>
              </w:rPr>
              <w:t>Minimum capital requirements</w:t>
            </w:r>
          </w:p>
        </w:tc>
      </w:tr>
      <w:tr w:rsidR="004406FA" w:rsidRPr="004E457E" w:rsidTr="00D334F9">
        <w:trPr>
          <w:trHeight w:val="245"/>
          <w:tblHeader/>
        </w:trPr>
        <w:tc>
          <w:tcPr>
            <w:tcW w:w="567" w:type="dxa"/>
            <w:tcBorders>
              <w:top w:val="nil"/>
              <w:left w:val="nil"/>
              <w:bottom w:val="single" w:sz="4" w:space="0" w:color="auto"/>
              <w:right w:val="nil"/>
            </w:tcBorders>
          </w:tcPr>
          <w:p w:rsidR="004406FA" w:rsidRPr="004E457E" w:rsidRDefault="004406FA" w:rsidP="00D334F9">
            <w:pPr>
              <w:keepLines/>
              <w:snapToGrid w:val="0"/>
              <w:rPr>
                <w:rFonts w:cs="Segoe UI"/>
                <w:i/>
                <w:sz w:val="17"/>
                <w:szCs w:val="17"/>
                <w:lang w:eastAsia="en-GB"/>
              </w:rPr>
            </w:pPr>
          </w:p>
        </w:tc>
        <w:tc>
          <w:tcPr>
            <w:tcW w:w="5245" w:type="dxa"/>
            <w:vMerge/>
            <w:tcBorders>
              <w:top w:val="single" w:sz="4" w:space="0" w:color="auto"/>
              <w:left w:val="nil"/>
              <w:bottom w:val="single" w:sz="4" w:space="0" w:color="auto"/>
              <w:right w:val="single" w:sz="4" w:space="0" w:color="auto"/>
            </w:tcBorders>
          </w:tcPr>
          <w:p w:rsidR="004406FA" w:rsidRPr="004E457E" w:rsidRDefault="004406FA" w:rsidP="00D334F9">
            <w:pPr>
              <w:keepLines/>
              <w:snapToGrid w:val="0"/>
              <w:rPr>
                <w:rFonts w:cs="Segoe UI"/>
                <w:i/>
                <w:sz w:val="17"/>
                <w:szCs w:val="17"/>
                <w:lang w:eastAsia="en-GB"/>
              </w:rPr>
            </w:pPr>
          </w:p>
        </w:tc>
        <w:tc>
          <w:tcPr>
            <w:tcW w:w="921"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sz w:val="17"/>
                <w:szCs w:val="17"/>
                <w:lang w:eastAsia="en-GB"/>
              </w:rPr>
            </w:pPr>
            <w:r w:rsidRPr="004E457E">
              <w:rPr>
                <w:rFonts w:cs="Segoe UI"/>
                <w:sz w:val="17"/>
                <w:szCs w:val="17"/>
                <w:lang w:eastAsia="en-GB"/>
              </w:rPr>
              <w:t>T</w:t>
            </w:r>
          </w:p>
        </w:tc>
        <w:tc>
          <w:tcPr>
            <w:tcW w:w="922"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noProof/>
                <w:sz w:val="17"/>
                <w:szCs w:val="17"/>
                <w:lang w:eastAsia="en-GB"/>
              </w:rPr>
            </w:pPr>
            <w:r w:rsidRPr="004E457E">
              <w:rPr>
                <w:rFonts w:cs="Segoe UI"/>
                <w:sz w:val="17"/>
                <w:szCs w:val="17"/>
                <w:lang w:eastAsia="en-GB"/>
              </w:rPr>
              <w:t>T-1</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4406FA" w:rsidRPr="004E457E" w:rsidRDefault="004406FA" w:rsidP="00D334F9">
            <w:pPr>
              <w:keepLines/>
              <w:snapToGrid w:val="0"/>
              <w:spacing w:before="40" w:after="40"/>
              <w:jc w:val="center"/>
              <w:rPr>
                <w:rFonts w:cs="Segoe UI"/>
                <w:noProof/>
                <w:sz w:val="17"/>
                <w:szCs w:val="17"/>
                <w:lang w:eastAsia="en-GB"/>
              </w:rPr>
            </w:pPr>
            <w:r w:rsidRPr="004E457E">
              <w:rPr>
                <w:rFonts w:cs="Segoe UI"/>
                <w:noProof/>
                <w:sz w:val="17"/>
                <w:szCs w:val="17"/>
                <w:lang w:eastAsia="en-GB"/>
              </w:rPr>
              <w:t>T</w:t>
            </w:r>
          </w:p>
        </w:tc>
      </w:tr>
      <w:tr w:rsidR="004406FA" w:rsidRPr="004E457E" w:rsidTr="00D334F9">
        <w:tc>
          <w:tcPr>
            <w:tcW w:w="567" w:type="dxa"/>
            <w:tcBorders>
              <w:top w:val="single" w:sz="4" w:space="0" w:color="auto"/>
              <w:left w:val="nil"/>
              <w:right w:val="single" w:sz="4" w:space="0" w:color="auto"/>
            </w:tcBorders>
          </w:tcPr>
          <w:p w:rsidR="004406FA" w:rsidRPr="00CB685C" w:rsidRDefault="004406FA" w:rsidP="00D334F9">
            <w:pPr>
              <w:keepLines/>
              <w:tabs>
                <w:tab w:val="left" w:pos="150"/>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1</w:t>
            </w:r>
          </w:p>
        </w:tc>
        <w:tc>
          <w:tcPr>
            <w:tcW w:w="5245" w:type="dxa"/>
            <w:tcBorders>
              <w:top w:val="single" w:sz="4" w:space="0" w:color="auto"/>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Credit risk for non-securitization exposures</w:t>
            </w:r>
          </w:p>
        </w:tc>
        <w:tc>
          <w:tcPr>
            <w:tcW w:w="921" w:type="dxa"/>
            <w:tcBorders>
              <w:top w:val="single" w:sz="4" w:space="0" w:color="auto"/>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auto"/>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auto"/>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2</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STC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2a</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BSC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lang w:eastAsia="en-GB"/>
              </w:rPr>
            </w:pPr>
            <w:r w:rsidRPr="00CB685C">
              <w:rPr>
                <w:rFonts w:cs="Segoe UI"/>
                <w:sz w:val="17"/>
                <w:szCs w:val="17"/>
                <w:lang w:eastAsia="en-GB"/>
              </w:rPr>
              <w:t>3</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foundation IRB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4</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supervisory slotting criteria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5</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C3109C">
              <w:rPr>
                <w:rFonts w:cs="Segoe UI"/>
                <w:sz w:val="17"/>
                <w:szCs w:val="17"/>
                <w:lang w:eastAsia="en-GB"/>
              </w:rPr>
              <w:t>advanced IRB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6</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Pr>
                <w:rFonts w:cs="Segoe UI"/>
                <w:sz w:val="17"/>
                <w:szCs w:val="17"/>
                <w:lang w:eastAsia="en-GB"/>
              </w:rPr>
              <w:t>Counterparty default risk and default fund contributions</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7</w:t>
            </w:r>
          </w:p>
        </w:tc>
        <w:tc>
          <w:tcPr>
            <w:tcW w:w="5245" w:type="dxa"/>
            <w:tcBorders>
              <w:left w:val="single" w:sz="4" w:space="0" w:color="auto"/>
              <w:right w:val="single" w:sz="4" w:space="0" w:color="auto"/>
            </w:tcBorders>
          </w:tcPr>
          <w:p w:rsidR="004406FA" w:rsidRPr="004E457E" w:rsidRDefault="004406FA" w:rsidP="007910A4">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SA-CCR</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lang w:eastAsia="en-GB"/>
              </w:rPr>
            </w:pPr>
            <w:r w:rsidRPr="00CB685C">
              <w:rPr>
                <w:rFonts w:cs="Segoe UI" w:hint="eastAsia"/>
                <w:sz w:val="17"/>
                <w:szCs w:val="17"/>
              </w:rPr>
              <w:t>7</w:t>
            </w:r>
            <w:r w:rsidRPr="00CB685C">
              <w:rPr>
                <w:rFonts w:cs="Segoe UI"/>
                <w:sz w:val="17"/>
                <w:szCs w:val="17"/>
                <w:lang w:eastAsia="en-GB"/>
              </w:rPr>
              <w:t>a</w:t>
            </w:r>
          </w:p>
        </w:tc>
        <w:tc>
          <w:tcPr>
            <w:tcW w:w="5245" w:type="dxa"/>
            <w:tcBorders>
              <w:left w:val="single" w:sz="4" w:space="0" w:color="auto"/>
              <w:right w:val="single" w:sz="4" w:space="0" w:color="auto"/>
            </w:tcBorders>
          </w:tcPr>
          <w:p w:rsidR="004406FA" w:rsidRPr="004E457E" w:rsidRDefault="004406FA" w:rsidP="00E17F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CEM</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8</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FC4133">
              <w:rPr>
                <w:rFonts w:cs="Segoe UI"/>
                <w:sz w:val="17"/>
                <w:szCs w:val="17"/>
                <w:lang w:eastAsia="en-GB"/>
              </w:rPr>
              <w:t xml:space="preserve">IMM(CCR) </w:t>
            </w:r>
            <w:r>
              <w:rPr>
                <w:rFonts w:cs="Segoe UI"/>
                <w:sz w:val="17"/>
                <w:szCs w:val="17"/>
                <w:lang w:eastAsia="en-GB"/>
              </w:rPr>
              <w:t>a</w:t>
            </w:r>
            <w:r w:rsidRPr="00FC4133">
              <w:rPr>
                <w:rFonts w:cs="Segoe UI"/>
                <w:sz w:val="17"/>
                <w:szCs w:val="17"/>
                <w:lang w:eastAsia="en-GB"/>
              </w:rPr>
              <w:t>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9</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45027E">
              <w:rPr>
                <w:rFonts w:cs="Segoe UI"/>
                <w:sz w:val="17"/>
                <w:szCs w:val="17"/>
                <w:lang w:eastAsia="en-GB"/>
              </w:rPr>
              <w:t>other</w:t>
            </w:r>
            <w:r>
              <w:rPr>
                <w:rFonts w:cs="Segoe UI"/>
                <w:sz w:val="17"/>
                <w:szCs w:val="17"/>
                <w:lang w:eastAsia="en-GB"/>
              </w:rPr>
              <w:t>s</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rPr>
          <w:trHeight w:val="227"/>
        </w:trPr>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10</w:t>
            </w:r>
          </w:p>
        </w:tc>
        <w:tc>
          <w:tcPr>
            <w:tcW w:w="5245" w:type="dxa"/>
            <w:tcBorders>
              <w:left w:val="single" w:sz="4" w:space="0" w:color="auto"/>
              <w:right w:val="single" w:sz="4" w:space="0" w:color="auto"/>
            </w:tcBorders>
          </w:tcPr>
          <w:p w:rsidR="004406FA" w:rsidRPr="00E44B1B" w:rsidRDefault="004406FA" w:rsidP="00D334F9">
            <w:pPr>
              <w:keepLines/>
              <w:tabs>
                <w:tab w:val="left" w:pos="397"/>
                <w:tab w:val="left" w:pos="794"/>
                <w:tab w:val="left" w:pos="1191"/>
              </w:tabs>
              <w:snapToGrid w:val="0"/>
              <w:spacing w:before="20" w:after="20"/>
              <w:rPr>
                <w:rFonts w:cs="Segoe UI"/>
              </w:rPr>
            </w:pPr>
            <w:r>
              <w:rPr>
                <w:rFonts w:cs="Segoe UI"/>
                <w:sz w:val="17"/>
                <w:szCs w:val="17"/>
                <w:lang w:eastAsia="en-GB"/>
              </w:rPr>
              <w:t>CVA risk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11</w:t>
            </w:r>
          </w:p>
        </w:tc>
        <w:tc>
          <w:tcPr>
            <w:tcW w:w="5245" w:type="dxa"/>
            <w:tcBorders>
              <w:left w:val="single" w:sz="4" w:space="0" w:color="auto"/>
              <w:right w:val="single" w:sz="4" w:space="0" w:color="auto"/>
            </w:tcBorders>
          </w:tcPr>
          <w:p w:rsidR="004406FA" w:rsidRPr="00686916" w:rsidRDefault="004406FA" w:rsidP="00B42678">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 xml:space="preserve">Equity </w:t>
            </w:r>
            <w:r w:rsidR="00B14FFB">
              <w:rPr>
                <w:rFonts w:cs="Segoe UI"/>
                <w:sz w:val="17"/>
                <w:szCs w:val="17"/>
                <w:lang w:eastAsia="en-GB"/>
              </w:rPr>
              <w:t xml:space="preserve">positions </w:t>
            </w:r>
            <w:r w:rsidR="00C24CB0">
              <w:rPr>
                <w:rFonts w:cs="Segoe UI"/>
                <w:noProof/>
                <w:sz w:val="17"/>
                <w:szCs w:val="17"/>
                <w:lang w:eastAsia="en-GB"/>
              </w:rPr>
              <w:t xml:space="preserve">in banking book </w:t>
            </w:r>
            <w:r w:rsidRPr="00686916">
              <w:rPr>
                <w:rFonts w:cs="Segoe UI"/>
                <w:noProof/>
                <w:sz w:val="17"/>
                <w:szCs w:val="17"/>
                <w:lang w:eastAsia="en-GB"/>
              </w:rPr>
              <w:t xml:space="preserve">under the </w:t>
            </w:r>
            <w:r>
              <w:rPr>
                <w:rFonts w:cs="Segoe UI" w:hint="eastAsia"/>
                <w:noProof/>
                <w:sz w:val="17"/>
                <w:szCs w:val="17"/>
              </w:rPr>
              <w:t>s</w:t>
            </w:r>
            <w:r w:rsidRPr="00146759">
              <w:rPr>
                <w:rFonts w:cs="Segoe UI"/>
                <w:noProof/>
                <w:sz w:val="17"/>
                <w:szCs w:val="17"/>
                <w:lang w:eastAsia="en-GB"/>
              </w:rPr>
              <w:t>imple risk-weight method</w:t>
            </w:r>
            <w:r w:rsidR="00DE58ED">
              <w:rPr>
                <w:rFonts w:cs="Segoe UI"/>
                <w:noProof/>
                <w:sz w:val="17"/>
                <w:szCs w:val="17"/>
                <w:lang w:eastAsia="en-GB"/>
              </w:rPr>
              <w:t xml:space="preserve"> and </w:t>
            </w:r>
            <w:r w:rsidR="00C82D9E">
              <w:rPr>
                <w:rFonts w:cs="Segoe UI"/>
                <w:noProof/>
                <w:sz w:val="17"/>
                <w:szCs w:val="17"/>
                <w:lang w:eastAsia="en-GB"/>
              </w:rPr>
              <w:t>internal models method</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top w:val="single" w:sz="4" w:space="0" w:color="BCBDBC"/>
              <w:left w:val="nil"/>
              <w:bottom w:val="single" w:sz="4" w:space="0" w:color="BCBDBC"/>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12</w:t>
            </w:r>
          </w:p>
        </w:tc>
        <w:tc>
          <w:tcPr>
            <w:tcW w:w="5245" w:type="dxa"/>
            <w:tcBorders>
              <w:top w:val="single" w:sz="4" w:space="0" w:color="BCBDBC"/>
              <w:left w:val="single" w:sz="4" w:space="0" w:color="auto"/>
              <w:bottom w:val="single" w:sz="4" w:space="0" w:color="BCBDBC"/>
              <w:right w:val="single" w:sz="4" w:space="0" w:color="auto"/>
            </w:tcBorders>
          </w:tcPr>
          <w:p w:rsidR="004406FA" w:rsidRPr="00180754" w:rsidRDefault="004406FA" w:rsidP="00D334F9">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Collective investment scheme (“</w:t>
            </w:r>
            <w:r w:rsidRPr="004E457E">
              <w:rPr>
                <w:rFonts w:cs="Segoe UI"/>
                <w:sz w:val="17"/>
                <w:szCs w:val="17"/>
                <w:lang w:eastAsia="en-GB"/>
              </w:rPr>
              <w:t>CIS</w:t>
            </w:r>
            <w:r>
              <w:rPr>
                <w:rFonts w:cs="Segoe UI"/>
                <w:sz w:val="17"/>
                <w:szCs w:val="17"/>
                <w:lang w:eastAsia="en-GB"/>
              </w:rPr>
              <w:t>”)</w:t>
            </w:r>
            <w:r w:rsidRPr="004E457E">
              <w:rPr>
                <w:rFonts w:cs="Segoe UI"/>
                <w:sz w:val="17"/>
                <w:szCs w:val="17"/>
                <w:lang w:eastAsia="en-GB"/>
              </w:rPr>
              <w:t xml:space="preserve"> exposures – LTA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top w:val="single" w:sz="4" w:space="0" w:color="BCBDBC"/>
              <w:left w:val="nil"/>
              <w:bottom w:val="single" w:sz="4" w:space="0" w:color="BCBDBC"/>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hint="eastAsia"/>
                <w:sz w:val="17"/>
                <w:szCs w:val="17"/>
              </w:rPr>
              <w:t>13</w:t>
            </w:r>
          </w:p>
        </w:tc>
        <w:tc>
          <w:tcPr>
            <w:tcW w:w="5245" w:type="dxa"/>
            <w:tcBorders>
              <w:top w:val="single" w:sz="4" w:space="0" w:color="BCBDBC"/>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CIS exposures – MBA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top w:val="single" w:sz="4" w:space="0" w:color="BCBDBC"/>
              <w:left w:val="nil"/>
              <w:bottom w:val="single" w:sz="4" w:space="0" w:color="BCBDBC"/>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14</w:t>
            </w:r>
          </w:p>
        </w:tc>
        <w:tc>
          <w:tcPr>
            <w:tcW w:w="5245" w:type="dxa"/>
            <w:tcBorders>
              <w:top w:val="single" w:sz="4" w:space="0" w:color="BCBDBC"/>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CIS exposures – FBA</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top w:val="single" w:sz="4" w:space="0" w:color="BCBDBC"/>
              <w:left w:val="nil"/>
              <w:bottom w:val="single" w:sz="4" w:space="0" w:color="BCBDBC"/>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14a</w:t>
            </w:r>
          </w:p>
        </w:tc>
        <w:tc>
          <w:tcPr>
            <w:tcW w:w="5245" w:type="dxa"/>
            <w:tcBorders>
              <w:top w:val="single" w:sz="4" w:space="0" w:color="BCBDBC"/>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CIS exposures – combination of approaches*</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top w:val="single" w:sz="4" w:space="0" w:color="BCBDBC"/>
              <w:left w:val="nil"/>
              <w:bottom w:val="single" w:sz="4" w:space="0" w:color="BCBDBC"/>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w:t>
            </w:r>
            <w:r w:rsidRPr="00CB685C">
              <w:rPr>
                <w:rFonts w:cs="Segoe UI" w:hint="eastAsia"/>
                <w:sz w:val="17"/>
                <w:szCs w:val="17"/>
              </w:rPr>
              <w:t>5</w:t>
            </w:r>
          </w:p>
        </w:tc>
        <w:tc>
          <w:tcPr>
            <w:tcW w:w="5245" w:type="dxa"/>
            <w:tcBorders>
              <w:top w:val="single" w:sz="4" w:space="0" w:color="BCBDBC"/>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Settlement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CB685C" w:rsidRDefault="004406FA" w:rsidP="00D334F9">
            <w:pPr>
              <w:keepLines/>
              <w:tabs>
                <w:tab w:val="left" w:pos="397"/>
                <w:tab w:val="left" w:pos="794"/>
                <w:tab w:val="left" w:pos="1191"/>
              </w:tabs>
              <w:snapToGrid w:val="0"/>
              <w:spacing w:before="20" w:after="20"/>
              <w:rPr>
                <w:rFonts w:cs="Segoe UI"/>
                <w:sz w:val="17"/>
                <w:szCs w:val="17"/>
              </w:rPr>
            </w:pPr>
            <w:r w:rsidRPr="00CB685C">
              <w:rPr>
                <w:rFonts w:cs="Segoe UI"/>
                <w:sz w:val="17"/>
                <w:szCs w:val="17"/>
                <w:lang w:eastAsia="en-GB"/>
              </w:rPr>
              <w:t>1</w:t>
            </w:r>
            <w:r w:rsidRPr="00CB685C">
              <w:rPr>
                <w:rFonts w:cs="Segoe UI" w:hint="eastAsia"/>
                <w:sz w:val="17"/>
                <w:szCs w:val="17"/>
              </w:rPr>
              <w:t>6</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Securiti</w:t>
            </w:r>
            <w:r>
              <w:rPr>
                <w:rFonts w:cs="Segoe UI"/>
                <w:sz w:val="17"/>
                <w:szCs w:val="17"/>
                <w:lang w:eastAsia="en-GB"/>
              </w:rPr>
              <w:t>zation exposures in banking book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331B2F" w:rsidRDefault="004406FA" w:rsidP="00D334F9">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t>1</w:t>
            </w:r>
            <w:r w:rsidRPr="00331B2F">
              <w:rPr>
                <w:rFonts w:cs="Segoe UI" w:hint="eastAsia"/>
                <w:sz w:val="17"/>
                <w:szCs w:val="17"/>
              </w:rPr>
              <w:t>7</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5F2537">
              <w:rPr>
                <w:rFonts w:cs="Segoe UI"/>
                <w:sz w:val="17"/>
                <w:szCs w:val="17"/>
                <w:lang w:eastAsia="en-GB"/>
              </w:rPr>
              <w:t>SEC-IRBA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331B2F" w:rsidRDefault="004406FA" w:rsidP="00D334F9">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t>1</w:t>
            </w:r>
            <w:r w:rsidRPr="00331B2F">
              <w:rPr>
                <w:rFonts w:cs="Segoe UI" w:hint="eastAsia"/>
                <w:sz w:val="17"/>
                <w:szCs w:val="17"/>
              </w:rPr>
              <w:t>8</w:t>
            </w:r>
          </w:p>
        </w:tc>
        <w:tc>
          <w:tcPr>
            <w:tcW w:w="5245" w:type="dxa"/>
            <w:tcBorders>
              <w:left w:val="single" w:sz="4" w:space="0" w:color="auto"/>
              <w:right w:val="single" w:sz="4" w:space="0" w:color="auto"/>
            </w:tcBorders>
          </w:tcPr>
          <w:p w:rsidR="004406FA" w:rsidRPr="004E457E" w:rsidRDefault="004406FA" w:rsidP="00B621AB">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5F2537">
              <w:rPr>
                <w:rFonts w:cs="Segoe UI"/>
                <w:sz w:val="17"/>
                <w:szCs w:val="17"/>
                <w:lang w:eastAsia="en-GB"/>
              </w:rPr>
              <w:t>SEC-ERBA</w:t>
            </w:r>
            <w:r w:rsidR="00B42678">
              <w:rPr>
                <w:rFonts w:cs="Segoe UI"/>
                <w:sz w:val="17"/>
                <w:szCs w:val="17"/>
                <w:lang w:eastAsia="en-GB"/>
              </w:rPr>
              <w:t xml:space="preserve"> (including IAA)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331B2F" w:rsidRDefault="004406FA" w:rsidP="00D334F9">
            <w:pPr>
              <w:keepLines/>
              <w:tabs>
                <w:tab w:val="left" w:pos="397"/>
                <w:tab w:val="left" w:pos="794"/>
                <w:tab w:val="left" w:pos="1191"/>
              </w:tabs>
              <w:snapToGrid w:val="0"/>
              <w:spacing w:before="20" w:after="20"/>
              <w:rPr>
                <w:rFonts w:cs="Segoe UI"/>
                <w:sz w:val="17"/>
                <w:szCs w:val="17"/>
              </w:rPr>
            </w:pPr>
            <w:r w:rsidRPr="00331B2F">
              <w:rPr>
                <w:rFonts w:cs="Segoe UI"/>
                <w:sz w:val="17"/>
                <w:szCs w:val="17"/>
                <w:lang w:eastAsia="en-GB"/>
              </w:rPr>
              <w:lastRenderedPageBreak/>
              <w:t>1</w:t>
            </w:r>
            <w:r w:rsidRPr="00331B2F">
              <w:rPr>
                <w:rFonts w:cs="Segoe UI" w:hint="eastAsia"/>
                <w:sz w:val="17"/>
                <w:szCs w:val="17"/>
              </w:rPr>
              <w:t>9</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 xml:space="preserve">Of which </w:t>
            </w:r>
            <w:r w:rsidRPr="005F2537">
              <w:rPr>
                <w:rFonts w:cs="Segoe UI"/>
                <w:sz w:val="17"/>
                <w:szCs w:val="17"/>
                <w:lang w:eastAsia="en-GB"/>
              </w:rPr>
              <w:t>SEC-SA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331B2F" w:rsidRDefault="004406FA" w:rsidP="00D334F9">
            <w:pPr>
              <w:keepLines/>
              <w:tabs>
                <w:tab w:val="left" w:pos="397"/>
                <w:tab w:val="left" w:pos="794"/>
                <w:tab w:val="left" w:pos="1191"/>
              </w:tabs>
              <w:snapToGrid w:val="0"/>
              <w:spacing w:before="20" w:after="20"/>
              <w:rPr>
                <w:rFonts w:cs="Segoe UI"/>
                <w:sz w:val="17"/>
                <w:szCs w:val="17"/>
              </w:rPr>
            </w:pPr>
            <w:r w:rsidRPr="00331B2F">
              <w:rPr>
                <w:rFonts w:cs="Segoe UI"/>
                <w:sz w:val="17"/>
                <w:szCs w:val="17"/>
              </w:rPr>
              <w:t>19a</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Pr>
                <w:rFonts w:cs="Segoe UI"/>
                <w:sz w:val="17"/>
                <w:szCs w:val="17"/>
                <w:lang w:eastAsia="en-GB"/>
              </w:rPr>
              <w:t xml:space="preserve">Of which </w:t>
            </w:r>
            <w:r w:rsidRPr="00331B2F">
              <w:rPr>
                <w:rFonts w:cs="Segoe UI"/>
                <w:sz w:val="17"/>
                <w:szCs w:val="17"/>
                <w:lang w:eastAsia="en-GB"/>
              </w:rPr>
              <w:t>SEC-FBA</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F414FC" w:rsidRDefault="004406FA" w:rsidP="00D334F9">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20</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Market risk</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F414FC" w:rsidRDefault="004406FA" w:rsidP="00D334F9">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21</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STM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F414FC" w:rsidRDefault="004406FA" w:rsidP="00D334F9">
            <w:pPr>
              <w:keepLines/>
              <w:tabs>
                <w:tab w:val="left" w:pos="397"/>
                <w:tab w:val="left" w:pos="794"/>
                <w:tab w:val="left" w:pos="1191"/>
              </w:tabs>
              <w:snapToGrid w:val="0"/>
              <w:spacing w:before="20" w:after="20"/>
              <w:rPr>
                <w:rFonts w:cs="Segoe UI"/>
                <w:sz w:val="17"/>
                <w:szCs w:val="17"/>
              </w:rPr>
            </w:pPr>
            <w:r w:rsidRPr="00F414FC">
              <w:rPr>
                <w:rFonts w:cs="Segoe UI" w:hint="eastAsia"/>
                <w:sz w:val="17"/>
                <w:szCs w:val="17"/>
              </w:rPr>
              <w:t>22</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ind w:firstLine="323"/>
              <w:rPr>
                <w:rFonts w:cs="Segoe UI"/>
                <w:sz w:val="17"/>
                <w:szCs w:val="17"/>
                <w:lang w:eastAsia="en-GB"/>
              </w:rPr>
            </w:pPr>
            <w:r w:rsidRPr="004E457E">
              <w:rPr>
                <w:rFonts w:cs="Segoe UI"/>
                <w:sz w:val="17"/>
                <w:szCs w:val="17"/>
                <w:lang w:eastAsia="en-GB"/>
              </w:rPr>
              <w:t>Of which IMM approach</w:t>
            </w:r>
          </w:p>
        </w:tc>
        <w:tc>
          <w:tcPr>
            <w:tcW w:w="921"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23</w:t>
            </w:r>
          </w:p>
        </w:tc>
        <w:tc>
          <w:tcPr>
            <w:tcW w:w="5245" w:type="dxa"/>
            <w:tcBorders>
              <w:left w:val="single" w:sz="4" w:space="0" w:color="auto"/>
              <w:right w:val="single" w:sz="4" w:space="0" w:color="auto"/>
            </w:tcBorders>
          </w:tcPr>
          <w:p w:rsidR="004406FA" w:rsidRPr="00FE4698" w:rsidRDefault="004406FA" w:rsidP="00897571">
            <w:pPr>
              <w:keepLines/>
              <w:tabs>
                <w:tab w:val="left" w:pos="397"/>
                <w:tab w:val="left" w:pos="794"/>
                <w:tab w:val="left" w:pos="1191"/>
              </w:tabs>
              <w:snapToGrid w:val="0"/>
              <w:spacing w:before="20" w:after="20"/>
              <w:rPr>
                <w:rFonts w:cs="Segoe UI"/>
                <w:sz w:val="17"/>
                <w:szCs w:val="17"/>
              </w:rPr>
            </w:pPr>
            <w:r w:rsidRPr="00FE4698">
              <w:rPr>
                <w:rFonts w:cs="Segoe UI"/>
                <w:sz w:val="17"/>
                <w:szCs w:val="17"/>
                <w:lang w:eastAsia="en-GB"/>
              </w:rPr>
              <w:t>Capital charge for switch between exposures in trading book and banking book (not applicable before the revised market risk framework takes effect)</w:t>
            </w:r>
            <w:r>
              <w:rPr>
                <w:rFonts w:cs="Segoe UI"/>
                <w:sz w:val="17"/>
                <w:szCs w:val="17"/>
                <w:lang w:eastAsia="en-GB"/>
              </w:rPr>
              <w:t>*</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2705AD"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FE4698"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FE4698"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24</w:t>
            </w:r>
          </w:p>
        </w:tc>
        <w:tc>
          <w:tcPr>
            <w:tcW w:w="5245" w:type="dxa"/>
            <w:tcBorders>
              <w:left w:val="single" w:sz="4" w:space="0" w:color="auto"/>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Operational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B42678" w:rsidRPr="004E457E" w:rsidTr="00D334F9">
        <w:tc>
          <w:tcPr>
            <w:tcW w:w="567" w:type="dxa"/>
            <w:tcBorders>
              <w:left w:val="nil"/>
              <w:right w:val="single" w:sz="4" w:space="0" w:color="auto"/>
            </w:tcBorders>
          </w:tcPr>
          <w:p w:rsidR="00B42678" w:rsidRPr="00775EFE" w:rsidRDefault="00B42678" w:rsidP="00D334F9">
            <w:pPr>
              <w:keepLines/>
              <w:tabs>
                <w:tab w:val="left" w:pos="397"/>
                <w:tab w:val="left" w:pos="794"/>
                <w:tab w:val="left" w:pos="1191"/>
              </w:tabs>
              <w:snapToGrid w:val="0"/>
              <w:spacing w:before="20" w:after="20"/>
              <w:rPr>
                <w:rFonts w:cs="Segoe UI"/>
                <w:sz w:val="17"/>
                <w:szCs w:val="17"/>
              </w:rPr>
            </w:pPr>
            <w:r>
              <w:rPr>
                <w:rFonts w:cs="Segoe UI"/>
                <w:sz w:val="17"/>
                <w:szCs w:val="17"/>
              </w:rPr>
              <w:t>24a</w:t>
            </w:r>
          </w:p>
        </w:tc>
        <w:tc>
          <w:tcPr>
            <w:tcW w:w="5245" w:type="dxa"/>
            <w:tcBorders>
              <w:left w:val="single" w:sz="4" w:space="0" w:color="auto"/>
              <w:right w:val="single" w:sz="4" w:space="0" w:color="auto"/>
            </w:tcBorders>
          </w:tcPr>
          <w:p w:rsidR="00B42678" w:rsidRPr="004E457E" w:rsidRDefault="00B42678" w:rsidP="00D334F9">
            <w:pPr>
              <w:keepLines/>
              <w:tabs>
                <w:tab w:val="left" w:pos="397"/>
                <w:tab w:val="left" w:pos="794"/>
                <w:tab w:val="left" w:pos="1191"/>
              </w:tabs>
              <w:snapToGrid w:val="0"/>
              <w:spacing w:before="20" w:after="20"/>
              <w:rPr>
                <w:rFonts w:cs="Segoe UI"/>
                <w:sz w:val="17"/>
                <w:szCs w:val="17"/>
                <w:lang w:eastAsia="en-GB"/>
              </w:rPr>
            </w:pPr>
            <w:r>
              <w:rPr>
                <w:rFonts w:cs="Segoe UI"/>
                <w:sz w:val="17"/>
                <w:szCs w:val="17"/>
                <w:lang w:eastAsia="en-GB"/>
              </w:rPr>
              <w:t>Sovereign concentration risk*</w:t>
            </w:r>
          </w:p>
        </w:tc>
        <w:tc>
          <w:tcPr>
            <w:tcW w:w="921" w:type="dxa"/>
            <w:tcBorders>
              <w:top w:val="single" w:sz="4" w:space="0" w:color="BFBFBF"/>
              <w:left w:val="single" w:sz="4" w:space="0" w:color="auto"/>
              <w:bottom w:val="single" w:sz="4" w:space="0" w:color="BFBFBF"/>
              <w:right w:val="single" w:sz="4" w:space="0" w:color="auto"/>
            </w:tcBorders>
            <w:shd w:val="clear" w:color="auto" w:fill="auto"/>
          </w:tcPr>
          <w:p w:rsidR="00B42678" w:rsidRPr="004E457E" w:rsidRDefault="00B42678"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BFBFBF"/>
              <w:right w:val="single" w:sz="4" w:space="0" w:color="auto"/>
            </w:tcBorders>
            <w:shd w:val="clear" w:color="auto" w:fill="FFFFFF"/>
          </w:tcPr>
          <w:p w:rsidR="00B42678" w:rsidRPr="004E457E" w:rsidRDefault="00B42678"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B42678" w:rsidRPr="004E457E" w:rsidRDefault="00B42678"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25</w:t>
            </w:r>
          </w:p>
        </w:tc>
        <w:tc>
          <w:tcPr>
            <w:tcW w:w="5245" w:type="dxa"/>
            <w:tcBorders>
              <w:left w:val="single" w:sz="4" w:space="0" w:color="auto"/>
              <w:bottom w:val="single" w:sz="4" w:space="0" w:color="BCBDBC"/>
              <w:right w:val="single" w:sz="4" w:space="0" w:color="auto"/>
            </w:tcBorders>
          </w:tcPr>
          <w:p w:rsidR="004406FA" w:rsidRPr="008D345C" w:rsidRDefault="004406FA" w:rsidP="00D334F9">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Amounts below the thresholds for deduction (subject to 250% RW)</w:t>
            </w:r>
          </w:p>
        </w:tc>
        <w:tc>
          <w:tcPr>
            <w:tcW w:w="921" w:type="dxa"/>
            <w:tcBorders>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w:t>
            </w:r>
          </w:p>
        </w:tc>
        <w:tc>
          <w:tcPr>
            <w:tcW w:w="5245" w:type="dxa"/>
            <w:tcBorders>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Capital floor adjustment</w:t>
            </w:r>
          </w:p>
        </w:tc>
        <w:tc>
          <w:tcPr>
            <w:tcW w:w="921" w:type="dxa"/>
            <w:tcBorders>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26a</w:t>
            </w:r>
          </w:p>
        </w:tc>
        <w:tc>
          <w:tcPr>
            <w:tcW w:w="5245" w:type="dxa"/>
            <w:tcBorders>
              <w:left w:val="single" w:sz="4" w:space="0" w:color="auto"/>
              <w:bottom w:val="single" w:sz="4" w:space="0" w:color="BCBDBC"/>
              <w:right w:val="single" w:sz="4" w:space="0" w:color="auto"/>
            </w:tcBorders>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r w:rsidRPr="004E457E">
              <w:rPr>
                <w:rFonts w:cs="Segoe UI"/>
                <w:sz w:val="17"/>
                <w:szCs w:val="17"/>
                <w:lang w:eastAsia="en-GB"/>
              </w:rPr>
              <w:t>Deduction to RWA</w:t>
            </w:r>
          </w:p>
        </w:tc>
        <w:tc>
          <w:tcPr>
            <w:tcW w:w="921" w:type="dxa"/>
            <w:tcBorders>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26b</w:t>
            </w:r>
          </w:p>
        </w:tc>
        <w:tc>
          <w:tcPr>
            <w:tcW w:w="5245" w:type="dxa"/>
            <w:tcBorders>
              <w:left w:val="single" w:sz="4" w:space="0" w:color="auto"/>
              <w:bottom w:val="single" w:sz="4" w:space="0" w:color="BCBDBC"/>
              <w:right w:val="single" w:sz="4" w:space="0" w:color="auto"/>
            </w:tcBorders>
          </w:tcPr>
          <w:p w:rsidR="004406FA" w:rsidRPr="004E457E" w:rsidRDefault="004406FA" w:rsidP="004406FA">
            <w:pPr>
              <w:keepLines/>
              <w:tabs>
                <w:tab w:val="left" w:pos="397"/>
                <w:tab w:val="left" w:pos="794"/>
                <w:tab w:val="left" w:pos="1191"/>
              </w:tabs>
              <w:snapToGrid w:val="0"/>
              <w:spacing w:before="20" w:after="20"/>
              <w:ind w:leftChars="159" w:left="318"/>
              <w:rPr>
                <w:rFonts w:cs="Segoe UI"/>
                <w:sz w:val="17"/>
                <w:szCs w:val="17"/>
                <w:lang w:eastAsia="en-GB"/>
              </w:rPr>
            </w:pPr>
            <w:r w:rsidRPr="004E457E">
              <w:rPr>
                <w:rFonts w:cs="Segoe UI"/>
                <w:sz w:val="17"/>
                <w:szCs w:val="17"/>
                <w:lang w:eastAsia="en-GB"/>
              </w:rPr>
              <w:t>Of which portion of regulatory reserve for general banking risks and collective provisions which is not included in Tier 2 Capital</w:t>
            </w:r>
          </w:p>
        </w:tc>
        <w:tc>
          <w:tcPr>
            <w:tcW w:w="921" w:type="dxa"/>
            <w:tcBorders>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c>
          <w:tcPr>
            <w:tcW w:w="567" w:type="dxa"/>
            <w:tcBorders>
              <w:left w:val="nil"/>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26c</w:t>
            </w:r>
          </w:p>
        </w:tc>
        <w:tc>
          <w:tcPr>
            <w:tcW w:w="5245" w:type="dxa"/>
            <w:tcBorders>
              <w:left w:val="single" w:sz="4" w:space="0" w:color="auto"/>
              <w:bottom w:val="single" w:sz="4" w:space="0" w:color="BCBDBC"/>
              <w:right w:val="single" w:sz="4" w:space="0" w:color="auto"/>
            </w:tcBorders>
          </w:tcPr>
          <w:p w:rsidR="004406FA" w:rsidRPr="004E457E" w:rsidRDefault="004406FA" w:rsidP="004406FA">
            <w:pPr>
              <w:keepLines/>
              <w:tabs>
                <w:tab w:val="left" w:pos="397"/>
                <w:tab w:val="left" w:pos="794"/>
                <w:tab w:val="left" w:pos="1191"/>
              </w:tabs>
              <w:snapToGrid w:val="0"/>
              <w:spacing w:before="20" w:after="20"/>
              <w:ind w:leftChars="159" w:left="318"/>
              <w:rPr>
                <w:rFonts w:cs="Segoe UI"/>
                <w:sz w:val="17"/>
                <w:szCs w:val="17"/>
                <w:lang w:eastAsia="en-GB"/>
              </w:rPr>
            </w:pPr>
            <w:r w:rsidRPr="004E457E">
              <w:rPr>
                <w:rFonts w:cs="Segoe UI"/>
                <w:sz w:val="17"/>
                <w:szCs w:val="17"/>
                <w:lang w:eastAsia="en-GB"/>
              </w:rPr>
              <w:t>Of which portion of cumulative fair value gains arising from the revaluation of land and buildings which is not included in Tier 2 Capital</w:t>
            </w:r>
          </w:p>
        </w:tc>
        <w:tc>
          <w:tcPr>
            <w:tcW w:w="921" w:type="dxa"/>
            <w:tcBorders>
              <w:left w:val="single" w:sz="4" w:space="0" w:color="auto"/>
              <w:bottom w:val="single" w:sz="4" w:space="0" w:color="BFBFBF"/>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BFBFBF"/>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rPr>
          <w:trHeight w:val="281"/>
        </w:trPr>
        <w:tc>
          <w:tcPr>
            <w:tcW w:w="567" w:type="dxa"/>
            <w:tcBorders>
              <w:left w:val="nil"/>
              <w:bottom w:val="single" w:sz="4" w:space="0" w:color="auto"/>
              <w:right w:val="single" w:sz="4" w:space="0" w:color="auto"/>
            </w:tcBorders>
          </w:tcPr>
          <w:p w:rsidR="004406FA" w:rsidRPr="00775EFE" w:rsidRDefault="004406FA" w:rsidP="00D334F9">
            <w:pPr>
              <w:keepLines/>
              <w:tabs>
                <w:tab w:val="left" w:pos="397"/>
                <w:tab w:val="left" w:pos="794"/>
                <w:tab w:val="left" w:pos="1191"/>
              </w:tabs>
              <w:snapToGrid w:val="0"/>
              <w:spacing w:before="20" w:after="20"/>
              <w:rPr>
                <w:rFonts w:cs="Segoe UI"/>
                <w:sz w:val="17"/>
                <w:szCs w:val="17"/>
              </w:rPr>
            </w:pPr>
            <w:r w:rsidRPr="00775EFE">
              <w:rPr>
                <w:rFonts w:cs="Segoe UI" w:hint="eastAsia"/>
                <w:sz w:val="17"/>
                <w:szCs w:val="17"/>
              </w:rPr>
              <w:t>27</w:t>
            </w:r>
          </w:p>
        </w:tc>
        <w:tc>
          <w:tcPr>
            <w:tcW w:w="5245" w:type="dxa"/>
            <w:tcBorders>
              <w:left w:val="single" w:sz="4" w:space="0" w:color="auto"/>
              <w:bottom w:val="single" w:sz="4" w:space="0" w:color="auto"/>
              <w:right w:val="single" w:sz="4" w:space="0" w:color="auto"/>
            </w:tcBorders>
            <w:vAlign w:val="center"/>
          </w:tcPr>
          <w:p w:rsidR="004406FA" w:rsidRPr="004E457E" w:rsidRDefault="004406FA" w:rsidP="00D334F9">
            <w:pPr>
              <w:keepLines/>
              <w:tabs>
                <w:tab w:val="left" w:pos="397"/>
                <w:tab w:val="left" w:pos="794"/>
                <w:tab w:val="left" w:pos="1191"/>
              </w:tabs>
              <w:snapToGrid w:val="0"/>
              <w:spacing w:before="20" w:after="20"/>
              <w:rPr>
                <w:rFonts w:cs="Segoe UI"/>
                <w:noProof/>
                <w:sz w:val="17"/>
                <w:szCs w:val="17"/>
                <w:lang w:eastAsia="en-GB"/>
              </w:rPr>
            </w:pPr>
            <w:r w:rsidRPr="004E457E">
              <w:rPr>
                <w:rFonts w:cs="Segoe UI"/>
                <w:sz w:val="17"/>
                <w:szCs w:val="17"/>
                <w:lang w:eastAsia="en-GB"/>
              </w:rPr>
              <w:t>Total</w:t>
            </w:r>
          </w:p>
        </w:tc>
        <w:tc>
          <w:tcPr>
            <w:tcW w:w="921" w:type="dxa"/>
            <w:tcBorders>
              <w:top w:val="single" w:sz="4" w:space="0" w:color="BFBFBF"/>
              <w:left w:val="single" w:sz="4" w:space="0" w:color="auto"/>
              <w:bottom w:val="single" w:sz="4" w:space="0" w:color="auto"/>
              <w:right w:val="single" w:sz="4" w:space="0" w:color="auto"/>
            </w:tcBorders>
            <w:shd w:val="clear" w:color="auto" w:fill="auto"/>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922" w:type="dxa"/>
            <w:tcBorders>
              <w:top w:val="single" w:sz="4" w:space="0" w:color="BFBFBF"/>
              <w:left w:val="single" w:sz="4" w:space="0" w:color="auto"/>
              <w:bottom w:val="single" w:sz="4" w:space="0" w:color="auto"/>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c>
          <w:tcPr>
            <w:tcW w:w="1559" w:type="dxa"/>
            <w:tcBorders>
              <w:top w:val="single" w:sz="4" w:space="0" w:color="BFBFBF"/>
              <w:left w:val="single" w:sz="4" w:space="0" w:color="auto"/>
              <w:bottom w:val="single" w:sz="4" w:space="0" w:color="auto"/>
              <w:right w:val="single" w:sz="4" w:space="0" w:color="auto"/>
            </w:tcBorders>
            <w:shd w:val="clear" w:color="auto" w:fill="FFFFFF"/>
          </w:tcPr>
          <w:p w:rsidR="004406FA" w:rsidRPr="004E457E" w:rsidRDefault="004406FA" w:rsidP="00D334F9">
            <w:pPr>
              <w:keepLines/>
              <w:tabs>
                <w:tab w:val="left" w:pos="397"/>
                <w:tab w:val="left" w:pos="794"/>
                <w:tab w:val="left" w:pos="1191"/>
              </w:tabs>
              <w:snapToGrid w:val="0"/>
              <w:spacing w:before="20" w:after="20"/>
              <w:rPr>
                <w:rFonts w:cs="Segoe UI"/>
                <w:sz w:val="17"/>
                <w:szCs w:val="17"/>
                <w:lang w:eastAsia="en-GB"/>
              </w:rPr>
            </w:pPr>
          </w:p>
        </w:tc>
      </w:tr>
      <w:tr w:rsidR="004406FA" w:rsidRPr="004E457E" w:rsidTr="00D334F9">
        <w:trPr>
          <w:trHeight w:val="281"/>
        </w:trPr>
        <w:tc>
          <w:tcPr>
            <w:tcW w:w="9214" w:type="dxa"/>
            <w:gridSpan w:val="5"/>
            <w:tcBorders>
              <w:top w:val="single" w:sz="4" w:space="0" w:color="auto"/>
              <w:left w:val="nil"/>
              <w:bottom w:val="single" w:sz="4" w:space="0" w:color="auto"/>
              <w:right w:val="single" w:sz="4" w:space="0" w:color="auto"/>
            </w:tcBorders>
          </w:tcPr>
          <w:p w:rsidR="004406FA" w:rsidRPr="002705AD" w:rsidRDefault="004406FA" w:rsidP="00D334F9">
            <w:pPr>
              <w:keepLines/>
              <w:tabs>
                <w:tab w:val="left" w:pos="397"/>
                <w:tab w:val="left" w:pos="794"/>
                <w:tab w:val="left" w:pos="1191"/>
              </w:tabs>
              <w:snapToGrid w:val="0"/>
              <w:spacing w:before="20" w:after="20"/>
              <w:rPr>
                <w:rFonts w:cs="Segoe UI"/>
                <w:i/>
                <w:sz w:val="16"/>
                <w:szCs w:val="16"/>
                <w:lang w:eastAsia="en-GB"/>
              </w:rPr>
            </w:pPr>
            <w:r w:rsidRPr="002705AD">
              <w:rPr>
                <w:rFonts w:cs="Segoe UI"/>
                <w:i/>
                <w:sz w:val="16"/>
                <w:szCs w:val="16"/>
                <w:lang w:eastAsia="en-GB"/>
              </w:rPr>
              <w:t>Point to note:</w:t>
            </w:r>
          </w:p>
          <w:p w:rsidR="004406FA" w:rsidRPr="002705AD" w:rsidRDefault="004406FA" w:rsidP="006B4FDC">
            <w:pPr>
              <w:pStyle w:val="ListParagraph"/>
              <w:keepLines/>
              <w:numPr>
                <w:ilvl w:val="0"/>
                <w:numId w:val="44"/>
              </w:numPr>
              <w:snapToGrid w:val="0"/>
              <w:spacing w:before="20" w:after="20"/>
              <w:ind w:leftChars="0" w:left="317" w:hanging="317"/>
              <w:jc w:val="both"/>
              <w:rPr>
                <w:rFonts w:ascii="Segoe UI" w:eastAsia="Times New Roman" w:hAnsi="Segoe UI" w:cs="Segoe UI"/>
                <w:kern w:val="0"/>
                <w:sz w:val="17"/>
                <w:szCs w:val="17"/>
                <w:lang w:val="en-GB" w:eastAsia="en-GB"/>
              </w:rPr>
            </w:pPr>
            <w:r w:rsidRPr="002705AD">
              <w:rPr>
                <w:rFonts w:ascii="Segoe UI" w:eastAsia="Times New Roman" w:hAnsi="Segoe UI" w:cs="Segoe UI"/>
                <w:i/>
                <w:kern w:val="0"/>
                <w:sz w:val="16"/>
                <w:szCs w:val="16"/>
                <w:lang w:val="en-GB" w:eastAsia="en-GB"/>
              </w:rPr>
              <w:t xml:space="preserve">Items marked with an asterisk </w:t>
            </w:r>
            <w:r>
              <w:rPr>
                <w:rFonts w:ascii="Segoe UI" w:eastAsia="Times New Roman" w:hAnsi="Segoe UI" w:cs="Segoe UI"/>
                <w:i/>
                <w:kern w:val="0"/>
                <w:sz w:val="16"/>
                <w:szCs w:val="16"/>
                <w:lang w:val="en-GB" w:eastAsia="en-GB"/>
              </w:rPr>
              <w:t xml:space="preserve">(*) </w:t>
            </w:r>
            <w:r w:rsidRPr="002705AD">
              <w:rPr>
                <w:rFonts w:ascii="Segoe UI" w:eastAsia="Times New Roman" w:hAnsi="Segoe UI" w:cs="Segoe UI"/>
                <w:i/>
                <w:kern w:val="0"/>
                <w:sz w:val="16"/>
                <w:szCs w:val="16"/>
                <w:lang w:val="en-GB" w:eastAsia="en-GB"/>
              </w:rPr>
              <w:t>will be applicable only after their respective policy frameworks take effect.</w:t>
            </w:r>
            <w:r>
              <w:rPr>
                <w:rFonts w:ascii="Segoe UI" w:eastAsia="Times New Roman" w:hAnsi="Segoe UI" w:cs="Segoe UI"/>
                <w:i/>
                <w:kern w:val="0"/>
                <w:sz w:val="16"/>
                <w:szCs w:val="16"/>
                <w:lang w:val="en-GB" w:eastAsia="en-GB"/>
              </w:rPr>
              <w:t xml:space="preserve"> Until then, “Not applicable” should be reported in the rows</w:t>
            </w:r>
            <w:r w:rsidR="00B01772">
              <w:rPr>
                <w:rFonts w:ascii="Segoe UI" w:eastAsia="Times New Roman" w:hAnsi="Segoe UI" w:cs="Segoe UI"/>
                <w:i/>
                <w:kern w:val="0"/>
                <w:sz w:val="16"/>
                <w:szCs w:val="16"/>
                <w:lang w:val="en-GB" w:eastAsia="en-GB"/>
              </w:rPr>
              <w:t>.</w:t>
            </w:r>
          </w:p>
        </w:tc>
      </w:tr>
    </w:tbl>
    <w:p w:rsidR="004406FA" w:rsidRPr="004E457E" w:rsidRDefault="004406FA" w:rsidP="004406FA">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4406FA" w:rsidRPr="004E457E" w:rsidTr="00D334F9">
        <w:trPr>
          <w:tblHeader/>
        </w:trPr>
        <w:tc>
          <w:tcPr>
            <w:tcW w:w="9214" w:type="dxa"/>
            <w:gridSpan w:val="2"/>
            <w:shd w:val="clear" w:color="auto" w:fill="BFBFBF"/>
          </w:tcPr>
          <w:p w:rsidR="004406FA" w:rsidRPr="004E457E" w:rsidRDefault="004406FA" w:rsidP="00D334F9">
            <w:pPr>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Explanatory Note</w:t>
            </w:r>
          </w:p>
        </w:tc>
      </w:tr>
      <w:tr w:rsidR="004406FA" w:rsidRPr="004E457E" w:rsidTr="00D334F9">
        <w:trPr>
          <w:trHeight w:val="153"/>
        </w:trPr>
        <w:tc>
          <w:tcPr>
            <w:tcW w:w="9214" w:type="dxa"/>
            <w:gridSpan w:val="2"/>
            <w:shd w:val="clear" w:color="auto" w:fill="F2F2F2"/>
          </w:tcPr>
          <w:p w:rsidR="004406FA" w:rsidRPr="004E457E" w:rsidRDefault="004406FA" w:rsidP="00D334F9">
            <w:pPr>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Columns</w:t>
            </w:r>
          </w:p>
        </w:tc>
      </w:tr>
      <w:tr w:rsidR="004406FA" w:rsidRPr="004E457E" w:rsidTr="00D334F9">
        <w:tc>
          <w:tcPr>
            <w:tcW w:w="567" w:type="dxa"/>
            <w:shd w:val="clear" w:color="auto" w:fill="auto"/>
          </w:tcPr>
          <w:p w:rsidR="004406FA" w:rsidRPr="004E457E" w:rsidRDefault="004406FA" w:rsidP="00D334F9">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(a)</w:t>
            </w:r>
          </w:p>
        </w:tc>
        <w:tc>
          <w:tcPr>
            <w:tcW w:w="8647" w:type="dxa"/>
            <w:shd w:val="clear" w:color="auto" w:fill="auto"/>
          </w:tcPr>
          <w:p w:rsidR="004406FA" w:rsidRPr="004E457E" w:rsidRDefault="004406FA" w:rsidP="00D334F9">
            <w:pPr>
              <w:keepLines/>
              <w:tabs>
                <w:tab w:val="left" w:pos="150"/>
                <w:tab w:val="left" w:pos="397"/>
                <w:tab w:val="left" w:pos="794"/>
                <w:tab w:val="left" w:pos="1191"/>
              </w:tabs>
              <w:spacing w:before="40" w:after="40"/>
              <w:jc w:val="both"/>
              <w:rPr>
                <w:rFonts w:cs="Segoe UI"/>
                <w:sz w:val="17"/>
                <w:szCs w:val="17"/>
                <w:lang w:eastAsia="en-GB"/>
              </w:rPr>
            </w:pPr>
            <w:bookmarkStart w:id="2" w:name="_Toc404082824"/>
            <w:bookmarkStart w:id="3" w:name="_Toc404327946"/>
            <w:r w:rsidRPr="004E457E">
              <w:rPr>
                <w:rFonts w:cs="Segoe UI"/>
                <w:i/>
                <w:sz w:val="17"/>
                <w:szCs w:val="17"/>
              </w:rPr>
              <w:t>RWA (T)</w:t>
            </w:r>
            <w:r w:rsidRPr="004E457E">
              <w:rPr>
                <w:rFonts w:cs="Segoe UI"/>
                <w:sz w:val="17"/>
                <w:szCs w:val="17"/>
              </w:rPr>
              <w:t>:</w:t>
            </w:r>
            <w:r w:rsidRPr="004E457E">
              <w:rPr>
                <w:rFonts w:cs="Segoe UI"/>
                <w:i/>
                <w:sz w:val="17"/>
                <w:szCs w:val="17"/>
              </w:rPr>
              <w:t xml:space="preserve"> </w:t>
            </w:r>
            <w:r w:rsidRPr="004E457E">
              <w:rPr>
                <w:rFonts w:cs="Segoe UI"/>
                <w:sz w:val="17"/>
                <w:szCs w:val="17"/>
              </w:rPr>
              <w:t>RWA referred to in the BCR</w:t>
            </w:r>
            <w:r>
              <w:rPr>
                <w:rFonts w:cs="Segoe UI"/>
                <w:sz w:val="17"/>
                <w:szCs w:val="17"/>
              </w:rPr>
              <w:t xml:space="preserve"> </w:t>
            </w:r>
            <w:r w:rsidRPr="004E457E">
              <w:rPr>
                <w:rFonts w:cs="Segoe UI"/>
                <w:sz w:val="17"/>
                <w:szCs w:val="17"/>
              </w:rPr>
              <w:t xml:space="preserve">and as reported in accordance with the subsequent parts of this document.  Where the output of a calculation approach is a capital charge instead of a RWA (e.g. the approaches for market risk and operational risk), an AI should calculate the RWA by multiplying capital charge by </w:t>
            </w:r>
            <w:r w:rsidRPr="00303B03">
              <w:rPr>
                <w:rFonts w:cs="Segoe UI"/>
                <w:sz w:val="17"/>
                <w:szCs w:val="17"/>
              </w:rPr>
              <w:t>12.5.</w:t>
            </w:r>
            <w:bookmarkEnd w:id="2"/>
            <w:bookmarkEnd w:id="3"/>
          </w:p>
        </w:tc>
      </w:tr>
      <w:tr w:rsidR="004406FA" w:rsidRPr="004E457E" w:rsidTr="00D334F9">
        <w:trPr>
          <w:trHeight w:val="373"/>
        </w:trPr>
        <w:tc>
          <w:tcPr>
            <w:tcW w:w="567" w:type="dxa"/>
            <w:shd w:val="clear" w:color="auto" w:fill="auto"/>
          </w:tcPr>
          <w:p w:rsidR="004406FA" w:rsidRPr="004E457E" w:rsidRDefault="004406FA" w:rsidP="00D334F9">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(b)</w:t>
            </w:r>
          </w:p>
        </w:tc>
        <w:tc>
          <w:tcPr>
            <w:tcW w:w="8647" w:type="dxa"/>
            <w:shd w:val="clear" w:color="auto" w:fill="auto"/>
          </w:tcPr>
          <w:p w:rsidR="004406FA" w:rsidRPr="004E457E" w:rsidRDefault="004406FA" w:rsidP="00D334F9">
            <w:pPr>
              <w:keepLines/>
              <w:tabs>
                <w:tab w:val="left" w:pos="150"/>
                <w:tab w:val="left" w:pos="397"/>
                <w:tab w:val="left" w:pos="794"/>
                <w:tab w:val="left" w:pos="1191"/>
              </w:tabs>
              <w:spacing w:before="40" w:after="40"/>
              <w:jc w:val="both"/>
              <w:rPr>
                <w:rFonts w:cs="Segoe UI"/>
                <w:sz w:val="17"/>
                <w:szCs w:val="17"/>
                <w:lang w:eastAsia="en-GB"/>
              </w:rPr>
            </w:pPr>
            <w:r w:rsidRPr="004E457E">
              <w:rPr>
                <w:rFonts w:cs="Segoe UI"/>
                <w:i/>
                <w:sz w:val="17"/>
                <w:szCs w:val="17"/>
              </w:rPr>
              <w:t>RWA (T-1)</w:t>
            </w:r>
            <w:r w:rsidRPr="004E457E">
              <w:rPr>
                <w:rFonts w:cs="Segoe UI"/>
                <w:sz w:val="17"/>
                <w:szCs w:val="17"/>
              </w:rPr>
              <w:t>:</w:t>
            </w:r>
            <w:r w:rsidRPr="004E457E">
              <w:rPr>
                <w:rFonts w:cs="Segoe UI"/>
                <w:i/>
                <w:sz w:val="17"/>
                <w:szCs w:val="17"/>
              </w:rPr>
              <w:t xml:space="preserve"> </w:t>
            </w:r>
            <w:r w:rsidRPr="004E457E">
              <w:rPr>
                <w:rFonts w:cs="Segoe UI"/>
                <w:sz w:val="17"/>
                <w:szCs w:val="17"/>
              </w:rPr>
              <w:t>RWA as reported in the previous reporting period (i.e. at the end of the previous quarter) of this template.</w:t>
            </w:r>
          </w:p>
        </w:tc>
      </w:tr>
      <w:tr w:rsidR="004406FA" w:rsidRPr="004E457E" w:rsidTr="00D334F9">
        <w:tc>
          <w:tcPr>
            <w:tcW w:w="567" w:type="dxa"/>
            <w:shd w:val="clear" w:color="auto" w:fill="auto"/>
          </w:tcPr>
          <w:p w:rsidR="004406FA" w:rsidRPr="004E457E" w:rsidRDefault="004406FA" w:rsidP="00D334F9">
            <w:pPr>
              <w:keepLines/>
              <w:tabs>
                <w:tab w:val="left" w:pos="150"/>
                <w:tab w:val="left" w:pos="397"/>
                <w:tab w:val="left" w:pos="794"/>
                <w:tab w:val="left" w:pos="1191"/>
              </w:tabs>
              <w:spacing w:before="40" w:after="40"/>
              <w:rPr>
                <w:rFonts w:cs="Segoe UI"/>
                <w:sz w:val="17"/>
                <w:szCs w:val="17"/>
                <w:lang w:eastAsia="en-GB"/>
              </w:rPr>
            </w:pPr>
            <w:r w:rsidRPr="004E457E">
              <w:rPr>
                <w:rFonts w:cs="Segoe UI"/>
                <w:sz w:val="17"/>
                <w:szCs w:val="17"/>
                <w:lang w:eastAsia="en-GB"/>
              </w:rPr>
              <w:t>(c)</w:t>
            </w:r>
          </w:p>
        </w:tc>
        <w:tc>
          <w:tcPr>
            <w:tcW w:w="8647" w:type="dxa"/>
            <w:shd w:val="clear" w:color="auto" w:fill="auto"/>
          </w:tcPr>
          <w:p w:rsidR="004406FA" w:rsidRPr="004E457E" w:rsidRDefault="004406FA" w:rsidP="00D334F9">
            <w:pPr>
              <w:keepLines/>
              <w:tabs>
                <w:tab w:val="left" w:pos="150"/>
                <w:tab w:val="left" w:pos="397"/>
                <w:tab w:val="left" w:pos="794"/>
                <w:tab w:val="left" w:pos="1191"/>
              </w:tabs>
              <w:spacing w:before="40" w:after="40"/>
              <w:jc w:val="both"/>
              <w:rPr>
                <w:rFonts w:cs="Segoe UI"/>
                <w:sz w:val="17"/>
                <w:szCs w:val="17"/>
                <w:lang w:eastAsia="en-GB"/>
              </w:rPr>
            </w:pPr>
            <w:bookmarkStart w:id="4" w:name="_Toc404082825"/>
            <w:bookmarkStart w:id="5" w:name="_Toc404327947"/>
            <w:r w:rsidRPr="004E457E">
              <w:rPr>
                <w:rFonts w:cs="Segoe UI"/>
                <w:i/>
                <w:sz w:val="17"/>
                <w:szCs w:val="17"/>
              </w:rPr>
              <w:t>Minimum capital requirement</w:t>
            </w:r>
            <w:r>
              <w:rPr>
                <w:rFonts w:cs="Segoe UI"/>
                <w:i/>
                <w:sz w:val="17"/>
                <w:szCs w:val="17"/>
              </w:rPr>
              <w:t>s</w:t>
            </w:r>
            <w:r w:rsidRPr="004E457E">
              <w:rPr>
                <w:rFonts w:cs="Segoe UI"/>
                <w:i/>
                <w:sz w:val="17"/>
                <w:szCs w:val="17"/>
              </w:rPr>
              <w:t xml:space="preserve"> (T): </w:t>
            </w:r>
            <w:r w:rsidRPr="004E457E">
              <w:rPr>
                <w:rFonts w:cs="Segoe UI"/>
                <w:sz w:val="17"/>
                <w:szCs w:val="17"/>
              </w:rPr>
              <w:t xml:space="preserve">Pillar 1 capital requirements, which in general are calculated as 8% of the RWA but may differ if a capital floor is applicable or adjustments (such as scaling factors) are applied </w:t>
            </w:r>
            <w:bookmarkEnd w:id="4"/>
            <w:bookmarkEnd w:id="5"/>
            <w:r w:rsidRPr="004E457E">
              <w:rPr>
                <w:rFonts w:cs="Segoe UI"/>
                <w:sz w:val="17"/>
                <w:szCs w:val="17"/>
              </w:rPr>
              <w:t xml:space="preserve">in accordance with the BCR, as of the reporting date.  </w:t>
            </w:r>
            <w:r w:rsidRPr="00F4169B">
              <w:rPr>
                <w:rFonts w:cs="Segoe UI"/>
                <w:sz w:val="17"/>
                <w:szCs w:val="17"/>
              </w:rPr>
              <w:t xml:space="preserve">Any such adjustments, if applicable, should be applied to all the applicable rows in column (c).  For example, an AI using the IRB approach for credit risk is required to apply a scaling factor of 1.06 as specified in section 224 of </w:t>
            </w:r>
            <w:r>
              <w:rPr>
                <w:rFonts w:cs="Segoe UI"/>
                <w:sz w:val="17"/>
                <w:szCs w:val="17"/>
              </w:rPr>
              <w:t xml:space="preserve">the </w:t>
            </w:r>
            <w:r w:rsidRPr="00F4169B">
              <w:rPr>
                <w:rFonts w:cs="Segoe UI"/>
                <w:sz w:val="17"/>
                <w:szCs w:val="17"/>
              </w:rPr>
              <w:t xml:space="preserve">BCR to column (c) of all the items the credit risk requirement of which are calculated in accordance with Part 6 of </w:t>
            </w:r>
            <w:r>
              <w:rPr>
                <w:rFonts w:cs="Segoe UI"/>
                <w:sz w:val="17"/>
                <w:szCs w:val="17"/>
              </w:rPr>
              <w:t>the BCR (i.e. RWA x 8% x 1.06).</w:t>
            </w:r>
            <w:r w:rsidRPr="00F4169B">
              <w:rPr>
                <w:rFonts w:cs="Segoe UI"/>
                <w:sz w:val="17"/>
                <w:szCs w:val="17"/>
              </w:rPr>
              <w:t xml:space="preserve"> </w:t>
            </w:r>
          </w:p>
        </w:tc>
      </w:tr>
      <w:tr w:rsidR="004406FA" w:rsidRPr="004E457E" w:rsidTr="00D334F9">
        <w:tc>
          <w:tcPr>
            <w:tcW w:w="9214" w:type="dxa"/>
            <w:gridSpan w:val="2"/>
            <w:shd w:val="clear" w:color="auto" w:fill="F2F2F2"/>
          </w:tcPr>
          <w:p w:rsidR="004406FA" w:rsidRPr="004E457E" w:rsidRDefault="004406FA" w:rsidP="00D334F9">
            <w:pPr>
              <w:keepLines/>
              <w:tabs>
                <w:tab w:val="left" w:pos="150"/>
                <w:tab w:val="left" w:pos="397"/>
                <w:tab w:val="left" w:pos="794"/>
                <w:tab w:val="left" w:pos="1191"/>
              </w:tabs>
              <w:spacing w:before="40" w:after="40"/>
              <w:rPr>
                <w:rFonts w:eastAsia="新細明體"/>
                <w:b/>
                <w:sz w:val="17"/>
                <w:lang w:eastAsia="en-GB"/>
              </w:rPr>
            </w:pPr>
            <w:r w:rsidRPr="004E457E">
              <w:rPr>
                <w:rFonts w:eastAsia="新細明體"/>
                <w:b/>
                <w:sz w:val="17"/>
                <w:lang w:eastAsia="en-GB"/>
              </w:rPr>
              <w:t>Rows</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496EF9">
              <w:rPr>
                <w:rFonts w:cs="Segoe UI"/>
                <w:sz w:val="17"/>
                <w:szCs w:val="17"/>
              </w:rPr>
              <w:t>1</w:t>
            </w:r>
          </w:p>
        </w:tc>
        <w:tc>
          <w:tcPr>
            <w:tcW w:w="8647" w:type="dxa"/>
            <w:shd w:val="clear" w:color="auto" w:fill="auto"/>
          </w:tcPr>
          <w:p w:rsidR="004406FA" w:rsidRPr="00FE4698" w:rsidRDefault="004406FA" w:rsidP="00D334F9">
            <w:pPr>
              <w:keepLines/>
              <w:tabs>
                <w:tab w:val="left" w:pos="150"/>
                <w:tab w:val="left" w:pos="397"/>
                <w:tab w:val="left" w:pos="794"/>
                <w:tab w:val="left" w:pos="1191"/>
              </w:tabs>
              <w:spacing w:before="40" w:after="40"/>
              <w:jc w:val="both"/>
              <w:rPr>
                <w:rFonts w:cs="Segoe UI"/>
                <w:sz w:val="17"/>
                <w:szCs w:val="17"/>
              </w:rPr>
            </w:pPr>
            <w:r w:rsidRPr="00FE4698">
              <w:rPr>
                <w:rFonts w:cs="Segoe UI"/>
                <w:i/>
                <w:sz w:val="17"/>
                <w:szCs w:val="17"/>
              </w:rPr>
              <w:t>Credit risk for non-securitization exposures</w:t>
            </w:r>
            <w:r w:rsidRPr="00FE4698">
              <w:rPr>
                <w:rFonts w:cs="Segoe UI"/>
                <w:sz w:val="17"/>
                <w:szCs w:val="17"/>
              </w:rPr>
              <w:t xml:space="preserve">: RWA and capital requirements according to the credit risk framework </w:t>
            </w:r>
            <w:r w:rsidRPr="00FE4698">
              <w:rPr>
                <w:rFonts w:cs="Segoe UI"/>
                <w:sz w:val="17"/>
                <w:szCs w:val="17"/>
              </w:rPr>
              <w:lastRenderedPageBreak/>
              <w:t>reported in Part III of this document.  The amounts exclude all positions subject to capital requirements relating to counterparty default risk</w:t>
            </w:r>
            <w:r>
              <w:rPr>
                <w:rFonts w:cs="Segoe UI"/>
                <w:sz w:val="17"/>
                <w:szCs w:val="17"/>
              </w:rPr>
              <w:t xml:space="preserve"> and default fund contributions</w:t>
            </w:r>
            <w:r w:rsidRPr="00FE4698">
              <w:rPr>
                <w:rFonts w:cs="Segoe UI"/>
                <w:sz w:val="17"/>
                <w:szCs w:val="17"/>
              </w:rPr>
              <w:t>, CVA risk, equity exposures (unless otherwise required), CIS exposures</w:t>
            </w:r>
            <w:r>
              <w:rPr>
                <w:rFonts w:cs="Segoe UI"/>
                <w:sz w:val="17"/>
                <w:szCs w:val="17"/>
              </w:rPr>
              <w:t xml:space="preserve"> (exclusion of CIS exposures from this row only when the new CIS framework takes effect)</w:t>
            </w:r>
            <w:r w:rsidRPr="00FE4698">
              <w:rPr>
                <w:rFonts w:cs="Segoe UI"/>
                <w:sz w:val="17"/>
                <w:szCs w:val="17"/>
              </w:rPr>
              <w:t xml:space="preserve">, settlement risk, securitization framework (e.g. securitization exposures in the banking book), and amount below the deduction threshold </w:t>
            </w:r>
            <w:r>
              <w:rPr>
                <w:rFonts w:cs="Segoe UI"/>
                <w:sz w:val="17"/>
                <w:szCs w:val="17"/>
              </w:rPr>
              <w:t xml:space="preserve">and subject to a </w:t>
            </w:r>
            <w:r w:rsidRPr="00FE4698">
              <w:rPr>
                <w:rFonts w:cs="Segoe UI"/>
                <w:sz w:val="17"/>
                <w:szCs w:val="17"/>
              </w:rPr>
              <w:t>250%</w:t>
            </w:r>
            <w:r>
              <w:rPr>
                <w:rFonts w:cs="Segoe UI"/>
                <w:sz w:val="17"/>
                <w:szCs w:val="17"/>
              </w:rPr>
              <w:t xml:space="preserve"> risk-weight.</w:t>
            </w:r>
            <w:r w:rsidRPr="00FE4698">
              <w:rPr>
                <w:rFonts w:cs="Segoe UI"/>
                <w:sz w:val="17"/>
                <w:szCs w:val="17"/>
              </w:rPr>
              <w:t xml:space="preserve"> </w:t>
            </w:r>
          </w:p>
        </w:tc>
      </w:tr>
      <w:tr w:rsidR="004406FA" w:rsidRPr="004E457E" w:rsidTr="00D334F9">
        <w:tc>
          <w:tcPr>
            <w:tcW w:w="567" w:type="dxa"/>
            <w:shd w:val="clear" w:color="auto" w:fill="auto"/>
          </w:tcPr>
          <w:p w:rsidR="004406FA" w:rsidRPr="007557FA" w:rsidRDefault="004406FA" w:rsidP="00D334F9">
            <w:pPr>
              <w:keepLines/>
              <w:tabs>
                <w:tab w:val="left" w:pos="150"/>
                <w:tab w:val="left" w:pos="397"/>
                <w:tab w:val="left" w:pos="794"/>
                <w:tab w:val="left" w:pos="1191"/>
              </w:tabs>
              <w:spacing w:before="40" w:after="40"/>
              <w:rPr>
                <w:rFonts w:cs="Segoe UI"/>
                <w:sz w:val="17"/>
                <w:szCs w:val="17"/>
              </w:rPr>
            </w:pPr>
            <w:r w:rsidRPr="007557FA">
              <w:rPr>
                <w:rFonts w:cs="Segoe UI"/>
                <w:sz w:val="17"/>
                <w:szCs w:val="17"/>
              </w:rPr>
              <w:lastRenderedPageBreak/>
              <w:t>2</w:t>
            </w:r>
          </w:p>
        </w:tc>
        <w:tc>
          <w:tcPr>
            <w:tcW w:w="8647" w:type="dxa"/>
            <w:shd w:val="clear" w:color="auto" w:fill="auto"/>
          </w:tcPr>
          <w:p w:rsidR="004406FA" w:rsidRPr="007557FA" w:rsidRDefault="004406FA" w:rsidP="00D334F9">
            <w:pPr>
              <w:keepLines/>
              <w:tabs>
                <w:tab w:val="left" w:pos="150"/>
                <w:tab w:val="left" w:pos="397"/>
                <w:tab w:val="left" w:pos="794"/>
                <w:tab w:val="left" w:pos="1191"/>
              </w:tabs>
              <w:spacing w:before="40" w:after="40"/>
              <w:jc w:val="both"/>
              <w:rPr>
                <w:rFonts w:cs="Segoe UI"/>
                <w:sz w:val="17"/>
                <w:szCs w:val="17"/>
              </w:rPr>
            </w:pPr>
            <w:r w:rsidRPr="007557FA">
              <w:rPr>
                <w:rFonts w:cs="Segoe UI"/>
                <w:i/>
                <w:sz w:val="17"/>
                <w:szCs w:val="17"/>
              </w:rPr>
              <w:t xml:space="preserve">Of which </w:t>
            </w:r>
            <w:r w:rsidRPr="007557FA">
              <w:rPr>
                <w:rFonts w:cs="Segoe UI"/>
                <w:i/>
                <w:sz w:val="17"/>
                <w:szCs w:val="17"/>
                <w:lang w:eastAsia="en-GB"/>
              </w:rPr>
              <w:t>STC approach</w:t>
            </w:r>
            <w:r w:rsidRPr="007557FA">
              <w:rPr>
                <w:rFonts w:cs="Segoe UI"/>
                <w:sz w:val="17"/>
                <w:szCs w:val="17"/>
              </w:rPr>
              <w:t xml:space="preserve">: RWA and capital requirements calculated using the STC approach under the BCR.  For an interim or annual reporting period, the value in [OV1: 2/a] should be equal to the value in [CR4 (STC): 15/e]. </w:t>
            </w:r>
          </w:p>
        </w:tc>
      </w:tr>
      <w:tr w:rsidR="004406FA" w:rsidRPr="004E457E" w:rsidTr="00D334F9">
        <w:tc>
          <w:tcPr>
            <w:tcW w:w="567" w:type="dxa"/>
            <w:shd w:val="clear" w:color="auto" w:fill="auto"/>
          </w:tcPr>
          <w:p w:rsidR="004406FA" w:rsidRPr="007557FA" w:rsidRDefault="004406FA" w:rsidP="00D334F9">
            <w:pPr>
              <w:keepLines/>
              <w:tabs>
                <w:tab w:val="left" w:pos="150"/>
                <w:tab w:val="left" w:pos="397"/>
                <w:tab w:val="left" w:pos="794"/>
                <w:tab w:val="left" w:pos="1191"/>
              </w:tabs>
              <w:spacing w:before="40" w:after="40"/>
              <w:rPr>
                <w:rFonts w:cs="Segoe UI"/>
                <w:sz w:val="17"/>
                <w:szCs w:val="17"/>
              </w:rPr>
            </w:pPr>
            <w:r w:rsidRPr="007557FA">
              <w:rPr>
                <w:rFonts w:cs="Segoe UI"/>
                <w:sz w:val="17"/>
                <w:szCs w:val="17"/>
              </w:rPr>
              <w:t>2a</w:t>
            </w:r>
          </w:p>
        </w:tc>
        <w:tc>
          <w:tcPr>
            <w:tcW w:w="8647" w:type="dxa"/>
            <w:shd w:val="clear" w:color="auto" w:fill="auto"/>
          </w:tcPr>
          <w:p w:rsidR="004406FA" w:rsidRPr="007557FA" w:rsidRDefault="004406FA" w:rsidP="00D334F9">
            <w:pPr>
              <w:keepLines/>
              <w:tabs>
                <w:tab w:val="left" w:pos="150"/>
                <w:tab w:val="left" w:pos="397"/>
                <w:tab w:val="left" w:pos="794"/>
                <w:tab w:val="left" w:pos="1191"/>
              </w:tabs>
              <w:spacing w:before="40" w:after="40"/>
              <w:jc w:val="both"/>
              <w:rPr>
                <w:rFonts w:cs="Segoe UI"/>
                <w:i/>
                <w:sz w:val="17"/>
                <w:szCs w:val="17"/>
              </w:rPr>
            </w:pPr>
            <w:r w:rsidRPr="007557FA">
              <w:rPr>
                <w:rFonts w:cs="Segoe UI"/>
                <w:i/>
                <w:sz w:val="17"/>
                <w:szCs w:val="17"/>
              </w:rPr>
              <w:t xml:space="preserve">Of which </w:t>
            </w:r>
            <w:r w:rsidRPr="007557FA">
              <w:rPr>
                <w:rFonts w:cs="Segoe UI"/>
                <w:i/>
                <w:sz w:val="17"/>
                <w:szCs w:val="17"/>
                <w:lang w:eastAsia="en-GB"/>
              </w:rPr>
              <w:t>BSC approach</w:t>
            </w:r>
            <w:r w:rsidRPr="007557FA">
              <w:rPr>
                <w:rFonts w:cs="Segoe UI"/>
                <w:sz w:val="17"/>
                <w:szCs w:val="17"/>
              </w:rPr>
              <w:t xml:space="preserve">: RWA and capital requirements calculated using the BSC approach under the BCR.  For an interim or annual reporting period, the value in [OV1: 2a/a] should be equal to the value in [CR4 (BSC): 10/e]. </w:t>
            </w:r>
          </w:p>
        </w:tc>
      </w:tr>
      <w:tr w:rsidR="004406FA" w:rsidRPr="004E457E" w:rsidTr="00D334F9">
        <w:tc>
          <w:tcPr>
            <w:tcW w:w="567" w:type="dxa"/>
            <w:shd w:val="clear" w:color="auto" w:fill="auto"/>
          </w:tcPr>
          <w:p w:rsidR="004406FA" w:rsidRDefault="004406FA" w:rsidP="00D334F9">
            <w:pPr>
              <w:keepLines/>
              <w:tabs>
                <w:tab w:val="left" w:pos="150"/>
                <w:tab w:val="left" w:pos="397"/>
                <w:tab w:val="left" w:pos="794"/>
                <w:tab w:val="left" w:pos="1191"/>
              </w:tabs>
              <w:spacing w:before="40" w:after="40"/>
              <w:rPr>
                <w:rFonts w:cs="Segoe UI"/>
                <w:sz w:val="17"/>
                <w:szCs w:val="17"/>
              </w:rPr>
            </w:pPr>
            <w:r>
              <w:rPr>
                <w:rFonts w:cs="Segoe UI"/>
                <w:sz w:val="17"/>
                <w:szCs w:val="17"/>
              </w:rPr>
              <w:t>3</w:t>
            </w:r>
          </w:p>
        </w:tc>
        <w:tc>
          <w:tcPr>
            <w:tcW w:w="8647" w:type="dxa"/>
            <w:shd w:val="clear" w:color="auto" w:fill="auto"/>
          </w:tcPr>
          <w:p w:rsidR="00C6064E" w:rsidRPr="00AD6EBC" w:rsidRDefault="004406FA" w:rsidP="00647BCA">
            <w:pPr>
              <w:keepLines/>
              <w:tabs>
                <w:tab w:val="left" w:pos="150"/>
                <w:tab w:val="left" w:pos="397"/>
                <w:tab w:val="left" w:pos="794"/>
                <w:tab w:val="left" w:pos="1191"/>
              </w:tabs>
              <w:spacing w:before="40" w:after="40"/>
              <w:jc w:val="both"/>
              <w:rPr>
                <w:rFonts w:cs="Segoe UI"/>
                <w:sz w:val="17"/>
                <w:szCs w:val="17"/>
              </w:rPr>
            </w:pPr>
            <w:r w:rsidRPr="00AD6EBC">
              <w:rPr>
                <w:rFonts w:cs="Segoe UI"/>
                <w:i/>
                <w:sz w:val="17"/>
                <w:szCs w:val="17"/>
              </w:rPr>
              <w:t>Of which foundation IRB approach</w:t>
            </w:r>
            <w:r>
              <w:rPr>
                <w:rFonts w:cs="Segoe UI"/>
                <w:sz w:val="17"/>
                <w:szCs w:val="17"/>
              </w:rPr>
              <w:t xml:space="preserve">: </w:t>
            </w:r>
            <w:r w:rsidRPr="004E457E">
              <w:rPr>
                <w:rFonts w:cs="Segoe UI"/>
                <w:sz w:val="17"/>
                <w:szCs w:val="17"/>
              </w:rPr>
              <w:t xml:space="preserve">RWA and capital requirements </w:t>
            </w:r>
            <w:r w:rsidR="007A003E">
              <w:rPr>
                <w:rFonts w:cs="Segoe UI"/>
                <w:sz w:val="17"/>
                <w:szCs w:val="17"/>
              </w:rPr>
              <w:t xml:space="preserve">for AIs </w:t>
            </w:r>
            <w:r w:rsidRPr="004E457E">
              <w:rPr>
                <w:rFonts w:cs="Segoe UI"/>
                <w:sz w:val="17"/>
                <w:szCs w:val="17"/>
              </w:rPr>
              <w:t xml:space="preserve">using </w:t>
            </w:r>
            <w:r w:rsidRPr="00FA1F84">
              <w:rPr>
                <w:rFonts w:cs="Segoe UI"/>
                <w:sz w:val="17"/>
                <w:szCs w:val="17"/>
              </w:rPr>
              <w:t xml:space="preserve">the </w:t>
            </w:r>
            <w:r w:rsidRPr="00AD6EBC">
              <w:rPr>
                <w:rFonts w:cs="Segoe UI"/>
                <w:sz w:val="17"/>
                <w:szCs w:val="17"/>
              </w:rPr>
              <w:t>foundation</w:t>
            </w:r>
            <w:r w:rsidRPr="00FA1F84">
              <w:rPr>
                <w:rFonts w:cs="Segoe UI"/>
                <w:sz w:val="17"/>
                <w:szCs w:val="17"/>
              </w:rPr>
              <w:t xml:space="preserve"> IRB approach</w:t>
            </w:r>
            <w:r>
              <w:rPr>
                <w:rFonts w:cs="Segoe UI" w:hint="eastAsia"/>
                <w:sz w:val="17"/>
                <w:szCs w:val="17"/>
              </w:rPr>
              <w:t xml:space="preserve"> </w:t>
            </w:r>
            <w:r w:rsidR="007A003E">
              <w:rPr>
                <w:rFonts w:cs="Segoe UI"/>
                <w:sz w:val="17"/>
                <w:szCs w:val="17"/>
              </w:rPr>
              <w:t xml:space="preserve">to calculate </w:t>
            </w:r>
            <w:r w:rsidR="0031407C">
              <w:rPr>
                <w:rFonts w:cs="Segoe UI"/>
                <w:sz w:val="17"/>
                <w:szCs w:val="17"/>
              </w:rPr>
              <w:t>their c</w:t>
            </w:r>
            <w:r w:rsidR="007A003E">
              <w:rPr>
                <w:rFonts w:cs="Segoe UI"/>
                <w:sz w:val="17"/>
                <w:szCs w:val="17"/>
              </w:rPr>
              <w:t xml:space="preserve">redit risk </w:t>
            </w:r>
            <w:r w:rsidRPr="004E457E">
              <w:rPr>
                <w:rFonts w:cs="Segoe UI"/>
                <w:sz w:val="17"/>
                <w:szCs w:val="17"/>
              </w:rPr>
              <w:t>under the BCR,</w:t>
            </w:r>
            <w:r>
              <w:rPr>
                <w:rFonts w:cs="Segoe UI" w:hint="eastAsia"/>
                <w:sz w:val="17"/>
                <w:szCs w:val="17"/>
              </w:rPr>
              <w:t xml:space="preserve"> </w:t>
            </w:r>
            <w:r w:rsidRPr="00D808EB">
              <w:rPr>
                <w:rFonts w:cs="Segoe UI"/>
                <w:sz w:val="17"/>
                <w:szCs w:val="17"/>
              </w:rPr>
              <w:t>excluding</w:t>
            </w:r>
            <w:r>
              <w:rPr>
                <w:rFonts w:cs="Segoe UI" w:hint="eastAsia"/>
                <w:sz w:val="17"/>
                <w:szCs w:val="17"/>
              </w:rPr>
              <w:t xml:space="preserve"> </w:t>
            </w:r>
            <w:r w:rsidR="00B57A60">
              <w:rPr>
                <w:rFonts w:cs="Segoe UI"/>
                <w:sz w:val="17"/>
                <w:szCs w:val="17"/>
              </w:rPr>
              <w:t xml:space="preserve">specialized lending calculated using the </w:t>
            </w:r>
            <w:r w:rsidR="00B57A60" w:rsidRPr="00384CE5">
              <w:rPr>
                <w:rFonts w:cs="Segoe UI"/>
                <w:sz w:val="17"/>
                <w:szCs w:val="17"/>
              </w:rPr>
              <w:t>supervisory</w:t>
            </w:r>
            <w:r w:rsidR="00B57A60">
              <w:rPr>
                <w:rFonts w:cs="Segoe UI"/>
                <w:sz w:val="17"/>
                <w:szCs w:val="17"/>
              </w:rPr>
              <w:t xml:space="preserve"> </w:t>
            </w:r>
            <w:r w:rsidR="00B57A60" w:rsidRPr="00384CE5">
              <w:rPr>
                <w:rFonts w:cs="Segoe UI"/>
                <w:sz w:val="17"/>
                <w:szCs w:val="17"/>
              </w:rPr>
              <w:t>slotting criteria approach</w:t>
            </w:r>
            <w:r w:rsidR="00B57A60">
              <w:rPr>
                <w:rFonts w:cs="Segoe UI"/>
                <w:sz w:val="17"/>
                <w:szCs w:val="17"/>
              </w:rPr>
              <w:t xml:space="preserve"> (reported in row 4) and </w:t>
            </w:r>
            <w:r w:rsidRPr="00D808EB">
              <w:rPr>
                <w:rFonts w:cs="Segoe UI"/>
                <w:sz w:val="17"/>
                <w:szCs w:val="17"/>
              </w:rPr>
              <w:t xml:space="preserve">equity </w:t>
            </w:r>
            <w:r w:rsidR="002D62A8">
              <w:rPr>
                <w:rFonts w:cs="Segoe UI"/>
                <w:sz w:val="17"/>
                <w:szCs w:val="17"/>
              </w:rPr>
              <w:t xml:space="preserve">positions </w:t>
            </w:r>
            <w:r w:rsidRPr="00D808EB">
              <w:rPr>
                <w:rFonts w:cs="Segoe UI"/>
                <w:sz w:val="17"/>
                <w:szCs w:val="17"/>
              </w:rPr>
              <w:t xml:space="preserve">in banking book </w:t>
            </w:r>
            <w:r w:rsidRPr="00686916">
              <w:rPr>
                <w:rFonts w:cs="Segoe UI"/>
                <w:noProof/>
                <w:sz w:val="17"/>
                <w:szCs w:val="17"/>
                <w:lang w:eastAsia="en-GB"/>
              </w:rPr>
              <w:t xml:space="preserve">under the </w:t>
            </w:r>
            <w:r>
              <w:rPr>
                <w:rFonts w:cs="Segoe UI" w:hint="eastAsia"/>
                <w:noProof/>
                <w:sz w:val="17"/>
                <w:szCs w:val="17"/>
              </w:rPr>
              <w:t>s</w:t>
            </w:r>
            <w:r w:rsidRPr="00146759">
              <w:rPr>
                <w:rFonts w:cs="Segoe UI"/>
                <w:noProof/>
                <w:sz w:val="17"/>
                <w:szCs w:val="17"/>
                <w:lang w:eastAsia="en-GB"/>
              </w:rPr>
              <w:t>imple risk-weight method</w:t>
            </w:r>
            <w:r w:rsidR="009064B0">
              <w:rPr>
                <w:rFonts w:cs="Segoe UI"/>
                <w:noProof/>
                <w:sz w:val="17"/>
                <w:szCs w:val="17"/>
                <w:lang w:eastAsia="en-GB"/>
              </w:rPr>
              <w:t xml:space="preserve"> and </w:t>
            </w:r>
            <w:r w:rsidR="00B01772">
              <w:rPr>
                <w:rFonts w:cs="Segoe UI"/>
                <w:sz w:val="17"/>
                <w:szCs w:val="17"/>
              </w:rPr>
              <w:t xml:space="preserve">internal models method </w:t>
            </w:r>
            <w:r w:rsidRPr="00D808EB">
              <w:rPr>
                <w:rFonts w:cs="Segoe UI"/>
                <w:sz w:val="17"/>
                <w:szCs w:val="17"/>
              </w:rPr>
              <w:t xml:space="preserve">(reported in row </w:t>
            </w:r>
            <w:r w:rsidRPr="00D808EB">
              <w:rPr>
                <w:rFonts w:cs="Segoe UI" w:hint="eastAsia"/>
                <w:sz w:val="17"/>
                <w:szCs w:val="17"/>
              </w:rPr>
              <w:t>11</w:t>
            </w:r>
            <w:r w:rsidRPr="00D808EB">
              <w:rPr>
                <w:rFonts w:cs="Segoe UI"/>
                <w:sz w:val="17"/>
                <w:szCs w:val="17"/>
              </w:rPr>
              <w:t>)</w:t>
            </w:r>
            <w:r>
              <w:rPr>
                <w:rFonts w:cs="Segoe UI" w:hint="eastAsia"/>
                <w:sz w:val="17"/>
                <w:szCs w:val="17"/>
              </w:rPr>
              <w:t xml:space="preserve">, </w:t>
            </w:r>
            <w:r w:rsidR="007A003E">
              <w:rPr>
                <w:rFonts w:cs="Segoe UI"/>
                <w:sz w:val="17"/>
                <w:szCs w:val="17"/>
              </w:rPr>
              <w:t xml:space="preserve">but including </w:t>
            </w:r>
            <w:r w:rsidR="00C6064E">
              <w:rPr>
                <w:rFonts w:cs="Segoe UI"/>
                <w:sz w:val="17"/>
                <w:szCs w:val="17"/>
              </w:rPr>
              <w:t>equity exposures under the PD/LGD approach</w:t>
            </w:r>
            <w:r w:rsidR="007A003E">
              <w:rPr>
                <w:rFonts w:cs="Segoe UI"/>
                <w:sz w:val="17"/>
                <w:szCs w:val="17"/>
              </w:rPr>
              <w:t xml:space="preserve">, </w:t>
            </w:r>
            <w:r w:rsidR="00C6064E">
              <w:rPr>
                <w:rFonts w:cs="Segoe UI"/>
                <w:sz w:val="17"/>
                <w:szCs w:val="17"/>
              </w:rPr>
              <w:t>retail exposures under the retail IRB approach and other exposures under the specific risk-weight approach.</w:t>
            </w:r>
          </w:p>
        </w:tc>
      </w:tr>
      <w:tr w:rsidR="004406FA" w:rsidRPr="004E457E" w:rsidTr="00D334F9">
        <w:tc>
          <w:tcPr>
            <w:tcW w:w="567" w:type="dxa"/>
            <w:shd w:val="clear" w:color="auto" w:fill="auto"/>
          </w:tcPr>
          <w:p w:rsidR="004406FA" w:rsidRPr="00384CE5" w:rsidRDefault="004406FA" w:rsidP="00D334F9">
            <w:pPr>
              <w:keepLines/>
              <w:tabs>
                <w:tab w:val="left" w:pos="150"/>
                <w:tab w:val="left" w:pos="397"/>
                <w:tab w:val="left" w:pos="794"/>
                <w:tab w:val="left" w:pos="1191"/>
              </w:tabs>
              <w:spacing w:before="40" w:after="40"/>
              <w:rPr>
                <w:rFonts w:cs="Segoe UI"/>
                <w:sz w:val="17"/>
                <w:szCs w:val="17"/>
                <w:highlight w:val="yellow"/>
              </w:rPr>
            </w:pPr>
            <w:r>
              <w:rPr>
                <w:rFonts w:cs="Segoe UI" w:hint="eastAsia"/>
                <w:sz w:val="17"/>
                <w:szCs w:val="17"/>
              </w:rPr>
              <w:t>4</w:t>
            </w:r>
          </w:p>
        </w:tc>
        <w:tc>
          <w:tcPr>
            <w:tcW w:w="8647" w:type="dxa"/>
            <w:shd w:val="clear" w:color="auto" w:fill="auto"/>
          </w:tcPr>
          <w:p w:rsidR="004406FA" w:rsidRPr="00384CE5" w:rsidRDefault="004406FA" w:rsidP="00D334F9">
            <w:pPr>
              <w:keepLines/>
              <w:tabs>
                <w:tab w:val="left" w:pos="150"/>
                <w:tab w:val="left" w:pos="397"/>
                <w:tab w:val="left" w:pos="794"/>
                <w:tab w:val="left" w:pos="1191"/>
              </w:tabs>
              <w:spacing w:before="40" w:after="40"/>
              <w:jc w:val="both"/>
              <w:rPr>
                <w:rFonts w:cs="Segoe UI"/>
                <w:sz w:val="17"/>
                <w:szCs w:val="17"/>
              </w:rPr>
            </w:pPr>
            <w:r w:rsidRPr="00384CE5">
              <w:rPr>
                <w:rFonts w:cs="Segoe UI"/>
                <w:i/>
                <w:sz w:val="17"/>
                <w:szCs w:val="17"/>
              </w:rPr>
              <w:t>Of which supervisory slotting criteria approach</w:t>
            </w:r>
            <w:r>
              <w:rPr>
                <w:rFonts w:cs="Segoe UI" w:hint="eastAsia"/>
                <w:sz w:val="17"/>
                <w:szCs w:val="17"/>
              </w:rPr>
              <w:t xml:space="preserve">: </w:t>
            </w:r>
            <w:r>
              <w:rPr>
                <w:rFonts w:cs="Segoe UI"/>
                <w:sz w:val="17"/>
                <w:szCs w:val="17"/>
              </w:rPr>
              <w:t xml:space="preserve">RWA and capital requirements of specialized lending calculated using the </w:t>
            </w:r>
            <w:r w:rsidRPr="00384CE5">
              <w:rPr>
                <w:rFonts w:cs="Segoe UI"/>
                <w:sz w:val="17"/>
                <w:szCs w:val="17"/>
              </w:rPr>
              <w:t>supervisory</w:t>
            </w:r>
            <w:r>
              <w:rPr>
                <w:rFonts w:cs="Segoe UI"/>
                <w:sz w:val="17"/>
                <w:szCs w:val="17"/>
              </w:rPr>
              <w:t xml:space="preserve"> </w:t>
            </w:r>
            <w:r w:rsidRPr="00384CE5">
              <w:rPr>
                <w:rFonts w:cs="Segoe UI"/>
                <w:sz w:val="17"/>
                <w:szCs w:val="17"/>
              </w:rPr>
              <w:t xml:space="preserve">slotting criteria approach </w:t>
            </w:r>
            <w:r>
              <w:rPr>
                <w:rFonts w:cs="Segoe UI"/>
                <w:sz w:val="17"/>
                <w:szCs w:val="17"/>
              </w:rPr>
              <w:t>under the BCR.</w:t>
            </w:r>
          </w:p>
        </w:tc>
      </w:tr>
      <w:tr w:rsidR="004406FA" w:rsidRPr="004E457E" w:rsidTr="00D334F9">
        <w:tc>
          <w:tcPr>
            <w:tcW w:w="567" w:type="dxa"/>
            <w:shd w:val="clear" w:color="auto" w:fill="auto"/>
          </w:tcPr>
          <w:p w:rsidR="004406FA" w:rsidRPr="00D44754" w:rsidRDefault="004406FA" w:rsidP="00D334F9">
            <w:pPr>
              <w:keepLines/>
              <w:tabs>
                <w:tab w:val="left" w:pos="150"/>
                <w:tab w:val="left" w:pos="397"/>
                <w:tab w:val="left" w:pos="794"/>
                <w:tab w:val="left" w:pos="1191"/>
              </w:tabs>
              <w:spacing w:before="40" w:after="40"/>
              <w:rPr>
                <w:rFonts w:cs="Segoe UI"/>
                <w:sz w:val="17"/>
                <w:szCs w:val="17"/>
              </w:rPr>
            </w:pPr>
            <w:r>
              <w:rPr>
                <w:rFonts w:cs="Segoe UI" w:hint="eastAsia"/>
                <w:sz w:val="17"/>
                <w:szCs w:val="17"/>
              </w:rPr>
              <w:t>5</w:t>
            </w:r>
          </w:p>
        </w:tc>
        <w:tc>
          <w:tcPr>
            <w:tcW w:w="8647" w:type="dxa"/>
            <w:shd w:val="clear" w:color="auto" w:fill="auto"/>
          </w:tcPr>
          <w:p w:rsidR="00C6064E" w:rsidRPr="00BD2D54" w:rsidRDefault="004406FA" w:rsidP="00DC15B0">
            <w:pPr>
              <w:keepLines/>
              <w:tabs>
                <w:tab w:val="left" w:pos="150"/>
                <w:tab w:val="left" w:pos="397"/>
                <w:tab w:val="left" w:pos="794"/>
                <w:tab w:val="left" w:pos="1191"/>
              </w:tabs>
              <w:spacing w:before="40" w:after="40"/>
              <w:jc w:val="both"/>
              <w:rPr>
                <w:rFonts w:cs="Segoe UI"/>
                <w:sz w:val="17"/>
                <w:szCs w:val="17"/>
              </w:rPr>
            </w:pPr>
            <w:r w:rsidRPr="00D44754">
              <w:rPr>
                <w:rFonts w:cs="Segoe UI"/>
                <w:i/>
                <w:sz w:val="17"/>
                <w:szCs w:val="17"/>
                <w:lang w:eastAsia="en-GB"/>
              </w:rPr>
              <w:t>Of which advanced IRB approach</w:t>
            </w:r>
            <w:r>
              <w:rPr>
                <w:rFonts w:cs="Segoe UI" w:hint="eastAsia"/>
                <w:sz w:val="17"/>
                <w:szCs w:val="17"/>
              </w:rPr>
              <w:t xml:space="preserve">: </w:t>
            </w:r>
            <w:r w:rsidRPr="004E457E">
              <w:rPr>
                <w:rFonts w:cs="Segoe UI"/>
                <w:sz w:val="17"/>
                <w:szCs w:val="17"/>
              </w:rPr>
              <w:t xml:space="preserve">RWA and capital requirements </w:t>
            </w:r>
            <w:r w:rsidR="0031407C">
              <w:rPr>
                <w:rFonts w:cs="Segoe UI"/>
                <w:sz w:val="17"/>
                <w:szCs w:val="17"/>
              </w:rPr>
              <w:t xml:space="preserve">for AIs </w:t>
            </w:r>
            <w:r w:rsidRPr="004E457E">
              <w:rPr>
                <w:rFonts w:cs="Segoe UI"/>
                <w:sz w:val="17"/>
                <w:szCs w:val="17"/>
              </w:rPr>
              <w:t xml:space="preserve">using </w:t>
            </w:r>
            <w:r w:rsidRPr="00FA1F84">
              <w:rPr>
                <w:rFonts w:cs="Segoe UI"/>
                <w:sz w:val="17"/>
                <w:szCs w:val="17"/>
              </w:rPr>
              <w:t>the advanced IRB approach</w:t>
            </w:r>
            <w:r>
              <w:rPr>
                <w:rFonts w:cs="Segoe UI" w:hint="eastAsia"/>
                <w:sz w:val="17"/>
                <w:szCs w:val="17"/>
              </w:rPr>
              <w:t xml:space="preserve"> </w:t>
            </w:r>
            <w:r w:rsidR="0031407C">
              <w:rPr>
                <w:rFonts w:cs="Segoe UI"/>
                <w:sz w:val="17"/>
                <w:szCs w:val="17"/>
              </w:rPr>
              <w:t xml:space="preserve">to calculate their credit risk </w:t>
            </w:r>
            <w:r w:rsidRPr="004E457E">
              <w:rPr>
                <w:rFonts w:cs="Segoe UI"/>
                <w:sz w:val="17"/>
                <w:szCs w:val="17"/>
              </w:rPr>
              <w:t>under the BCR,</w:t>
            </w:r>
            <w:r>
              <w:rPr>
                <w:rFonts w:cs="Segoe UI" w:hint="eastAsia"/>
                <w:sz w:val="17"/>
                <w:szCs w:val="17"/>
              </w:rPr>
              <w:t xml:space="preserve"> </w:t>
            </w:r>
            <w:r w:rsidRPr="00D808EB">
              <w:rPr>
                <w:rFonts w:cs="Segoe UI"/>
                <w:sz w:val="17"/>
                <w:szCs w:val="17"/>
              </w:rPr>
              <w:t>excluding</w:t>
            </w:r>
            <w:r>
              <w:rPr>
                <w:rFonts w:cs="Segoe UI" w:hint="eastAsia"/>
                <w:sz w:val="17"/>
                <w:szCs w:val="17"/>
              </w:rPr>
              <w:t xml:space="preserve"> </w:t>
            </w:r>
            <w:r w:rsidR="000852AF">
              <w:rPr>
                <w:rFonts w:cs="Segoe UI"/>
                <w:sz w:val="17"/>
                <w:szCs w:val="17"/>
              </w:rPr>
              <w:t xml:space="preserve">specialized lending calculated using the </w:t>
            </w:r>
            <w:r w:rsidR="000852AF" w:rsidRPr="00384CE5">
              <w:rPr>
                <w:rFonts w:cs="Segoe UI"/>
                <w:sz w:val="17"/>
                <w:szCs w:val="17"/>
              </w:rPr>
              <w:t>supervisory</w:t>
            </w:r>
            <w:r w:rsidR="000852AF">
              <w:rPr>
                <w:rFonts w:cs="Segoe UI"/>
                <w:sz w:val="17"/>
                <w:szCs w:val="17"/>
              </w:rPr>
              <w:t xml:space="preserve"> </w:t>
            </w:r>
            <w:r w:rsidR="000852AF" w:rsidRPr="00384CE5">
              <w:rPr>
                <w:rFonts w:cs="Segoe UI"/>
                <w:sz w:val="17"/>
                <w:szCs w:val="17"/>
              </w:rPr>
              <w:t>slotting criteria approach</w:t>
            </w:r>
            <w:r w:rsidR="000852AF">
              <w:rPr>
                <w:rFonts w:cs="Segoe UI"/>
                <w:sz w:val="17"/>
                <w:szCs w:val="17"/>
              </w:rPr>
              <w:t xml:space="preserve"> (reported in row 4) and</w:t>
            </w:r>
            <w:r w:rsidR="000852AF" w:rsidRPr="00D808EB">
              <w:rPr>
                <w:rFonts w:cs="Segoe UI"/>
                <w:sz w:val="17"/>
                <w:szCs w:val="17"/>
              </w:rPr>
              <w:t xml:space="preserve"> </w:t>
            </w:r>
            <w:r w:rsidRPr="00D808EB">
              <w:rPr>
                <w:rFonts w:cs="Segoe UI"/>
                <w:sz w:val="17"/>
                <w:szCs w:val="17"/>
              </w:rPr>
              <w:t xml:space="preserve">equity </w:t>
            </w:r>
            <w:r w:rsidR="002D62A8">
              <w:rPr>
                <w:rFonts w:cs="Segoe UI"/>
                <w:sz w:val="17"/>
                <w:szCs w:val="17"/>
              </w:rPr>
              <w:t>positions</w:t>
            </w:r>
            <w:r w:rsidR="002D62A8" w:rsidRPr="00D808EB">
              <w:rPr>
                <w:rFonts w:cs="Segoe UI"/>
                <w:sz w:val="17"/>
                <w:szCs w:val="17"/>
              </w:rPr>
              <w:t xml:space="preserve"> </w:t>
            </w:r>
            <w:r w:rsidRPr="00D808EB">
              <w:rPr>
                <w:rFonts w:cs="Segoe UI"/>
                <w:sz w:val="17"/>
                <w:szCs w:val="17"/>
              </w:rPr>
              <w:t xml:space="preserve">in banking book under </w:t>
            </w:r>
            <w:r w:rsidRPr="00D808EB">
              <w:rPr>
                <w:rFonts w:cs="Segoe UI"/>
                <w:noProof/>
                <w:sz w:val="17"/>
                <w:szCs w:val="17"/>
                <w:lang w:eastAsia="en-GB"/>
              </w:rPr>
              <w:t xml:space="preserve">the </w:t>
            </w:r>
            <w:r w:rsidRPr="00D808EB">
              <w:rPr>
                <w:rFonts w:cs="Segoe UI" w:hint="eastAsia"/>
                <w:noProof/>
                <w:sz w:val="17"/>
                <w:szCs w:val="17"/>
              </w:rPr>
              <w:t>s</w:t>
            </w:r>
            <w:r w:rsidRPr="00D808EB">
              <w:rPr>
                <w:rFonts w:cs="Segoe UI"/>
                <w:noProof/>
                <w:sz w:val="17"/>
                <w:szCs w:val="17"/>
                <w:lang w:eastAsia="en-GB"/>
              </w:rPr>
              <w:t>imple risk-weight method</w:t>
            </w:r>
            <w:r w:rsidR="00A56E2F">
              <w:rPr>
                <w:rFonts w:cs="Segoe UI"/>
                <w:noProof/>
                <w:sz w:val="17"/>
                <w:szCs w:val="17"/>
                <w:lang w:eastAsia="en-GB"/>
              </w:rPr>
              <w:t xml:space="preserve"> and </w:t>
            </w:r>
            <w:r w:rsidR="00964989">
              <w:rPr>
                <w:rFonts w:cs="Segoe UI"/>
                <w:noProof/>
                <w:sz w:val="17"/>
                <w:szCs w:val="17"/>
                <w:lang w:eastAsia="en-GB"/>
              </w:rPr>
              <w:t>internal models method</w:t>
            </w:r>
            <w:r w:rsidR="00033417">
              <w:rPr>
                <w:rFonts w:cs="Segoe UI"/>
                <w:noProof/>
                <w:sz w:val="17"/>
                <w:szCs w:val="17"/>
                <w:lang w:eastAsia="en-GB"/>
              </w:rPr>
              <w:t xml:space="preserve"> </w:t>
            </w:r>
            <w:r w:rsidRPr="00D808EB">
              <w:rPr>
                <w:rFonts w:cs="Segoe UI"/>
                <w:sz w:val="17"/>
                <w:szCs w:val="17"/>
              </w:rPr>
              <w:t xml:space="preserve">(reported in row </w:t>
            </w:r>
            <w:r w:rsidRPr="00D808EB">
              <w:rPr>
                <w:rFonts w:cs="Segoe UI" w:hint="eastAsia"/>
                <w:sz w:val="17"/>
                <w:szCs w:val="17"/>
              </w:rPr>
              <w:t>11</w:t>
            </w:r>
            <w:r w:rsidRPr="00D808EB">
              <w:rPr>
                <w:rFonts w:cs="Segoe UI"/>
                <w:sz w:val="17"/>
                <w:szCs w:val="17"/>
              </w:rPr>
              <w:t>)</w:t>
            </w:r>
            <w:r>
              <w:rPr>
                <w:rFonts w:cs="Segoe UI" w:hint="eastAsia"/>
                <w:sz w:val="17"/>
                <w:szCs w:val="17"/>
              </w:rPr>
              <w:t xml:space="preserve">, </w:t>
            </w:r>
            <w:r w:rsidR="00176B3B">
              <w:rPr>
                <w:rFonts w:cs="Segoe UI"/>
                <w:sz w:val="17"/>
                <w:szCs w:val="17"/>
              </w:rPr>
              <w:t>but including equity exposures under the PD/LGD approach, retail exposures under the retail IRB approach and other exposures under the specific risk-weight approach.</w:t>
            </w:r>
          </w:p>
        </w:tc>
      </w:tr>
      <w:tr w:rsidR="004406FA" w:rsidRPr="004E457E" w:rsidTr="00D334F9">
        <w:tc>
          <w:tcPr>
            <w:tcW w:w="567" w:type="dxa"/>
            <w:shd w:val="clear" w:color="auto" w:fill="auto"/>
          </w:tcPr>
          <w:p w:rsidR="004406FA" w:rsidRPr="00983D3E" w:rsidRDefault="004406FA" w:rsidP="00D334F9">
            <w:pPr>
              <w:keepLines/>
              <w:tabs>
                <w:tab w:val="left" w:pos="150"/>
                <w:tab w:val="left" w:pos="397"/>
                <w:tab w:val="left" w:pos="794"/>
                <w:tab w:val="left" w:pos="1191"/>
              </w:tabs>
              <w:spacing w:before="40" w:after="40"/>
              <w:rPr>
                <w:rFonts w:cs="Segoe UI"/>
                <w:sz w:val="17"/>
                <w:szCs w:val="17"/>
                <w:highlight w:val="yellow"/>
              </w:rPr>
            </w:pPr>
            <w:r w:rsidRPr="00D44754">
              <w:rPr>
                <w:rFonts w:cs="Segoe UI" w:hint="eastAsia"/>
                <w:sz w:val="17"/>
                <w:szCs w:val="17"/>
              </w:rPr>
              <w:t>6</w:t>
            </w:r>
          </w:p>
        </w:tc>
        <w:tc>
          <w:tcPr>
            <w:tcW w:w="8647" w:type="dxa"/>
            <w:shd w:val="clear" w:color="auto" w:fill="auto"/>
          </w:tcPr>
          <w:p w:rsidR="004406FA" w:rsidRPr="00421E07" w:rsidRDefault="004406FA" w:rsidP="00D334F9">
            <w:pPr>
              <w:keepLines/>
              <w:tabs>
                <w:tab w:val="left" w:pos="150"/>
                <w:tab w:val="left" w:pos="397"/>
                <w:tab w:val="left" w:pos="794"/>
                <w:tab w:val="left" w:pos="1191"/>
              </w:tabs>
              <w:spacing w:before="40" w:after="40"/>
              <w:jc w:val="both"/>
              <w:rPr>
                <w:rFonts w:cs="Segoe UI"/>
                <w:sz w:val="17"/>
                <w:szCs w:val="17"/>
              </w:rPr>
            </w:pPr>
            <w:r w:rsidRPr="004E457E">
              <w:rPr>
                <w:rFonts w:cs="Segoe UI"/>
                <w:i/>
                <w:sz w:val="17"/>
                <w:szCs w:val="17"/>
              </w:rPr>
              <w:t xml:space="preserve">Counterparty </w:t>
            </w:r>
            <w:r>
              <w:rPr>
                <w:rFonts w:cs="Segoe UI"/>
                <w:i/>
                <w:sz w:val="17"/>
                <w:szCs w:val="17"/>
              </w:rPr>
              <w:t>default</w:t>
            </w:r>
            <w:r w:rsidRPr="004E457E">
              <w:rPr>
                <w:rFonts w:cs="Segoe UI"/>
                <w:i/>
                <w:sz w:val="17"/>
                <w:szCs w:val="17"/>
              </w:rPr>
              <w:t xml:space="preserve"> risk</w:t>
            </w:r>
            <w:r>
              <w:rPr>
                <w:rFonts w:cs="Segoe UI"/>
                <w:i/>
                <w:sz w:val="17"/>
                <w:szCs w:val="17"/>
              </w:rPr>
              <w:t xml:space="preserve"> and default fund contributions</w:t>
            </w:r>
            <w:r w:rsidRPr="004E457E">
              <w:rPr>
                <w:rFonts w:cs="Segoe UI"/>
                <w:sz w:val="17"/>
                <w:szCs w:val="17"/>
              </w:rPr>
              <w:t xml:space="preserve">: RWA and capital requirements for counterparty </w:t>
            </w:r>
            <w:r>
              <w:rPr>
                <w:rFonts w:cs="Segoe UI"/>
                <w:sz w:val="17"/>
                <w:szCs w:val="17"/>
              </w:rPr>
              <w:t>default</w:t>
            </w:r>
            <w:r w:rsidRPr="004E457E">
              <w:rPr>
                <w:rFonts w:cs="Segoe UI"/>
                <w:sz w:val="17"/>
                <w:szCs w:val="17"/>
              </w:rPr>
              <w:t xml:space="preserve"> risk (including</w:t>
            </w:r>
            <w:r>
              <w:rPr>
                <w:rFonts w:cs="Segoe UI"/>
                <w:sz w:val="17"/>
                <w:szCs w:val="17"/>
              </w:rPr>
              <w:t xml:space="preserve"> such a risk </w:t>
            </w:r>
            <w:r w:rsidRPr="004E457E">
              <w:rPr>
                <w:rFonts w:cs="Segoe UI"/>
                <w:sz w:val="17"/>
                <w:szCs w:val="17"/>
              </w:rPr>
              <w:t xml:space="preserve">to CCPs) </w:t>
            </w:r>
            <w:r>
              <w:rPr>
                <w:rFonts w:cs="Segoe UI"/>
                <w:sz w:val="17"/>
                <w:szCs w:val="17"/>
              </w:rPr>
              <w:t xml:space="preserve">and default fund contributions, </w:t>
            </w:r>
            <w:r w:rsidRPr="004E457E">
              <w:rPr>
                <w:rFonts w:cs="Segoe UI"/>
                <w:sz w:val="17"/>
                <w:szCs w:val="17"/>
              </w:rPr>
              <w:t>calcul</w:t>
            </w:r>
            <w:r>
              <w:rPr>
                <w:rFonts w:cs="Segoe UI"/>
                <w:sz w:val="17"/>
                <w:szCs w:val="17"/>
              </w:rPr>
              <w:t xml:space="preserve">ated in accordance with the BCR </w:t>
            </w:r>
            <w:r w:rsidRPr="00383487">
              <w:rPr>
                <w:rFonts w:cs="Segoe UI"/>
                <w:sz w:val="17"/>
                <w:szCs w:val="17"/>
              </w:rPr>
              <w:t>as reported i</w:t>
            </w:r>
            <w:r w:rsidRPr="00B74492">
              <w:rPr>
                <w:rFonts w:cs="Segoe UI"/>
                <w:sz w:val="17"/>
                <w:szCs w:val="17"/>
              </w:rPr>
              <w:t>n Part IV of</w:t>
            </w:r>
            <w:r w:rsidRPr="00383487">
              <w:rPr>
                <w:rFonts w:cs="Segoe UI"/>
                <w:sz w:val="17"/>
                <w:szCs w:val="17"/>
              </w:rPr>
              <w:t xml:space="preserve"> this document.</w:t>
            </w:r>
            <w:r w:rsidRPr="004E457E">
              <w:rPr>
                <w:rFonts w:cs="Segoe UI"/>
                <w:sz w:val="17"/>
                <w:szCs w:val="17"/>
              </w:rPr>
              <w:t xml:space="preserve">  </w:t>
            </w:r>
            <w:r>
              <w:rPr>
                <w:rFonts w:cs="Segoe UI"/>
                <w:sz w:val="17"/>
                <w:szCs w:val="17"/>
              </w:rPr>
              <w:t xml:space="preserve">The RWA and capital requirements for </w:t>
            </w:r>
            <w:r>
              <w:rPr>
                <w:rFonts w:cs="Segoe UI" w:hint="eastAsia"/>
                <w:sz w:val="17"/>
                <w:szCs w:val="17"/>
              </w:rPr>
              <w:t>C</w:t>
            </w:r>
            <w:r>
              <w:rPr>
                <w:rFonts w:cs="Segoe UI"/>
                <w:sz w:val="17"/>
                <w:szCs w:val="17"/>
                <w:lang w:eastAsia="en-GB"/>
              </w:rPr>
              <w:t xml:space="preserve">VA should </w:t>
            </w:r>
            <w:r>
              <w:rPr>
                <w:rFonts w:cs="Segoe UI" w:hint="eastAsia"/>
                <w:sz w:val="17"/>
                <w:szCs w:val="17"/>
              </w:rPr>
              <w:t xml:space="preserve">be </w:t>
            </w:r>
            <w:r>
              <w:rPr>
                <w:rFonts w:cs="Segoe UI"/>
                <w:sz w:val="17"/>
                <w:szCs w:val="17"/>
                <w:lang w:eastAsia="en-GB"/>
              </w:rPr>
              <w:t>reported in row 10</w:t>
            </w:r>
            <w:r>
              <w:rPr>
                <w:rFonts w:cs="Segoe UI" w:hint="eastAsia"/>
                <w:sz w:val="17"/>
                <w:szCs w:val="17"/>
              </w:rPr>
              <w:t xml:space="preserve"> </w:t>
            </w:r>
            <w:r>
              <w:rPr>
                <w:rFonts w:cs="Segoe UI"/>
                <w:sz w:val="17"/>
                <w:szCs w:val="17"/>
              </w:rPr>
              <w:t xml:space="preserve">and must not be </w:t>
            </w:r>
            <w:r>
              <w:rPr>
                <w:rFonts w:cs="Segoe UI"/>
                <w:sz w:val="17"/>
                <w:szCs w:val="17"/>
                <w:lang w:eastAsia="en-GB"/>
              </w:rPr>
              <w:t>include</w:t>
            </w:r>
            <w:r>
              <w:rPr>
                <w:rFonts w:cs="Segoe UI" w:hint="eastAsia"/>
                <w:sz w:val="17"/>
                <w:szCs w:val="17"/>
              </w:rPr>
              <w:t xml:space="preserve">d </w:t>
            </w:r>
            <w:r>
              <w:rPr>
                <w:rFonts w:cs="Segoe UI"/>
                <w:sz w:val="17"/>
                <w:szCs w:val="17"/>
              </w:rPr>
              <w:t>in</w:t>
            </w:r>
            <w:r>
              <w:rPr>
                <w:rFonts w:cs="Segoe UI" w:hint="eastAsia"/>
                <w:sz w:val="17"/>
                <w:szCs w:val="17"/>
              </w:rPr>
              <w:t xml:space="preserve"> </w:t>
            </w:r>
            <w:r>
              <w:rPr>
                <w:rFonts w:cs="Segoe UI"/>
                <w:sz w:val="17"/>
                <w:szCs w:val="17"/>
              </w:rPr>
              <w:t>this row and rows 7 to 9 below</w:t>
            </w:r>
            <w:r w:rsidRPr="00FE4698">
              <w:rPr>
                <w:rFonts w:cs="Segoe UI" w:hint="eastAsia"/>
                <w:sz w:val="17"/>
                <w:szCs w:val="17"/>
              </w:rPr>
              <w:t xml:space="preserve">.  </w:t>
            </w:r>
            <w:r w:rsidRPr="00FE4698">
              <w:rPr>
                <w:rFonts w:cs="Segoe UI"/>
                <w:sz w:val="17"/>
                <w:szCs w:val="17"/>
              </w:rPr>
              <w:t>The value in [OV1:6/a] is equal to the sum of values in [CCR1:6/f], [CCR8:1/b] and [CCR8:11/b].</w:t>
            </w:r>
          </w:p>
        </w:tc>
      </w:tr>
      <w:tr w:rsidR="004406FA" w:rsidRPr="004E457E" w:rsidTr="00D334F9">
        <w:tc>
          <w:tcPr>
            <w:tcW w:w="567" w:type="dxa"/>
            <w:shd w:val="clear" w:color="auto" w:fill="auto"/>
          </w:tcPr>
          <w:p w:rsidR="004406FA" w:rsidRPr="00CA570C" w:rsidRDefault="004406FA" w:rsidP="00D334F9">
            <w:pPr>
              <w:keepLines/>
              <w:tabs>
                <w:tab w:val="left" w:pos="150"/>
                <w:tab w:val="left" w:pos="397"/>
                <w:tab w:val="left" w:pos="794"/>
                <w:tab w:val="left" w:pos="1191"/>
              </w:tabs>
              <w:spacing w:before="40" w:after="40"/>
              <w:rPr>
                <w:rFonts w:cs="Segoe UI"/>
                <w:sz w:val="17"/>
                <w:szCs w:val="17"/>
                <w:highlight w:val="yellow"/>
              </w:rPr>
            </w:pPr>
            <w:r>
              <w:rPr>
                <w:rFonts w:cs="Segoe UI" w:hint="eastAsia"/>
                <w:sz w:val="17"/>
                <w:szCs w:val="17"/>
              </w:rPr>
              <w:t>7</w:t>
            </w:r>
          </w:p>
        </w:tc>
        <w:tc>
          <w:tcPr>
            <w:tcW w:w="8647" w:type="dxa"/>
            <w:shd w:val="clear" w:color="auto" w:fill="auto"/>
          </w:tcPr>
          <w:p w:rsidR="004406FA" w:rsidRPr="004E457E" w:rsidRDefault="004406FA" w:rsidP="00461E7B">
            <w:pPr>
              <w:keepLines/>
              <w:tabs>
                <w:tab w:val="left" w:pos="397"/>
                <w:tab w:val="left" w:pos="794"/>
                <w:tab w:val="left" w:pos="1191"/>
              </w:tabs>
              <w:spacing w:before="40" w:after="40"/>
              <w:jc w:val="both"/>
              <w:rPr>
                <w:rFonts w:cs="Segoe UI"/>
                <w:sz w:val="17"/>
                <w:szCs w:val="17"/>
                <w:lang w:eastAsia="en-GB"/>
              </w:rPr>
            </w:pPr>
            <w:r w:rsidRPr="00983D3E">
              <w:rPr>
                <w:rFonts w:cs="Segoe UI"/>
                <w:i/>
                <w:sz w:val="17"/>
                <w:szCs w:val="17"/>
                <w:lang w:eastAsia="en-GB"/>
              </w:rPr>
              <w:t>Of which SA-CCR</w:t>
            </w:r>
            <w:r>
              <w:rPr>
                <w:rFonts w:cs="Segoe UI"/>
                <w:i/>
                <w:sz w:val="17"/>
                <w:szCs w:val="17"/>
                <w:lang w:eastAsia="en-GB"/>
              </w:rPr>
              <w:t>*</w:t>
            </w:r>
            <w:r w:rsidRPr="004E457E">
              <w:rPr>
                <w:rFonts w:cs="Segoe UI"/>
                <w:sz w:val="17"/>
                <w:szCs w:val="17"/>
                <w:lang w:eastAsia="en-GB"/>
              </w:rPr>
              <w:t xml:space="preserve">: </w:t>
            </w:r>
            <w:r w:rsidR="00391E48" w:rsidRPr="004E457E">
              <w:rPr>
                <w:rFonts w:cs="Segoe UI"/>
                <w:sz w:val="17"/>
                <w:szCs w:val="17"/>
              </w:rPr>
              <w:t xml:space="preserve">RWA calculated based on the amount of default risk exposures calculated under the </w:t>
            </w:r>
            <w:r w:rsidR="00391E48">
              <w:rPr>
                <w:rFonts w:cs="Segoe UI"/>
                <w:sz w:val="17"/>
                <w:szCs w:val="17"/>
              </w:rPr>
              <w:t xml:space="preserve">SA-CCR. </w:t>
            </w:r>
            <w:r w:rsidR="00391E48" w:rsidRPr="00610A32">
              <w:rPr>
                <w:rFonts w:cs="Segoe UI"/>
                <w:sz w:val="17"/>
                <w:szCs w:val="17"/>
                <w:lang w:eastAsia="en-GB"/>
              </w:rPr>
              <w:t xml:space="preserve"> </w:t>
            </w:r>
            <w:r w:rsidRPr="00610A32">
              <w:rPr>
                <w:rFonts w:cs="Segoe UI"/>
                <w:sz w:val="17"/>
                <w:szCs w:val="17"/>
                <w:lang w:eastAsia="en-GB"/>
              </w:rPr>
              <w:t>This row is no</w:t>
            </w:r>
            <w:r>
              <w:rPr>
                <w:rFonts w:cs="Segoe UI"/>
                <w:sz w:val="17"/>
                <w:szCs w:val="17"/>
                <w:lang w:eastAsia="en-GB"/>
              </w:rPr>
              <w:t>t applicable before the SA-CCR</w:t>
            </w:r>
            <w:r w:rsidRPr="00610A32">
              <w:rPr>
                <w:rFonts w:cs="Segoe UI"/>
                <w:sz w:val="17"/>
                <w:szCs w:val="17"/>
                <w:lang w:eastAsia="en-GB"/>
              </w:rPr>
              <w:t xml:space="preserve"> takes effect</w:t>
            </w:r>
            <w:r>
              <w:rPr>
                <w:rFonts w:cs="Segoe UI"/>
                <w:sz w:val="17"/>
                <w:szCs w:val="17"/>
                <w:lang w:eastAsia="en-GB"/>
              </w:rPr>
              <w:t>.</w:t>
            </w:r>
          </w:p>
        </w:tc>
      </w:tr>
      <w:tr w:rsidR="004406FA" w:rsidRPr="004E457E" w:rsidTr="00D334F9">
        <w:tc>
          <w:tcPr>
            <w:tcW w:w="567" w:type="dxa"/>
            <w:shd w:val="clear" w:color="auto" w:fill="auto"/>
          </w:tcPr>
          <w:p w:rsidR="004406FA" w:rsidRPr="00CA570C" w:rsidRDefault="004406FA" w:rsidP="00D334F9">
            <w:pPr>
              <w:keepLines/>
              <w:tabs>
                <w:tab w:val="left" w:pos="150"/>
                <w:tab w:val="left" w:pos="397"/>
                <w:tab w:val="left" w:pos="794"/>
                <w:tab w:val="left" w:pos="1191"/>
              </w:tabs>
              <w:spacing w:before="40" w:after="40"/>
              <w:rPr>
                <w:rFonts w:cs="Segoe UI"/>
                <w:sz w:val="17"/>
                <w:szCs w:val="17"/>
                <w:highlight w:val="yellow"/>
              </w:rPr>
            </w:pPr>
            <w:r w:rsidRPr="00CA570C">
              <w:rPr>
                <w:rFonts w:cs="Segoe UI"/>
                <w:sz w:val="17"/>
                <w:szCs w:val="17"/>
              </w:rPr>
              <w:t>7</w:t>
            </w:r>
            <w:r>
              <w:rPr>
                <w:rFonts w:cs="Segoe UI" w:hint="eastAsia"/>
                <w:sz w:val="17"/>
                <w:szCs w:val="17"/>
              </w:rPr>
              <w:t>a</w:t>
            </w:r>
          </w:p>
        </w:tc>
        <w:tc>
          <w:tcPr>
            <w:tcW w:w="8647" w:type="dxa"/>
            <w:shd w:val="clear" w:color="auto" w:fill="auto"/>
          </w:tcPr>
          <w:p w:rsidR="004406FA" w:rsidRPr="004E457E" w:rsidRDefault="004406FA" w:rsidP="00E17FF9">
            <w:pPr>
              <w:keepLines/>
              <w:tabs>
                <w:tab w:val="left" w:pos="397"/>
                <w:tab w:val="left" w:pos="794"/>
                <w:tab w:val="left" w:pos="1191"/>
              </w:tabs>
              <w:spacing w:before="40" w:after="40"/>
              <w:jc w:val="both"/>
              <w:rPr>
                <w:rFonts w:cs="Segoe UI"/>
                <w:i/>
                <w:sz w:val="17"/>
                <w:szCs w:val="17"/>
                <w:lang w:eastAsia="en-GB"/>
              </w:rPr>
            </w:pPr>
            <w:r w:rsidRPr="000A6D82">
              <w:rPr>
                <w:rFonts w:cs="Segoe UI"/>
                <w:i/>
                <w:sz w:val="17"/>
                <w:szCs w:val="17"/>
                <w:lang w:eastAsia="en-GB"/>
              </w:rPr>
              <w:t>Of which CEM</w:t>
            </w:r>
            <w:r w:rsidRPr="004E457E">
              <w:rPr>
                <w:rFonts w:cs="Segoe UI"/>
                <w:sz w:val="17"/>
                <w:szCs w:val="17"/>
                <w:lang w:eastAsia="en-GB"/>
              </w:rPr>
              <w:t xml:space="preserve">: </w:t>
            </w:r>
            <w:r w:rsidRPr="004E457E">
              <w:rPr>
                <w:rFonts w:cs="Segoe UI"/>
                <w:sz w:val="17"/>
                <w:szCs w:val="17"/>
              </w:rPr>
              <w:t>RWA calculated based on the amount of default risk exposures calculated under the CEM, and the capital requirem</w:t>
            </w:r>
            <w:r>
              <w:rPr>
                <w:rFonts w:cs="Segoe UI"/>
                <w:sz w:val="17"/>
                <w:szCs w:val="17"/>
              </w:rPr>
              <w:t>ent calculated based on the RWA</w:t>
            </w:r>
            <w:r>
              <w:rPr>
                <w:rFonts w:cs="Segoe UI" w:hint="eastAsia"/>
                <w:sz w:val="17"/>
                <w:szCs w:val="17"/>
              </w:rPr>
              <w:t>.</w:t>
            </w:r>
            <w:r w:rsidR="00B46303" w:rsidRPr="004E457E">
              <w:rPr>
                <w:rFonts w:cs="Segoe UI"/>
                <w:sz w:val="17"/>
                <w:szCs w:val="17"/>
              </w:rPr>
              <w:t xml:space="preserve"> </w:t>
            </w:r>
            <w:r w:rsidR="00B46303">
              <w:rPr>
                <w:rFonts w:cs="Segoe UI"/>
                <w:sz w:val="17"/>
                <w:szCs w:val="17"/>
              </w:rPr>
              <w:t xml:space="preserve"> </w:t>
            </w:r>
            <w:r w:rsidR="00B46303" w:rsidRPr="004E457E">
              <w:rPr>
                <w:rFonts w:cs="Segoe UI"/>
                <w:sz w:val="17"/>
                <w:szCs w:val="17"/>
              </w:rPr>
              <w:t xml:space="preserve">The value in </w:t>
            </w:r>
            <w:r w:rsidR="00B46303" w:rsidRPr="00421E07">
              <w:rPr>
                <w:rFonts w:cs="Segoe UI"/>
                <w:sz w:val="17"/>
                <w:szCs w:val="17"/>
              </w:rPr>
              <w:t>[OV1:</w:t>
            </w:r>
            <w:r w:rsidR="00B46303">
              <w:rPr>
                <w:rFonts w:cs="Segoe UI"/>
                <w:sz w:val="17"/>
                <w:szCs w:val="17"/>
              </w:rPr>
              <w:t>7a</w:t>
            </w:r>
            <w:r w:rsidR="00B46303" w:rsidRPr="00421E07">
              <w:rPr>
                <w:rFonts w:cs="Segoe UI"/>
                <w:sz w:val="17"/>
                <w:szCs w:val="17"/>
              </w:rPr>
              <w:t>/a] is equal to the value in [CCR</w:t>
            </w:r>
            <w:r w:rsidR="00B46303">
              <w:rPr>
                <w:rFonts w:cs="Segoe UI"/>
                <w:sz w:val="17"/>
                <w:szCs w:val="17"/>
              </w:rPr>
              <w:t>1</w:t>
            </w:r>
            <w:r w:rsidR="00B46303" w:rsidRPr="00421E07">
              <w:rPr>
                <w:rFonts w:cs="Segoe UI"/>
                <w:sz w:val="17"/>
                <w:szCs w:val="17"/>
              </w:rPr>
              <w:t>:</w:t>
            </w:r>
            <w:r w:rsidR="00B46303">
              <w:rPr>
                <w:rFonts w:cs="Segoe UI"/>
                <w:sz w:val="17"/>
                <w:szCs w:val="17"/>
              </w:rPr>
              <w:t>1a</w:t>
            </w:r>
            <w:r w:rsidR="00B46303" w:rsidRPr="00421E07">
              <w:rPr>
                <w:rFonts w:cs="Segoe UI"/>
                <w:sz w:val="17"/>
                <w:szCs w:val="17"/>
              </w:rPr>
              <w:t>/</w:t>
            </w:r>
            <w:r w:rsidR="00B46303">
              <w:rPr>
                <w:rFonts w:cs="Segoe UI"/>
                <w:sz w:val="17"/>
                <w:szCs w:val="17"/>
              </w:rPr>
              <w:t>f</w:t>
            </w:r>
            <w:r w:rsidR="00B46303" w:rsidRPr="00421E07">
              <w:rPr>
                <w:rFonts w:cs="Segoe UI"/>
                <w:sz w:val="17"/>
                <w:szCs w:val="17"/>
              </w:rPr>
              <w:t>].</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F00CD5">
              <w:rPr>
                <w:rFonts w:cs="Segoe UI"/>
                <w:sz w:val="17"/>
                <w:szCs w:val="17"/>
              </w:rPr>
              <w:t>8</w:t>
            </w:r>
          </w:p>
        </w:tc>
        <w:tc>
          <w:tcPr>
            <w:tcW w:w="8647" w:type="dxa"/>
            <w:shd w:val="clear" w:color="auto" w:fill="auto"/>
          </w:tcPr>
          <w:p w:rsidR="004406FA" w:rsidRPr="004E457E" w:rsidRDefault="004406FA" w:rsidP="00D334F9">
            <w:pPr>
              <w:keepLines/>
              <w:tabs>
                <w:tab w:val="left" w:pos="397"/>
                <w:tab w:val="left" w:pos="794"/>
                <w:tab w:val="left" w:pos="1191"/>
              </w:tabs>
              <w:spacing w:before="40" w:after="40"/>
              <w:jc w:val="both"/>
              <w:rPr>
                <w:rFonts w:cs="Segoe UI"/>
                <w:sz w:val="17"/>
                <w:szCs w:val="17"/>
                <w:lang w:eastAsia="en-GB"/>
              </w:rPr>
            </w:pPr>
            <w:r w:rsidRPr="00156333">
              <w:rPr>
                <w:rFonts w:cs="Segoe UI"/>
                <w:i/>
                <w:sz w:val="17"/>
                <w:szCs w:val="17"/>
                <w:lang w:eastAsia="en-GB"/>
              </w:rPr>
              <w:t>Of which IMM(CCR) approach</w:t>
            </w:r>
            <w:r w:rsidRPr="004E457E">
              <w:rPr>
                <w:rFonts w:cs="Segoe UI"/>
                <w:sz w:val="17"/>
                <w:szCs w:val="17"/>
                <w:lang w:eastAsia="en-GB"/>
              </w:rPr>
              <w:t xml:space="preserve">: </w:t>
            </w:r>
            <w:r w:rsidRPr="004E457E">
              <w:rPr>
                <w:rFonts w:cs="Segoe UI"/>
                <w:sz w:val="17"/>
                <w:szCs w:val="17"/>
              </w:rPr>
              <w:t>RWA calculated based on the amount of default risk exposures calculated under the IMM(CCR) approach, and the capital requirem</w:t>
            </w:r>
            <w:r>
              <w:rPr>
                <w:rFonts w:cs="Segoe UI"/>
                <w:sz w:val="17"/>
                <w:szCs w:val="17"/>
              </w:rPr>
              <w:t>ent calculated based on the RWA</w:t>
            </w:r>
            <w:r>
              <w:rPr>
                <w:rFonts w:cs="Segoe UI" w:hint="eastAsia"/>
                <w:sz w:val="17"/>
                <w:szCs w:val="17"/>
              </w:rPr>
              <w:t xml:space="preserve">.  </w:t>
            </w:r>
            <w:r w:rsidRPr="004E457E">
              <w:rPr>
                <w:rFonts w:cs="Segoe UI"/>
                <w:sz w:val="17"/>
                <w:szCs w:val="17"/>
              </w:rPr>
              <w:t xml:space="preserve">The value in </w:t>
            </w:r>
            <w:r w:rsidRPr="00421E07">
              <w:rPr>
                <w:rFonts w:cs="Segoe UI"/>
                <w:sz w:val="17"/>
                <w:szCs w:val="17"/>
              </w:rPr>
              <w:t xml:space="preserve">[OV1:8/a] is equal to </w:t>
            </w:r>
            <w:r w:rsidR="00B46303">
              <w:rPr>
                <w:rFonts w:cs="Segoe UI"/>
                <w:sz w:val="17"/>
                <w:szCs w:val="17"/>
              </w:rPr>
              <w:t xml:space="preserve">the value in [CCR1:2/f] and </w:t>
            </w:r>
            <w:r w:rsidRPr="00421E07">
              <w:rPr>
                <w:rFonts w:cs="Segoe UI"/>
                <w:sz w:val="17"/>
                <w:szCs w:val="17"/>
              </w:rPr>
              <w:t>the value in [CCR7:9/a].</w:t>
            </w:r>
          </w:p>
        </w:tc>
      </w:tr>
      <w:tr w:rsidR="004406FA" w:rsidRPr="004147BF" w:rsidTr="00D334F9">
        <w:tc>
          <w:tcPr>
            <w:tcW w:w="567" w:type="dxa"/>
            <w:shd w:val="clear" w:color="auto" w:fill="auto"/>
          </w:tcPr>
          <w:p w:rsidR="004406FA" w:rsidRPr="00012673" w:rsidRDefault="004406FA" w:rsidP="00D334F9">
            <w:pPr>
              <w:keepLines/>
              <w:tabs>
                <w:tab w:val="left" w:pos="150"/>
                <w:tab w:val="left" w:pos="397"/>
                <w:tab w:val="left" w:pos="794"/>
                <w:tab w:val="left" w:pos="1191"/>
              </w:tabs>
              <w:spacing w:before="40" w:after="40"/>
              <w:rPr>
                <w:rFonts w:cs="Segoe UI"/>
                <w:sz w:val="17"/>
                <w:szCs w:val="17"/>
              </w:rPr>
            </w:pPr>
            <w:r>
              <w:rPr>
                <w:rFonts w:cs="Segoe UI"/>
                <w:sz w:val="17"/>
                <w:szCs w:val="17"/>
              </w:rPr>
              <w:t>9</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sz w:val="17"/>
                <w:szCs w:val="17"/>
              </w:rPr>
            </w:pPr>
            <w:r w:rsidRPr="00FE4698">
              <w:rPr>
                <w:rFonts w:cs="Segoe UI"/>
                <w:i/>
                <w:sz w:val="17"/>
                <w:szCs w:val="17"/>
                <w:lang w:eastAsia="en-GB"/>
              </w:rPr>
              <w:t>Of which others</w:t>
            </w:r>
            <w:r w:rsidRPr="00FE4698">
              <w:rPr>
                <w:rFonts w:cs="Segoe UI"/>
                <w:sz w:val="17"/>
                <w:szCs w:val="17"/>
                <w:lang w:eastAsia="en-GB"/>
              </w:rPr>
              <w:t xml:space="preserve">: </w:t>
            </w:r>
            <w:r w:rsidRPr="00FE4698">
              <w:rPr>
                <w:rFonts w:cs="Segoe UI"/>
                <w:sz w:val="17"/>
                <w:szCs w:val="17"/>
              </w:rPr>
              <w:t xml:space="preserve">RWA and capital requirements for the following items calculated in accordance with the BCR by </w:t>
            </w:r>
            <w:r w:rsidRPr="00FE4698">
              <w:rPr>
                <w:rFonts w:cs="Segoe UI"/>
                <w:sz w:val="17"/>
                <w:szCs w:val="17"/>
              </w:rPr>
              <w:lastRenderedPageBreak/>
              <w:t xml:space="preserve">using methods other than those falling under rows 7 </w:t>
            </w:r>
            <w:r w:rsidR="003B7289">
              <w:rPr>
                <w:rFonts w:cs="Segoe UI"/>
                <w:sz w:val="17"/>
                <w:szCs w:val="17"/>
              </w:rPr>
              <w:t>to</w:t>
            </w:r>
            <w:r w:rsidRPr="00FE4698">
              <w:rPr>
                <w:rFonts w:cs="Segoe UI"/>
                <w:sz w:val="17"/>
                <w:szCs w:val="17"/>
              </w:rPr>
              <w:t xml:space="preserve"> 8 above as reported in Part IV of this document:</w:t>
            </w:r>
          </w:p>
          <w:p w:rsidR="004406FA" w:rsidRPr="00FE4698" w:rsidRDefault="004406FA" w:rsidP="004406FA">
            <w:pPr>
              <w:pStyle w:val="ListParagraph"/>
              <w:keepLines/>
              <w:numPr>
                <w:ilvl w:val="0"/>
                <w:numId w:val="2"/>
              </w:numPr>
              <w:tabs>
                <w:tab w:val="left" w:pos="397"/>
                <w:tab w:val="left" w:pos="794"/>
                <w:tab w:val="left" w:pos="1191"/>
              </w:tabs>
              <w:spacing w:before="40" w:after="40"/>
              <w:ind w:leftChars="0"/>
              <w:jc w:val="both"/>
              <w:rPr>
                <w:rFonts w:ascii="Segoe UI" w:eastAsia="Times New Roman" w:hAnsi="Segoe UI" w:cs="Segoe UI"/>
                <w:kern w:val="0"/>
                <w:sz w:val="17"/>
                <w:szCs w:val="17"/>
                <w:lang w:val="en-GB" w:eastAsia="en-US"/>
              </w:rPr>
            </w:pPr>
            <w:r w:rsidRPr="00FE4698">
              <w:rPr>
                <w:rFonts w:ascii="Segoe UI" w:eastAsia="Times New Roman" w:hAnsi="Segoe UI" w:cs="Segoe UI"/>
                <w:kern w:val="0"/>
                <w:sz w:val="17"/>
                <w:szCs w:val="17"/>
                <w:lang w:val="en-GB" w:eastAsia="en-US"/>
              </w:rPr>
              <w:t>counterparty default risk (including such a risk to CCPs) in respect of securities financing transactions; and</w:t>
            </w:r>
          </w:p>
          <w:p w:rsidR="004406FA" w:rsidRPr="00FE4698" w:rsidRDefault="004406FA" w:rsidP="004406FA">
            <w:pPr>
              <w:pStyle w:val="ListParagraph"/>
              <w:keepLines/>
              <w:numPr>
                <w:ilvl w:val="0"/>
                <w:numId w:val="2"/>
              </w:numPr>
              <w:tabs>
                <w:tab w:val="left" w:pos="397"/>
                <w:tab w:val="left" w:pos="794"/>
                <w:tab w:val="left" w:pos="1191"/>
              </w:tabs>
              <w:spacing w:before="40" w:after="40"/>
              <w:ind w:leftChars="0"/>
              <w:jc w:val="both"/>
              <w:rPr>
                <w:rFonts w:ascii="Segoe UI" w:eastAsia="Times New Roman" w:hAnsi="Segoe UI" w:cs="Segoe UI"/>
                <w:kern w:val="0"/>
                <w:sz w:val="17"/>
                <w:szCs w:val="17"/>
                <w:lang w:val="en-GB" w:eastAsia="en-US"/>
              </w:rPr>
            </w:pPr>
            <w:r w:rsidRPr="00FE4698">
              <w:rPr>
                <w:rFonts w:ascii="Segoe UI" w:eastAsia="Times New Roman" w:hAnsi="Segoe UI" w:cs="Segoe UI"/>
                <w:kern w:val="0"/>
                <w:sz w:val="17"/>
                <w:szCs w:val="17"/>
                <w:lang w:val="en-GB" w:eastAsia="en-US"/>
              </w:rPr>
              <w:t>default fund contributions.</w:t>
            </w:r>
          </w:p>
        </w:tc>
      </w:tr>
      <w:tr w:rsidR="004406FA" w:rsidRPr="004E457E" w:rsidTr="00D334F9">
        <w:tc>
          <w:tcPr>
            <w:tcW w:w="567" w:type="dxa"/>
            <w:shd w:val="clear" w:color="auto" w:fill="auto"/>
          </w:tcPr>
          <w:p w:rsidR="004406FA" w:rsidRPr="00012673" w:rsidRDefault="004406FA" w:rsidP="00D334F9">
            <w:pPr>
              <w:keepLines/>
              <w:tabs>
                <w:tab w:val="left" w:pos="150"/>
                <w:tab w:val="left" w:pos="397"/>
                <w:tab w:val="left" w:pos="794"/>
                <w:tab w:val="left" w:pos="1191"/>
              </w:tabs>
              <w:spacing w:before="40" w:after="40"/>
              <w:rPr>
                <w:rFonts w:cs="Segoe UI"/>
                <w:sz w:val="17"/>
                <w:szCs w:val="17"/>
              </w:rPr>
            </w:pPr>
            <w:r w:rsidRPr="00012673">
              <w:rPr>
                <w:rFonts w:cs="Segoe UI"/>
                <w:sz w:val="17"/>
                <w:szCs w:val="17"/>
              </w:rPr>
              <w:lastRenderedPageBreak/>
              <w:t>10</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CVA risk</w:t>
            </w:r>
            <w:r w:rsidRPr="00FE4698">
              <w:rPr>
                <w:rFonts w:cs="Segoe UI"/>
                <w:sz w:val="17"/>
                <w:szCs w:val="17"/>
                <w:lang w:eastAsia="en-GB"/>
              </w:rPr>
              <w:t>: capital requirements for CVA calculated in accordance with the BCR and the corresponding RWA for CVA, as reported in Part IV of this document.</w:t>
            </w:r>
            <w:r w:rsidRPr="00FE4698">
              <w:rPr>
                <w:rFonts w:cs="Segoe UI"/>
                <w:sz w:val="17"/>
                <w:szCs w:val="17"/>
              </w:rPr>
              <w:t xml:space="preserve">  The value in [OV1:10/a] is equal to </w:t>
            </w:r>
            <w:r w:rsidR="0068190A">
              <w:rPr>
                <w:rFonts w:cs="Segoe UI"/>
                <w:sz w:val="17"/>
                <w:szCs w:val="17"/>
              </w:rPr>
              <w:t xml:space="preserve">the </w:t>
            </w:r>
            <w:r w:rsidRPr="00FE4698">
              <w:rPr>
                <w:rFonts w:cs="Segoe UI"/>
                <w:sz w:val="17"/>
                <w:szCs w:val="17"/>
              </w:rPr>
              <w:t>value in [CCR2:4/b].</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5F7B0C">
              <w:rPr>
                <w:rFonts w:cs="Segoe UI"/>
                <w:sz w:val="17"/>
                <w:szCs w:val="17"/>
              </w:rPr>
              <w:t>11</w:t>
            </w:r>
          </w:p>
        </w:tc>
        <w:tc>
          <w:tcPr>
            <w:tcW w:w="8647" w:type="dxa"/>
            <w:shd w:val="clear" w:color="auto" w:fill="auto"/>
          </w:tcPr>
          <w:p w:rsidR="004406FA" w:rsidRDefault="004406FA" w:rsidP="00D334F9">
            <w:pPr>
              <w:keepLines/>
              <w:tabs>
                <w:tab w:val="left" w:pos="397"/>
                <w:tab w:val="left" w:pos="794"/>
                <w:tab w:val="left" w:pos="1191"/>
              </w:tabs>
              <w:spacing w:before="40" w:after="40"/>
              <w:jc w:val="both"/>
              <w:rPr>
                <w:rFonts w:cs="Segoe UI"/>
                <w:sz w:val="17"/>
                <w:szCs w:val="17"/>
              </w:rPr>
            </w:pPr>
            <w:r w:rsidRPr="000066A2">
              <w:rPr>
                <w:rFonts w:cs="Segoe UI"/>
                <w:i/>
                <w:sz w:val="17"/>
                <w:szCs w:val="17"/>
              </w:rPr>
              <w:t xml:space="preserve">Equity </w:t>
            </w:r>
            <w:r w:rsidR="00511AA8">
              <w:rPr>
                <w:rFonts w:cs="Segoe UI"/>
                <w:i/>
                <w:sz w:val="17"/>
                <w:szCs w:val="17"/>
              </w:rPr>
              <w:t xml:space="preserve">positions </w:t>
            </w:r>
            <w:r w:rsidR="00C24CB0">
              <w:rPr>
                <w:rFonts w:cs="Segoe UI"/>
                <w:i/>
                <w:sz w:val="17"/>
                <w:szCs w:val="17"/>
              </w:rPr>
              <w:t xml:space="preserve">in banking book </w:t>
            </w:r>
            <w:r w:rsidRPr="000066A2">
              <w:rPr>
                <w:rFonts w:cs="Segoe UI"/>
                <w:i/>
                <w:sz w:val="17"/>
                <w:szCs w:val="17"/>
              </w:rPr>
              <w:t xml:space="preserve">under the </w:t>
            </w:r>
            <w:r w:rsidRPr="00146759">
              <w:rPr>
                <w:rFonts w:cs="Segoe UI"/>
                <w:i/>
                <w:sz w:val="17"/>
                <w:szCs w:val="17"/>
              </w:rPr>
              <w:t>simple risk-weight method</w:t>
            </w:r>
            <w:r w:rsidR="00DE58ED">
              <w:rPr>
                <w:rFonts w:cs="Segoe UI"/>
                <w:i/>
                <w:sz w:val="17"/>
                <w:szCs w:val="17"/>
              </w:rPr>
              <w:t xml:space="preserve"> and </w:t>
            </w:r>
            <w:r w:rsidR="00B227E1">
              <w:rPr>
                <w:rFonts w:cs="Segoe UI"/>
                <w:i/>
                <w:sz w:val="17"/>
                <w:szCs w:val="17"/>
              </w:rPr>
              <w:t>internal models method</w:t>
            </w:r>
            <w:r>
              <w:rPr>
                <w:rFonts w:cs="Segoe UI"/>
                <w:sz w:val="17"/>
                <w:szCs w:val="17"/>
              </w:rPr>
              <w:t xml:space="preserve">: The amounts correspond to the RWA and capital requirements where the AI applies the </w:t>
            </w:r>
            <w:r w:rsidRPr="003E544C">
              <w:rPr>
                <w:rFonts w:cs="Segoe UI"/>
                <w:sz w:val="17"/>
                <w:szCs w:val="17"/>
              </w:rPr>
              <w:t>simple risk-weight method</w:t>
            </w:r>
            <w:r w:rsidR="00313580">
              <w:rPr>
                <w:rFonts w:cs="Segoe UI"/>
                <w:sz w:val="17"/>
                <w:szCs w:val="17"/>
              </w:rPr>
              <w:t xml:space="preserve"> and internal models method</w:t>
            </w:r>
            <w:r>
              <w:rPr>
                <w:rFonts w:cs="Segoe UI"/>
                <w:sz w:val="17"/>
                <w:szCs w:val="17"/>
              </w:rPr>
              <w:t xml:space="preserve"> specified in the BCR.  </w:t>
            </w:r>
            <w:r w:rsidR="00313580">
              <w:rPr>
                <w:rFonts w:cs="Segoe UI"/>
                <w:sz w:val="17"/>
                <w:szCs w:val="17"/>
              </w:rPr>
              <w:t xml:space="preserve">Where the regulatory treatment of equities is in accordance with the simple risk-weight method, the </w:t>
            </w:r>
            <w:r>
              <w:rPr>
                <w:rFonts w:cs="Segoe UI"/>
                <w:sz w:val="17"/>
                <w:szCs w:val="17"/>
              </w:rPr>
              <w:t xml:space="preserve">corresponding RWA are </w:t>
            </w:r>
            <w:r w:rsidR="00313580">
              <w:rPr>
                <w:rFonts w:cs="Segoe UI"/>
                <w:sz w:val="17"/>
                <w:szCs w:val="17"/>
              </w:rPr>
              <w:t xml:space="preserve">included </w:t>
            </w:r>
            <w:r>
              <w:rPr>
                <w:rFonts w:cs="Segoe UI"/>
                <w:sz w:val="17"/>
                <w:szCs w:val="17"/>
              </w:rPr>
              <w:t xml:space="preserve">in Template CR10 and in this row. </w:t>
            </w:r>
            <w:r>
              <w:rPr>
                <w:rFonts w:cs="Segoe UI" w:hint="eastAsia"/>
                <w:sz w:val="17"/>
                <w:szCs w:val="17"/>
              </w:rPr>
              <w:t xml:space="preserve"> </w:t>
            </w:r>
            <w:r w:rsidRPr="00752C12">
              <w:rPr>
                <w:rFonts w:cs="Segoe UI"/>
                <w:sz w:val="17"/>
                <w:szCs w:val="17"/>
              </w:rPr>
              <w:t>The value in [OV1:11/a] is equal to the sum of values in [CR10: total/e for equity exposures under the simple risk-weight method] and the RWA corresponding to the internal models method for equity exposures in the banking book.</w:t>
            </w:r>
          </w:p>
          <w:p w:rsidR="004406FA" w:rsidRPr="004E457E" w:rsidRDefault="004406FA" w:rsidP="00D334F9">
            <w:pPr>
              <w:keepLines/>
              <w:tabs>
                <w:tab w:val="left" w:pos="397"/>
                <w:tab w:val="left" w:pos="794"/>
                <w:tab w:val="left" w:pos="1191"/>
              </w:tabs>
              <w:spacing w:before="40" w:after="40"/>
              <w:jc w:val="both"/>
              <w:rPr>
                <w:rFonts w:cs="Segoe UI"/>
                <w:noProof/>
                <w:sz w:val="17"/>
                <w:szCs w:val="17"/>
                <w:lang w:eastAsia="en-GB"/>
              </w:rPr>
            </w:pPr>
            <w:r w:rsidRPr="004E457E">
              <w:rPr>
                <w:rFonts w:cs="Segoe UI"/>
                <w:sz w:val="17"/>
                <w:szCs w:val="17"/>
              </w:rPr>
              <w:t>To avoid doubt</w:t>
            </w:r>
            <w:r>
              <w:rPr>
                <w:rFonts w:cs="Segoe UI"/>
                <w:sz w:val="17"/>
                <w:szCs w:val="17"/>
              </w:rPr>
              <w:t>, r</w:t>
            </w:r>
            <w:r w:rsidRPr="00A76646">
              <w:rPr>
                <w:rFonts w:cs="Segoe UI"/>
                <w:sz w:val="17"/>
                <w:szCs w:val="17"/>
              </w:rPr>
              <w:t xml:space="preserve">ow 11 is not applicable to equity exposures that are subject to the STC approach or the BSC approach.  The corresponding RWA calculated under the STC or BSC approach is reported in </w:t>
            </w:r>
            <w:r>
              <w:rPr>
                <w:rFonts w:cs="Segoe UI"/>
                <w:sz w:val="17"/>
                <w:szCs w:val="17"/>
              </w:rPr>
              <w:t>T</w:t>
            </w:r>
            <w:r w:rsidRPr="00A76646">
              <w:rPr>
                <w:rFonts w:cs="Segoe UI"/>
                <w:sz w:val="17"/>
                <w:szCs w:val="17"/>
              </w:rPr>
              <w:t>emplate CR4 and included in row 2 (for STC approach) or row 2a (for BSC approach), as the case requires, of this template.</w:t>
            </w:r>
          </w:p>
        </w:tc>
      </w:tr>
      <w:tr w:rsidR="004406FA" w:rsidRPr="004E457E" w:rsidTr="00D334F9">
        <w:tc>
          <w:tcPr>
            <w:tcW w:w="567" w:type="dxa"/>
            <w:shd w:val="clear" w:color="auto" w:fill="auto"/>
          </w:tcPr>
          <w:p w:rsidR="004406FA" w:rsidRPr="00B047A9" w:rsidRDefault="004406FA" w:rsidP="00D334F9">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12</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Collective investment scheme (“CIS”) exposures</w:t>
            </w:r>
            <w:r w:rsidRPr="00FE4698">
              <w:rPr>
                <w:rFonts w:cs="Segoe UI"/>
                <w:i/>
                <w:sz w:val="17"/>
                <w:szCs w:val="17"/>
              </w:rPr>
              <w:t xml:space="preserve"> – LTA</w:t>
            </w:r>
            <w:r>
              <w:rPr>
                <w:rFonts w:cs="Segoe UI"/>
                <w:i/>
                <w:sz w:val="17"/>
                <w:szCs w:val="17"/>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4406FA" w:rsidRPr="004E457E" w:rsidTr="00D334F9">
        <w:tc>
          <w:tcPr>
            <w:tcW w:w="567" w:type="dxa"/>
            <w:shd w:val="clear" w:color="auto" w:fill="auto"/>
          </w:tcPr>
          <w:p w:rsidR="004406FA" w:rsidRPr="00B047A9" w:rsidRDefault="004406FA" w:rsidP="00D334F9">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13</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CIS exposures – MBA</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4406FA" w:rsidRPr="004E457E" w:rsidTr="00D334F9">
        <w:tc>
          <w:tcPr>
            <w:tcW w:w="567" w:type="dxa"/>
            <w:shd w:val="clear" w:color="auto" w:fill="auto"/>
          </w:tcPr>
          <w:p w:rsidR="004406FA" w:rsidRPr="00B047A9" w:rsidRDefault="004406FA" w:rsidP="00D334F9">
            <w:pPr>
              <w:keepLines/>
              <w:tabs>
                <w:tab w:val="left" w:pos="150"/>
                <w:tab w:val="left" w:pos="397"/>
                <w:tab w:val="left" w:pos="794"/>
                <w:tab w:val="left" w:pos="1191"/>
              </w:tabs>
              <w:spacing w:before="40" w:after="40"/>
              <w:rPr>
                <w:rFonts w:cs="Segoe UI"/>
                <w:sz w:val="17"/>
                <w:szCs w:val="17"/>
              </w:rPr>
            </w:pPr>
            <w:r w:rsidRPr="00B047A9">
              <w:rPr>
                <w:rFonts w:cs="Segoe UI"/>
                <w:sz w:val="17"/>
                <w:szCs w:val="17"/>
              </w:rPr>
              <w:t>14</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sz w:val="17"/>
                <w:szCs w:val="17"/>
                <w:lang w:eastAsia="en-GB"/>
              </w:rPr>
            </w:pPr>
            <w:r w:rsidRPr="00FE4698">
              <w:rPr>
                <w:rFonts w:cs="Segoe UI"/>
                <w:i/>
                <w:sz w:val="17"/>
                <w:szCs w:val="17"/>
                <w:lang w:eastAsia="en-GB"/>
              </w:rPr>
              <w:t>CIS exposures – FBA</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4406FA" w:rsidRPr="004E457E" w:rsidTr="00D334F9">
        <w:tc>
          <w:tcPr>
            <w:tcW w:w="567" w:type="dxa"/>
            <w:shd w:val="clear" w:color="auto" w:fill="auto"/>
          </w:tcPr>
          <w:p w:rsidR="004406FA" w:rsidRPr="00B047A9" w:rsidRDefault="004406FA" w:rsidP="00D334F9">
            <w:pPr>
              <w:keepLines/>
              <w:tabs>
                <w:tab w:val="left" w:pos="150"/>
                <w:tab w:val="left" w:pos="397"/>
                <w:tab w:val="left" w:pos="794"/>
                <w:tab w:val="left" w:pos="1191"/>
              </w:tabs>
              <w:spacing w:before="40" w:after="40"/>
              <w:rPr>
                <w:rFonts w:cs="Segoe UI"/>
                <w:sz w:val="17"/>
                <w:szCs w:val="17"/>
              </w:rPr>
            </w:pPr>
            <w:r>
              <w:rPr>
                <w:rFonts w:cs="Segoe UI"/>
                <w:sz w:val="17"/>
                <w:szCs w:val="17"/>
              </w:rPr>
              <w:t>14a</w:t>
            </w:r>
          </w:p>
        </w:tc>
        <w:tc>
          <w:tcPr>
            <w:tcW w:w="8647" w:type="dxa"/>
            <w:shd w:val="clear" w:color="auto" w:fill="auto"/>
          </w:tcPr>
          <w:p w:rsidR="004406FA" w:rsidRPr="00FE4698" w:rsidRDefault="004406FA" w:rsidP="00D334F9">
            <w:pPr>
              <w:keepLines/>
              <w:tabs>
                <w:tab w:val="left" w:pos="397"/>
                <w:tab w:val="left" w:pos="794"/>
                <w:tab w:val="left" w:pos="1191"/>
              </w:tabs>
              <w:spacing w:before="40" w:after="40"/>
              <w:jc w:val="both"/>
              <w:rPr>
                <w:rFonts w:cs="Segoe UI"/>
                <w:i/>
                <w:sz w:val="17"/>
                <w:szCs w:val="17"/>
                <w:lang w:eastAsia="en-GB"/>
              </w:rPr>
            </w:pPr>
            <w:r w:rsidRPr="00FE4698">
              <w:rPr>
                <w:rFonts w:cs="Segoe UI"/>
                <w:i/>
                <w:sz w:val="17"/>
                <w:szCs w:val="17"/>
                <w:lang w:eastAsia="en-GB"/>
              </w:rPr>
              <w:t>CIS exposures – combination of approaches</w:t>
            </w:r>
            <w:r>
              <w:rPr>
                <w:rFonts w:cs="Segoe UI"/>
                <w:i/>
                <w:sz w:val="17"/>
                <w:szCs w:val="17"/>
                <w:lang w:eastAsia="en-GB"/>
              </w:rPr>
              <w:t>*</w:t>
            </w:r>
            <w:r w:rsidRPr="00FE4698">
              <w:rPr>
                <w:rFonts w:cs="Segoe UI"/>
                <w:sz w:val="17"/>
                <w:szCs w:val="17"/>
              </w:rPr>
              <w:t xml:space="preserve">: </w:t>
            </w:r>
            <w:r w:rsidRPr="00610A32">
              <w:rPr>
                <w:rFonts w:cs="Segoe UI"/>
                <w:sz w:val="17"/>
                <w:szCs w:val="17"/>
                <w:lang w:eastAsia="en-GB"/>
              </w:rPr>
              <w:t xml:space="preserve">This row is not applicable before the </w:t>
            </w:r>
            <w:r>
              <w:rPr>
                <w:rFonts w:cs="Segoe UI"/>
                <w:sz w:val="17"/>
                <w:szCs w:val="17"/>
                <w:lang w:eastAsia="en-GB"/>
              </w:rPr>
              <w:t>new</w:t>
            </w:r>
            <w:r w:rsidRPr="00610A32">
              <w:rPr>
                <w:rFonts w:cs="Segoe UI"/>
                <w:sz w:val="17"/>
                <w:szCs w:val="17"/>
                <w:lang w:eastAsia="en-GB"/>
              </w:rPr>
              <w:t xml:space="preserve"> </w:t>
            </w:r>
            <w:r>
              <w:rPr>
                <w:rFonts w:cs="Segoe UI"/>
                <w:sz w:val="17"/>
                <w:szCs w:val="17"/>
                <w:lang w:eastAsia="en-GB"/>
              </w:rPr>
              <w:t>CIS</w:t>
            </w:r>
            <w:r w:rsidRPr="00610A32">
              <w:rPr>
                <w:rFonts w:cs="Segoe UI"/>
                <w:sz w:val="17"/>
                <w:szCs w:val="17"/>
                <w:lang w:eastAsia="en-GB"/>
              </w:rPr>
              <w:t xml:space="preserve"> framework takes effect</w:t>
            </w:r>
            <w:r>
              <w:rPr>
                <w:rFonts w:cs="Segoe UI"/>
                <w:sz w:val="17"/>
                <w:szCs w:val="17"/>
                <w:lang w:eastAsia="en-GB"/>
              </w:rPr>
              <w:t>.</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C15837">
              <w:rPr>
                <w:rFonts w:cs="Segoe UI"/>
                <w:sz w:val="17"/>
                <w:szCs w:val="17"/>
              </w:rPr>
              <w:t>15</w:t>
            </w:r>
          </w:p>
        </w:tc>
        <w:tc>
          <w:tcPr>
            <w:tcW w:w="8647" w:type="dxa"/>
            <w:shd w:val="clear" w:color="auto" w:fill="auto"/>
          </w:tcPr>
          <w:p w:rsidR="004406FA" w:rsidRPr="00FE4698" w:rsidRDefault="004406FA" w:rsidP="00D334F9">
            <w:pPr>
              <w:keepLines/>
              <w:tabs>
                <w:tab w:val="left" w:pos="150"/>
                <w:tab w:val="left" w:pos="397"/>
                <w:tab w:val="left" w:pos="794"/>
                <w:tab w:val="left" w:pos="1191"/>
              </w:tabs>
              <w:spacing w:before="40" w:after="40"/>
              <w:jc w:val="both"/>
              <w:rPr>
                <w:rFonts w:cs="Segoe UI"/>
                <w:sz w:val="17"/>
                <w:szCs w:val="17"/>
              </w:rPr>
            </w:pPr>
            <w:r w:rsidRPr="00FE4698">
              <w:rPr>
                <w:rFonts w:cs="Segoe UI"/>
                <w:i/>
                <w:sz w:val="17"/>
                <w:szCs w:val="17"/>
              </w:rPr>
              <w:t>Settlement risk</w:t>
            </w:r>
            <w:r w:rsidRPr="00FE4698">
              <w:rPr>
                <w:rFonts w:cs="Segoe UI"/>
                <w:sz w:val="17"/>
                <w:szCs w:val="17"/>
              </w:rPr>
              <w:t>: RWA and capital requirements for the exposures arising from the following items:</w:t>
            </w:r>
          </w:p>
          <w:p w:rsidR="004406FA" w:rsidRPr="00FE4698" w:rsidRDefault="004406FA" w:rsidP="004406FA">
            <w:pPr>
              <w:keepLines/>
              <w:numPr>
                <w:ilvl w:val="0"/>
                <w:numId w:val="1"/>
              </w:numPr>
              <w:spacing w:before="40" w:after="40"/>
              <w:jc w:val="both"/>
              <w:rPr>
                <w:rFonts w:cs="Segoe UI"/>
                <w:sz w:val="17"/>
                <w:szCs w:val="17"/>
              </w:rPr>
            </w:pPr>
            <w:r w:rsidRPr="00FE4698">
              <w:rPr>
                <w:rFonts w:cs="Segoe UI"/>
                <w:sz w:val="17"/>
                <w:szCs w:val="17"/>
              </w:rPr>
              <w:t>Transactions in securities (other than repo-style transactions), foreign exchange, and commodities that are entered into on a delivery-versus-payment basis and remain outstanding for 5 or more business days after the settlement date, calculated in accordance with the risk-weight allocated to the exposures as specified in the BCR; and</w:t>
            </w:r>
          </w:p>
          <w:p w:rsidR="004406FA" w:rsidRPr="00FE4698" w:rsidRDefault="004406FA" w:rsidP="004406FA">
            <w:pPr>
              <w:keepLines/>
              <w:numPr>
                <w:ilvl w:val="0"/>
                <w:numId w:val="1"/>
              </w:numPr>
              <w:spacing w:before="40" w:after="40"/>
              <w:jc w:val="both"/>
              <w:rPr>
                <w:rFonts w:cs="Segoe UI"/>
                <w:sz w:val="17"/>
                <w:szCs w:val="17"/>
              </w:rPr>
            </w:pPr>
            <w:r w:rsidRPr="00FE4698">
              <w:rPr>
                <w:rFonts w:cs="Segoe UI"/>
                <w:sz w:val="17"/>
                <w:szCs w:val="17"/>
              </w:rPr>
              <w:t>Transactions in securities (other than repo-style transactions), foreign exchange, and commodities that are entered into on a non-delivery-versus-payment basis and remain unsettled after the settlement date, calculated in accordance with the risk-weight allocated to the exposures as specified in the BCR.</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02175E">
              <w:rPr>
                <w:rFonts w:cs="Segoe UI"/>
                <w:sz w:val="17"/>
                <w:szCs w:val="17"/>
              </w:rPr>
              <w:t>16</w:t>
            </w:r>
          </w:p>
        </w:tc>
        <w:tc>
          <w:tcPr>
            <w:tcW w:w="8647" w:type="dxa"/>
            <w:shd w:val="clear" w:color="auto" w:fill="auto"/>
          </w:tcPr>
          <w:p w:rsidR="004406FA" w:rsidRPr="00FE4698" w:rsidRDefault="004406FA" w:rsidP="00EB1F62">
            <w:pPr>
              <w:keepNext/>
              <w:spacing w:before="40" w:after="40"/>
              <w:jc w:val="both"/>
              <w:rPr>
                <w:rFonts w:cs="Segoe UI"/>
                <w:sz w:val="17"/>
                <w:szCs w:val="17"/>
              </w:rPr>
            </w:pPr>
            <w:r w:rsidRPr="00FE4698">
              <w:rPr>
                <w:rFonts w:cs="Segoe UI"/>
                <w:i/>
                <w:sz w:val="17"/>
                <w:szCs w:val="17"/>
              </w:rPr>
              <w:t xml:space="preserve">Securitization exposures in banking book: </w:t>
            </w:r>
            <w:r w:rsidRPr="00FE4698">
              <w:rPr>
                <w:rFonts w:cs="Segoe UI"/>
                <w:sz w:val="17"/>
                <w:szCs w:val="17"/>
              </w:rPr>
              <w:t>The amounts correspond to capital requirements applicable to the securitization exposures in the banking book (Part V of this document).  The RWA should be derived from the capital requirements</w:t>
            </w:r>
            <w:r w:rsidRPr="00FE4698">
              <w:rPr>
                <w:rFonts w:cs="Segoe UI" w:hint="eastAsia"/>
                <w:sz w:val="17"/>
                <w:szCs w:val="17"/>
              </w:rPr>
              <w:t xml:space="preserve"> (</w:t>
            </w:r>
            <w:r w:rsidRPr="00FE4698">
              <w:rPr>
                <w:rFonts w:cs="Segoe UI"/>
                <w:sz w:val="17"/>
                <w:szCs w:val="17"/>
              </w:rPr>
              <w:t xml:space="preserve">including the </w:t>
            </w:r>
            <w:r w:rsidRPr="00FE4698">
              <w:rPr>
                <w:rFonts w:cs="Segoe UI" w:hint="eastAsia"/>
                <w:sz w:val="17"/>
                <w:szCs w:val="17"/>
              </w:rPr>
              <w:t>impact of the cap</w:t>
            </w:r>
            <w:r w:rsidRPr="00FE4698">
              <w:rPr>
                <w:rFonts w:cs="Segoe UI"/>
                <w:sz w:val="17"/>
                <w:szCs w:val="17"/>
              </w:rPr>
              <w:t xml:space="preserve"> specified in the BCR</w:t>
            </w:r>
            <w:r w:rsidRPr="00FE4698">
              <w:rPr>
                <w:rFonts w:cs="Segoe UI" w:hint="eastAsia"/>
                <w:sz w:val="17"/>
                <w:szCs w:val="17"/>
              </w:rPr>
              <w:t>)</w:t>
            </w:r>
            <w:r w:rsidRPr="00FE4698">
              <w:rPr>
                <w:rFonts w:cs="Segoe UI"/>
                <w:sz w:val="17"/>
                <w:szCs w:val="17"/>
              </w:rPr>
              <w:t>, meaning that they do not necessarily systematically correspond to the RWA reported in Templates SEC3 and SEC4, which are before the application of the cap.</w:t>
            </w:r>
          </w:p>
        </w:tc>
      </w:tr>
      <w:tr w:rsidR="004406FA" w:rsidRPr="00EB57BC" w:rsidTr="00D334F9">
        <w:tc>
          <w:tcPr>
            <w:tcW w:w="567" w:type="dxa"/>
            <w:shd w:val="clear" w:color="auto" w:fill="auto"/>
          </w:tcPr>
          <w:p w:rsidR="004406FA" w:rsidRPr="00F84BA0" w:rsidRDefault="004406FA" w:rsidP="00D334F9">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lastRenderedPageBreak/>
              <w:t>17</w:t>
            </w:r>
          </w:p>
        </w:tc>
        <w:tc>
          <w:tcPr>
            <w:tcW w:w="8647" w:type="dxa"/>
            <w:shd w:val="clear" w:color="auto" w:fill="auto"/>
          </w:tcPr>
          <w:p w:rsidR="004406FA" w:rsidRPr="00F84BA0" w:rsidRDefault="004406FA" w:rsidP="00D334F9">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SEC-IRBA</w:t>
            </w:r>
            <w:r w:rsidRPr="00F84BA0">
              <w:rPr>
                <w:rFonts w:cs="Segoe UI"/>
                <w:sz w:val="17"/>
                <w:szCs w:val="17"/>
                <w:lang w:eastAsia="en-GB"/>
              </w:rPr>
              <w:t xml:space="preserve">: </w:t>
            </w:r>
            <w:r w:rsidRPr="00F84BA0">
              <w:rPr>
                <w:rFonts w:cs="Segoe UI"/>
                <w:sz w:val="17"/>
                <w:szCs w:val="17"/>
              </w:rPr>
              <w:t>RWA and capital requirements calculated using the SEC-IRBA under the BCR.</w:t>
            </w:r>
          </w:p>
        </w:tc>
      </w:tr>
      <w:tr w:rsidR="004406FA" w:rsidRPr="004E457E" w:rsidTr="00D334F9">
        <w:tc>
          <w:tcPr>
            <w:tcW w:w="567" w:type="dxa"/>
            <w:shd w:val="clear" w:color="auto" w:fill="auto"/>
          </w:tcPr>
          <w:p w:rsidR="004406FA" w:rsidRPr="00F84BA0" w:rsidRDefault="004406FA" w:rsidP="00D334F9">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18</w:t>
            </w:r>
          </w:p>
        </w:tc>
        <w:tc>
          <w:tcPr>
            <w:tcW w:w="8647" w:type="dxa"/>
            <w:shd w:val="clear" w:color="auto" w:fill="auto"/>
          </w:tcPr>
          <w:p w:rsidR="004406FA" w:rsidRPr="00F84BA0" w:rsidRDefault="004406FA" w:rsidP="00B621AB">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SEC-ERBA</w:t>
            </w:r>
            <w:r w:rsidR="00B42678">
              <w:rPr>
                <w:rFonts w:cs="Segoe UI"/>
                <w:i/>
                <w:sz w:val="17"/>
                <w:szCs w:val="17"/>
                <w:lang w:eastAsia="en-GB"/>
              </w:rPr>
              <w:t xml:space="preserve"> (including IAA)</w:t>
            </w:r>
            <w:r w:rsidRPr="00F84BA0">
              <w:rPr>
                <w:rFonts w:cs="Segoe UI"/>
                <w:sz w:val="17"/>
                <w:szCs w:val="17"/>
                <w:lang w:eastAsia="en-GB"/>
              </w:rPr>
              <w:t xml:space="preserve">: </w:t>
            </w:r>
            <w:r w:rsidRPr="00F84BA0">
              <w:rPr>
                <w:rFonts w:cs="Segoe UI"/>
                <w:sz w:val="17"/>
                <w:szCs w:val="17"/>
              </w:rPr>
              <w:t xml:space="preserve">RWA and capital requirements calculated using the </w:t>
            </w:r>
            <w:r w:rsidRPr="00F84BA0">
              <w:rPr>
                <w:rFonts w:cs="Segoe UI"/>
                <w:sz w:val="17"/>
                <w:szCs w:val="17"/>
                <w:lang w:eastAsia="en-GB"/>
              </w:rPr>
              <w:t xml:space="preserve">SEC-ERBA </w:t>
            </w:r>
            <w:r w:rsidR="00B42678">
              <w:rPr>
                <w:rFonts w:cs="Segoe UI"/>
                <w:sz w:val="17"/>
                <w:szCs w:val="17"/>
                <w:lang w:eastAsia="en-GB"/>
              </w:rPr>
              <w:t xml:space="preserve">(including those exposures that the AI uses IAA to determine the risk-weights) </w:t>
            </w:r>
            <w:r w:rsidRPr="00F84BA0">
              <w:rPr>
                <w:rFonts w:cs="Segoe UI"/>
                <w:sz w:val="17"/>
                <w:szCs w:val="17"/>
              </w:rPr>
              <w:t>under the BCR.</w:t>
            </w:r>
          </w:p>
        </w:tc>
      </w:tr>
      <w:tr w:rsidR="004406FA" w:rsidRPr="004E457E" w:rsidTr="00D334F9">
        <w:tc>
          <w:tcPr>
            <w:tcW w:w="567" w:type="dxa"/>
            <w:shd w:val="clear" w:color="auto" w:fill="auto"/>
          </w:tcPr>
          <w:p w:rsidR="004406FA" w:rsidRPr="00F84BA0" w:rsidRDefault="004406FA" w:rsidP="00D334F9">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19</w:t>
            </w:r>
          </w:p>
        </w:tc>
        <w:tc>
          <w:tcPr>
            <w:tcW w:w="8647" w:type="dxa"/>
            <w:shd w:val="clear" w:color="auto" w:fill="auto"/>
          </w:tcPr>
          <w:p w:rsidR="004406FA" w:rsidRPr="00F84BA0" w:rsidRDefault="004406FA" w:rsidP="00D334F9">
            <w:pPr>
              <w:keepLines/>
              <w:tabs>
                <w:tab w:val="left" w:pos="397"/>
                <w:tab w:val="left" w:pos="794"/>
                <w:tab w:val="left" w:pos="1191"/>
              </w:tabs>
              <w:spacing w:before="40" w:after="40"/>
              <w:jc w:val="both"/>
              <w:rPr>
                <w:rFonts w:cs="Segoe UI"/>
                <w:sz w:val="17"/>
                <w:szCs w:val="17"/>
              </w:rPr>
            </w:pPr>
            <w:r w:rsidRPr="00F84BA0">
              <w:rPr>
                <w:rFonts w:cs="Segoe UI"/>
                <w:i/>
                <w:sz w:val="17"/>
                <w:szCs w:val="17"/>
                <w:lang w:eastAsia="en-GB"/>
              </w:rPr>
              <w:t>Of which SEC-SA</w:t>
            </w:r>
            <w:r w:rsidRPr="00F84BA0">
              <w:rPr>
                <w:rFonts w:cs="Segoe UI"/>
                <w:sz w:val="17"/>
                <w:szCs w:val="17"/>
                <w:lang w:eastAsia="en-GB"/>
              </w:rPr>
              <w:t xml:space="preserve">: </w:t>
            </w:r>
            <w:r w:rsidRPr="00F84BA0">
              <w:rPr>
                <w:rFonts w:cs="Segoe UI"/>
                <w:sz w:val="17"/>
                <w:szCs w:val="17"/>
              </w:rPr>
              <w:t xml:space="preserve">RWA and capital requirements calculated using the </w:t>
            </w:r>
            <w:r w:rsidRPr="00F84BA0">
              <w:rPr>
                <w:rFonts w:cs="Segoe UI"/>
                <w:sz w:val="17"/>
                <w:szCs w:val="17"/>
                <w:lang w:eastAsia="en-GB"/>
              </w:rPr>
              <w:t xml:space="preserve">SEC-SA </w:t>
            </w:r>
            <w:r w:rsidRPr="00F84BA0">
              <w:rPr>
                <w:rFonts w:cs="Segoe UI"/>
                <w:sz w:val="17"/>
                <w:szCs w:val="17"/>
              </w:rPr>
              <w:t>under the BCR.</w:t>
            </w:r>
          </w:p>
        </w:tc>
      </w:tr>
      <w:tr w:rsidR="004406FA" w:rsidRPr="004E457E" w:rsidTr="00D334F9">
        <w:tc>
          <w:tcPr>
            <w:tcW w:w="567" w:type="dxa"/>
            <w:shd w:val="clear" w:color="auto" w:fill="auto"/>
          </w:tcPr>
          <w:p w:rsidR="004406FA" w:rsidRPr="00F84BA0" w:rsidRDefault="004406FA" w:rsidP="00D334F9">
            <w:pPr>
              <w:keepLines/>
              <w:tabs>
                <w:tab w:val="left" w:pos="150"/>
                <w:tab w:val="left" w:pos="397"/>
                <w:tab w:val="left" w:pos="794"/>
                <w:tab w:val="left" w:pos="1191"/>
              </w:tabs>
              <w:spacing w:before="40" w:after="40"/>
              <w:rPr>
                <w:rFonts w:cs="Segoe UI"/>
                <w:sz w:val="17"/>
                <w:szCs w:val="17"/>
              </w:rPr>
            </w:pPr>
            <w:r w:rsidRPr="00F84BA0">
              <w:rPr>
                <w:rFonts w:cs="Segoe UI"/>
                <w:sz w:val="17"/>
                <w:szCs w:val="17"/>
              </w:rPr>
              <w:t>19a</w:t>
            </w:r>
          </w:p>
        </w:tc>
        <w:tc>
          <w:tcPr>
            <w:tcW w:w="8647" w:type="dxa"/>
            <w:shd w:val="clear" w:color="auto" w:fill="auto"/>
          </w:tcPr>
          <w:p w:rsidR="004406FA" w:rsidRPr="00F84BA0" w:rsidRDefault="004406FA" w:rsidP="00D334F9">
            <w:pPr>
              <w:keepLines/>
              <w:tabs>
                <w:tab w:val="left" w:pos="150"/>
                <w:tab w:val="left" w:pos="397"/>
                <w:tab w:val="left" w:pos="794"/>
                <w:tab w:val="left" w:pos="1191"/>
              </w:tabs>
              <w:spacing w:before="40" w:after="40"/>
              <w:jc w:val="both"/>
              <w:rPr>
                <w:rFonts w:cs="Segoe UI"/>
                <w:sz w:val="17"/>
                <w:szCs w:val="17"/>
              </w:rPr>
            </w:pPr>
            <w:r w:rsidRPr="00F84BA0">
              <w:rPr>
                <w:rFonts w:cs="Segoe UI"/>
                <w:i/>
                <w:sz w:val="17"/>
                <w:szCs w:val="17"/>
              </w:rPr>
              <w:t>Of which SEC-FBA</w:t>
            </w:r>
            <w:r w:rsidRPr="00F84BA0">
              <w:rPr>
                <w:rFonts w:cs="Segoe UI"/>
                <w:sz w:val="17"/>
                <w:szCs w:val="17"/>
              </w:rPr>
              <w:t xml:space="preserve">: RWA and capital requirements calculated using the </w:t>
            </w:r>
            <w:r w:rsidRPr="00F84BA0">
              <w:rPr>
                <w:rFonts w:cs="Segoe UI"/>
                <w:sz w:val="17"/>
                <w:szCs w:val="17"/>
                <w:lang w:eastAsia="en-GB"/>
              </w:rPr>
              <w:t xml:space="preserve">SEC-FBA </w:t>
            </w:r>
            <w:r w:rsidRPr="00F84BA0">
              <w:rPr>
                <w:rFonts w:cs="Segoe UI"/>
                <w:sz w:val="17"/>
                <w:szCs w:val="17"/>
              </w:rPr>
              <w:t>under the BCR.</w:t>
            </w:r>
          </w:p>
        </w:tc>
      </w:tr>
      <w:tr w:rsidR="004406FA" w:rsidRPr="004E457E" w:rsidTr="00D334F9">
        <w:tc>
          <w:tcPr>
            <w:tcW w:w="567" w:type="dxa"/>
            <w:shd w:val="clear" w:color="auto" w:fill="auto"/>
          </w:tcPr>
          <w:p w:rsidR="004406FA" w:rsidRPr="00D1767E" w:rsidRDefault="004406FA" w:rsidP="00D334F9">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20</w:t>
            </w:r>
          </w:p>
        </w:tc>
        <w:tc>
          <w:tcPr>
            <w:tcW w:w="8647" w:type="dxa"/>
            <w:shd w:val="clear" w:color="auto" w:fill="auto"/>
          </w:tcPr>
          <w:p w:rsidR="004406FA" w:rsidRPr="004E457E" w:rsidRDefault="004406FA" w:rsidP="00DA473B">
            <w:pPr>
              <w:keepLines/>
              <w:tabs>
                <w:tab w:val="left" w:pos="150"/>
                <w:tab w:val="left" w:pos="397"/>
                <w:tab w:val="left" w:pos="794"/>
                <w:tab w:val="left" w:pos="1191"/>
              </w:tabs>
              <w:spacing w:before="40" w:after="40"/>
              <w:jc w:val="both"/>
              <w:rPr>
                <w:rFonts w:cs="Segoe UI"/>
                <w:i/>
                <w:sz w:val="17"/>
                <w:szCs w:val="17"/>
              </w:rPr>
            </w:pPr>
            <w:r w:rsidRPr="007B2B5C">
              <w:rPr>
                <w:rFonts w:cs="Segoe UI"/>
                <w:i/>
                <w:sz w:val="17"/>
                <w:szCs w:val="17"/>
              </w:rPr>
              <w:t>Market risk</w:t>
            </w:r>
            <w:r w:rsidRPr="007B2B5C">
              <w:rPr>
                <w:rFonts w:cs="Segoe UI"/>
                <w:sz w:val="17"/>
                <w:szCs w:val="17"/>
              </w:rPr>
              <w:t>: The amounts correspond to the RWA and capital requirements in the market risk framework (</w:t>
            </w:r>
            <w:r w:rsidRPr="00FE4698">
              <w:rPr>
                <w:rFonts w:cs="Segoe UI"/>
                <w:sz w:val="17"/>
                <w:szCs w:val="17"/>
              </w:rPr>
              <w:t xml:space="preserve">Part VI of this document), which also includes capital charges for securitization exposures booked in the trading book but excludes the </w:t>
            </w:r>
            <w:r w:rsidR="00DA473B">
              <w:rPr>
                <w:rFonts w:cs="Segoe UI"/>
                <w:sz w:val="17"/>
                <w:szCs w:val="17"/>
              </w:rPr>
              <w:t xml:space="preserve">capital charges for </w:t>
            </w:r>
            <w:r w:rsidRPr="00FE4698">
              <w:rPr>
                <w:rFonts w:cs="Segoe UI"/>
                <w:sz w:val="17"/>
                <w:szCs w:val="17"/>
              </w:rPr>
              <w:t xml:space="preserve">counterparty </w:t>
            </w:r>
            <w:r w:rsidR="00DA473B">
              <w:rPr>
                <w:rFonts w:cs="Segoe UI"/>
                <w:sz w:val="17"/>
                <w:szCs w:val="17"/>
              </w:rPr>
              <w:t xml:space="preserve">default </w:t>
            </w:r>
            <w:r w:rsidRPr="00FE4698">
              <w:rPr>
                <w:rFonts w:cs="Segoe UI"/>
                <w:sz w:val="17"/>
                <w:szCs w:val="17"/>
              </w:rPr>
              <w:t>risk</w:t>
            </w:r>
            <w:r w:rsidR="00DA473B">
              <w:rPr>
                <w:rFonts w:cs="Segoe UI"/>
                <w:sz w:val="17"/>
                <w:szCs w:val="17"/>
              </w:rPr>
              <w:t>, default fund contributions and CVA risk</w:t>
            </w:r>
            <w:r w:rsidRPr="00FE4698">
              <w:rPr>
                <w:rFonts w:cs="Segoe UI"/>
                <w:sz w:val="17"/>
                <w:szCs w:val="17"/>
              </w:rPr>
              <w:t xml:space="preserve"> associated with covered positions (reported in Part IV of this document and</w:t>
            </w:r>
            <w:r w:rsidR="00DA473B">
              <w:rPr>
                <w:rFonts w:cs="Segoe UI"/>
                <w:sz w:val="17"/>
                <w:szCs w:val="17"/>
              </w:rPr>
              <w:t xml:space="preserve"> in</w:t>
            </w:r>
            <w:r w:rsidRPr="00FE4698">
              <w:rPr>
                <w:rFonts w:cs="Segoe UI"/>
                <w:sz w:val="17"/>
                <w:szCs w:val="17"/>
              </w:rPr>
              <w:t xml:space="preserve"> row</w:t>
            </w:r>
            <w:r w:rsidR="00DA473B">
              <w:rPr>
                <w:rFonts w:cs="Segoe UI"/>
                <w:sz w:val="17"/>
                <w:szCs w:val="17"/>
              </w:rPr>
              <w:t>s</w:t>
            </w:r>
            <w:r w:rsidRPr="00FE4698">
              <w:rPr>
                <w:rFonts w:cs="Segoe UI"/>
                <w:sz w:val="17"/>
                <w:szCs w:val="17"/>
              </w:rPr>
              <w:t xml:space="preserve"> 6</w:t>
            </w:r>
            <w:r w:rsidR="00DA473B">
              <w:rPr>
                <w:rFonts w:cs="Segoe UI"/>
                <w:sz w:val="17"/>
                <w:szCs w:val="17"/>
              </w:rPr>
              <w:t xml:space="preserve"> and 10</w:t>
            </w:r>
            <w:r w:rsidRPr="00FE4698">
              <w:rPr>
                <w:rFonts w:cs="Segoe UI"/>
                <w:sz w:val="17"/>
                <w:szCs w:val="17"/>
              </w:rPr>
              <w:t xml:space="preserve"> of this template).  An AI should derive the market risk RWAs by multiplying t</w:t>
            </w:r>
            <w:r w:rsidRPr="007B2B5C">
              <w:rPr>
                <w:rFonts w:cs="Segoe UI"/>
                <w:sz w:val="17"/>
                <w:szCs w:val="17"/>
              </w:rPr>
              <w:t>he market risk capital requirements by 12.5.</w:t>
            </w:r>
          </w:p>
        </w:tc>
      </w:tr>
      <w:tr w:rsidR="004406FA" w:rsidRPr="004E457E" w:rsidTr="00D334F9">
        <w:tc>
          <w:tcPr>
            <w:tcW w:w="567" w:type="dxa"/>
            <w:shd w:val="clear" w:color="auto" w:fill="auto"/>
          </w:tcPr>
          <w:p w:rsidR="004406FA" w:rsidRPr="00D1767E" w:rsidRDefault="004406FA" w:rsidP="00D334F9">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21</w:t>
            </w:r>
          </w:p>
        </w:tc>
        <w:tc>
          <w:tcPr>
            <w:tcW w:w="8647" w:type="dxa"/>
            <w:shd w:val="clear" w:color="auto" w:fill="auto"/>
          </w:tcPr>
          <w:p w:rsidR="004406FA" w:rsidRPr="004E457E" w:rsidRDefault="004406FA" w:rsidP="00D334F9">
            <w:pPr>
              <w:keepLines/>
              <w:tabs>
                <w:tab w:val="left" w:pos="397"/>
                <w:tab w:val="left" w:pos="794"/>
                <w:tab w:val="left" w:pos="1191"/>
              </w:tabs>
              <w:spacing w:before="40" w:after="40"/>
              <w:jc w:val="both"/>
              <w:rPr>
                <w:rFonts w:cs="Segoe UI"/>
                <w:sz w:val="17"/>
                <w:szCs w:val="17"/>
              </w:rPr>
            </w:pPr>
            <w:r w:rsidRPr="004E457E">
              <w:rPr>
                <w:rFonts w:cs="Segoe UI"/>
                <w:i/>
                <w:sz w:val="17"/>
                <w:szCs w:val="17"/>
                <w:lang w:eastAsia="en-GB"/>
              </w:rPr>
              <w:t>Of which STM approach</w:t>
            </w:r>
            <w:r w:rsidRPr="004E457E">
              <w:rPr>
                <w:rFonts w:cs="Segoe UI"/>
                <w:sz w:val="17"/>
                <w:szCs w:val="17"/>
                <w:lang w:eastAsia="en-GB"/>
              </w:rPr>
              <w:t xml:space="preserve">: </w:t>
            </w:r>
            <w:r w:rsidRPr="004E457E">
              <w:rPr>
                <w:rFonts w:cs="Segoe UI"/>
                <w:sz w:val="17"/>
                <w:szCs w:val="17"/>
              </w:rPr>
              <w:t>RWA and capital requirements calculated using the STM approach under the BCR</w:t>
            </w:r>
            <w:r>
              <w:rPr>
                <w:rFonts w:cs="Segoe UI"/>
                <w:sz w:val="17"/>
                <w:szCs w:val="17"/>
              </w:rPr>
              <w:t xml:space="preserve">, including </w:t>
            </w:r>
            <w:r w:rsidRPr="007B2B5C">
              <w:rPr>
                <w:rFonts w:cs="Segoe UI"/>
                <w:sz w:val="17"/>
                <w:szCs w:val="17"/>
              </w:rPr>
              <w:t>capital charges for securitization exposures booked in the trading book</w:t>
            </w:r>
            <w:r w:rsidRPr="004E457E">
              <w:rPr>
                <w:rFonts w:cs="Segoe UI"/>
                <w:sz w:val="17"/>
                <w:szCs w:val="17"/>
              </w:rPr>
              <w:t xml:space="preserve">.  </w:t>
            </w:r>
            <w:r w:rsidRPr="00214964">
              <w:rPr>
                <w:rFonts w:cs="Segoe UI"/>
                <w:sz w:val="17"/>
                <w:szCs w:val="17"/>
              </w:rPr>
              <w:t>The value in</w:t>
            </w:r>
            <w:r w:rsidRPr="00214964">
              <w:rPr>
                <w:rFonts w:cs="Segoe UI"/>
                <w:sz w:val="17"/>
                <w:szCs w:val="17"/>
                <w:lang w:eastAsia="en-GB"/>
              </w:rPr>
              <w:t xml:space="preserve"> [OV1:21/a] is equal </w:t>
            </w:r>
            <w:r w:rsidRPr="00214964">
              <w:rPr>
                <w:rFonts w:cs="Segoe UI"/>
                <w:sz w:val="17"/>
                <w:szCs w:val="17"/>
              </w:rPr>
              <w:t>to the value in</w:t>
            </w:r>
            <w:r w:rsidRPr="00214964">
              <w:rPr>
                <w:rFonts w:cs="Segoe UI"/>
                <w:sz w:val="17"/>
                <w:szCs w:val="17"/>
                <w:lang w:eastAsia="en-GB"/>
              </w:rPr>
              <w:t xml:space="preserve"> [MR1:</w:t>
            </w:r>
            <w:r>
              <w:rPr>
                <w:rFonts w:cs="Segoe UI"/>
                <w:sz w:val="17"/>
                <w:szCs w:val="17"/>
                <w:lang w:eastAsia="en-GB"/>
              </w:rPr>
              <w:t>9</w:t>
            </w:r>
            <w:r w:rsidRPr="00214964">
              <w:rPr>
                <w:rFonts w:cs="Segoe UI"/>
                <w:sz w:val="17"/>
                <w:szCs w:val="17"/>
                <w:lang w:eastAsia="en-GB"/>
              </w:rPr>
              <w:t>/a].</w:t>
            </w:r>
          </w:p>
        </w:tc>
      </w:tr>
      <w:tr w:rsidR="004406FA" w:rsidRPr="004E457E" w:rsidTr="00D334F9">
        <w:tc>
          <w:tcPr>
            <w:tcW w:w="567" w:type="dxa"/>
            <w:shd w:val="clear" w:color="auto" w:fill="auto"/>
          </w:tcPr>
          <w:p w:rsidR="004406FA" w:rsidRPr="00D1767E" w:rsidRDefault="004406FA" w:rsidP="00D334F9">
            <w:pPr>
              <w:keepLines/>
              <w:tabs>
                <w:tab w:val="left" w:pos="150"/>
                <w:tab w:val="left" w:pos="397"/>
                <w:tab w:val="left" w:pos="794"/>
                <w:tab w:val="left" w:pos="1191"/>
              </w:tabs>
              <w:spacing w:before="40" w:after="40"/>
              <w:rPr>
                <w:rFonts w:cs="Segoe UI"/>
                <w:sz w:val="17"/>
                <w:szCs w:val="17"/>
              </w:rPr>
            </w:pPr>
            <w:r w:rsidRPr="00D1767E">
              <w:rPr>
                <w:rFonts w:cs="Segoe UI"/>
                <w:sz w:val="17"/>
                <w:szCs w:val="17"/>
              </w:rPr>
              <w:t>22</w:t>
            </w:r>
          </w:p>
        </w:tc>
        <w:tc>
          <w:tcPr>
            <w:tcW w:w="8647" w:type="dxa"/>
            <w:shd w:val="clear" w:color="auto" w:fill="auto"/>
          </w:tcPr>
          <w:p w:rsidR="004406FA" w:rsidRPr="00214964" w:rsidRDefault="004406FA" w:rsidP="00D334F9">
            <w:pPr>
              <w:keepLines/>
              <w:tabs>
                <w:tab w:val="left" w:pos="397"/>
                <w:tab w:val="left" w:pos="794"/>
                <w:tab w:val="left" w:pos="1191"/>
              </w:tabs>
              <w:spacing w:before="40" w:after="40"/>
              <w:jc w:val="both"/>
              <w:rPr>
                <w:rFonts w:cs="Segoe UI"/>
                <w:sz w:val="17"/>
                <w:szCs w:val="17"/>
              </w:rPr>
            </w:pPr>
            <w:r w:rsidRPr="00214964">
              <w:rPr>
                <w:rFonts w:cs="Segoe UI"/>
                <w:i/>
                <w:sz w:val="17"/>
                <w:szCs w:val="17"/>
                <w:lang w:eastAsia="en-GB"/>
              </w:rPr>
              <w:t>Of which IMM approach</w:t>
            </w:r>
            <w:r w:rsidRPr="00214964">
              <w:rPr>
                <w:rFonts w:cs="Segoe UI"/>
                <w:sz w:val="17"/>
                <w:szCs w:val="17"/>
                <w:lang w:eastAsia="en-GB"/>
              </w:rPr>
              <w:t xml:space="preserve">: </w:t>
            </w:r>
            <w:r w:rsidRPr="00214964">
              <w:rPr>
                <w:rFonts w:cs="Segoe UI"/>
                <w:sz w:val="17"/>
                <w:szCs w:val="17"/>
              </w:rPr>
              <w:t xml:space="preserve">RWA and capital requirements calculated using the IMM approach under the BCR.  The value in </w:t>
            </w:r>
            <w:r w:rsidRPr="00214964">
              <w:rPr>
                <w:rFonts w:cs="Segoe UI"/>
                <w:sz w:val="17"/>
                <w:szCs w:val="17"/>
                <w:lang w:eastAsia="en-GB"/>
              </w:rPr>
              <w:t>[OV1:22/a]</w:t>
            </w:r>
            <w:r w:rsidRPr="00214964">
              <w:rPr>
                <w:rFonts w:cs="Segoe UI"/>
                <w:sz w:val="17"/>
                <w:szCs w:val="17"/>
              </w:rPr>
              <w:t xml:space="preserve"> is equal to the value in </w:t>
            </w:r>
            <w:r w:rsidRPr="00214964">
              <w:rPr>
                <w:rFonts w:cs="Segoe UI"/>
                <w:sz w:val="17"/>
                <w:szCs w:val="17"/>
                <w:lang w:eastAsia="en-GB"/>
              </w:rPr>
              <w:t>[MR2:</w:t>
            </w:r>
            <w:r>
              <w:rPr>
                <w:rFonts w:cs="Segoe UI"/>
                <w:sz w:val="17"/>
                <w:szCs w:val="17"/>
                <w:lang w:eastAsia="en-GB"/>
              </w:rPr>
              <w:t>8/f</w:t>
            </w:r>
            <w:r w:rsidRPr="00214964">
              <w:rPr>
                <w:rFonts w:cs="Segoe UI"/>
                <w:sz w:val="17"/>
                <w:szCs w:val="17"/>
                <w:lang w:eastAsia="en-GB"/>
              </w:rPr>
              <w:t>]</w:t>
            </w:r>
            <w:r w:rsidRPr="00214964">
              <w:rPr>
                <w:rFonts w:cs="Segoe UI"/>
                <w:sz w:val="17"/>
                <w:szCs w:val="17"/>
              </w:rPr>
              <w:t>.</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8C194E">
              <w:rPr>
                <w:rFonts w:cs="Segoe UI"/>
                <w:sz w:val="17"/>
                <w:szCs w:val="17"/>
              </w:rPr>
              <w:t>23</w:t>
            </w:r>
          </w:p>
        </w:tc>
        <w:tc>
          <w:tcPr>
            <w:tcW w:w="8647" w:type="dxa"/>
            <w:shd w:val="clear" w:color="auto" w:fill="auto"/>
          </w:tcPr>
          <w:p w:rsidR="004406FA" w:rsidRPr="003E6DD6" w:rsidRDefault="004406FA" w:rsidP="00D334F9">
            <w:pPr>
              <w:keepLines/>
              <w:tabs>
                <w:tab w:val="left" w:pos="397"/>
                <w:tab w:val="left" w:pos="794"/>
                <w:tab w:val="left" w:pos="1191"/>
              </w:tabs>
              <w:spacing w:before="40" w:after="40"/>
              <w:jc w:val="both"/>
              <w:rPr>
                <w:rFonts w:cs="Segoe UI"/>
                <w:sz w:val="17"/>
                <w:szCs w:val="17"/>
                <w:highlight w:val="yellow"/>
                <w:lang w:eastAsia="en-GB"/>
              </w:rPr>
            </w:pPr>
            <w:r w:rsidRPr="007B5E64">
              <w:rPr>
                <w:rFonts w:cs="Segoe UI"/>
                <w:i/>
                <w:sz w:val="17"/>
                <w:szCs w:val="17"/>
                <w:lang w:eastAsia="en-GB"/>
              </w:rPr>
              <w:t>Capital charge for switch between exposures in trading book and banking book</w:t>
            </w:r>
            <w:r w:rsidR="00DA473B">
              <w:rPr>
                <w:rFonts w:cs="Segoe UI"/>
                <w:i/>
                <w:sz w:val="17"/>
                <w:szCs w:val="17"/>
                <w:lang w:eastAsia="en-GB"/>
              </w:rPr>
              <w:t xml:space="preserve"> </w:t>
            </w:r>
            <w:r w:rsidR="00DA473B" w:rsidRPr="00DA473B">
              <w:rPr>
                <w:rFonts w:cs="Segoe UI"/>
                <w:i/>
                <w:sz w:val="17"/>
                <w:szCs w:val="17"/>
                <w:lang w:eastAsia="en-GB"/>
              </w:rPr>
              <w:t>(not applicable before the revised market risk framework takes effect)</w:t>
            </w:r>
            <w:r w:rsidR="00897571">
              <w:rPr>
                <w:rFonts w:cs="Segoe UI"/>
                <w:i/>
                <w:sz w:val="17"/>
                <w:szCs w:val="17"/>
                <w:lang w:eastAsia="en-GB"/>
              </w:rPr>
              <w:t>*</w:t>
            </w:r>
            <w:r w:rsidRPr="007B5E64">
              <w:rPr>
                <w:rFonts w:cs="Segoe UI"/>
                <w:sz w:val="17"/>
                <w:szCs w:val="17"/>
                <w:lang w:eastAsia="en-GB"/>
              </w:rPr>
              <w:t xml:space="preserve">: </w:t>
            </w:r>
            <w:r w:rsidRPr="00610A32">
              <w:rPr>
                <w:rFonts w:cs="Segoe UI"/>
                <w:sz w:val="17"/>
                <w:szCs w:val="17"/>
                <w:lang w:eastAsia="en-GB"/>
              </w:rPr>
              <w:t>This row is not applicable before the revised market risk framework takes effect</w:t>
            </w:r>
            <w:r>
              <w:rPr>
                <w:rFonts w:cs="Segoe UI"/>
                <w:sz w:val="17"/>
                <w:szCs w:val="17"/>
                <w:lang w:eastAsia="en-GB"/>
              </w:rPr>
              <w:t>.</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4B07C3">
              <w:rPr>
                <w:rFonts w:cs="Segoe UI"/>
                <w:sz w:val="17"/>
                <w:szCs w:val="17"/>
              </w:rPr>
              <w:t>24</w:t>
            </w:r>
          </w:p>
        </w:tc>
        <w:tc>
          <w:tcPr>
            <w:tcW w:w="8647" w:type="dxa"/>
            <w:shd w:val="clear" w:color="auto" w:fill="auto"/>
          </w:tcPr>
          <w:p w:rsidR="004406FA" w:rsidRPr="004E457E" w:rsidRDefault="004406FA" w:rsidP="00D334F9">
            <w:pPr>
              <w:keepLines/>
              <w:tabs>
                <w:tab w:val="left" w:pos="150"/>
                <w:tab w:val="left" w:pos="397"/>
                <w:tab w:val="left" w:pos="794"/>
                <w:tab w:val="left" w:pos="1191"/>
              </w:tabs>
              <w:spacing w:before="40" w:after="40"/>
              <w:jc w:val="both"/>
              <w:rPr>
                <w:rFonts w:cs="Segoe UI"/>
                <w:sz w:val="17"/>
                <w:szCs w:val="17"/>
              </w:rPr>
            </w:pPr>
            <w:r w:rsidRPr="004E457E">
              <w:rPr>
                <w:rFonts w:cs="Segoe UI"/>
                <w:i/>
                <w:sz w:val="17"/>
                <w:szCs w:val="17"/>
              </w:rPr>
              <w:t>Operational risk</w:t>
            </w:r>
            <w:r w:rsidRPr="004B07C3">
              <w:rPr>
                <w:rFonts w:cs="Segoe UI"/>
                <w:sz w:val="17"/>
                <w:szCs w:val="17"/>
              </w:rPr>
              <w:t>:</w:t>
            </w:r>
            <w:r w:rsidRPr="004E457E">
              <w:rPr>
                <w:rFonts w:cs="Segoe UI"/>
                <w:sz w:val="17"/>
                <w:szCs w:val="17"/>
              </w:rPr>
              <w:t xml:space="preserve"> The amounts correspond to capital requirements in the operational risk framework specified in the BCR.</w:t>
            </w:r>
          </w:p>
        </w:tc>
      </w:tr>
      <w:tr w:rsidR="00B42678" w:rsidRPr="004E457E" w:rsidTr="00D334F9">
        <w:tc>
          <w:tcPr>
            <w:tcW w:w="567" w:type="dxa"/>
            <w:shd w:val="clear" w:color="auto" w:fill="auto"/>
          </w:tcPr>
          <w:p w:rsidR="00B42678" w:rsidRPr="004B07C3" w:rsidRDefault="00B42678" w:rsidP="00D334F9">
            <w:pPr>
              <w:keepLines/>
              <w:tabs>
                <w:tab w:val="left" w:pos="150"/>
                <w:tab w:val="left" w:pos="397"/>
                <w:tab w:val="left" w:pos="794"/>
                <w:tab w:val="left" w:pos="1191"/>
              </w:tabs>
              <w:spacing w:before="40" w:after="40"/>
              <w:rPr>
                <w:rFonts w:cs="Segoe UI"/>
                <w:sz w:val="17"/>
                <w:szCs w:val="17"/>
              </w:rPr>
            </w:pPr>
            <w:r>
              <w:rPr>
                <w:rFonts w:cs="Segoe UI"/>
                <w:sz w:val="17"/>
                <w:szCs w:val="17"/>
              </w:rPr>
              <w:t>24a</w:t>
            </w:r>
          </w:p>
        </w:tc>
        <w:tc>
          <w:tcPr>
            <w:tcW w:w="8647" w:type="dxa"/>
            <w:shd w:val="clear" w:color="auto" w:fill="auto"/>
          </w:tcPr>
          <w:p w:rsidR="00B42678" w:rsidRPr="004E457E" w:rsidRDefault="00B42678" w:rsidP="00D334F9">
            <w:pPr>
              <w:keepLines/>
              <w:tabs>
                <w:tab w:val="left" w:pos="150"/>
                <w:tab w:val="left" w:pos="397"/>
                <w:tab w:val="left" w:pos="794"/>
                <w:tab w:val="left" w:pos="1191"/>
              </w:tabs>
              <w:spacing w:before="40" w:after="40"/>
              <w:jc w:val="both"/>
              <w:rPr>
                <w:rFonts w:cs="Segoe UI"/>
                <w:i/>
                <w:sz w:val="17"/>
                <w:szCs w:val="17"/>
              </w:rPr>
            </w:pPr>
            <w:r>
              <w:rPr>
                <w:rFonts w:cs="Segoe UI"/>
                <w:i/>
                <w:sz w:val="17"/>
                <w:szCs w:val="17"/>
                <w:lang w:eastAsia="en-GB"/>
              </w:rPr>
              <w:t>Sovereign c</w:t>
            </w:r>
            <w:r w:rsidRPr="001234E1">
              <w:rPr>
                <w:rFonts w:cs="Segoe UI"/>
                <w:i/>
                <w:sz w:val="17"/>
                <w:szCs w:val="17"/>
                <w:lang w:eastAsia="en-GB"/>
              </w:rPr>
              <w:t>oncentration risk</w:t>
            </w:r>
            <w:r>
              <w:rPr>
                <w:rFonts w:cs="Segoe UI"/>
                <w:i/>
                <w:sz w:val="17"/>
                <w:szCs w:val="17"/>
                <w:lang w:eastAsia="en-GB"/>
              </w:rPr>
              <w:t>*</w:t>
            </w:r>
            <w:r>
              <w:rPr>
                <w:rFonts w:cs="Segoe UI"/>
                <w:sz w:val="17"/>
                <w:szCs w:val="17"/>
                <w:lang w:eastAsia="en-GB"/>
              </w:rPr>
              <w:t xml:space="preserve">: </w:t>
            </w:r>
            <w:r w:rsidRPr="004E457E">
              <w:rPr>
                <w:rFonts w:cs="Segoe UI"/>
                <w:sz w:val="17"/>
                <w:szCs w:val="17"/>
              </w:rPr>
              <w:t xml:space="preserve">The amounts correspond to capital requirements in the </w:t>
            </w:r>
            <w:r>
              <w:rPr>
                <w:rFonts w:cs="Segoe UI"/>
                <w:sz w:val="17"/>
                <w:szCs w:val="17"/>
              </w:rPr>
              <w:t>sovereign concentration</w:t>
            </w:r>
            <w:r w:rsidRPr="004E457E">
              <w:rPr>
                <w:rFonts w:cs="Segoe UI"/>
                <w:sz w:val="17"/>
                <w:szCs w:val="17"/>
              </w:rPr>
              <w:t xml:space="preserve"> risk framework specified in the BCR.</w:t>
            </w:r>
          </w:p>
        </w:tc>
      </w:tr>
      <w:tr w:rsidR="004406FA" w:rsidRPr="004E457E" w:rsidTr="00D334F9">
        <w:tc>
          <w:tcPr>
            <w:tcW w:w="567" w:type="dxa"/>
            <w:shd w:val="clear" w:color="auto" w:fill="auto"/>
          </w:tcPr>
          <w:p w:rsidR="004406FA" w:rsidRPr="00AE64D1" w:rsidRDefault="004406FA" w:rsidP="00D334F9">
            <w:pPr>
              <w:keepLines/>
              <w:tabs>
                <w:tab w:val="left" w:pos="150"/>
                <w:tab w:val="left" w:pos="397"/>
                <w:tab w:val="left" w:pos="794"/>
                <w:tab w:val="left" w:pos="1191"/>
              </w:tabs>
              <w:spacing w:before="40" w:after="40"/>
              <w:rPr>
                <w:rFonts w:cs="Segoe UI"/>
                <w:sz w:val="17"/>
                <w:szCs w:val="17"/>
              </w:rPr>
            </w:pPr>
            <w:r w:rsidRPr="00AE64D1">
              <w:rPr>
                <w:rFonts w:cs="Segoe UI"/>
                <w:sz w:val="17"/>
                <w:szCs w:val="17"/>
              </w:rPr>
              <w:t>25</w:t>
            </w:r>
          </w:p>
        </w:tc>
        <w:tc>
          <w:tcPr>
            <w:tcW w:w="8647" w:type="dxa"/>
            <w:shd w:val="clear" w:color="auto" w:fill="auto"/>
          </w:tcPr>
          <w:p w:rsidR="004406FA" w:rsidRPr="00AE64D1" w:rsidRDefault="004406FA" w:rsidP="00D334F9">
            <w:pPr>
              <w:keepLines/>
              <w:tabs>
                <w:tab w:val="left" w:pos="150"/>
                <w:tab w:val="left" w:pos="397"/>
                <w:tab w:val="left" w:pos="794"/>
                <w:tab w:val="left" w:pos="1191"/>
              </w:tabs>
              <w:spacing w:before="40" w:after="40"/>
              <w:jc w:val="both"/>
              <w:rPr>
                <w:rFonts w:cs="Segoe UI"/>
                <w:sz w:val="17"/>
                <w:szCs w:val="17"/>
              </w:rPr>
            </w:pPr>
            <w:r w:rsidRPr="00AE64D1">
              <w:rPr>
                <w:rFonts w:cs="Segoe UI"/>
                <w:i/>
                <w:sz w:val="17"/>
                <w:szCs w:val="17"/>
              </w:rPr>
              <w:t>Amounts below the thresholds for deduction (subject to 250% RW)</w:t>
            </w:r>
            <w:r w:rsidRPr="00AE64D1">
              <w:rPr>
                <w:rFonts w:cs="Segoe UI"/>
                <w:sz w:val="17"/>
                <w:szCs w:val="17"/>
              </w:rPr>
              <w:t>: The amounts correspond to items subject to a 250% risk-weight pursuant to the BCR.</w:t>
            </w:r>
          </w:p>
        </w:tc>
      </w:tr>
      <w:tr w:rsidR="004406FA" w:rsidRPr="004E457E" w:rsidTr="00D334F9">
        <w:tc>
          <w:tcPr>
            <w:tcW w:w="567" w:type="dxa"/>
            <w:shd w:val="clear" w:color="auto" w:fill="auto"/>
          </w:tcPr>
          <w:p w:rsidR="004406FA" w:rsidRPr="004B2378" w:rsidRDefault="004406FA" w:rsidP="00D334F9">
            <w:pPr>
              <w:keepLines/>
              <w:tabs>
                <w:tab w:val="left" w:pos="150"/>
                <w:tab w:val="left" w:pos="397"/>
                <w:tab w:val="left" w:pos="794"/>
                <w:tab w:val="left" w:pos="1191"/>
              </w:tabs>
              <w:spacing w:before="40" w:after="40"/>
              <w:rPr>
                <w:rFonts w:cs="Segoe UI"/>
                <w:sz w:val="17"/>
                <w:szCs w:val="17"/>
              </w:rPr>
            </w:pPr>
            <w:r w:rsidRPr="004B2378">
              <w:rPr>
                <w:rFonts w:cs="Segoe UI"/>
                <w:sz w:val="17"/>
                <w:szCs w:val="17"/>
              </w:rPr>
              <w:t>26</w:t>
            </w:r>
          </w:p>
        </w:tc>
        <w:tc>
          <w:tcPr>
            <w:tcW w:w="8647" w:type="dxa"/>
            <w:shd w:val="clear" w:color="auto" w:fill="auto"/>
          </w:tcPr>
          <w:p w:rsidR="004406FA" w:rsidRPr="004B2378" w:rsidRDefault="004406FA" w:rsidP="00D334F9">
            <w:pPr>
              <w:keepLines/>
              <w:tabs>
                <w:tab w:val="left" w:pos="150"/>
                <w:tab w:val="left" w:pos="397"/>
                <w:tab w:val="left" w:pos="794"/>
                <w:tab w:val="left" w:pos="1191"/>
              </w:tabs>
              <w:spacing w:before="40" w:after="40"/>
              <w:jc w:val="both"/>
              <w:rPr>
                <w:rFonts w:cs="Segoe UI"/>
                <w:i/>
                <w:sz w:val="17"/>
                <w:szCs w:val="17"/>
              </w:rPr>
            </w:pPr>
            <w:r w:rsidRPr="004B2378">
              <w:rPr>
                <w:rFonts w:cs="Segoe UI"/>
                <w:i/>
                <w:sz w:val="17"/>
                <w:szCs w:val="17"/>
              </w:rPr>
              <w:t>Capital floor adjustment</w:t>
            </w:r>
            <w:r w:rsidRPr="004B2378">
              <w:rPr>
                <w:rFonts w:cs="Segoe UI"/>
                <w:sz w:val="17"/>
                <w:szCs w:val="17"/>
              </w:rPr>
              <w:t>: The impact of any Pillar 1 capital floor adjustment on total RWA and total capital requirements determined according to the BCR so that the total amount in row 27 below reflects the total RWA and total capital requirements, in</w:t>
            </w:r>
            <w:r>
              <w:rPr>
                <w:rFonts w:cs="Segoe UI"/>
                <w:sz w:val="17"/>
                <w:szCs w:val="17"/>
              </w:rPr>
              <w:t>cluding such an adjustment.  An</w:t>
            </w:r>
            <w:r w:rsidRPr="004B2378">
              <w:rPr>
                <w:rFonts w:cs="Segoe UI"/>
                <w:sz w:val="17"/>
                <w:szCs w:val="17"/>
              </w:rPr>
              <w:t xml:space="preserve"> AI should not report Pillar 2 adjustments applied to it in this row.  Where the capital floor or adjustments are applied at a more granular level (e.g. at risk category level), the AI should reflect them in the capital requirements reported for the risk category.</w:t>
            </w:r>
          </w:p>
        </w:tc>
      </w:tr>
      <w:tr w:rsidR="004406FA" w:rsidRPr="004E457E" w:rsidTr="00D334F9">
        <w:tc>
          <w:tcPr>
            <w:tcW w:w="567" w:type="dxa"/>
            <w:shd w:val="clear" w:color="auto" w:fill="auto"/>
          </w:tcPr>
          <w:p w:rsidR="004406FA" w:rsidRPr="00CF37B9" w:rsidRDefault="004406FA" w:rsidP="00D334F9">
            <w:pPr>
              <w:keepLines/>
              <w:tabs>
                <w:tab w:val="left" w:pos="150"/>
                <w:tab w:val="left" w:pos="397"/>
                <w:tab w:val="left" w:pos="794"/>
                <w:tab w:val="left" w:pos="1191"/>
              </w:tabs>
              <w:spacing w:before="40" w:after="40"/>
              <w:rPr>
                <w:rFonts w:cs="Segoe UI"/>
                <w:sz w:val="17"/>
                <w:szCs w:val="17"/>
              </w:rPr>
            </w:pPr>
            <w:r w:rsidRPr="00CF37B9">
              <w:rPr>
                <w:rFonts w:cs="Segoe UI"/>
                <w:sz w:val="17"/>
                <w:szCs w:val="17"/>
              </w:rPr>
              <w:t>26a</w:t>
            </w:r>
          </w:p>
        </w:tc>
        <w:tc>
          <w:tcPr>
            <w:tcW w:w="8647" w:type="dxa"/>
            <w:shd w:val="clear" w:color="auto" w:fill="auto"/>
          </w:tcPr>
          <w:p w:rsidR="004406FA" w:rsidRPr="00CF37B9" w:rsidRDefault="004406FA" w:rsidP="00D334F9">
            <w:pPr>
              <w:keepLines/>
              <w:tabs>
                <w:tab w:val="left" w:pos="150"/>
                <w:tab w:val="left" w:pos="397"/>
                <w:tab w:val="left" w:pos="794"/>
                <w:tab w:val="left" w:pos="1191"/>
              </w:tabs>
              <w:spacing w:before="40" w:after="40"/>
              <w:jc w:val="both"/>
              <w:rPr>
                <w:rFonts w:cs="Segoe UI"/>
                <w:sz w:val="17"/>
                <w:szCs w:val="17"/>
              </w:rPr>
            </w:pPr>
            <w:r w:rsidRPr="00CF37B9">
              <w:rPr>
                <w:rFonts w:cs="Segoe UI"/>
                <w:i/>
                <w:sz w:val="17"/>
                <w:szCs w:val="17"/>
              </w:rPr>
              <w:t>Deduction to RWA</w:t>
            </w:r>
            <w:r w:rsidRPr="00CF37B9">
              <w:rPr>
                <w:rFonts w:cs="Segoe UI"/>
                <w:sz w:val="17"/>
                <w:szCs w:val="17"/>
              </w:rPr>
              <w:t>: This is the sum of values in rows 26b and 26c.</w:t>
            </w:r>
          </w:p>
        </w:tc>
      </w:tr>
      <w:tr w:rsidR="004406FA" w:rsidRPr="004E457E" w:rsidTr="00D334F9">
        <w:tc>
          <w:tcPr>
            <w:tcW w:w="567" w:type="dxa"/>
            <w:shd w:val="clear" w:color="auto" w:fill="auto"/>
          </w:tcPr>
          <w:p w:rsidR="004406FA" w:rsidRPr="00622192" w:rsidRDefault="004406FA" w:rsidP="00D334F9">
            <w:pPr>
              <w:keepLines/>
              <w:tabs>
                <w:tab w:val="left" w:pos="150"/>
                <w:tab w:val="left" w:pos="397"/>
                <w:tab w:val="left" w:pos="794"/>
                <w:tab w:val="left" w:pos="1191"/>
              </w:tabs>
              <w:spacing w:before="40" w:after="40"/>
              <w:rPr>
                <w:rFonts w:cs="Segoe UI"/>
                <w:sz w:val="17"/>
                <w:szCs w:val="17"/>
                <w:highlight w:val="yellow"/>
              </w:rPr>
            </w:pPr>
            <w:r w:rsidRPr="00BD5038">
              <w:rPr>
                <w:rFonts w:cs="Segoe UI"/>
                <w:sz w:val="17"/>
                <w:szCs w:val="17"/>
              </w:rPr>
              <w:t>26b</w:t>
            </w:r>
          </w:p>
        </w:tc>
        <w:tc>
          <w:tcPr>
            <w:tcW w:w="8647" w:type="dxa"/>
            <w:shd w:val="clear" w:color="auto" w:fill="auto"/>
          </w:tcPr>
          <w:p w:rsidR="004406FA" w:rsidRPr="004E457E" w:rsidRDefault="004406FA" w:rsidP="00D334F9">
            <w:pPr>
              <w:keepLines/>
              <w:tabs>
                <w:tab w:val="left" w:pos="150"/>
                <w:tab w:val="left" w:pos="397"/>
                <w:tab w:val="left" w:pos="794"/>
                <w:tab w:val="left" w:pos="1191"/>
              </w:tabs>
              <w:spacing w:before="40" w:after="40"/>
              <w:jc w:val="both"/>
              <w:rPr>
                <w:rFonts w:cs="Segoe UI"/>
                <w:i/>
                <w:sz w:val="17"/>
                <w:szCs w:val="17"/>
              </w:rPr>
            </w:pPr>
            <w:r w:rsidRPr="00892BF1">
              <w:rPr>
                <w:rFonts w:cs="Segoe UI"/>
                <w:i/>
                <w:sz w:val="17"/>
                <w:szCs w:val="17"/>
                <w:lang w:eastAsia="en-GB"/>
              </w:rPr>
              <w:t>Of which portion of regulatory reserve for general banking risks and collective provisions which is not included in Tier 2 Capital:</w:t>
            </w:r>
            <w:r w:rsidRPr="004E457E">
              <w:rPr>
                <w:rFonts w:cs="Segoe UI"/>
                <w:sz w:val="17"/>
                <w:szCs w:val="17"/>
                <w:lang w:eastAsia="en-GB"/>
              </w:rPr>
              <w:t xml:space="preserve"> This row is only applicable for an AI using the STC, BSC</w:t>
            </w:r>
            <w:r>
              <w:rPr>
                <w:rFonts w:cs="Segoe UI"/>
                <w:sz w:val="17"/>
                <w:szCs w:val="17"/>
                <w:lang w:eastAsia="en-GB"/>
              </w:rPr>
              <w:t>,</w:t>
            </w:r>
            <w:r w:rsidRPr="004E457E">
              <w:rPr>
                <w:rFonts w:cs="Segoe UI"/>
                <w:sz w:val="17"/>
                <w:szCs w:val="17"/>
                <w:lang w:eastAsia="en-GB"/>
              </w:rPr>
              <w:t xml:space="preserve"> </w:t>
            </w:r>
            <w:r w:rsidRPr="000E0EB0">
              <w:rPr>
                <w:rFonts w:cs="Segoe UI"/>
                <w:sz w:val="17"/>
                <w:szCs w:val="17"/>
                <w:lang w:eastAsia="en-GB"/>
              </w:rPr>
              <w:t>SEC-SA</w:t>
            </w:r>
            <w:r>
              <w:rPr>
                <w:rFonts w:cs="Segoe UI"/>
                <w:sz w:val="17"/>
                <w:szCs w:val="17"/>
                <w:lang w:eastAsia="en-GB"/>
              </w:rPr>
              <w:t>, SEC-ERBA or SEC-FBA</w:t>
            </w:r>
            <w:r w:rsidRPr="004E457E">
              <w:rPr>
                <w:rFonts w:cs="Segoe UI"/>
                <w:sz w:val="17"/>
                <w:szCs w:val="17"/>
                <w:lang w:eastAsia="en-GB"/>
              </w:rPr>
              <w:t xml:space="preserve"> approach for calculating credit risk for all or part of its exposures.  It refers to and has the same calculation basis as the </w:t>
            </w:r>
            <w:r w:rsidRPr="004E457E">
              <w:rPr>
                <w:rFonts w:cs="Segoe UI"/>
                <w:sz w:val="17"/>
                <w:szCs w:val="17"/>
                <w:lang w:eastAsia="en-GB"/>
              </w:rPr>
              <w:lastRenderedPageBreak/>
              <w:t xml:space="preserve">amount reported in item </w:t>
            </w:r>
            <w:r w:rsidRPr="00BD5038">
              <w:rPr>
                <w:rFonts w:cs="Segoe UI"/>
                <w:sz w:val="17"/>
                <w:szCs w:val="17"/>
                <w:lang w:eastAsia="en-GB"/>
              </w:rPr>
              <w:t>2.12(i), Division A, Part I of CAR return MA(BS)3.</w:t>
            </w:r>
          </w:p>
        </w:tc>
      </w:tr>
      <w:tr w:rsidR="004406FA" w:rsidRPr="004E457E" w:rsidTr="00D334F9">
        <w:tc>
          <w:tcPr>
            <w:tcW w:w="567" w:type="dxa"/>
            <w:shd w:val="clear" w:color="auto" w:fill="auto"/>
          </w:tcPr>
          <w:p w:rsidR="004406FA" w:rsidRPr="00593071" w:rsidRDefault="004406FA" w:rsidP="00D334F9">
            <w:pPr>
              <w:keepLines/>
              <w:tabs>
                <w:tab w:val="left" w:pos="150"/>
                <w:tab w:val="left" w:pos="397"/>
                <w:tab w:val="left" w:pos="794"/>
                <w:tab w:val="left" w:pos="1191"/>
              </w:tabs>
              <w:spacing w:before="40" w:after="40"/>
              <w:rPr>
                <w:rFonts w:cs="Segoe UI"/>
                <w:sz w:val="17"/>
                <w:szCs w:val="17"/>
              </w:rPr>
            </w:pPr>
            <w:r w:rsidRPr="00593071">
              <w:rPr>
                <w:rFonts w:cs="Segoe UI"/>
                <w:sz w:val="17"/>
                <w:szCs w:val="17"/>
              </w:rPr>
              <w:lastRenderedPageBreak/>
              <w:t>26c</w:t>
            </w:r>
          </w:p>
        </w:tc>
        <w:tc>
          <w:tcPr>
            <w:tcW w:w="8647" w:type="dxa"/>
            <w:shd w:val="clear" w:color="auto" w:fill="auto"/>
          </w:tcPr>
          <w:p w:rsidR="004406FA" w:rsidRPr="00593071" w:rsidRDefault="004406FA" w:rsidP="00D334F9">
            <w:pPr>
              <w:keepLines/>
              <w:tabs>
                <w:tab w:val="left" w:pos="150"/>
                <w:tab w:val="left" w:pos="397"/>
                <w:tab w:val="left" w:pos="794"/>
                <w:tab w:val="left" w:pos="1191"/>
              </w:tabs>
              <w:spacing w:before="40" w:after="40"/>
              <w:jc w:val="both"/>
              <w:rPr>
                <w:rFonts w:cs="Segoe UI"/>
                <w:i/>
                <w:sz w:val="17"/>
                <w:szCs w:val="17"/>
              </w:rPr>
            </w:pPr>
            <w:r w:rsidRPr="00593071">
              <w:rPr>
                <w:rFonts w:cs="Segoe UI"/>
                <w:i/>
                <w:sz w:val="17"/>
                <w:szCs w:val="17"/>
                <w:lang w:eastAsia="en-GB"/>
              </w:rPr>
              <w:t>Of which portion of cumulative fair value gains arising from the revaluation of land and buildings which is not included in Tier 2 Capital</w:t>
            </w:r>
            <w:r w:rsidRPr="00593071">
              <w:rPr>
                <w:rFonts w:cs="Segoe UI"/>
                <w:sz w:val="17"/>
                <w:szCs w:val="17"/>
                <w:lang w:eastAsia="en-GB"/>
              </w:rPr>
              <w:t>: It refers to and has the same calculation basis as the amount reported in item 2.12(ii), Division A, Part I of CAR return MA(BS)3.</w:t>
            </w:r>
          </w:p>
        </w:tc>
      </w:tr>
      <w:tr w:rsidR="004406FA" w:rsidRPr="004E457E" w:rsidTr="00D334F9">
        <w:tc>
          <w:tcPr>
            <w:tcW w:w="567" w:type="dxa"/>
            <w:shd w:val="clear" w:color="auto" w:fill="auto"/>
          </w:tcPr>
          <w:p w:rsidR="004406FA" w:rsidRPr="004B43DE" w:rsidRDefault="004406FA" w:rsidP="00D334F9">
            <w:pPr>
              <w:keepLines/>
              <w:tabs>
                <w:tab w:val="left" w:pos="150"/>
                <w:tab w:val="left" w:pos="397"/>
                <w:tab w:val="left" w:pos="794"/>
                <w:tab w:val="left" w:pos="1191"/>
              </w:tabs>
              <w:spacing w:before="40" w:after="40"/>
              <w:rPr>
                <w:rFonts w:cs="Segoe UI"/>
                <w:sz w:val="17"/>
                <w:szCs w:val="17"/>
              </w:rPr>
            </w:pPr>
            <w:r w:rsidRPr="004B43DE">
              <w:rPr>
                <w:rFonts w:cs="Segoe UI"/>
                <w:sz w:val="17"/>
                <w:szCs w:val="17"/>
              </w:rPr>
              <w:t>27</w:t>
            </w:r>
          </w:p>
        </w:tc>
        <w:tc>
          <w:tcPr>
            <w:tcW w:w="8647" w:type="dxa"/>
            <w:shd w:val="clear" w:color="auto" w:fill="auto"/>
          </w:tcPr>
          <w:p w:rsidR="004406FA" w:rsidRPr="004B43DE" w:rsidRDefault="004406FA" w:rsidP="00D334F9">
            <w:pPr>
              <w:keepLines/>
              <w:tabs>
                <w:tab w:val="left" w:pos="150"/>
                <w:tab w:val="left" w:pos="397"/>
                <w:tab w:val="left" w:pos="794"/>
                <w:tab w:val="left" w:pos="1191"/>
              </w:tabs>
              <w:spacing w:before="40" w:after="40"/>
              <w:jc w:val="both"/>
              <w:rPr>
                <w:rFonts w:cs="Segoe UI"/>
                <w:sz w:val="17"/>
                <w:szCs w:val="17"/>
                <w:lang w:eastAsia="en-GB"/>
              </w:rPr>
            </w:pPr>
            <w:r w:rsidRPr="004B43DE">
              <w:rPr>
                <w:rFonts w:cs="Segoe UI"/>
                <w:i/>
                <w:sz w:val="17"/>
                <w:szCs w:val="17"/>
              </w:rPr>
              <w:t>Total</w:t>
            </w:r>
            <w:r w:rsidRPr="004B43DE">
              <w:rPr>
                <w:rFonts w:cs="Segoe UI"/>
                <w:sz w:val="17"/>
                <w:szCs w:val="17"/>
              </w:rPr>
              <w:t xml:space="preserve">: This is equal to the sum of values in rows </w:t>
            </w:r>
            <w:r w:rsidRPr="004B43DE">
              <w:rPr>
                <w:rFonts w:cs="Segoe UI"/>
                <w:sz w:val="17"/>
                <w:szCs w:val="17"/>
                <w:lang w:eastAsia="en-GB"/>
              </w:rPr>
              <w:t xml:space="preserve">1, 6, 10, 11, </w:t>
            </w:r>
            <w:r>
              <w:rPr>
                <w:rFonts w:cs="Segoe UI"/>
                <w:sz w:val="17"/>
                <w:szCs w:val="17"/>
                <w:lang w:eastAsia="en-GB"/>
              </w:rPr>
              <w:t>[</w:t>
            </w:r>
            <w:r w:rsidRPr="004B43DE">
              <w:rPr>
                <w:rFonts w:cs="Segoe UI"/>
                <w:sz w:val="17"/>
                <w:szCs w:val="17"/>
                <w:lang w:eastAsia="en-GB"/>
              </w:rPr>
              <w:t xml:space="preserve">12, 13, 14, </w:t>
            </w:r>
            <w:r>
              <w:rPr>
                <w:rFonts w:cs="Segoe UI"/>
                <w:sz w:val="17"/>
                <w:szCs w:val="17"/>
                <w:lang w:eastAsia="en-GB"/>
              </w:rPr>
              <w:t xml:space="preserve">14a]*, </w:t>
            </w:r>
            <w:r w:rsidRPr="004B43DE">
              <w:rPr>
                <w:rFonts w:cs="Segoe UI"/>
                <w:sz w:val="17"/>
                <w:szCs w:val="17"/>
                <w:lang w:eastAsia="en-GB"/>
              </w:rPr>
              <w:t xml:space="preserve">15, 16, 20, </w:t>
            </w:r>
            <w:r>
              <w:rPr>
                <w:rFonts w:cs="Segoe UI"/>
                <w:sz w:val="17"/>
                <w:szCs w:val="17"/>
                <w:lang w:eastAsia="en-GB"/>
              </w:rPr>
              <w:t>[</w:t>
            </w:r>
            <w:r w:rsidRPr="004B43DE">
              <w:rPr>
                <w:rFonts w:cs="Segoe UI"/>
                <w:sz w:val="17"/>
                <w:szCs w:val="17"/>
                <w:lang w:eastAsia="en-GB"/>
              </w:rPr>
              <w:t>23</w:t>
            </w:r>
            <w:r>
              <w:rPr>
                <w:rFonts w:cs="Segoe UI"/>
                <w:sz w:val="17"/>
                <w:szCs w:val="17"/>
                <w:lang w:eastAsia="en-GB"/>
              </w:rPr>
              <w:t>]*</w:t>
            </w:r>
            <w:r w:rsidRPr="004B43DE">
              <w:rPr>
                <w:rFonts w:cs="Segoe UI"/>
                <w:sz w:val="17"/>
                <w:szCs w:val="17"/>
                <w:lang w:eastAsia="en-GB"/>
              </w:rPr>
              <w:t xml:space="preserve">, 24, </w:t>
            </w:r>
            <w:r w:rsidR="00B42678">
              <w:rPr>
                <w:rFonts w:cs="Segoe UI"/>
                <w:sz w:val="17"/>
                <w:szCs w:val="17"/>
                <w:lang w:eastAsia="en-GB"/>
              </w:rPr>
              <w:t xml:space="preserve">[24a]*, </w:t>
            </w:r>
            <w:r w:rsidRPr="004B43DE">
              <w:rPr>
                <w:rFonts w:cs="Segoe UI"/>
                <w:sz w:val="17"/>
                <w:szCs w:val="17"/>
                <w:lang w:eastAsia="en-GB"/>
              </w:rPr>
              <w:t>25 and 26, minus the deduction value in row 26a.</w:t>
            </w:r>
            <w:r>
              <w:rPr>
                <w:rFonts w:cs="Segoe UI"/>
                <w:sz w:val="17"/>
                <w:szCs w:val="17"/>
                <w:lang w:eastAsia="en-GB"/>
              </w:rPr>
              <w:t xml:space="preserve">  [ ]* only applicable when relevant policy frameworks take effect.</w:t>
            </w:r>
          </w:p>
        </w:tc>
      </w:tr>
    </w:tbl>
    <w:p w:rsidR="004406FA" w:rsidRPr="004E457E" w:rsidRDefault="004406FA" w:rsidP="004406FA"/>
    <w:p w:rsidR="00545554" w:rsidRDefault="00545554" w:rsidP="003F0A7B">
      <w:pPr>
        <w:pStyle w:val="Heading1"/>
        <w:tabs>
          <w:tab w:val="clear" w:pos="794"/>
          <w:tab w:val="left" w:pos="426"/>
        </w:tabs>
        <w:spacing w:before="0"/>
        <w:ind w:leftChars="-283" w:left="-566"/>
        <w:sectPr w:rsidR="00545554">
          <w:footerReference w:type="default" r:id="rId12"/>
          <w:pgSz w:w="11906" w:h="16838"/>
          <w:pgMar w:top="1440" w:right="1800" w:bottom="1440" w:left="1800" w:header="851" w:footer="992" w:gutter="0"/>
          <w:cols w:space="425"/>
          <w:docGrid w:type="lines" w:linePitch="360"/>
        </w:sectPr>
      </w:pPr>
    </w:p>
    <w:p w:rsidR="00545554" w:rsidRPr="00FB5D22" w:rsidRDefault="00844CB5" w:rsidP="00844CB5">
      <w:pPr>
        <w:keepNext/>
        <w:keepLines/>
        <w:tabs>
          <w:tab w:val="left" w:pos="426"/>
        </w:tabs>
        <w:spacing w:after="360"/>
        <w:ind w:leftChars="-283" w:left="-566" w:rightChars="-142" w:right="-284"/>
        <w:outlineLvl w:val="0"/>
        <w:rPr>
          <w:color w:val="AA322F"/>
          <w:sz w:val="28"/>
        </w:rPr>
      </w:pPr>
      <w:r>
        <w:rPr>
          <w:color w:val="AA322F"/>
          <w:sz w:val="28"/>
        </w:rPr>
        <w:lastRenderedPageBreak/>
        <w:t xml:space="preserve">Part </w:t>
      </w:r>
      <w:r w:rsidR="00545554">
        <w:rPr>
          <w:color w:val="AA322F"/>
          <w:sz w:val="28"/>
        </w:rPr>
        <w:t>II:</w:t>
      </w:r>
      <w:r w:rsidR="00545554">
        <w:rPr>
          <w:color w:val="AA322F"/>
          <w:sz w:val="28"/>
        </w:rPr>
        <w:tab/>
        <w:t>Linkages between financial statements and regulatory exposures</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545554" w:rsidRPr="00FB5D22" w:rsidTr="00545554">
        <w:tc>
          <w:tcPr>
            <w:tcW w:w="9242" w:type="dxa"/>
            <w:gridSpan w:val="2"/>
            <w:tcBorders>
              <w:top w:val="nil"/>
            </w:tcBorders>
          </w:tcPr>
          <w:p w:rsidR="00545554" w:rsidRPr="00FB5D22" w:rsidRDefault="00545554" w:rsidP="00545554">
            <w:pPr>
              <w:spacing w:before="40" w:after="40"/>
              <w:rPr>
                <w:noProof/>
                <w:sz w:val="17"/>
                <w:lang w:eastAsia="en-GB"/>
              </w:rPr>
            </w:pPr>
            <w:r>
              <w:rPr>
                <w:sz w:val="22"/>
              </w:rPr>
              <w:t>Template P</w:t>
            </w:r>
            <w:r w:rsidRPr="00FB5D22">
              <w:rPr>
                <w:sz w:val="22"/>
              </w:rPr>
              <w:t>V1</w:t>
            </w:r>
            <w:r>
              <w:rPr>
                <w:sz w:val="22"/>
              </w:rPr>
              <w:t>: Prudent valuation adjustments</w:t>
            </w:r>
          </w:p>
        </w:tc>
      </w:tr>
      <w:tr w:rsidR="00545554" w:rsidRPr="00FB5D22" w:rsidTr="00545554">
        <w:tc>
          <w:tcPr>
            <w:tcW w:w="2127" w:type="dxa"/>
          </w:tcPr>
          <w:p w:rsidR="00545554" w:rsidRPr="00FB5D22" w:rsidRDefault="00545554" w:rsidP="00545554">
            <w:pPr>
              <w:spacing w:before="40" w:after="40"/>
              <w:rPr>
                <w:noProof/>
                <w:sz w:val="17"/>
                <w:lang w:eastAsia="en-GB"/>
              </w:rPr>
            </w:pPr>
            <w:r w:rsidRPr="00FB5D22">
              <w:rPr>
                <w:b/>
                <w:sz w:val="17"/>
                <w:lang w:eastAsia="en-GB"/>
              </w:rPr>
              <w:t>Purpose:</w:t>
            </w:r>
            <w:r w:rsidRPr="00FB5D22">
              <w:rPr>
                <w:sz w:val="17"/>
                <w:lang w:eastAsia="en-GB"/>
              </w:rPr>
              <w:t xml:space="preserve"> </w:t>
            </w:r>
          </w:p>
        </w:tc>
        <w:tc>
          <w:tcPr>
            <w:tcW w:w="7115" w:type="dxa"/>
          </w:tcPr>
          <w:p w:rsidR="00545554" w:rsidRPr="009F0F5D" w:rsidRDefault="00545554" w:rsidP="00545554">
            <w:pPr>
              <w:spacing w:before="40" w:after="40"/>
              <w:jc w:val="both"/>
              <w:rPr>
                <w:rFonts w:eastAsia="新細明體"/>
                <w:noProof/>
                <w:sz w:val="17"/>
                <w:lang w:eastAsia="en-GB"/>
              </w:rPr>
            </w:pPr>
            <w:r>
              <w:rPr>
                <w:rFonts w:eastAsia="新細明體"/>
                <w:noProof/>
                <w:sz w:val="17"/>
                <w:lang w:eastAsia="en-GB"/>
              </w:rPr>
              <w:t xml:space="preserve">To provide a detailed </w:t>
            </w:r>
            <w:r w:rsidRPr="001465AF">
              <w:rPr>
                <w:rFonts w:eastAsia="新細明體"/>
                <w:noProof/>
                <w:sz w:val="17"/>
                <w:lang w:eastAsia="en-GB"/>
              </w:rPr>
              <w:t>breakdown of the</w:t>
            </w:r>
            <w:r>
              <w:rPr>
                <w:rFonts w:eastAsia="新細明體"/>
                <w:noProof/>
                <w:sz w:val="17"/>
                <w:lang w:eastAsia="en-GB"/>
              </w:rPr>
              <w:t xml:space="preserve"> constituent elements of valuation adjustment.</w:t>
            </w:r>
          </w:p>
        </w:tc>
      </w:tr>
      <w:tr w:rsidR="00545554" w:rsidRPr="00FB5D22" w:rsidTr="00545554">
        <w:tc>
          <w:tcPr>
            <w:tcW w:w="2127" w:type="dxa"/>
          </w:tcPr>
          <w:p w:rsidR="00545554" w:rsidRPr="00FB5D22" w:rsidRDefault="00545554" w:rsidP="00545554">
            <w:pPr>
              <w:spacing w:before="40" w:after="40"/>
              <w:rPr>
                <w:b/>
                <w:sz w:val="17"/>
                <w:lang w:eastAsia="en-GB"/>
              </w:rPr>
            </w:pPr>
            <w:r w:rsidRPr="00FB5D22">
              <w:rPr>
                <w:b/>
                <w:sz w:val="17"/>
                <w:lang w:eastAsia="en-GB"/>
              </w:rPr>
              <w:t xml:space="preserve">Scope of application: </w:t>
            </w:r>
          </w:p>
        </w:tc>
        <w:tc>
          <w:tcPr>
            <w:tcW w:w="7115" w:type="dxa"/>
          </w:tcPr>
          <w:p w:rsidR="00545554" w:rsidRPr="00FB5D22" w:rsidRDefault="00545554" w:rsidP="00EB739B">
            <w:pPr>
              <w:tabs>
                <w:tab w:val="right" w:pos="6899"/>
              </w:tabs>
              <w:spacing w:before="40" w:after="40"/>
              <w:jc w:val="both"/>
              <w:rPr>
                <w:rFonts w:eastAsia="新細明體"/>
                <w:b/>
                <w:sz w:val="17"/>
                <w:lang w:eastAsia="en-GB"/>
              </w:rPr>
            </w:pPr>
            <w:r w:rsidRPr="00FB5D22">
              <w:rPr>
                <w:rFonts w:eastAsia="新細明體"/>
                <w:sz w:val="17"/>
                <w:lang w:eastAsia="en-GB"/>
              </w:rPr>
              <w:t>The template is mandatory for all AIs</w:t>
            </w:r>
            <w:r w:rsidRPr="00FB5D22">
              <w:t xml:space="preserve"> </w:t>
            </w:r>
            <w:r>
              <w:rPr>
                <w:rFonts w:eastAsia="新細明體"/>
                <w:sz w:val="17"/>
                <w:lang w:eastAsia="en-GB"/>
              </w:rPr>
              <w:t>incorporated in Hong Kong.</w:t>
            </w:r>
            <w:r>
              <w:rPr>
                <w:rFonts w:eastAsia="新細明體"/>
                <w:sz w:val="17"/>
                <w:lang w:eastAsia="en-GB"/>
              </w:rPr>
              <w:tab/>
            </w:r>
          </w:p>
        </w:tc>
      </w:tr>
      <w:tr w:rsidR="00545554" w:rsidRPr="0039564A" w:rsidTr="00545554">
        <w:tc>
          <w:tcPr>
            <w:tcW w:w="2127" w:type="dxa"/>
          </w:tcPr>
          <w:p w:rsidR="00545554" w:rsidRPr="00FB5D22" w:rsidRDefault="00545554" w:rsidP="00545554">
            <w:pPr>
              <w:spacing w:before="40" w:after="40"/>
              <w:rPr>
                <w:b/>
                <w:sz w:val="17"/>
                <w:lang w:eastAsia="en-GB"/>
              </w:rPr>
            </w:pPr>
            <w:r w:rsidRPr="00FB5D22">
              <w:rPr>
                <w:b/>
                <w:sz w:val="17"/>
                <w:lang w:eastAsia="en-GB"/>
              </w:rPr>
              <w:t xml:space="preserve">Content: </w:t>
            </w:r>
          </w:p>
        </w:tc>
        <w:tc>
          <w:tcPr>
            <w:tcW w:w="7115" w:type="dxa"/>
          </w:tcPr>
          <w:p w:rsidR="00545554" w:rsidRPr="001465AF" w:rsidRDefault="00545554" w:rsidP="00874F37">
            <w:pPr>
              <w:spacing w:before="40" w:after="40"/>
              <w:jc w:val="both"/>
              <w:rPr>
                <w:rFonts w:eastAsia="新細明體"/>
                <w:sz w:val="17"/>
                <w:lang w:eastAsia="en-GB"/>
              </w:rPr>
            </w:pPr>
            <w:r>
              <w:rPr>
                <w:rFonts w:eastAsia="新細明體"/>
                <w:sz w:val="17"/>
                <w:lang w:eastAsia="en-GB"/>
              </w:rPr>
              <w:t>Valuation adjustments</w:t>
            </w:r>
            <w:r w:rsidRPr="001465AF">
              <w:rPr>
                <w:rFonts w:eastAsia="新細明體"/>
                <w:sz w:val="17"/>
                <w:lang w:eastAsia="en-GB"/>
              </w:rPr>
              <w:t xml:space="preserve"> for all</w:t>
            </w:r>
            <w:r>
              <w:rPr>
                <w:rFonts w:eastAsia="新細明體"/>
                <w:sz w:val="17"/>
                <w:lang w:eastAsia="en-GB"/>
              </w:rPr>
              <w:t xml:space="preserve"> assets measured at fair value (marked to market or marked to model), including </w:t>
            </w:r>
            <w:r w:rsidRPr="001465AF">
              <w:rPr>
                <w:rFonts w:eastAsia="新細明體"/>
                <w:sz w:val="17"/>
                <w:lang w:eastAsia="en-GB"/>
              </w:rPr>
              <w:t>non-deriv</w:t>
            </w:r>
            <w:r>
              <w:rPr>
                <w:rFonts w:eastAsia="新細明體"/>
                <w:sz w:val="17"/>
                <w:lang w:eastAsia="en-GB"/>
              </w:rPr>
              <w:t>ative and derivative instruments</w:t>
            </w:r>
            <w:r w:rsidR="00374D90">
              <w:rPr>
                <w:rFonts w:eastAsia="新細明體"/>
                <w:sz w:val="17"/>
                <w:lang w:eastAsia="en-GB"/>
              </w:rPr>
              <w:t>,</w:t>
            </w:r>
            <w:r w:rsidR="00EB739B">
              <w:rPr>
                <w:rFonts w:eastAsia="新細明體"/>
                <w:sz w:val="17"/>
                <w:lang w:eastAsia="en-GB"/>
              </w:rPr>
              <w:t xml:space="preserve"> that an AI has actually considered and made for the purpose of BCR </w:t>
            </w:r>
            <w:r w:rsidR="00EB739B" w:rsidRPr="005425B4">
              <w:rPr>
                <w:rFonts w:cs="Segoe UI"/>
                <w:sz w:val="17"/>
                <w:szCs w:val="17"/>
              </w:rPr>
              <w:t>§</w:t>
            </w:r>
            <w:r w:rsidR="00EB739B">
              <w:rPr>
                <w:rFonts w:eastAsia="新細明體"/>
                <w:sz w:val="17"/>
                <w:lang w:eastAsia="en-GB"/>
              </w:rPr>
              <w:t>4A</w:t>
            </w:r>
            <w:r>
              <w:rPr>
                <w:rFonts w:eastAsia="新細明體"/>
                <w:sz w:val="17"/>
                <w:lang w:eastAsia="en-GB"/>
              </w:rPr>
              <w:t>.</w:t>
            </w:r>
            <w:r w:rsidR="00166A0D">
              <w:rPr>
                <w:rFonts w:eastAsia="新細明體"/>
                <w:sz w:val="17"/>
                <w:lang w:eastAsia="en-GB"/>
              </w:rPr>
              <w:t xml:space="preserve">  </w:t>
            </w:r>
          </w:p>
        </w:tc>
      </w:tr>
      <w:tr w:rsidR="00545554" w:rsidRPr="00FB5D22" w:rsidTr="00545554">
        <w:tc>
          <w:tcPr>
            <w:tcW w:w="2127" w:type="dxa"/>
          </w:tcPr>
          <w:p w:rsidR="00545554" w:rsidRPr="00FB5D22" w:rsidRDefault="00545554" w:rsidP="00545554">
            <w:pPr>
              <w:spacing w:before="40" w:after="40"/>
              <w:rPr>
                <w:sz w:val="17"/>
                <w:lang w:eastAsia="en-GB"/>
              </w:rPr>
            </w:pPr>
            <w:r w:rsidRPr="00FB5D22">
              <w:rPr>
                <w:b/>
                <w:sz w:val="17"/>
                <w:lang w:eastAsia="en-GB"/>
              </w:rPr>
              <w:t>Frequency:</w:t>
            </w:r>
            <w:r w:rsidRPr="00FB5D22">
              <w:rPr>
                <w:sz w:val="17"/>
                <w:lang w:eastAsia="en-GB"/>
              </w:rPr>
              <w:t xml:space="preserve"> </w:t>
            </w:r>
          </w:p>
        </w:tc>
        <w:tc>
          <w:tcPr>
            <w:tcW w:w="7115" w:type="dxa"/>
          </w:tcPr>
          <w:p w:rsidR="00545554" w:rsidRPr="00FB5D22" w:rsidRDefault="00545554" w:rsidP="00545554">
            <w:pPr>
              <w:spacing w:before="40" w:after="40"/>
              <w:jc w:val="both"/>
              <w:rPr>
                <w:rFonts w:eastAsia="新細明體"/>
                <w:sz w:val="17"/>
                <w:lang w:eastAsia="en-GB"/>
              </w:rPr>
            </w:pPr>
            <w:r>
              <w:rPr>
                <w:rFonts w:eastAsia="新細明體"/>
                <w:sz w:val="17"/>
                <w:lang w:eastAsia="en-GB"/>
              </w:rPr>
              <w:t>Annual.</w:t>
            </w:r>
          </w:p>
        </w:tc>
      </w:tr>
      <w:tr w:rsidR="00545554" w:rsidRPr="00FB5D22" w:rsidTr="00545554">
        <w:tc>
          <w:tcPr>
            <w:tcW w:w="2127" w:type="dxa"/>
          </w:tcPr>
          <w:p w:rsidR="00545554" w:rsidRPr="00FB5D22" w:rsidRDefault="00545554" w:rsidP="00545554">
            <w:pPr>
              <w:spacing w:before="40" w:after="40"/>
              <w:rPr>
                <w:sz w:val="17"/>
                <w:lang w:eastAsia="en-GB"/>
              </w:rPr>
            </w:pPr>
            <w:r w:rsidRPr="00FB5D22">
              <w:rPr>
                <w:b/>
                <w:sz w:val="17"/>
                <w:lang w:eastAsia="en-GB"/>
              </w:rPr>
              <w:t>Format:</w:t>
            </w:r>
            <w:r w:rsidRPr="00FB5D22">
              <w:rPr>
                <w:sz w:val="17"/>
                <w:lang w:eastAsia="en-GB"/>
              </w:rPr>
              <w:t xml:space="preserve"> </w:t>
            </w:r>
          </w:p>
        </w:tc>
        <w:tc>
          <w:tcPr>
            <w:tcW w:w="7115" w:type="dxa"/>
          </w:tcPr>
          <w:p w:rsidR="00545554" w:rsidRPr="00FB5D22" w:rsidRDefault="00545554" w:rsidP="00166A0D">
            <w:pPr>
              <w:spacing w:before="40" w:after="40"/>
              <w:jc w:val="both"/>
              <w:rPr>
                <w:rFonts w:eastAsia="新細明體"/>
                <w:sz w:val="17"/>
                <w:lang w:eastAsia="en-GB"/>
              </w:rPr>
            </w:pPr>
            <w:r w:rsidRPr="00FB5D22">
              <w:rPr>
                <w:rFonts w:eastAsia="新細明體"/>
                <w:sz w:val="17"/>
                <w:lang w:eastAsia="en-GB"/>
              </w:rPr>
              <w:t>Fixed.</w:t>
            </w:r>
            <w:r>
              <w:rPr>
                <w:rFonts w:eastAsia="新細明體"/>
                <w:sz w:val="17"/>
                <w:lang w:eastAsia="en-GB"/>
              </w:rPr>
              <w:t xml:space="preserve">  For rows that are not applicable, “0” should be reported.  An AI should explain the reason why such rows are not applicable in the accompanying narrative.</w:t>
            </w:r>
          </w:p>
        </w:tc>
      </w:tr>
      <w:tr w:rsidR="00545554" w:rsidRPr="00FB5D22" w:rsidTr="00545554">
        <w:tc>
          <w:tcPr>
            <w:tcW w:w="2127" w:type="dxa"/>
          </w:tcPr>
          <w:p w:rsidR="00545554" w:rsidRPr="00FB5D22" w:rsidRDefault="00545554" w:rsidP="00545554">
            <w:pPr>
              <w:spacing w:before="40" w:after="40"/>
              <w:rPr>
                <w:b/>
                <w:sz w:val="17"/>
                <w:lang w:eastAsia="en-GB"/>
              </w:rPr>
            </w:pPr>
            <w:r w:rsidRPr="00FB5D22">
              <w:rPr>
                <w:rFonts w:eastAsia="新細明體"/>
                <w:b/>
                <w:sz w:val="17"/>
                <w:szCs w:val="17"/>
                <w:lang w:eastAsia="en-GB"/>
              </w:rPr>
              <w:t>Accompanying narrative</w:t>
            </w:r>
            <w:r w:rsidRPr="00FB5D22">
              <w:rPr>
                <w:rFonts w:eastAsia="新細明體"/>
                <w:sz w:val="17"/>
                <w:szCs w:val="17"/>
                <w:lang w:eastAsia="en-GB"/>
              </w:rPr>
              <w:t>:</w:t>
            </w:r>
          </w:p>
        </w:tc>
        <w:tc>
          <w:tcPr>
            <w:tcW w:w="7115" w:type="dxa"/>
          </w:tcPr>
          <w:p w:rsidR="00545554" w:rsidRPr="005D66F1" w:rsidRDefault="00545554" w:rsidP="00545554">
            <w:pPr>
              <w:spacing w:before="40" w:after="40"/>
              <w:jc w:val="both"/>
              <w:rPr>
                <w:rFonts w:eastAsia="新細明體"/>
                <w:sz w:val="17"/>
                <w:lang w:eastAsia="en-GB"/>
              </w:rPr>
            </w:pPr>
            <w:r w:rsidRPr="00752D09">
              <w:rPr>
                <w:rFonts w:eastAsia="新細明體"/>
                <w:sz w:val="17"/>
                <w:szCs w:val="17"/>
                <w:lang w:eastAsia="en-GB"/>
              </w:rPr>
              <w:t>An AI should supplement the template with a narrative commentary to explain any material movements in the current reporting period and the key drivers of such movements.</w:t>
            </w:r>
            <w:r>
              <w:rPr>
                <w:rFonts w:eastAsia="新細明體"/>
                <w:noProof/>
                <w:sz w:val="17"/>
                <w:lang w:eastAsia="en-GB"/>
              </w:rPr>
              <w:t xml:space="preserve">  In particular, an AI should provide details on “other adjustments</w:t>
            </w:r>
            <w:r w:rsidRPr="001465AF">
              <w:rPr>
                <w:rFonts w:eastAsia="新細明體"/>
                <w:noProof/>
                <w:sz w:val="17"/>
                <w:lang w:eastAsia="en-GB"/>
              </w:rPr>
              <w:t>”</w:t>
            </w:r>
            <w:r>
              <w:rPr>
                <w:rFonts w:eastAsia="新細明體"/>
                <w:noProof/>
                <w:sz w:val="17"/>
                <w:lang w:eastAsia="en-GB"/>
              </w:rPr>
              <w:t xml:space="preserve"> </w:t>
            </w:r>
            <w:r w:rsidRPr="007F75F9">
              <w:rPr>
                <w:rFonts w:eastAsia="新細明體"/>
                <w:noProof/>
                <w:sz w:val="17"/>
                <w:lang w:eastAsia="en-GB"/>
              </w:rPr>
              <w:t>in row 11</w:t>
            </w:r>
            <w:r>
              <w:rPr>
                <w:rFonts w:eastAsia="新細明體"/>
                <w:noProof/>
                <w:sz w:val="17"/>
                <w:lang w:eastAsia="en-GB"/>
              </w:rPr>
              <w:t xml:space="preserve">, </w:t>
            </w:r>
            <w:r w:rsidRPr="00057912">
              <w:rPr>
                <w:rFonts w:eastAsia="新細明體"/>
                <w:noProof/>
                <w:sz w:val="17"/>
                <w:lang w:eastAsia="en-GB"/>
              </w:rPr>
              <w:t xml:space="preserve">where material, </w:t>
            </w:r>
            <w:r>
              <w:rPr>
                <w:rFonts w:eastAsia="新細明體"/>
                <w:noProof/>
                <w:sz w:val="17"/>
                <w:lang w:eastAsia="en-GB"/>
              </w:rPr>
              <w:t xml:space="preserve">together with the definitions of those adjustment that are not listed in </w:t>
            </w:r>
            <w:r w:rsidRPr="00057912">
              <w:rPr>
                <w:rFonts w:eastAsia="新細明體"/>
                <w:noProof/>
                <w:sz w:val="17"/>
                <w:lang w:eastAsia="en-GB"/>
              </w:rPr>
              <w:t>the Basel framework.</w:t>
            </w:r>
            <w:r>
              <w:rPr>
                <w:rFonts w:eastAsia="新細明體"/>
                <w:noProof/>
                <w:sz w:val="17"/>
                <w:lang w:eastAsia="en-GB"/>
              </w:rPr>
              <w:t xml:space="preserve">  The AI should also explain the types </w:t>
            </w:r>
            <w:r w:rsidRPr="001465AF">
              <w:rPr>
                <w:rFonts w:eastAsia="新細明體"/>
                <w:noProof/>
                <w:sz w:val="17"/>
                <w:lang w:eastAsia="en-GB"/>
              </w:rPr>
              <w:t>of financial instruments</w:t>
            </w:r>
            <w:r>
              <w:rPr>
                <w:rFonts w:eastAsia="新細明體"/>
                <w:noProof/>
                <w:sz w:val="17"/>
                <w:lang w:eastAsia="en-GB"/>
              </w:rPr>
              <w:t xml:space="preserve"> with the highest amounts of valuation adjustment recorded</w:t>
            </w:r>
            <w:r w:rsidRPr="00FB5D22">
              <w:rPr>
                <w:rFonts w:eastAsia="新細明體"/>
                <w:sz w:val="17"/>
                <w:lang w:eastAsia="en-GB"/>
              </w:rPr>
              <w:t>.</w:t>
            </w:r>
          </w:p>
        </w:tc>
      </w:tr>
      <w:tr w:rsidR="00545554" w:rsidRPr="00FB5D22" w:rsidTr="00545554">
        <w:tc>
          <w:tcPr>
            <w:tcW w:w="2127" w:type="dxa"/>
          </w:tcPr>
          <w:p w:rsidR="00545554" w:rsidRPr="00FB5D22" w:rsidRDefault="00545554" w:rsidP="00545554">
            <w:pPr>
              <w:spacing w:before="40" w:after="40"/>
              <w:rPr>
                <w:rFonts w:eastAsia="新細明體"/>
                <w:b/>
                <w:sz w:val="17"/>
                <w:szCs w:val="17"/>
                <w:highlight w:val="yellow"/>
                <w:lang w:eastAsia="en-GB"/>
              </w:rPr>
            </w:pPr>
            <w:r w:rsidRPr="00FB5D22">
              <w:rPr>
                <w:rFonts w:eastAsia="新細明體"/>
                <w:b/>
                <w:sz w:val="17"/>
                <w:szCs w:val="17"/>
                <w:lang w:eastAsia="en-GB"/>
              </w:rPr>
              <w:t>Corresponding BDR section:</w:t>
            </w:r>
          </w:p>
        </w:tc>
        <w:tc>
          <w:tcPr>
            <w:tcW w:w="7115" w:type="dxa"/>
          </w:tcPr>
          <w:p w:rsidR="00545554" w:rsidRPr="00FB5D22" w:rsidRDefault="007F7642" w:rsidP="00D1749B">
            <w:pPr>
              <w:spacing w:before="40" w:after="40"/>
              <w:jc w:val="both"/>
              <w:rPr>
                <w:rFonts w:eastAsia="新細明體"/>
                <w:sz w:val="17"/>
                <w:szCs w:val="17"/>
                <w:highlight w:val="yellow"/>
                <w:lang w:eastAsia="en-GB"/>
              </w:rPr>
            </w:pPr>
            <w:r w:rsidRPr="001B530B">
              <w:rPr>
                <w:rFonts w:eastAsia="新細明體"/>
                <w:sz w:val="17"/>
                <w:szCs w:val="17"/>
                <w:lang w:eastAsia="en-GB"/>
              </w:rPr>
              <w:t>16FA</w:t>
            </w:r>
          </w:p>
        </w:tc>
      </w:tr>
    </w:tbl>
    <w:p w:rsidR="00545554" w:rsidRPr="00FB5D22" w:rsidRDefault="00545554" w:rsidP="00545554">
      <w:pPr>
        <w:spacing w:before="120" w:after="120"/>
        <w:rPr>
          <w:sz w:val="22"/>
        </w:rPr>
      </w:pPr>
    </w:p>
    <w:tbl>
      <w:tblPr>
        <w:tblW w:w="9271" w:type="dxa"/>
        <w:tblInd w:w="-539" w:type="dxa"/>
        <w:tblCellMar>
          <w:left w:w="28" w:type="dxa"/>
          <w:right w:w="28" w:type="dxa"/>
        </w:tblCellMar>
        <w:tblLook w:val="04A0" w:firstRow="1" w:lastRow="0" w:firstColumn="1" w:lastColumn="0" w:noHBand="0" w:noVBand="1"/>
      </w:tblPr>
      <w:tblGrid>
        <w:gridCol w:w="425"/>
        <w:gridCol w:w="1702"/>
        <w:gridCol w:w="820"/>
        <w:gridCol w:w="820"/>
        <w:gridCol w:w="820"/>
        <w:gridCol w:w="820"/>
        <w:gridCol w:w="1120"/>
        <w:gridCol w:w="820"/>
        <w:gridCol w:w="1017"/>
        <w:gridCol w:w="907"/>
      </w:tblGrid>
      <w:tr w:rsidR="00545554" w:rsidRPr="00A84FAB" w:rsidTr="00A4258D">
        <w:trPr>
          <w:trHeight w:val="283"/>
          <w:tblHeader/>
        </w:trPr>
        <w:tc>
          <w:tcPr>
            <w:tcW w:w="425" w:type="dxa"/>
            <w:tcBorders>
              <w:top w:val="nil"/>
              <w:left w:val="nil"/>
              <w:bottom w:val="nil"/>
              <w:right w:val="nil"/>
            </w:tcBorders>
            <w:shd w:val="clear" w:color="auto" w:fill="auto"/>
            <w:noWrap/>
            <w:vAlign w:val="center"/>
            <w:hideMark/>
          </w:tcPr>
          <w:p w:rsidR="00545554" w:rsidRPr="00A84FAB" w:rsidRDefault="00545554" w:rsidP="00545554">
            <w:pPr>
              <w:spacing w:line="200" w:lineRule="exact"/>
              <w:rPr>
                <w:rFonts w:eastAsia="新細明體" w:cs="Segoe UI"/>
                <w:color w:val="000000"/>
                <w:sz w:val="17"/>
                <w:szCs w:val="17"/>
              </w:rPr>
            </w:pPr>
          </w:p>
        </w:tc>
        <w:tc>
          <w:tcPr>
            <w:tcW w:w="1702" w:type="dxa"/>
            <w:tcBorders>
              <w:top w:val="nil"/>
              <w:left w:val="nil"/>
              <w:bottom w:val="nil"/>
              <w:right w:val="nil"/>
            </w:tcBorders>
            <w:shd w:val="clear" w:color="auto" w:fill="auto"/>
            <w:noWrap/>
            <w:vAlign w:val="center"/>
            <w:hideMark/>
          </w:tcPr>
          <w:p w:rsidR="00545554" w:rsidRPr="00A84FAB" w:rsidRDefault="00545554" w:rsidP="00545554">
            <w:pPr>
              <w:spacing w:line="200" w:lineRule="exact"/>
              <w:rPr>
                <w:rFonts w:eastAsia="新細明體" w:cs="Segoe UI"/>
                <w:color w:val="000000"/>
                <w:sz w:val="17"/>
                <w:szCs w:val="17"/>
              </w:rPr>
            </w:pPr>
          </w:p>
        </w:tc>
        <w:tc>
          <w:tcPr>
            <w:tcW w:w="820" w:type="dxa"/>
            <w:tcBorders>
              <w:top w:val="single" w:sz="4" w:space="0" w:color="auto"/>
              <w:left w:val="single" w:sz="4" w:space="0" w:color="auto"/>
              <w:bottom w:val="single" w:sz="4" w:space="0" w:color="auto"/>
              <w:right w:val="single" w:sz="4" w:space="0" w:color="BFBFBF"/>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(a)</w:t>
            </w:r>
          </w:p>
        </w:tc>
        <w:tc>
          <w:tcPr>
            <w:tcW w:w="820" w:type="dxa"/>
            <w:tcBorders>
              <w:top w:val="single" w:sz="4" w:space="0" w:color="auto"/>
              <w:left w:val="nil"/>
              <w:bottom w:val="single" w:sz="4" w:space="0" w:color="auto"/>
              <w:right w:val="single" w:sz="4" w:space="0" w:color="BFBFBF"/>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(b)</w:t>
            </w:r>
          </w:p>
        </w:tc>
        <w:tc>
          <w:tcPr>
            <w:tcW w:w="820" w:type="dxa"/>
            <w:tcBorders>
              <w:top w:val="single" w:sz="4" w:space="0" w:color="auto"/>
              <w:left w:val="nil"/>
              <w:bottom w:val="single" w:sz="4" w:space="0" w:color="auto"/>
              <w:right w:val="single" w:sz="4" w:space="0" w:color="BFBFBF"/>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(c)</w:t>
            </w:r>
          </w:p>
        </w:tc>
        <w:tc>
          <w:tcPr>
            <w:tcW w:w="820" w:type="dxa"/>
            <w:tcBorders>
              <w:top w:val="single" w:sz="4" w:space="0" w:color="auto"/>
              <w:left w:val="nil"/>
              <w:bottom w:val="single" w:sz="4" w:space="0" w:color="auto"/>
              <w:right w:val="single" w:sz="4" w:space="0" w:color="BFBFBF"/>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(d)</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(e)</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545554" w:rsidRPr="00E440F4" w:rsidRDefault="00545554" w:rsidP="00545554">
            <w:pPr>
              <w:spacing w:line="200" w:lineRule="exact"/>
              <w:jc w:val="center"/>
              <w:rPr>
                <w:rFonts w:eastAsia="新細明體" w:cs="Segoe UI"/>
                <w:bCs/>
                <w:color w:val="000000"/>
                <w:sz w:val="17"/>
                <w:szCs w:val="17"/>
              </w:rPr>
            </w:pPr>
            <w:r w:rsidRPr="00E440F4">
              <w:rPr>
                <w:rFonts w:eastAsia="新細明體" w:cs="Segoe UI"/>
                <w:bCs/>
                <w:color w:val="000000"/>
                <w:sz w:val="17"/>
                <w:szCs w:val="17"/>
              </w:rPr>
              <w:t>(f)</w:t>
            </w:r>
          </w:p>
        </w:tc>
        <w:tc>
          <w:tcPr>
            <w:tcW w:w="1017" w:type="dxa"/>
            <w:tcBorders>
              <w:top w:val="single" w:sz="4" w:space="0" w:color="auto"/>
              <w:left w:val="nil"/>
              <w:bottom w:val="nil"/>
              <w:right w:val="single" w:sz="4" w:space="0" w:color="BFBFBF"/>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(g)</w:t>
            </w:r>
          </w:p>
        </w:tc>
        <w:tc>
          <w:tcPr>
            <w:tcW w:w="907" w:type="dxa"/>
            <w:tcBorders>
              <w:top w:val="single" w:sz="4" w:space="0" w:color="auto"/>
              <w:left w:val="nil"/>
              <w:bottom w:val="nil"/>
              <w:right w:val="single" w:sz="4" w:space="0" w:color="auto"/>
            </w:tcBorders>
            <w:shd w:val="clear" w:color="auto" w:fill="auto"/>
            <w:vAlign w:val="center"/>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(h)</w:t>
            </w:r>
          </w:p>
        </w:tc>
      </w:tr>
      <w:tr w:rsidR="00545554" w:rsidRPr="00A84FAB" w:rsidTr="00A4258D">
        <w:trPr>
          <w:trHeight w:val="682"/>
          <w:tblHeader/>
        </w:trPr>
        <w:tc>
          <w:tcPr>
            <w:tcW w:w="425" w:type="dxa"/>
            <w:tcBorders>
              <w:top w:val="nil"/>
              <w:left w:val="nil"/>
              <w:bottom w:val="nil"/>
              <w:right w:val="nil"/>
            </w:tcBorders>
            <w:shd w:val="clear" w:color="auto" w:fill="auto"/>
            <w:noWrap/>
            <w:vAlign w:val="center"/>
            <w:hideMark/>
          </w:tcPr>
          <w:p w:rsidR="00545554" w:rsidRPr="00A84FAB" w:rsidRDefault="00545554" w:rsidP="00545554">
            <w:pPr>
              <w:spacing w:line="200" w:lineRule="exact"/>
              <w:rPr>
                <w:rFonts w:eastAsia="新細明體" w:cs="Segoe UI"/>
                <w:color w:val="000000"/>
                <w:sz w:val="17"/>
                <w:szCs w:val="17"/>
              </w:rPr>
            </w:pPr>
          </w:p>
        </w:tc>
        <w:tc>
          <w:tcPr>
            <w:tcW w:w="1702" w:type="dxa"/>
            <w:tcBorders>
              <w:top w:val="nil"/>
              <w:left w:val="nil"/>
              <w:bottom w:val="nil"/>
              <w:right w:val="nil"/>
            </w:tcBorders>
            <w:shd w:val="clear" w:color="auto" w:fill="auto"/>
            <w:noWrap/>
            <w:vAlign w:val="center"/>
            <w:hideMark/>
          </w:tcPr>
          <w:p w:rsidR="00545554" w:rsidRPr="00A84FAB" w:rsidRDefault="00545554" w:rsidP="00545554">
            <w:pPr>
              <w:spacing w:line="200" w:lineRule="exact"/>
              <w:rPr>
                <w:rFonts w:eastAsia="新細明體" w:cs="Segoe UI"/>
                <w:color w:val="000000"/>
                <w:sz w:val="17"/>
                <w:szCs w:val="17"/>
              </w:rPr>
            </w:pPr>
          </w:p>
        </w:tc>
        <w:tc>
          <w:tcPr>
            <w:tcW w:w="820" w:type="dxa"/>
            <w:tcBorders>
              <w:top w:val="nil"/>
              <w:left w:val="single" w:sz="4" w:space="0" w:color="auto"/>
              <w:bottom w:val="single" w:sz="4" w:space="0" w:color="auto"/>
              <w:right w:val="single" w:sz="4" w:space="0" w:color="BFBFBF"/>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Equity</w:t>
            </w:r>
          </w:p>
        </w:tc>
        <w:tc>
          <w:tcPr>
            <w:tcW w:w="820" w:type="dxa"/>
            <w:tcBorders>
              <w:top w:val="nil"/>
              <w:left w:val="nil"/>
              <w:bottom w:val="single" w:sz="4" w:space="0" w:color="auto"/>
              <w:right w:val="single" w:sz="4" w:space="0" w:color="BFBFBF"/>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Interest rates</w:t>
            </w:r>
          </w:p>
        </w:tc>
        <w:tc>
          <w:tcPr>
            <w:tcW w:w="820" w:type="dxa"/>
            <w:tcBorders>
              <w:top w:val="nil"/>
              <w:left w:val="nil"/>
              <w:bottom w:val="single" w:sz="4" w:space="0" w:color="auto"/>
              <w:right w:val="single" w:sz="4" w:space="0" w:color="BFBFBF"/>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FX</w:t>
            </w:r>
          </w:p>
        </w:tc>
        <w:tc>
          <w:tcPr>
            <w:tcW w:w="820" w:type="dxa"/>
            <w:tcBorders>
              <w:top w:val="nil"/>
              <w:left w:val="nil"/>
              <w:bottom w:val="single" w:sz="4" w:space="0" w:color="auto"/>
              <w:right w:val="single" w:sz="4" w:space="0" w:color="BFBFBF"/>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Credit</w:t>
            </w:r>
          </w:p>
        </w:tc>
        <w:tc>
          <w:tcPr>
            <w:tcW w:w="1120" w:type="dxa"/>
            <w:tcBorders>
              <w:top w:val="nil"/>
              <w:left w:val="nil"/>
              <w:bottom w:val="single" w:sz="4" w:space="0" w:color="auto"/>
              <w:right w:val="single" w:sz="4" w:space="0" w:color="auto"/>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Commodities</w:t>
            </w:r>
          </w:p>
        </w:tc>
        <w:tc>
          <w:tcPr>
            <w:tcW w:w="820" w:type="dxa"/>
            <w:tcBorders>
              <w:top w:val="nil"/>
              <w:left w:val="nil"/>
              <w:bottom w:val="single" w:sz="4" w:space="0" w:color="auto"/>
              <w:right w:val="single" w:sz="4" w:space="0" w:color="auto"/>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Total</w:t>
            </w:r>
          </w:p>
        </w:tc>
        <w:tc>
          <w:tcPr>
            <w:tcW w:w="1017" w:type="dxa"/>
            <w:tcBorders>
              <w:top w:val="single" w:sz="4" w:space="0" w:color="auto"/>
              <w:left w:val="nil"/>
              <w:bottom w:val="nil"/>
              <w:right w:val="single" w:sz="4" w:space="0" w:color="BFBFBF"/>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Of which:</w:t>
            </w:r>
            <w:r w:rsidRPr="00235B55">
              <w:rPr>
                <w:rFonts w:cs="Segoe UI"/>
                <w:sz w:val="17"/>
                <w:szCs w:val="17"/>
              </w:rPr>
              <w:br/>
              <w:t>In the trading book</w:t>
            </w:r>
          </w:p>
        </w:tc>
        <w:tc>
          <w:tcPr>
            <w:tcW w:w="907" w:type="dxa"/>
            <w:tcBorders>
              <w:top w:val="single" w:sz="4" w:space="0" w:color="auto"/>
              <w:left w:val="nil"/>
              <w:bottom w:val="nil"/>
              <w:right w:val="single" w:sz="4" w:space="0" w:color="auto"/>
            </w:tcBorders>
            <w:shd w:val="clear" w:color="auto" w:fill="auto"/>
            <w:vAlign w:val="center"/>
            <w:hideMark/>
          </w:tcPr>
          <w:p w:rsidR="00545554" w:rsidRPr="00235B55" w:rsidRDefault="00545554" w:rsidP="00545554">
            <w:pPr>
              <w:spacing w:line="200" w:lineRule="exact"/>
              <w:jc w:val="center"/>
              <w:rPr>
                <w:rFonts w:cs="Segoe UI"/>
                <w:sz w:val="17"/>
                <w:szCs w:val="17"/>
              </w:rPr>
            </w:pPr>
            <w:r w:rsidRPr="00235B55">
              <w:rPr>
                <w:rFonts w:cs="Segoe UI"/>
                <w:sz w:val="17"/>
                <w:szCs w:val="17"/>
              </w:rPr>
              <w:t>Of which:</w:t>
            </w:r>
            <w:r w:rsidRPr="00235B55">
              <w:rPr>
                <w:rFonts w:cs="Segoe UI"/>
                <w:sz w:val="17"/>
                <w:szCs w:val="17"/>
              </w:rPr>
              <w:br/>
              <w:t>In the banking book</w:t>
            </w:r>
          </w:p>
        </w:tc>
      </w:tr>
      <w:tr w:rsidR="00545554" w:rsidRPr="00A84FAB" w:rsidTr="00A4258D">
        <w:trPr>
          <w:trHeight w:val="284"/>
        </w:trPr>
        <w:tc>
          <w:tcPr>
            <w:tcW w:w="425"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1</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Close-out uncertainty, of which:</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nil"/>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A4258D"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2</w:t>
            </w:r>
          </w:p>
        </w:tc>
        <w:tc>
          <w:tcPr>
            <w:tcW w:w="1702" w:type="dxa"/>
            <w:tcBorders>
              <w:top w:val="single" w:sz="4" w:space="0" w:color="auto"/>
              <w:left w:val="nil"/>
              <w:bottom w:val="single" w:sz="4" w:space="0" w:color="BFBFBF"/>
              <w:right w:val="single" w:sz="4" w:space="0" w:color="auto"/>
            </w:tcBorders>
            <w:shd w:val="clear" w:color="auto" w:fill="auto"/>
            <w:hideMark/>
          </w:tcPr>
          <w:p w:rsidR="00545554" w:rsidRPr="00A84FAB" w:rsidRDefault="00545554" w:rsidP="00545554">
            <w:pPr>
              <w:spacing w:line="200" w:lineRule="exact"/>
              <w:ind w:leftChars="142" w:left="284"/>
              <w:rPr>
                <w:rFonts w:eastAsia="新細明體" w:cs="Segoe UI"/>
                <w:i/>
                <w:iCs/>
                <w:color w:val="000000"/>
                <w:sz w:val="17"/>
                <w:szCs w:val="17"/>
              </w:rPr>
            </w:pPr>
            <w:r w:rsidRPr="00A84FAB">
              <w:rPr>
                <w:rFonts w:eastAsia="新細明體" w:cs="Segoe UI"/>
                <w:i/>
                <w:iCs/>
                <w:color w:val="000000"/>
                <w:sz w:val="17"/>
                <w:szCs w:val="17"/>
              </w:rPr>
              <w:t>Mid-market value</w:t>
            </w:r>
          </w:p>
        </w:tc>
        <w:tc>
          <w:tcPr>
            <w:tcW w:w="820"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3</w:t>
            </w:r>
          </w:p>
        </w:tc>
        <w:tc>
          <w:tcPr>
            <w:tcW w:w="1702" w:type="dxa"/>
            <w:tcBorders>
              <w:top w:val="nil"/>
              <w:left w:val="nil"/>
              <w:bottom w:val="single" w:sz="4" w:space="0" w:color="BFBFBF"/>
              <w:right w:val="single" w:sz="4" w:space="0" w:color="auto"/>
            </w:tcBorders>
            <w:shd w:val="clear" w:color="auto" w:fill="auto"/>
            <w:hideMark/>
          </w:tcPr>
          <w:p w:rsidR="00545554" w:rsidRPr="00A84FAB" w:rsidRDefault="00545554" w:rsidP="00545554">
            <w:pPr>
              <w:spacing w:line="200" w:lineRule="exact"/>
              <w:ind w:leftChars="142" w:left="284"/>
              <w:rPr>
                <w:rFonts w:eastAsia="新細明體" w:cs="Segoe UI"/>
                <w:i/>
                <w:iCs/>
                <w:color w:val="000000"/>
                <w:sz w:val="17"/>
                <w:szCs w:val="17"/>
              </w:rPr>
            </w:pPr>
            <w:r w:rsidRPr="00A84FAB">
              <w:rPr>
                <w:rFonts w:eastAsia="新細明體" w:cs="Segoe UI"/>
                <w:i/>
                <w:iCs/>
                <w:color w:val="000000"/>
                <w:sz w:val="17"/>
                <w:szCs w:val="17"/>
              </w:rPr>
              <w:t>Close-out costs</w:t>
            </w:r>
          </w:p>
        </w:tc>
        <w:tc>
          <w:tcPr>
            <w:tcW w:w="820" w:type="dxa"/>
            <w:tcBorders>
              <w:top w:val="nil"/>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nil"/>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nil"/>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nil"/>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4</w:t>
            </w:r>
          </w:p>
        </w:tc>
        <w:tc>
          <w:tcPr>
            <w:tcW w:w="1702" w:type="dxa"/>
            <w:tcBorders>
              <w:top w:val="nil"/>
              <w:left w:val="nil"/>
              <w:bottom w:val="single" w:sz="4" w:space="0" w:color="auto"/>
              <w:right w:val="single" w:sz="4" w:space="0" w:color="auto"/>
            </w:tcBorders>
            <w:shd w:val="clear" w:color="auto" w:fill="auto"/>
            <w:hideMark/>
          </w:tcPr>
          <w:p w:rsidR="00545554" w:rsidRPr="00A84FAB" w:rsidRDefault="00545554" w:rsidP="00545554">
            <w:pPr>
              <w:spacing w:line="200" w:lineRule="exact"/>
              <w:ind w:leftChars="142" w:left="284"/>
              <w:rPr>
                <w:rFonts w:eastAsia="新細明體" w:cs="Segoe UI"/>
                <w:i/>
                <w:iCs/>
                <w:color w:val="000000"/>
                <w:sz w:val="17"/>
                <w:szCs w:val="17"/>
              </w:rPr>
            </w:pPr>
            <w:r w:rsidRPr="00A84FAB">
              <w:rPr>
                <w:rFonts w:eastAsia="新細明體" w:cs="Segoe UI"/>
                <w:i/>
                <w:iCs/>
                <w:color w:val="000000"/>
                <w:sz w:val="17"/>
                <w:szCs w:val="17"/>
              </w:rPr>
              <w:t>Concentration</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nil"/>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nil"/>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nil"/>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nil"/>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5</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Early termination</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6</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Model risk</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7</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Operational risks</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545554" w:rsidRPr="003C3C43"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8</w:t>
            </w:r>
          </w:p>
        </w:tc>
        <w:tc>
          <w:tcPr>
            <w:tcW w:w="1702" w:type="dxa"/>
            <w:tcBorders>
              <w:top w:val="single" w:sz="4" w:space="0" w:color="auto"/>
              <w:left w:val="nil"/>
              <w:bottom w:val="single" w:sz="4" w:space="0" w:color="BFBFBF" w:themeColor="background1" w:themeShade="BF"/>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Investing and funding costs</w:t>
            </w:r>
          </w:p>
        </w:tc>
        <w:tc>
          <w:tcPr>
            <w:tcW w:w="820" w:type="dxa"/>
            <w:tcBorders>
              <w:top w:val="single" w:sz="4" w:space="0" w:color="auto"/>
              <w:left w:val="nil"/>
              <w:bottom w:val="single" w:sz="4" w:space="0" w:color="BFBFBF" w:themeColor="background1" w:themeShade="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themeColor="background1" w:themeShade="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themeColor="background1" w:themeShade="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themeColor="background1" w:themeShade="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BFBFBF" w:themeColor="background1" w:themeShade="BF"/>
              <w:right w:val="single" w:sz="4" w:space="0" w:color="auto"/>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themeColor="background1" w:themeShade="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BFBFBF" w:themeColor="background1" w:themeShade="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BFBFBF" w:themeColor="background1" w:themeShade="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9</w:t>
            </w:r>
          </w:p>
        </w:tc>
        <w:tc>
          <w:tcPr>
            <w:tcW w:w="1702" w:type="dxa"/>
            <w:tcBorders>
              <w:top w:val="single" w:sz="4" w:space="0" w:color="auto"/>
              <w:left w:val="nil"/>
              <w:bottom w:val="single" w:sz="4" w:space="0" w:color="BFBFBF"/>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Unearned credit spreads</w:t>
            </w:r>
          </w:p>
        </w:tc>
        <w:tc>
          <w:tcPr>
            <w:tcW w:w="820" w:type="dxa"/>
            <w:tcBorders>
              <w:top w:val="single" w:sz="4" w:space="0" w:color="auto"/>
              <w:left w:val="nil"/>
              <w:bottom w:val="single" w:sz="4" w:space="0" w:color="BFBF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BFBFBF"/>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BFBFBF"/>
              <w:right w:val="single" w:sz="4" w:space="0" w:color="auto"/>
            </w:tcBorders>
            <w:shd w:val="clear" w:color="000000" w:fill="D9D9D9"/>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BFBFBF"/>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10</w:t>
            </w:r>
          </w:p>
        </w:tc>
        <w:tc>
          <w:tcPr>
            <w:tcW w:w="1702" w:type="dxa"/>
            <w:tcBorders>
              <w:top w:val="single" w:sz="4" w:space="0" w:color="auto"/>
              <w:left w:val="nil"/>
              <w:bottom w:val="single" w:sz="4" w:space="0" w:color="BFBFBF"/>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Future administrative costs</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BFBFBF"/>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nil"/>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color w:val="000000"/>
                <w:sz w:val="17"/>
                <w:szCs w:val="17"/>
              </w:rPr>
            </w:pPr>
            <w:r w:rsidRPr="00A84FAB">
              <w:rPr>
                <w:rFonts w:eastAsia="新細明體" w:cs="Segoe UI"/>
                <w:color w:val="000000"/>
                <w:sz w:val="17"/>
                <w:szCs w:val="17"/>
              </w:rPr>
              <w:t>11</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Other adjustment</w:t>
            </w:r>
            <w:r>
              <w:rPr>
                <w:rFonts w:eastAsia="新細明體" w:cs="Segoe UI"/>
                <w:color w:val="000000"/>
                <w:sz w:val="17"/>
                <w:szCs w:val="17"/>
              </w:rPr>
              <w:t>s</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r>
      <w:tr w:rsidR="00545554" w:rsidRPr="00A84FAB" w:rsidTr="00A4258D">
        <w:trPr>
          <w:trHeight w:val="284"/>
        </w:trPr>
        <w:tc>
          <w:tcPr>
            <w:tcW w:w="425"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jc w:val="center"/>
              <w:rPr>
                <w:rFonts w:eastAsia="新細明體" w:cs="Segoe UI"/>
                <w:b/>
                <w:bCs/>
                <w:color w:val="000000"/>
                <w:sz w:val="17"/>
                <w:szCs w:val="17"/>
              </w:rPr>
            </w:pPr>
            <w:r w:rsidRPr="00A84FAB">
              <w:rPr>
                <w:rFonts w:eastAsia="新細明體" w:cs="Segoe UI"/>
                <w:b/>
                <w:bCs/>
                <w:color w:val="000000"/>
                <w:sz w:val="17"/>
                <w:szCs w:val="17"/>
              </w:rPr>
              <w:t>12</w:t>
            </w:r>
          </w:p>
        </w:tc>
        <w:tc>
          <w:tcPr>
            <w:tcW w:w="1702" w:type="dxa"/>
            <w:tcBorders>
              <w:top w:val="single" w:sz="4" w:space="0" w:color="auto"/>
              <w:left w:val="nil"/>
              <w:bottom w:val="single" w:sz="4" w:space="0" w:color="auto"/>
              <w:right w:val="single" w:sz="4" w:space="0" w:color="auto"/>
            </w:tcBorders>
            <w:shd w:val="clear" w:color="auto" w:fill="auto"/>
            <w:hideMark/>
          </w:tcPr>
          <w:p w:rsidR="00545554" w:rsidRPr="00A84FAB" w:rsidRDefault="00545554" w:rsidP="00545554">
            <w:pPr>
              <w:spacing w:line="200" w:lineRule="exact"/>
              <w:rPr>
                <w:rFonts w:eastAsia="新細明體" w:cs="Segoe UI"/>
                <w:b/>
                <w:bCs/>
                <w:color w:val="000000"/>
                <w:sz w:val="17"/>
                <w:szCs w:val="17"/>
              </w:rPr>
            </w:pPr>
            <w:r w:rsidRPr="00A84FAB">
              <w:rPr>
                <w:rFonts w:eastAsia="新細明體" w:cs="Segoe UI"/>
                <w:b/>
                <w:bCs/>
                <w:color w:val="000000"/>
                <w:sz w:val="17"/>
                <w:szCs w:val="17"/>
              </w:rPr>
              <w:t>Total adjustment</w:t>
            </w:r>
            <w:r>
              <w:rPr>
                <w:rFonts w:eastAsia="新細明體" w:cs="Segoe UI"/>
                <w:b/>
                <w:bCs/>
                <w:color w:val="000000"/>
                <w:sz w:val="17"/>
                <w:szCs w:val="17"/>
              </w:rPr>
              <w:t>s</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1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820"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1017" w:type="dxa"/>
            <w:tcBorders>
              <w:top w:val="single" w:sz="4" w:space="0" w:color="auto"/>
              <w:left w:val="nil"/>
              <w:bottom w:val="single" w:sz="4" w:space="0" w:color="auto"/>
              <w:right w:val="single" w:sz="4" w:space="0" w:color="BFBFBF"/>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r w:rsidRPr="00A84FAB">
              <w:rPr>
                <w:rFonts w:eastAsia="新細明體" w:cs="Segoe UI"/>
                <w:color w:val="000000"/>
                <w:sz w:val="17"/>
                <w:szCs w:val="17"/>
              </w:rPr>
              <w:t xml:space="preserve">　</w:t>
            </w:r>
          </w:p>
        </w:tc>
        <w:tc>
          <w:tcPr>
            <w:tcW w:w="907" w:type="dxa"/>
            <w:tcBorders>
              <w:top w:val="single" w:sz="4" w:space="0" w:color="auto"/>
              <w:left w:val="nil"/>
              <w:bottom w:val="single" w:sz="4" w:space="0" w:color="auto"/>
              <w:right w:val="single" w:sz="4" w:space="0" w:color="auto"/>
            </w:tcBorders>
            <w:shd w:val="clear" w:color="auto" w:fill="auto"/>
            <w:noWrap/>
            <w:hideMark/>
          </w:tcPr>
          <w:p w:rsidR="00545554" w:rsidRPr="00A84FAB" w:rsidRDefault="00545554" w:rsidP="00545554">
            <w:pPr>
              <w:spacing w:line="200" w:lineRule="exact"/>
              <w:rPr>
                <w:rFonts w:eastAsia="新細明體" w:cs="Segoe UI"/>
                <w:color w:val="000000"/>
                <w:sz w:val="17"/>
                <w:szCs w:val="17"/>
              </w:rPr>
            </w:pPr>
          </w:p>
        </w:tc>
      </w:tr>
    </w:tbl>
    <w:p w:rsidR="00A4258D" w:rsidRPr="00FB5D22" w:rsidRDefault="00A4258D" w:rsidP="00545554">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789"/>
      </w:tblGrid>
      <w:tr w:rsidR="00545554" w:rsidRPr="00FB5D22" w:rsidTr="00545554">
        <w:trPr>
          <w:tblHeader/>
        </w:trPr>
        <w:tc>
          <w:tcPr>
            <w:tcW w:w="9214" w:type="dxa"/>
            <w:gridSpan w:val="2"/>
            <w:shd w:val="clear" w:color="auto" w:fill="BFBFBF"/>
          </w:tcPr>
          <w:p w:rsidR="00545554" w:rsidRPr="00FB5D22" w:rsidRDefault="00545554" w:rsidP="00545554">
            <w:pPr>
              <w:keepLines/>
              <w:tabs>
                <w:tab w:val="left" w:pos="150"/>
                <w:tab w:val="left" w:pos="397"/>
                <w:tab w:val="left" w:pos="794"/>
                <w:tab w:val="left" w:pos="1191"/>
              </w:tabs>
              <w:spacing w:before="40" w:after="40"/>
              <w:rPr>
                <w:rFonts w:eastAsia="新細明體"/>
                <w:b/>
                <w:sz w:val="17"/>
                <w:lang w:eastAsia="en-GB"/>
              </w:rPr>
            </w:pPr>
            <w:r w:rsidRPr="00FB5D22">
              <w:rPr>
                <w:rFonts w:eastAsia="新細明體"/>
                <w:b/>
                <w:sz w:val="17"/>
                <w:lang w:eastAsia="en-GB"/>
              </w:rPr>
              <w:lastRenderedPageBreak/>
              <w:t>Explanatory Note</w:t>
            </w:r>
          </w:p>
        </w:tc>
      </w:tr>
      <w:tr w:rsidR="00545554" w:rsidRPr="00FB5D22" w:rsidTr="00545554">
        <w:tc>
          <w:tcPr>
            <w:tcW w:w="9214" w:type="dxa"/>
            <w:gridSpan w:val="2"/>
            <w:shd w:val="clear" w:color="auto" w:fill="F2F2F2"/>
          </w:tcPr>
          <w:p w:rsidR="00545554" w:rsidRPr="00FB5D22" w:rsidRDefault="00545554" w:rsidP="00545554">
            <w:pPr>
              <w:keepLines/>
              <w:tabs>
                <w:tab w:val="left" w:pos="150"/>
                <w:tab w:val="left" w:pos="397"/>
                <w:tab w:val="left" w:pos="794"/>
                <w:tab w:val="left" w:pos="1191"/>
              </w:tabs>
              <w:spacing w:before="40" w:after="40"/>
              <w:rPr>
                <w:rFonts w:eastAsia="新細明體"/>
                <w:b/>
                <w:sz w:val="17"/>
                <w:lang w:eastAsia="en-GB"/>
              </w:rPr>
            </w:pPr>
            <w:r w:rsidRPr="00FB5D22">
              <w:rPr>
                <w:rFonts w:eastAsia="新細明體"/>
                <w:b/>
                <w:sz w:val="17"/>
                <w:lang w:eastAsia="en-GB"/>
              </w:rPr>
              <w:t>Rows</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1</w:t>
            </w:r>
          </w:p>
        </w:tc>
        <w:tc>
          <w:tcPr>
            <w:tcW w:w="8789" w:type="dxa"/>
            <w:shd w:val="clear" w:color="auto" w:fill="auto"/>
          </w:tcPr>
          <w:p w:rsidR="00EB739B" w:rsidRPr="00056FD4" w:rsidRDefault="00EB739B" w:rsidP="00EB739B">
            <w:pPr>
              <w:keepLines/>
              <w:tabs>
                <w:tab w:val="left" w:pos="150"/>
                <w:tab w:val="left" w:pos="397"/>
                <w:tab w:val="left" w:pos="794"/>
                <w:tab w:val="left" w:pos="1191"/>
              </w:tabs>
              <w:spacing w:before="40" w:after="40"/>
              <w:jc w:val="both"/>
              <w:rPr>
                <w:rFonts w:cs="Segoe UI"/>
                <w:sz w:val="17"/>
                <w:szCs w:val="17"/>
              </w:rPr>
            </w:pPr>
            <w:r w:rsidRPr="00EB739B">
              <w:rPr>
                <w:rFonts w:eastAsia="新細明體" w:cs="Segoe UI"/>
                <w:i/>
                <w:color w:val="000000"/>
                <w:sz w:val="17"/>
                <w:szCs w:val="17"/>
              </w:rPr>
              <w:t>Close-out uncertainty, of which</w:t>
            </w:r>
            <w:r w:rsidRPr="00A84FAB">
              <w:rPr>
                <w:rFonts w:eastAsia="新細明體" w:cs="Segoe UI"/>
                <w:color w:val="000000"/>
                <w:sz w:val="17"/>
                <w:szCs w:val="17"/>
              </w:rPr>
              <w:t>:</w:t>
            </w:r>
            <w:r>
              <w:rPr>
                <w:rFonts w:eastAsia="新細明體" w:cs="Segoe UI"/>
                <w:color w:val="000000"/>
                <w:sz w:val="17"/>
                <w:szCs w:val="17"/>
              </w:rPr>
              <w:t xml:space="preserve"> </w:t>
            </w:r>
            <w:r w:rsidRPr="00EB739B">
              <w:rPr>
                <w:rFonts w:cs="Segoe UI"/>
                <w:sz w:val="17"/>
                <w:szCs w:val="17"/>
              </w:rPr>
              <w:t>valuation adjustment</w:t>
            </w:r>
            <w:r>
              <w:rPr>
                <w:rFonts w:cs="Segoe UI"/>
                <w:sz w:val="17"/>
                <w:szCs w:val="17"/>
              </w:rPr>
              <w:t>s that</w:t>
            </w:r>
            <w:r w:rsidRPr="00EB739B">
              <w:rPr>
                <w:rFonts w:cs="Segoe UI"/>
                <w:sz w:val="17"/>
                <w:szCs w:val="17"/>
              </w:rPr>
              <w:t xml:space="preserve"> reflect</w:t>
            </w:r>
            <w:r w:rsidRPr="00A84FAB">
              <w:rPr>
                <w:rFonts w:eastAsia="新細明體" w:cs="Segoe UI"/>
                <w:color w:val="000000"/>
                <w:sz w:val="17"/>
                <w:szCs w:val="17"/>
              </w:rPr>
              <w:t xml:space="preserve"> </w:t>
            </w:r>
            <w:r>
              <w:rPr>
                <w:rFonts w:eastAsia="新細明體" w:cs="Segoe UI"/>
                <w:color w:val="000000"/>
                <w:sz w:val="17"/>
                <w:szCs w:val="17"/>
              </w:rPr>
              <w:t>c</w:t>
            </w:r>
            <w:r w:rsidRPr="00A84FAB">
              <w:rPr>
                <w:rFonts w:eastAsia="新細明體" w:cs="Segoe UI"/>
                <w:color w:val="000000"/>
                <w:sz w:val="17"/>
                <w:szCs w:val="17"/>
              </w:rPr>
              <w:t>lose-out uncertainty</w:t>
            </w:r>
            <w:r>
              <w:rPr>
                <w:rFonts w:eastAsia="新細明體" w:cs="Segoe UI"/>
                <w:color w:val="000000"/>
                <w:sz w:val="17"/>
                <w:szCs w:val="17"/>
              </w:rPr>
              <w:t xml:space="preserve"> which include but not limited to the items reported in rows 2 to 4 below.</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2</w:t>
            </w:r>
          </w:p>
        </w:tc>
        <w:tc>
          <w:tcPr>
            <w:tcW w:w="8789" w:type="dxa"/>
            <w:shd w:val="clear" w:color="auto" w:fill="auto"/>
          </w:tcPr>
          <w:p w:rsidR="00EB739B" w:rsidRPr="00056FD4" w:rsidRDefault="00EB739B" w:rsidP="00EB739B">
            <w:pPr>
              <w:keepLines/>
              <w:tabs>
                <w:tab w:val="left" w:pos="150"/>
                <w:tab w:val="left" w:pos="397"/>
                <w:tab w:val="left" w:pos="794"/>
                <w:tab w:val="left" w:pos="1191"/>
              </w:tabs>
              <w:spacing w:before="40" w:after="40"/>
              <w:jc w:val="both"/>
              <w:rPr>
                <w:rFonts w:cs="Segoe UI"/>
                <w:sz w:val="17"/>
                <w:szCs w:val="17"/>
              </w:rPr>
            </w:pPr>
            <w:r w:rsidRPr="00EB739B">
              <w:rPr>
                <w:rFonts w:cs="Segoe UI"/>
                <w:i/>
                <w:sz w:val="17"/>
                <w:szCs w:val="17"/>
              </w:rPr>
              <w:t>Mid-market value</w:t>
            </w:r>
            <w:r>
              <w:rPr>
                <w:rFonts w:cs="Segoe UI"/>
                <w:sz w:val="17"/>
                <w:szCs w:val="17"/>
              </w:rPr>
              <w:t>:</w:t>
            </w:r>
            <w:r w:rsidRPr="00EB739B">
              <w:rPr>
                <w:rFonts w:cs="Segoe UI"/>
                <w:sz w:val="17"/>
                <w:szCs w:val="17"/>
              </w:rPr>
              <w:t xml:space="preserve"> valuation adjustment required to reflect an appropriate level of prudence given the range of plausible mid values that could be derived from available market data either for the instrument price or price of equivalent instrument or for each valuation input used in the relevant valuation model when this input has been calibrated from prices of instruments.</w:t>
            </w:r>
          </w:p>
        </w:tc>
      </w:tr>
      <w:tr w:rsidR="00EB739B" w:rsidRPr="00FB5D22" w:rsidTr="00A4258D">
        <w:tc>
          <w:tcPr>
            <w:tcW w:w="425" w:type="dxa"/>
            <w:shd w:val="clear" w:color="auto" w:fill="auto"/>
          </w:tcPr>
          <w:p w:rsidR="00EB739B" w:rsidRPr="00FB5D22" w:rsidRDefault="00EB739B" w:rsidP="003B7289">
            <w:pPr>
              <w:keepLines/>
              <w:tabs>
                <w:tab w:val="left" w:pos="150"/>
                <w:tab w:val="left" w:pos="397"/>
                <w:tab w:val="left" w:pos="794"/>
                <w:tab w:val="left" w:pos="1191"/>
              </w:tabs>
              <w:spacing w:before="40" w:after="40"/>
              <w:rPr>
                <w:rFonts w:cs="Segoe UI"/>
                <w:sz w:val="17"/>
                <w:szCs w:val="17"/>
              </w:rPr>
            </w:pPr>
            <w:r>
              <w:rPr>
                <w:rFonts w:cs="Segoe UI"/>
                <w:sz w:val="17"/>
                <w:szCs w:val="17"/>
              </w:rPr>
              <w:t>3</w:t>
            </w:r>
          </w:p>
        </w:tc>
        <w:tc>
          <w:tcPr>
            <w:tcW w:w="8789" w:type="dxa"/>
            <w:shd w:val="clear" w:color="auto" w:fill="auto"/>
          </w:tcPr>
          <w:p w:rsidR="00EB739B" w:rsidRPr="00056FD4" w:rsidRDefault="00EB739B" w:rsidP="003B7289">
            <w:pPr>
              <w:keepLines/>
              <w:tabs>
                <w:tab w:val="left" w:pos="150"/>
                <w:tab w:val="left" w:pos="397"/>
                <w:tab w:val="left" w:pos="794"/>
                <w:tab w:val="left" w:pos="1191"/>
              </w:tabs>
              <w:spacing w:before="40" w:after="40"/>
              <w:jc w:val="both"/>
              <w:rPr>
                <w:rFonts w:cs="Segoe UI"/>
                <w:sz w:val="17"/>
                <w:szCs w:val="17"/>
              </w:rPr>
            </w:pPr>
            <w:r w:rsidRPr="00845CB9">
              <w:rPr>
                <w:rFonts w:cs="Segoe UI"/>
                <w:i/>
                <w:sz w:val="17"/>
                <w:szCs w:val="17"/>
              </w:rPr>
              <w:t>Close-out costs</w:t>
            </w:r>
            <w:r w:rsidRPr="00A02344">
              <w:rPr>
                <w:rFonts w:cs="Segoe UI"/>
                <w:sz w:val="17"/>
                <w:szCs w:val="17"/>
              </w:rPr>
              <w:t>:</w:t>
            </w:r>
            <w:r w:rsidRPr="00845CB9">
              <w:rPr>
                <w:rFonts w:cs="Segoe UI"/>
                <w:sz w:val="17"/>
                <w:szCs w:val="17"/>
              </w:rPr>
              <w:t xml:space="preserve"> </w:t>
            </w:r>
            <w:r>
              <w:rPr>
                <w:rFonts w:eastAsia="新細明體"/>
                <w:noProof/>
                <w:sz w:val="17"/>
                <w:lang w:eastAsia="en-GB"/>
              </w:rPr>
              <w:t>valuation adjustment</w:t>
            </w:r>
            <w:r w:rsidRPr="00845CB9">
              <w:rPr>
                <w:rFonts w:cs="Segoe UI"/>
                <w:sz w:val="17"/>
                <w:szCs w:val="17"/>
              </w:rPr>
              <w:t xml:space="preserve"> to take into account the valuation uncertainty where the position level resulted from the valuations may not reflect the exit price for such position or portfolio (for example, where such valuations are calibrated to a mid-market price).</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4</w:t>
            </w:r>
          </w:p>
        </w:tc>
        <w:tc>
          <w:tcPr>
            <w:tcW w:w="8789" w:type="dxa"/>
            <w:shd w:val="clear" w:color="auto" w:fill="auto"/>
          </w:tcPr>
          <w:p w:rsidR="00EB739B" w:rsidRPr="00AC2676" w:rsidRDefault="00EB739B" w:rsidP="00545554">
            <w:pPr>
              <w:keepLines/>
              <w:tabs>
                <w:tab w:val="left" w:pos="150"/>
                <w:tab w:val="left" w:pos="397"/>
                <w:tab w:val="left" w:pos="794"/>
                <w:tab w:val="left" w:pos="1191"/>
              </w:tabs>
              <w:spacing w:before="40" w:after="40"/>
              <w:jc w:val="both"/>
              <w:rPr>
                <w:rFonts w:cs="Segoe UI"/>
                <w:sz w:val="17"/>
                <w:szCs w:val="17"/>
              </w:rPr>
            </w:pPr>
            <w:r>
              <w:rPr>
                <w:rFonts w:cs="Segoe UI"/>
                <w:i/>
                <w:sz w:val="17"/>
                <w:szCs w:val="17"/>
              </w:rPr>
              <w:t>Concentration</w:t>
            </w:r>
            <w:r w:rsidRPr="00A02344">
              <w:rPr>
                <w:rFonts w:cs="Segoe UI"/>
                <w:sz w:val="17"/>
                <w:szCs w:val="17"/>
              </w:rPr>
              <w:t xml:space="preserve">: </w:t>
            </w:r>
            <w:r>
              <w:rPr>
                <w:rFonts w:eastAsia="新細明體"/>
                <w:noProof/>
                <w:sz w:val="17"/>
                <w:lang w:eastAsia="en-GB"/>
              </w:rPr>
              <w:t xml:space="preserve">valuation adjustment </w:t>
            </w:r>
            <w:r w:rsidRPr="00A02344">
              <w:rPr>
                <w:rFonts w:cs="Segoe UI"/>
                <w:sz w:val="17"/>
                <w:szCs w:val="17"/>
              </w:rPr>
              <w:t>required (over and above market price and close-out costs) to reach a prudent exit price for positions that are larger in terms of size as compared with the positions used for calculating the valuation (i.e. cases where the aggregate position held by an AI is larger than the normal traded volume or size of positions that formed the basis of observable quotes or trades that are applied to calibrate the price or inputs used by core valuation model).</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5</w:t>
            </w:r>
          </w:p>
        </w:tc>
        <w:tc>
          <w:tcPr>
            <w:tcW w:w="8789" w:type="dxa"/>
            <w:shd w:val="clear" w:color="auto" w:fill="auto"/>
          </w:tcPr>
          <w:p w:rsidR="00EB739B" w:rsidRPr="00FB5D22" w:rsidRDefault="00EB739B" w:rsidP="00545554">
            <w:pPr>
              <w:keepLines/>
              <w:tabs>
                <w:tab w:val="left" w:pos="150"/>
                <w:tab w:val="left" w:pos="397"/>
                <w:tab w:val="left" w:pos="794"/>
                <w:tab w:val="left" w:pos="1191"/>
              </w:tabs>
              <w:spacing w:before="40" w:after="40"/>
              <w:jc w:val="both"/>
              <w:rPr>
                <w:rFonts w:cs="Segoe UI"/>
                <w:i/>
                <w:sz w:val="17"/>
                <w:szCs w:val="17"/>
              </w:rPr>
            </w:pPr>
            <w:r w:rsidRPr="00AA6E16">
              <w:rPr>
                <w:rFonts w:cs="Segoe UI"/>
                <w:i/>
                <w:sz w:val="17"/>
                <w:szCs w:val="17"/>
              </w:rPr>
              <w:t>Early termination</w:t>
            </w:r>
            <w:r w:rsidRPr="00AA6E16">
              <w:rPr>
                <w:rFonts w:cs="Segoe UI"/>
                <w:sz w:val="17"/>
                <w:szCs w:val="17"/>
              </w:rPr>
              <w:t>:</w:t>
            </w:r>
            <w:r w:rsidRPr="00AA6E16">
              <w:rPr>
                <w:rFonts w:cs="Segoe UI"/>
                <w:i/>
                <w:sz w:val="17"/>
                <w:szCs w:val="17"/>
              </w:rPr>
              <w:t xml:space="preserve"> </w:t>
            </w:r>
            <w:r>
              <w:rPr>
                <w:rFonts w:eastAsia="新細明體"/>
                <w:noProof/>
                <w:sz w:val="17"/>
                <w:lang w:eastAsia="en-GB"/>
              </w:rPr>
              <w:t xml:space="preserve">valuation adjustment </w:t>
            </w:r>
            <w:r w:rsidRPr="00AA6E16">
              <w:rPr>
                <w:rFonts w:cs="Segoe UI"/>
                <w:sz w:val="17"/>
                <w:szCs w:val="17"/>
              </w:rPr>
              <w:t xml:space="preserve">to reflect potential losses </w:t>
            </w:r>
            <w:r>
              <w:rPr>
                <w:rFonts w:cs="Segoe UI"/>
                <w:sz w:val="17"/>
                <w:szCs w:val="17"/>
              </w:rPr>
              <w:t>which</w:t>
            </w:r>
            <w:r w:rsidRPr="00AA6E16">
              <w:rPr>
                <w:rFonts w:cs="Segoe UI"/>
                <w:sz w:val="17"/>
                <w:szCs w:val="17"/>
              </w:rPr>
              <w:t xml:space="preserve"> may arise from contractual or non-contractual early terminations of customer trades</w:t>
            </w:r>
            <w:r>
              <w:rPr>
                <w:rFonts w:cs="Segoe UI"/>
                <w:sz w:val="17"/>
                <w:szCs w:val="17"/>
              </w:rPr>
              <w:t xml:space="preserve"> </w:t>
            </w:r>
            <w:r w:rsidRPr="00AA6E16">
              <w:rPr>
                <w:rFonts w:cs="Segoe UI"/>
                <w:sz w:val="17"/>
                <w:szCs w:val="17"/>
              </w:rPr>
              <w:t>in the valuation.</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6</w:t>
            </w:r>
          </w:p>
        </w:tc>
        <w:tc>
          <w:tcPr>
            <w:tcW w:w="8789" w:type="dxa"/>
            <w:shd w:val="clear" w:color="auto" w:fill="auto"/>
          </w:tcPr>
          <w:p w:rsidR="00EB739B" w:rsidRPr="008A1D90" w:rsidRDefault="00EB739B" w:rsidP="00545554">
            <w:pPr>
              <w:keepLines/>
              <w:tabs>
                <w:tab w:val="left" w:pos="150"/>
                <w:tab w:val="left" w:pos="397"/>
                <w:tab w:val="left" w:pos="794"/>
                <w:tab w:val="left" w:pos="1191"/>
              </w:tabs>
              <w:spacing w:before="40" w:after="40"/>
              <w:jc w:val="both"/>
              <w:rPr>
                <w:rFonts w:cs="Segoe UI"/>
                <w:sz w:val="17"/>
                <w:szCs w:val="17"/>
              </w:rPr>
            </w:pPr>
            <w:r>
              <w:rPr>
                <w:rFonts w:cs="Segoe UI"/>
                <w:i/>
                <w:sz w:val="17"/>
                <w:szCs w:val="17"/>
              </w:rPr>
              <w:t>Model risk</w:t>
            </w:r>
            <w:r w:rsidRPr="00A02344">
              <w:rPr>
                <w:rFonts w:cs="Segoe UI"/>
                <w:sz w:val="17"/>
                <w:szCs w:val="17"/>
              </w:rPr>
              <w:t>:</w:t>
            </w:r>
            <w:r w:rsidRPr="00B16ABC">
              <w:rPr>
                <w:rFonts w:cs="Segoe UI"/>
                <w:i/>
                <w:sz w:val="17"/>
                <w:szCs w:val="17"/>
              </w:rPr>
              <w:t xml:space="preserve"> </w:t>
            </w:r>
            <w:r>
              <w:rPr>
                <w:rFonts w:eastAsia="新細明體"/>
                <w:noProof/>
                <w:sz w:val="17"/>
                <w:lang w:eastAsia="en-GB"/>
              </w:rPr>
              <w:t xml:space="preserve">valuation adjustment </w:t>
            </w:r>
            <w:r w:rsidRPr="00890321">
              <w:rPr>
                <w:rFonts w:cs="Segoe UI"/>
                <w:sz w:val="17"/>
                <w:szCs w:val="17"/>
              </w:rPr>
              <w:t xml:space="preserve">to take into account valuation model risk which may arise due to: (i) the potential existence of a range of different models or model calibrations used by Pillar 3 data users; (ii) the lack of a firm exit price for the specific product being valued; (iii) the use of an incorrect valuation methodology; </w:t>
            </w:r>
            <w:r>
              <w:rPr>
                <w:rFonts w:cs="Segoe UI"/>
                <w:sz w:val="17"/>
                <w:szCs w:val="17"/>
              </w:rPr>
              <w:t xml:space="preserve">(iv) the </w:t>
            </w:r>
            <w:r w:rsidRPr="00890321">
              <w:rPr>
                <w:rFonts w:cs="Segoe UI"/>
                <w:sz w:val="17"/>
                <w:szCs w:val="17"/>
              </w:rPr>
              <w:t>risk of using unobservable and incorrect calibration parameters; or (v) the fact that certain market or product factors are not captured by the core valuation model.</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7</w:t>
            </w:r>
          </w:p>
        </w:tc>
        <w:tc>
          <w:tcPr>
            <w:tcW w:w="8789" w:type="dxa"/>
            <w:shd w:val="clear" w:color="auto" w:fill="auto"/>
          </w:tcPr>
          <w:p w:rsidR="00EB739B" w:rsidRPr="00E0562A" w:rsidRDefault="00EB739B" w:rsidP="00545554">
            <w:pPr>
              <w:keepLines/>
              <w:tabs>
                <w:tab w:val="left" w:pos="150"/>
                <w:tab w:val="left" w:pos="397"/>
                <w:tab w:val="left" w:pos="794"/>
                <w:tab w:val="left" w:pos="1191"/>
              </w:tabs>
              <w:spacing w:before="40" w:after="40"/>
              <w:jc w:val="both"/>
              <w:rPr>
                <w:rFonts w:cs="Segoe UI"/>
                <w:sz w:val="17"/>
                <w:szCs w:val="17"/>
              </w:rPr>
            </w:pPr>
            <w:r w:rsidRPr="00E0562A">
              <w:rPr>
                <w:rFonts w:cs="Segoe UI"/>
                <w:i/>
                <w:sz w:val="17"/>
                <w:szCs w:val="17"/>
              </w:rPr>
              <w:t>Operational risks</w:t>
            </w:r>
            <w:r w:rsidRPr="00E0562A">
              <w:rPr>
                <w:rFonts w:cs="Segoe UI"/>
                <w:sz w:val="17"/>
                <w:szCs w:val="17"/>
              </w:rPr>
              <w:t xml:space="preserve">: </w:t>
            </w:r>
            <w:r>
              <w:rPr>
                <w:rFonts w:eastAsia="新細明體"/>
                <w:noProof/>
                <w:sz w:val="17"/>
                <w:lang w:eastAsia="en-GB"/>
              </w:rPr>
              <w:t xml:space="preserve">valuation adjustment </w:t>
            </w:r>
            <w:r w:rsidRPr="00E0562A">
              <w:rPr>
                <w:rFonts w:cs="Segoe UI"/>
                <w:sz w:val="17"/>
                <w:szCs w:val="17"/>
              </w:rPr>
              <w:t>to take into account potential losses that may arise from operational risks related to the valuation processes.</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8</w:t>
            </w:r>
          </w:p>
        </w:tc>
        <w:tc>
          <w:tcPr>
            <w:tcW w:w="8789" w:type="dxa"/>
            <w:shd w:val="clear" w:color="auto" w:fill="auto"/>
          </w:tcPr>
          <w:p w:rsidR="00EB739B" w:rsidRPr="004310FF" w:rsidRDefault="00EB739B" w:rsidP="00545554">
            <w:pPr>
              <w:keepLines/>
              <w:tabs>
                <w:tab w:val="left" w:pos="397"/>
                <w:tab w:val="left" w:pos="794"/>
                <w:tab w:val="left" w:pos="1191"/>
              </w:tabs>
              <w:spacing w:before="40" w:after="40"/>
              <w:jc w:val="both"/>
              <w:rPr>
                <w:rFonts w:cs="Segoe UI"/>
                <w:sz w:val="17"/>
                <w:szCs w:val="17"/>
                <w:lang w:eastAsia="en-GB"/>
              </w:rPr>
            </w:pPr>
            <w:r w:rsidRPr="004310FF">
              <w:rPr>
                <w:rFonts w:cs="Segoe UI"/>
                <w:i/>
                <w:sz w:val="17"/>
                <w:szCs w:val="17"/>
                <w:lang w:eastAsia="en-GB"/>
              </w:rPr>
              <w:t>Investing and funding costs</w:t>
            </w:r>
            <w:r w:rsidRPr="004310FF">
              <w:rPr>
                <w:rFonts w:cs="Segoe UI"/>
                <w:sz w:val="17"/>
                <w:szCs w:val="17"/>
              </w:rPr>
              <w:t>:</w:t>
            </w:r>
            <w:r w:rsidRPr="004310FF">
              <w:rPr>
                <w:rFonts w:cs="Segoe UI"/>
                <w:sz w:val="17"/>
                <w:szCs w:val="17"/>
                <w:lang w:eastAsia="en-GB"/>
              </w:rPr>
              <w:t xml:space="preserve"> </w:t>
            </w:r>
            <w:r>
              <w:rPr>
                <w:rFonts w:eastAsia="新細明體"/>
                <w:noProof/>
                <w:sz w:val="17"/>
                <w:lang w:eastAsia="en-GB"/>
              </w:rPr>
              <w:t xml:space="preserve">valuation adjustment </w:t>
            </w:r>
            <w:r w:rsidRPr="004310FF">
              <w:rPr>
                <w:rFonts w:cs="Segoe UI"/>
                <w:sz w:val="17"/>
                <w:szCs w:val="17"/>
                <w:lang w:eastAsia="en-GB"/>
              </w:rPr>
              <w:t>to reflect the valuation uncertainty in the funding costs</w:t>
            </w:r>
            <w:r>
              <w:rPr>
                <w:rFonts w:cs="Segoe UI"/>
                <w:sz w:val="17"/>
                <w:szCs w:val="17"/>
                <w:lang w:eastAsia="en-GB"/>
              </w:rPr>
              <w:t xml:space="preserve"> </w:t>
            </w:r>
            <w:r w:rsidRPr="004310FF">
              <w:rPr>
                <w:rFonts w:cs="Segoe UI"/>
                <w:sz w:val="17"/>
                <w:szCs w:val="17"/>
                <w:lang w:eastAsia="en-GB"/>
              </w:rPr>
              <w:t xml:space="preserve">which other </w:t>
            </w:r>
            <w:r w:rsidRPr="004310FF">
              <w:rPr>
                <w:rFonts w:cs="Segoe UI"/>
                <w:sz w:val="17"/>
                <w:szCs w:val="17"/>
              </w:rPr>
              <w:t>Pillar 3 data users</w:t>
            </w:r>
            <w:r w:rsidRPr="004310FF">
              <w:rPr>
                <w:rFonts w:cs="Segoe UI"/>
                <w:sz w:val="17"/>
                <w:szCs w:val="17"/>
                <w:lang w:eastAsia="en-GB"/>
              </w:rPr>
              <w:t xml:space="preserve"> may factor into a position or portfolio’s exit price, including funding valuation adjustments on derivatives exposures.</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9</w:t>
            </w:r>
          </w:p>
        </w:tc>
        <w:tc>
          <w:tcPr>
            <w:tcW w:w="8789" w:type="dxa"/>
            <w:shd w:val="clear" w:color="auto" w:fill="auto"/>
          </w:tcPr>
          <w:p w:rsidR="00EB739B" w:rsidRPr="00EA5018" w:rsidRDefault="00EB739B" w:rsidP="00545554">
            <w:pPr>
              <w:keepLines/>
              <w:tabs>
                <w:tab w:val="left" w:pos="397"/>
                <w:tab w:val="left" w:pos="794"/>
                <w:tab w:val="left" w:pos="1191"/>
              </w:tabs>
              <w:spacing w:before="40" w:after="40"/>
              <w:jc w:val="both"/>
              <w:rPr>
                <w:rFonts w:cs="Segoe UI"/>
                <w:sz w:val="17"/>
                <w:szCs w:val="17"/>
                <w:lang w:eastAsia="en-GB"/>
              </w:rPr>
            </w:pPr>
            <w:r>
              <w:rPr>
                <w:rFonts w:cs="Segoe UI"/>
                <w:i/>
                <w:sz w:val="17"/>
                <w:szCs w:val="17"/>
                <w:lang w:eastAsia="en-GB"/>
              </w:rPr>
              <w:t>Unearned credit spreads</w:t>
            </w:r>
            <w:r w:rsidRPr="00A02344">
              <w:rPr>
                <w:rFonts w:cs="Segoe UI"/>
                <w:sz w:val="17"/>
                <w:szCs w:val="17"/>
              </w:rPr>
              <w:t>:</w:t>
            </w:r>
            <w:r w:rsidRPr="00793B61">
              <w:rPr>
                <w:rFonts w:cs="Segoe UI"/>
                <w:sz w:val="17"/>
                <w:szCs w:val="17"/>
                <w:lang w:eastAsia="en-GB"/>
              </w:rPr>
              <w:t xml:space="preserve"> </w:t>
            </w:r>
            <w:r>
              <w:rPr>
                <w:rFonts w:eastAsia="新細明體"/>
                <w:noProof/>
                <w:sz w:val="17"/>
                <w:lang w:eastAsia="en-GB"/>
              </w:rPr>
              <w:t xml:space="preserve">valuation adjustment </w:t>
            </w:r>
            <w:r w:rsidRPr="00EA5018">
              <w:rPr>
                <w:rFonts w:cs="Segoe UI"/>
                <w:sz w:val="17"/>
                <w:szCs w:val="17"/>
                <w:lang w:eastAsia="en-GB"/>
              </w:rPr>
              <w:t>to take into account the valuation uncertainty in the adjustment in order to reflect the current value of expected losses due to counterparty default on derivative positions, including the valuation uncertainty on CVAs.</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10</w:t>
            </w:r>
          </w:p>
        </w:tc>
        <w:tc>
          <w:tcPr>
            <w:tcW w:w="8789" w:type="dxa"/>
            <w:shd w:val="clear" w:color="auto" w:fill="auto"/>
          </w:tcPr>
          <w:p w:rsidR="00EB739B" w:rsidRPr="00AC3EF6" w:rsidRDefault="00EB739B" w:rsidP="00545554">
            <w:pPr>
              <w:keepLines/>
              <w:tabs>
                <w:tab w:val="left" w:pos="397"/>
                <w:tab w:val="left" w:pos="794"/>
                <w:tab w:val="left" w:pos="1191"/>
              </w:tabs>
              <w:spacing w:before="40" w:after="40"/>
              <w:jc w:val="both"/>
              <w:rPr>
                <w:rFonts w:cs="Segoe UI"/>
                <w:sz w:val="17"/>
                <w:szCs w:val="17"/>
                <w:lang w:eastAsia="en-GB"/>
              </w:rPr>
            </w:pPr>
            <w:r>
              <w:rPr>
                <w:rFonts w:cs="Segoe UI"/>
                <w:i/>
                <w:sz w:val="17"/>
                <w:szCs w:val="17"/>
                <w:lang w:eastAsia="en-GB"/>
              </w:rPr>
              <w:t>Future administrative costs</w:t>
            </w:r>
            <w:r w:rsidRPr="00A02344">
              <w:rPr>
                <w:rFonts w:cs="Segoe UI"/>
                <w:sz w:val="17"/>
                <w:szCs w:val="17"/>
              </w:rPr>
              <w:t>:</w:t>
            </w:r>
            <w:r w:rsidRPr="00793B61">
              <w:rPr>
                <w:rFonts w:cs="Segoe UI"/>
                <w:sz w:val="17"/>
                <w:szCs w:val="17"/>
                <w:lang w:eastAsia="en-GB"/>
              </w:rPr>
              <w:t xml:space="preserve"> </w:t>
            </w:r>
            <w:r>
              <w:rPr>
                <w:rFonts w:eastAsia="新細明體"/>
                <w:noProof/>
                <w:sz w:val="17"/>
                <w:lang w:eastAsia="en-GB"/>
              </w:rPr>
              <w:t xml:space="preserve">valuation adjustment </w:t>
            </w:r>
            <w:r w:rsidRPr="00AC3EF6">
              <w:rPr>
                <w:rFonts w:cs="Segoe UI"/>
                <w:sz w:val="17"/>
                <w:szCs w:val="17"/>
                <w:lang w:eastAsia="en-GB"/>
              </w:rPr>
              <w:t xml:space="preserve">to take into account the administrative costs and future hedging costs over the expected life of the exposures for which a direct exit price is not applied for the close-out costs.  </w:t>
            </w:r>
            <w:r>
              <w:rPr>
                <w:rFonts w:cs="Segoe UI"/>
                <w:sz w:val="17"/>
                <w:szCs w:val="17"/>
                <w:lang w:eastAsia="en-GB"/>
              </w:rPr>
              <w:t>O</w:t>
            </w:r>
            <w:r w:rsidRPr="00AC3EF6">
              <w:rPr>
                <w:rFonts w:cs="Segoe UI"/>
                <w:sz w:val="17"/>
                <w:szCs w:val="17"/>
                <w:lang w:eastAsia="en-GB"/>
              </w:rPr>
              <w:t>perational costs arising from hedging, administration and settlement of contracts in the portfolio</w:t>
            </w:r>
            <w:r>
              <w:rPr>
                <w:rFonts w:cs="Segoe UI"/>
                <w:sz w:val="17"/>
                <w:szCs w:val="17"/>
                <w:lang w:eastAsia="en-GB"/>
              </w:rPr>
              <w:t xml:space="preserve"> should be included</w:t>
            </w:r>
            <w:r w:rsidRPr="00AC3EF6">
              <w:rPr>
                <w:rFonts w:cs="Segoe UI"/>
                <w:sz w:val="17"/>
                <w:szCs w:val="17"/>
                <w:lang w:eastAsia="en-GB"/>
              </w:rPr>
              <w:t xml:space="preserve"> in the valuation adjustment for these future administrative costs that are incurred by the portfolio or position but are not reflected in the core valuation model or prices that are used to calibrate inputs for that model.</w:t>
            </w:r>
          </w:p>
        </w:tc>
      </w:tr>
      <w:tr w:rsidR="00EB739B" w:rsidRPr="00FB5D22" w:rsidTr="00A4258D">
        <w:tc>
          <w:tcPr>
            <w:tcW w:w="425" w:type="dxa"/>
            <w:shd w:val="clear" w:color="auto" w:fill="auto"/>
          </w:tcPr>
          <w:p w:rsidR="00EB739B" w:rsidRPr="00FB5D22"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lastRenderedPageBreak/>
              <w:t>11</w:t>
            </w:r>
          </w:p>
        </w:tc>
        <w:tc>
          <w:tcPr>
            <w:tcW w:w="8789" w:type="dxa"/>
            <w:shd w:val="clear" w:color="auto" w:fill="auto"/>
          </w:tcPr>
          <w:p w:rsidR="00EB739B" w:rsidRPr="00695EAE" w:rsidRDefault="00EB739B" w:rsidP="00545554">
            <w:pPr>
              <w:keepLines/>
              <w:spacing w:before="40" w:after="40"/>
              <w:jc w:val="both"/>
              <w:rPr>
                <w:rFonts w:cs="Segoe UI"/>
                <w:noProof/>
                <w:sz w:val="17"/>
                <w:szCs w:val="17"/>
                <w:highlight w:val="yellow"/>
                <w:lang w:eastAsia="en-GB"/>
              </w:rPr>
            </w:pPr>
            <w:r w:rsidRPr="00695EAE">
              <w:rPr>
                <w:rFonts w:cs="Segoe UI"/>
                <w:i/>
                <w:noProof/>
                <w:sz w:val="17"/>
                <w:szCs w:val="17"/>
                <w:lang w:eastAsia="en-GB"/>
              </w:rPr>
              <w:t>Other adjustments</w:t>
            </w:r>
            <w:r w:rsidRPr="00695EAE">
              <w:rPr>
                <w:rFonts w:cs="Segoe UI"/>
                <w:sz w:val="17"/>
                <w:szCs w:val="17"/>
              </w:rPr>
              <w:t>:</w:t>
            </w:r>
            <w:r w:rsidRPr="00695EAE">
              <w:rPr>
                <w:rFonts w:cs="Segoe UI"/>
                <w:i/>
                <w:noProof/>
                <w:sz w:val="17"/>
                <w:szCs w:val="17"/>
                <w:lang w:eastAsia="en-GB"/>
              </w:rPr>
              <w:t xml:space="preserve"> </w:t>
            </w:r>
            <w:r>
              <w:rPr>
                <w:rFonts w:eastAsia="新細明體"/>
                <w:noProof/>
                <w:sz w:val="17"/>
                <w:lang w:eastAsia="en-GB"/>
              </w:rPr>
              <w:t xml:space="preserve">valuation adjustment </w:t>
            </w:r>
            <w:r w:rsidRPr="00695EAE">
              <w:rPr>
                <w:rFonts w:cs="Segoe UI"/>
                <w:noProof/>
                <w:sz w:val="17"/>
                <w:szCs w:val="17"/>
                <w:lang w:eastAsia="en-GB"/>
              </w:rPr>
              <w:t xml:space="preserve">to take into account other factors that will influence the exit price but are not included in any of the categories listed in rows 1 to 10 above.  AIs should disclose these factors in the narrative commentary to support the disclosure in this template. </w:t>
            </w:r>
          </w:p>
        </w:tc>
      </w:tr>
      <w:tr w:rsidR="00EB739B" w:rsidRPr="00FB5D22" w:rsidTr="00A4258D">
        <w:tc>
          <w:tcPr>
            <w:tcW w:w="425" w:type="dxa"/>
            <w:shd w:val="clear" w:color="auto" w:fill="auto"/>
          </w:tcPr>
          <w:p w:rsidR="00EB739B" w:rsidRDefault="00EB739B" w:rsidP="00545554">
            <w:pPr>
              <w:keepLines/>
              <w:tabs>
                <w:tab w:val="left" w:pos="150"/>
                <w:tab w:val="left" w:pos="397"/>
                <w:tab w:val="left" w:pos="794"/>
                <w:tab w:val="left" w:pos="1191"/>
              </w:tabs>
              <w:spacing w:before="40" w:after="40"/>
              <w:rPr>
                <w:rFonts w:cs="Segoe UI"/>
                <w:sz w:val="17"/>
                <w:szCs w:val="17"/>
              </w:rPr>
            </w:pPr>
            <w:r>
              <w:rPr>
                <w:rFonts w:cs="Segoe UI"/>
                <w:sz w:val="17"/>
                <w:szCs w:val="17"/>
              </w:rPr>
              <w:t>12</w:t>
            </w:r>
          </w:p>
        </w:tc>
        <w:tc>
          <w:tcPr>
            <w:tcW w:w="8789" w:type="dxa"/>
            <w:shd w:val="clear" w:color="auto" w:fill="auto"/>
          </w:tcPr>
          <w:p w:rsidR="00EB739B" w:rsidRPr="00695EAE" w:rsidRDefault="00EB739B" w:rsidP="00545554">
            <w:pPr>
              <w:keepLines/>
              <w:spacing w:before="40" w:after="40"/>
              <w:jc w:val="both"/>
              <w:rPr>
                <w:rFonts w:cs="Segoe UI"/>
                <w:i/>
                <w:noProof/>
                <w:sz w:val="17"/>
                <w:szCs w:val="17"/>
                <w:lang w:eastAsia="en-GB"/>
              </w:rPr>
            </w:pPr>
            <w:r w:rsidRPr="00695EAE">
              <w:rPr>
                <w:rFonts w:cs="Segoe UI"/>
                <w:i/>
                <w:noProof/>
                <w:sz w:val="17"/>
                <w:szCs w:val="17"/>
                <w:lang w:eastAsia="en-GB"/>
              </w:rPr>
              <w:t>Total adjustments</w:t>
            </w:r>
            <w:r w:rsidRPr="00695EAE">
              <w:rPr>
                <w:rFonts w:cs="Segoe UI"/>
                <w:sz w:val="17"/>
                <w:szCs w:val="17"/>
              </w:rPr>
              <w:t>: the value in [PV1:12/f] should be equal to the value in [CC1:7/a].</w:t>
            </w:r>
          </w:p>
        </w:tc>
      </w:tr>
    </w:tbl>
    <w:p w:rsidR="00545554" w:rsidRPr="00BF6EC5" w:rsidRDefault="00545554" w:rsidP="00545554"/>
    <w:p w:rsidR="00545554" w:rsidRDefault="00545554" w:rsidP="003F0A7B">
      <w:pPr>
        <w:pStyle w:val="Heading1"/>
        <w:tabs>
          <w:tab w:val="clear" w:pos="794"/>
          <w:tab w:val="left" w:pos="426"/>
        </w:tabs>
        <w:spacing w:before="0"/>
        <w:ind w:leftChars="-283" w:left="-566"/>
        <w:sectPr w:rsidR="00545554" w:rsidSect="00A4258D">
          <w:footerReference w:type="default" r:id="rId13"/>
          <w:pgSz w:w="11906" w:h="16838"/>
          <w:pgMar w:top="1440" w:right="1800" w:bottom="1276" w:left="1800" w:header="851" w:footer="992" w:gutter="0"/>
          <w:cols w:space="425"/>
          <w:docGrid w:type="lines" w:linePitch="360"/>
        </w:sectPr>
      </w:pPr>
    </w:p>
    <w:p w:rsidR="00545554" w:rsidRPr="00844CB5" w:rsidRDefault="00545554" w:rsidP="00844CB5">
      <w:pPr>
        <w:keepNext/>
        <w:keepLines/>
        <w:tabs>
          <w:tab w:val="left" w:pos="426"/>
        </w:tabs>
        <w:spacing w:after="360"/>
        <w:ind w:leftChars="-283" w:left="-566" w:rightChars="-142" w:right="-284"/>
        <w:outlineLvl w:val="0"/>
        <w:rPr>
          <w:color w:val="984806" w:themeColor="accent6" w:themeShade="80"/>
          <w:sz w:val="28"/>
          <w:szCs w:val="28"/>
        </w:rPr>
      </w:pPr>
      <w:r w:rsidRPr="00844CB5">
        <w:rPr>
          <w:color w:val="AA322F"/>
          <w:sz w:val="28"/>
        </w:rPr>
        <w:lastRenderedPageBreak/>
        <w:t xml:space="preserve">Part </w:t>
      </w:r>
      <w:r w:rsidR="00844CB5" w:rsidRPr="00844CB5">
        <w:rPr>
          <w:color w:val="AA322F"/>
          <w:sz w:val="28"/>
        </w:rPr>
        <w:t>IIA</w:t>
      </w:r>
      <w:r w:rsidRPr="00844CB5">
        <w:rPr>
          <w:color w:val="AA322F"/>
          <w:sz w:val="28"/>
        </w:rPr>
        <w:t>:</w:t>
      </w:r>
      <w:r w:rsidRPr="00844CB5">
        <w:rPr>
          <w:color w:val="AA322F"/>
          <w:sz w:val="28"/>
        </w:rPr>
        <w:tab/>
      </w:r>
      <w:bookmarkStart w:id="6" w:name="_Toc373220159"/>
      <w:bookmarkStart w:id="7" w:name="_Toc378352952"/>
      <w:r w:rsidR="00844CB5" w:rsidRPr="00844CB5">
        <w:rPr>
          <w:color w:val="AA322F"/>
          <w:sz w:val="28"/>
        </w:rPr>
        <w:tab/>
      </w:r>
      <w:r w:rsidRPr="00844CB5">
        <w:rPr>
          <w:color w:val="AA322F"/>
          <w:sz w:val="28"/>
        </w:rPr>
        <w:t>Composition of regulatory capital</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bookmarkEnd w:id="6"/>
          <w:bookmarkEnd w:id="7"/>
          <w:p w:rsidR="00545554" w:rsidRPr="0023654F" w:rsidRDefault="00545554" w:rsidP="00545554">
            <w:pPr>
              <w:spacing w:before="40" w:after="40"/>
              <w:jc w:val="both"/>
              <w:rPr>
                <w:noProof/>
                <w:sz w:val="17"/>
                <w:lang w:eastAsia="en-GB"/>
              </w:rPr>
            </w:pPr>
            <w:r w:rsidRPr="0023654F">
              <w:rPr>
                <w:sz w:val="22"/>
              </w:rPr>
              <w:t xml:space="preserve">Template </w:t>
            </w:r>
            <w:r>
              <w:rPr>
                <w:sz w:val="22"/>
              </w:rPr>
              <w:t>CC1</w:t>
            </w:r>
            <w:r w:rsidRPr="0023654F">
              <w:rPr>
                <w:sz w:val="22"/>
              </w:rPr>
              <w:t xml:space="preserve">: </w:t>
            </w:r>
            <w:r>
              <w:rPr>
                <w:sz w:val="22"/>
              </w:rPr>
              <w:t>Composition of regulatory capital</w:t>
            </w:r>
          </w:p>
        </w:tc>
      </w:tr>
      <w:tr w:rsidR="00545554" w:rsidRPr="0046600C"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23654F" w:rsidRDefault="00545554" w:rsidP="00545554">
            <w:pPr>
              <w:pStyle w:val="TableText"/>
              <w:jc w:val="both"/>
              <w:rPr>
                <w:lang w:eastAsia="en-GB"/>
              </w:rPr>
            </w:pPr>
            <w:r w:rsidRPr="0023654F">
              <w:rPr>
                <w:lang w:eastAsia="en-GB"/>
              </w:rPr>
              <w:t>T</w:t>
            </w:r>
            <w:r>
              <w:rPr>
                <w:lang w:eastAsia="en-GB"/>
              </w:rPr>
              <w:t>o</w:t>
            </w:r>
            <w:r w:rsidRPr="0023654F">
              <w:rPr>
                <w:lang w:eastAsia="en-GB"/>
              </w:rPr>
              <w:t xml:space="preserve"> </w:t>
            </w:r>
            <w:r>
              <w:rPr>
                <w:lang w:eastAsia="en-GB"/>
              </w:rPr>
              <w:t>p</w:t>
            </w:r>
            <w:r w:rsidRPr="0016492B">
              <w:rPr>
                <w:lang w:eastAsia="en-GB"/>
              </w:rPr>
              <w:t xml:space="preserve">rovide a breakdown of the constituent elements of </w:t>
            </w:r>
            <w:r>
              <w:rPr>
                <w:lang w:eastAsia="en-GB"/>
              </w:rPr>
              <w:t xml:space="preserve">Total </w:t>
            </w:r>
            <w:r w:rsidRPr="0016492B">
              <w:rPr>
                <w:lang w:eastAsia="en-GB"/>
              </w:rPr>
              <w:t>capital.</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46600C" w:rsidRDefault="00545554" w:rsidP="00545554">
            <w:pPr>
              <w:pStyle w:val="TableText"/>
              <w:jc w:val="both"/>
              <w:rPr>
                <w:rFonts w:eastAsiaTheme="minorEastAsia"/>
                <w:b/>
                <w:lang w:val="en-US" w:eastAsia="en-GB"/>
              </w:rPr>
            </w:pPr>
            <w:r w:rsidRPr="0016492B">
              <w:rPr>
                <w:szCs w:val="17"/>
              </w:rPr>
              <w:t xml:space="preserve">The template is mandatory for all </w:t>
            </w:r>
            <w:r>
              <w:rPr>
                <w:szCs w:val="17"/>
              </w:rPr>
              <w:t>AI</w:t>
            </w:r>
            <w:r w:rsidRPr="0016492B">
              <w:rPr>
                <w:szCs w:val="17"/>
              </w:rPr>
              <w:t xml:space="preserve">s </w:t>
            </w:r>
            <w:r>
              <w:rPr>
                <w:szCs w:val="17"/>
              </w:rPr>
              <w:t>incorporated in Hong Kong</w:t>
            </w:r>
            <w:r w:rsidRPr="0016492B">
              <w:rPr>
                <w:szCs w:val="17"/>
              </w:rPr>
              <w:t>.</w:t>
            </w:r>
          </w:p>
        </w:tc>
      </w:tr>
      <w:tr w:rsidR="00545554" w:rsidRPr="004B58B9"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582CCD" w:rsidRDefault="00545554" w:rsidP="00545554">
            <w:pPr>
              <w:pStyle w:val="TableText"/>
              <w:jc w:val="both"/>
              <w:rPr>
                <w:szCs w:val="17"/>
              </w:rPr>
            </w:pPr>
            <w:r w:rsidRPr="005F796D">
              <w:rPr>
                <w:szCs w:val="17"/>
              </w:rPr>
              <w:t>Breakdown of regulatory capital according to the scope of regulatory consolid</w:t>
            </w:r>
            <w:r w:rsidRPr="002B7661">
              <w:rPr>
                <w:szCs w:val="17"/>
              </w:rPr>
              <w:t>ation.  Where an AI has a reporting date for disclosure (e.g. end-April, end-October) that does not fall on the same position date for the Return on Capital Adequacy Ratio (MA(BS)3)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pStyle w:val="TableText"/>
              <w:jc w:val="both"/>
              <w:rPr>
                <w:lang w:eastAsia="en-GB"/>
              </w:rPr>
            </w:pPr>
            <w:r>
              <w:rPr>
                <w:lang w:eastAsia="en-GB"/>
              </w:rPr>
              <w:t>Semi-annual.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6D22DE" w:rsidRDefault="00545554" w:rsidP="00337884">
            <w:pPr>
              <w:pStyle w:val="TableText"/>
              <w:jc w:val="both"/>
              <w:rPr>
                <w:lang w:val="en-US" w:eastAsia="en-GB"/>
              </w:rPr>
            </w:pPr>
            <w:r w:rsidRPr="0023654F">
              <w:rPr>
                <w:lang w:eastAsia="en-GB"/>
              </w:rPr>
              <w:t>Fixed.</w:t>
            </w:r>
            <w:r w:rsidR="00A672FC" w:rsidRPr="009D731F">
              <w:rPr>
                <w:rFonts w:asciiTheme="minorEastAsia" w:eastAsiaTheme="minorEastAsia" w:hAnsiTheme="minorEastAsia" w:hint="eastAsia"/>
                <w:szCs w:val="17"/>
                <w:lang w:eastAsia="zh-TW"/>
              </w:rPr>
              <w:t xml:space="preserve">  </w:t>
            </w:r>
            <w:r w:rsidR="00337884" w:rsidRPr="009D731F">
              <w:rPr>
                <w:rFonts w:eastAsiaTheme="minorEastAsia" w:hint="eastAsia"/>
                <w:szCs w:val="17"/>
                <w:lang w:eastAsia="zh-TW"/>
              </w:rPr>
              <w:t>AIs</w:t>
            </w:r>
            <w:r w:rsidR="00337884" w:rsidRPr="009D731F">
              <w:rPr>
                <w:szCs w:val="17"/>
              </w:rPr>
              <w:t xml:space="preserve"> are not permitted to add, delete or change the definitions of any rows </w:t>
            </w:r>
            <w:r w:rsidR="00337884" w:rsidRPr="009D731F">
              <w:rPr>
                <w:rFonts w:eastAsiaTheme="minorEastAsia" w:hint="eastAsia"/>
                <w:szCs w:val="17"/>
                <w:lang w:eastAsia="zh-TW"/>
              </w:rPr>
              <w:t>of this</w:t>
            </w:r>
            <w:r w:rsidR="00337884" w:rsidRPr="009D731F">
              <w:rPr>
                <w:szCs w:val="17"/>
              </w:rPr>
              <w:t xml:space="preserve"> reporting template. </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AC37F2" w:rsidRDefault="00545554" w:rsidP="00545554">
            <w:pPr>
              <w:pStyle w:val="TableText"/>
              <w:jc w:val="both"/>
              <w:rPr>
                <w:noProof/>
                <w:szCs w:val="17"/>
                <w:lang w:eastAsia="en-GB"/>
              </w:rPr>
            </w:pPr>
            <w:r w:rsidRPr="00AC37F2">
              <w:rPr>
                <w:szCs w:val="17"/>
                <w:lang w:eastAsia="en-GB"/>
              </w:rPr>
              <w:t xml:space="preserve">An AI </w:t>
            </w:r>
            <w:r>
              <w:rPr>
                <w:szCs w:val="17"/>
              </w:rPr>
              <w:t>should</w:t>
            </w:r>
            <w:r w:rsidRPr="00AC37F2">
              <w:rPr>
                <w:szCs w:val="17"/>
              </w:rPr>
              <w:t xml:space="preserve"> </w:t>
            </w:r>
            <w:r w:rsidRPr="005F796D">
              <w:rPr>
                <w:szCs w:val="17"/>
              </w:rPr>
              <w:t>supplement the template with a narrative commentary to explain any significant changes over the reporting period and the key drivers of such change.</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Pr="00AC37F2" w:rsidRDefault="00545554" w:rsidP="00D1749B">
            <w:pPr>
              <w:pStyle w:val="TableText"/>
              <w:jc w:val="both"/>
              <w:rPr>
                <w:szCs w:val="17"/>
                <w:lang w:eastAsia="en-GB"/>
              </w:rPr>
            </w:pPr>
            <w:r w:rsidRPr="001B530B">
              <w:rPr>
                <w:szCs w:val="17"/>
                <w:lang w:eastAsia="en-GB"/>
              </w:rPr>
              <w:t>16FB</w:t>
            </w:r>
          </w:p>
        </w:tc>
      </w:tr>
    </w:tbl>
    <w:p w:rsidR="00545554" w:rsidRDefault="00545554" w:rsidP="00545554">
      <w:pPr>
        <w:rPr>
          <w:sz w:val="22"/>
        </w:rPr>
      </w:pP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70"/>
        <w:gridCol w:w="5951"/>
        <w:gridCol w:w="1276"/>
        <w:gridCol w:w="1417"/>
      </w:tblGrid>
      <w:tr w:rsidR="00545554" w:rsidRPr="0023654F" w:rsidTr="00545554">
        <w:trPr>
          <w:trHeight w:val="324"/>
          <w:tblHeader/>
        </w:trPr>
        <w:tc>
          <w:tcPr>
            <w:tcW w:w="6521" w:type="dxa"/>
            <w:gridSpan w:val="2"/>
            <w:tcBorders>
              <w:top w:val="nil"/>
              <w:left w:val="nil"/>
              <w:bottom w:val="nil"/>
              <w:right w:val="single" w:sz="4" w:space="0" w:color="auto"/>
            </w:tcBorders>
            <w:vAlign w:val="center"/>
          </w:tcPr>
          <w:p w:rsidR="00545554" w:rsidRDefault="00545554" w:rsidP="00545554">
            <w:pPr>
              <w:pStyle w:val="Default"/>
              <w:rPr>
                <w:b/>
                <w:bCs/>
                <w:sz w:val="20"/>
                <w:szCs w:val="20"/>
              </w:rPr>
            </w:pPr>
          </w:p>
        </w:tc>
        <w:tc>
          <w:tcPr>
            <w:tcW w:w="1276" w:type="dxa"/>
            <w:tcBorders>
              <w:top w:val="single" w:sz="6" w:space="0" w:color="auto"/>
              <w:left w:val="single" w:sz="6" w:space="0" w:color="auto"/>
              <w:bottom w:val="single" w:sz="6" w:space="0" w:color="auto"/>
              <w:right w:val="single" w:sz="6" w:space="0" w:color="auto"/>
            </w:tcBorders>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a</w:t>
            </w:r>
            <w:r>
              <w:rPr>
                <w:bCs/>
                <w:lang w:eastAsia="it-IT"/>
              </w:rPr>
              <w:t>)</w:t>
            </w:r>
          </w:p>
        </w:tc>
        <w:tc>
          <w:tcPr>
            <w:tcW w:w="1417" w:type="dxa"/>
            <w:tcBorders>
              <w:top w:val="single" w:sz="6" w:space="0" w:color="auto"/>
              <w:left w:val="single" w:sz="6" w:space="0" w:color="auto"/>
              <w:bottom w:val="single" w:sz="6" w:space="0" w:color="auto"/>
              <w:right w:val="single" w:sz="4" w:space="0" w:color="auto"/>
            </w:tcBorders>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b</w:t>
            </w:r>
            <w:r>
              <w:rPr>
                <w:bCs/>
                <w:lang w:eastAsia="it-IT"/>
              </w:rPr>
              <w:t>)</w:t>
            </w:r>
          </w:p>
        </w:tc>
      </w:tr>
      <w:tr w:rsidR="00545554" w:rsidRPr="0023654F" w:rsidTr="00545554">
        <w:trPr>
          <w:trHeight w:val="528"/>
          <w:tblHeader/>
        </w:trPr>
        <w:tc>
          <w:tcPr>
            <w:tcW w:w="6521" w:type="dxa"/>
            <w:gridSpan w:val="2"/>
            <w:tcBorders>
              <w:top w:val="nil"/>
              <w:left w:val="nil"/>
              <w:bottom w:val="single" w:sz="6" w:space="0" w:color="auto"/>
              <w:right w:val="single" w:sz="6" w:space="0" w:color="auto"/>
            </w:tcBorders>
            <w:vAlign w:val="center"/>
          </w:tcPr>
          <w:p w:rsidR="00545554" w:rsidRPr="00E960C4" w:rsidRDefault="00545554" w:rsidP="00545554">
            <w:pPr>
              <w:pStyle w:val="TableText"/>
              <w:snapToGrid w:val="0"/>
              <w:rPr>
                <w:lang w:val="en-US" w:eastAsia="it-IT"/>
              </w:rPr>
            </w:pPr>
          </w:p>
        </w:tc>
        <w:tc>
          <w:tcPr>
            <w:tcW w:w="1276" w:type="dxa"/>
            <w:tcBorders>
              <w:top w:val="single" w:sz="6" w:space="0" w:color="auto"/>
              <w:left w:val="single" w:sz="6" w:space="0" w:color="auto"/>
              <w:bottom w:val="single" w:sz="6" w:space="0" w:color="auto"/>
              <w:right w:val="single" w:sz="6" w:space="0" w:color="auto"/>
            </w:tcBorders>
            <w:vAlign w:val="center"/>
          </w:tcPr>
          <w:p w:rsidR="00545554" w:rsidRPr="000513EC" w:rsidRDefault="00545554" w:rsidP="00545554">
            <w:pPr>
              <w:pStyle w:val="TableText"/>
              <w:snapToGrid w:val="0"/>
              <w:ind w:left="57"/>
              <w:jc w:val="center"/>
              <w:rPr>
                <w:b/>
                <w:lang w:eastAsia="it-IT"/>
              </w:rPr>
            </w:pPr>
            <w:r w:rsidRPr="000513EC">
              <w:rPr>
                <w:b/>
                <w:lang w:eastAsia="it-IT"/>
              </w:rPr>
              <w:t>Amount</w:t>
            </w:r>
          </w:p>
        </w:tc>
        <w:tc>
          <w:tcPr>
            <w:tcW w:w="1417" w:type="dxa"/>
            <w:tcBorders>
              <w:top w:val="single" w:sz="6" w:space="0" w:color="auto"/>
              <w:left w:val="single" w:sz="6" w:space="0" w:color="auto"/>
              <w:bottom w:val="single" w:sz="6" w:space="0" w:color="auto"/>
              <w:right w:val="single" w:sz="4" w:space="0" w:color="auto"/>
            </w:tcBorders>
            <w:vAlign w:val="center"/>
          </w:tcPr>
          <w:p w:rsidR="00545554" w:rsidRPr="000513EC" w:rsidRDefault="00545554" w:rsidP="00545554">
            <w:pPr>
              <w:pStyle w:val="TableText"/>
              <w:snapToGrid w:val="0"/>
              <w:jc w:val="center"/>
              <w:rPr>
                <w:b/>
                <w:lang w:eastAsia="it-IT"/>
              </w:rPr>
            </w:pPr>
            <w:r w:rsidRPr="000513EC">
              <w:rPr>
                <w:b/>
                <w:lang w:eastAsia="it-IT"/>
              </w:rPr>
              <w:t xml:space="preserve">Source based on reference numbers/letters </w:t>
            </w:r>
            <w:r>
              <w:rPr>
                <w:b/>
                <w:lang w:eastAsia="it-IT"/>
              </w:rPr>
              <w:t xml:space="preserve"> </w:t>
            </w:r>
            <w:r w:rsidRPr="000513EC">
              <w:rPr>
                <w:b/>
                <w:lang w:eastAsia="it-IT"/>
              </w:rPr>
              <w:t>of the balance sheet under the regulatory scope of consolidation</w:t>
            </w:r>
          </w:p>
        </w:tc>
      </w:tr>
      <w:tr w:rsidR="00545554" w:rsidRPr="0023654F" w:rsidTr="00545554">
        <w:trPr>
          <w:cantSplit/>
          <w:trHeight w:val="285"/>
        </w:trPr>
        <w:tc>
          <w:tcPr>
            <w:tcW w:w="570" w:type="dxa"/>
            <w:tcBorders>
              <w:top w:val="single" w:sz="6" w:space="0" w:color="auto"/>
              <w:left w:val="nil"/>
              <w:bottom w:val="single" w:sz="6" w:space="0" w:color="BCBDBC"/>
              <w:right w:val="single" w:sz="4" w:space="0" w:color="auto"/>
            </w:tcBorders>
            <w:shd w:val="clear" w:color="auto" w:fill="A6A6A6" w:themeFill="background1" w:themeFillShade="A6"/>
          </w:tcPr>
          <w:p w:rsidR="00545554" w:rsidRPr="00445B4A" w:rsidRDefault="00545554" w:rsidP="00545554">
            <w:pPr>
              <w:pStyle w:val="TableText"/>
              <w:snapToGrid w:val="0"/>
              <w:ind w:left="417" w:rightChars="71" w:right="142"/>
              <w:rPr>
                <w:b/>
                <w:lang w:eastAsia="it-IT"/>
              </w:rPr>
            </w:pPr>
          </w:p>
        </w:tc>
        <w:tc>
          <w:tcPr>
            <w:tcW w:w="5951" w:type="dxa"/>
            <w:tcBorders>
              <w:top w:val="single" w:sz="6" w:space="0" w:color="auto"/>
              <w:left w:val="single" w:sz="4" w:space="0" w:color="auto"/>
              <w:bottom w:val="single" w:sz="6" w:space="0" w:color="BCBDBC"/>
              <w:right w:val="nil"/>
            </w:tcBorders>
            <w:shd w:val="clear" w:color="auto" w:fill="A6A6A6" w:themeFill="background1" w:themeFillShade="A6"/>
          </w:tcPr>
          <w:p w:rsidR="00545554" w:rsidRPr="00445B4A" w:rsidRDefault="00545554" w:rsidP="00545554">
            <w:pPr>
              <w:pStyle w:val="TableText"/>
              <w:snapToGrid w:val="0"/>
              <w:ind w:left="57" w:rightChars="71" w:right="142"/>
              <w:rPr>
                <w:b/>
                <w:lang w:eastAsia="it-IT"/>
              </w:rPr>
            </w:pPr>
            <w:r>
              <w:rPr>
                <w:b/>
                <w:lang w:eastAsia="it-IT"/>
              </w:rPr>
              <w:t>CET1 capital: instruments and reserves</w:t>
            </w:r>
          </w:p>
        </w:tc>
        <w:tc>
          <w:tcPr>
            <w:tcW w:w="1276" w:type="dxa"/>
            <w:tcBorders>
              <w:top w:val="single" w:sz="6" w:space="0" w:color="auto"/>
              <w:left w:val="nil"/>
              <w:bottom w:val="single" w:sz="6" w:space="0" w:color="BCBDBC"/>
              <w:right w:val="nil"/>
            </w:tcBorders>
            <w:shd w:val="clear" w:color="auto" w:fill="A6A6A6" w:themeFill="background1" w:themeFillShade="A6"/>
          </w:tcPr>
          <w:p w:rsidR="00545554" w:rsidRPr="0023654F" w:rsidRDefault="00545554" w:rsidP="00545554">
            <w:pPr>
              <w:pStyle w:val="TableText"/>
              <w:snapToGrid w:val="0"/>
              <w:rPr>
                <w:lang w:eastAsia="it-IT"/>
              </w:rPr>
            </w:pPr>
          </w:p>
        </w:tc>
        <w:tc>
          <w:tcPr>
            <w:tcW w:w="1417" w:type="dxa"/>
            <w:tcBorders>
              <w:top w:val="single" w:sz="6" w:space="0" w:color="auto"/>
              <w:left w:val="nil"/>
              <w:bottom w:val="single" w:sz="6" w:space="0" w:color="BCBDBC"/>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8B2E9C">
              <w:rPr>
                <w:szCs w:val="17"/>
                <w:lang w:eastAsia="en-GB"/>
              </w:rPr>
              <w:t>1</w:t>
            </w:r>
          </w:p>
        </w:tc>
        <w:tc>
          <w:tcPr>
            <w:tcW w:w="595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val="en-US" w:eastAsia="it-IT"/>
              </w:rPr>
            </w:pPr>
            <w:r w:rsidRPr="00E3369F">
              <w:rPr>
                <w:lang w:eastAsia="it-IT"/>
              </w:rPr>
              <w:t xml:space="preserve">Directly issued qualifying </w:t>
            </w:r>
            <w:r>
              <w:rPr>
                <w:lang w:eastAsia="it-IT"/>
              </w:rPr>
              <w:t>CET1</w:t>
            </w:r>
            <w:r w:rsidRPr="00E3369F">
              <w:rPr>
                <w:lang w:eastAsia="it-IT"/>
              </w:rPr>
              <w:t xml:space="preserve"> capital </w:t>
            </w:r>
            <w:r>
              <w:rPr>
                <w:lang w:eastAsia="it-IT"/>
              </w:rPr>
              <w:t xml:space="preserve">instruments </w:t>
            </w:r>
            <w:r w:rsidRPr="00E3369F">
              <w:rPr>
                <w:lang w:eastAsia="it-IT"/>
              </w:rPr>
              <w:t xml:space="preserve">plus </w:t>
            </w:r>
            <w:r>
              <w:rPr>
                <w:lang w:eastAsia="it-IT"/>
              </w:rPr>
              <w:t xml:space="preserve">any </w:t>
            </w:r>
            <w:r w:rsidRPr="00E3369F">
              <w:rPr>
                <w:lang w:eastAsia="it-IT"/>
              </w:rPr>
              <w:t xml:space="preserve">related </w:t>
            </w:r>
            <w:r>
              <w:rPr>
                <w:lang w:eastAsia="it-IT"/>
              </w:rPr>
              <w:t>share</w:t>
            </w:r>
            <w:r w:rsidRPr="00E3369F">
              <w:rPr>
                <w:lang w:eastAsia="it-IT"/>
              </w:rPr>
              <w:t xml:space="preserve"> </w:t>
            </w:r>
            <w:r>
              <w:rPr>
                <w:lang w:eastAsia="it-IT"/>
              </w:rPr>
              <w:t>premium</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r>
              <w:rPr>
                <w:lang w:eastAsia="it-IT"/>
              </w:rPr>
              <w:t>[e]</w:t>
            </w: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w:t>
            </w:r>
          </w:p>
        </w:tc>
        <w:tc>
          <w:tcPr>
            <w:tcW w:w="595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r w:rsidRPr="000513EC">
              <w:rPr>
                <w:lang w:eastAsia="it-IT"/>
              </w:rPr>
              <w:t>Retained earnings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3</w:t>
            </w:r>
          </w:p>
        </w:tc>
        <w:tc>
          <w:tcPr>
            <w:tcW w:w="595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r>
              <w:rPr>
                <w:lang w:eastAsia="it-IT"/>
              </w:rPr>
              <w:t>Disclosed</w:t>
            </w:r>
            <w:r w:rsidRPr="000513EC">
              <w:rPr>
                <w:lang w:eastAsia="it-IT"/>
              </w:rPr>
              <w:t xml:space="preserve"> reserves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4</w:t>
            </w:r>
          </w:p>
        </w:tc>
        <w:tc>
          <w:tcPr>
            <w:tcW w:w="5951" w:type="dxa"/>
            <w:tcBorders>
              <w:top w:val="single" w:sz="6" w:space="0" w:color="auto"/>
              <w:left w:val="single" w:sz="4" w:space="0" w:color="auto"/>
              <w:bottom w:val="single" w:sz="6" w:space="0" w:color="auto"/>
              <w:right w:val="single" w:sz="6" w:space="0" w:color="auto"/>
            </w:tcBorders>
            <w:shd w:val="clear" w:color="auto" w:fill="FFFF00"/>
          </w:tcPr>
          <w:p w:rsidR="00545554" w:rsidRPr="00FD727E" w:rsidRDefault="00545554" w:rsidP="00545554">
            <w:pPr>
              <w:pStyle w:val="TableText"/>
              <w:snapToGrid w:val="0"/>
              <w:ind w:left="57" w:rightChars="71" w:right="142"/>
              <w:rPr>
                <w:i/>
                <w:lang w:eastAsia="it-IT"/>
              </w:rPr>
            </w:pPr>
            <w:r w:rsidRPr="00FD727E">
              <w:rPr>
                <w:i/>
                <w:lang w:eastAsia="it-IT"/>
              </w:rPr>
              <w:t xml:space="preserve">Directly issued capital subject to phase-out </w:t>
            </w:r>
            <w:r>
              <w:rPr>
                <w:i/>
                <w:lang w:eastAsia="it-IT"/>
              </w:rPr>
              <w:t xml:space="preserve">arrangements </w:t>
            </w:r>
            <w:r w:rsidRPr="00FD727E">
              <w:rPr>
                <w:i/>
                <w:lang w:eastAsia="it-IT"/>
              </w:rPr>
              <w:t>from CET1 (only applicable to non-joint stock companies)</w:t>
            </w:r>
          </w:p>
        </w:tc>
        <w:tc>
          <w:tcPr>
            <w:tcW w:w="1276" w:type="dxa"/>
            <w:tcBorders>
              <w:top w:val="single" w:sz="6" w:space="0" w:color="auto"/>
              <w:left w:val="single" w:sz="6" w:space="0" w:color="auto"/>
              <w:bottom w:val="single" w:sz="6" w:space="0" w:color="auto"/>
              <w:right w:val="single" w:sz="6"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6" w:space="0" w:color="auto"/>
              <w:left w:val="single" w:sz="6" w:space="0" w:color="auto"/>
              <w:bottom w:val="single" w:sz="6"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5</w:t>
            </w:r>
          </w:p>
        </w:tc>
        <w:tc>
          <w:tcPr>
            <w:tcW w:w="595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r>
              <w:rPr>
                <w:lang w:eastAsia="it-IT"/>
              </w:rPr>
              <w:t xml:space="preserve">Minority interests arising from CET1 capital instruments issued by consolidated bank </w:t>
            </w:r>
            <w:r w:rsidRPr="008541A3">
              <w:rPr>
                <w:lang w:eastAsia="it-IT"/>
              </w:rPr>
              <w:t>subsidiaries and held by third parties (amount allowed in CET1</w:t>
            </w:r>
            <w:r>
              <w:rPr>
                <w:lang w:eastAsia="it-IT"/>
              </w:rPr>
              <w:t xml:space="preserve"> capital of the consolidation group</w:t>
            </w:r>
            <w:r w:rsidRPr="008541A3">
              <w:rPr>
                <w:lang w:eastAsia="it-IT"/>
              </w:rPr>
              <w:t>)</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57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6</w:t>
            </w:r>
          </w:p>
        </w:tc>
        <w:tc>
          <w:tcPr>
            <w:tcW w:w="5951"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545554" w:rsidRPr="008541A3" w:rsidRDefault="00545554" w:rsidP="008F2507">
            <w:pPr>
              <w:pStyle w:val="TableText"/>
              <w:snapToGrid w:val="0"/>
              <w:ind w:left="57" w:rightChars="71" w:right="142"/>
              <w:rPr>
                <w:b/>
                <w:lang w:eastAsia="it-IT"/>
              </w:rPr>
            </w:pPr>
            <w:r w:rsidRPr="008541A3">
              <w:rPr>
                <w:b/>
                <w:lang w:eastAsia="it-IT"/>
              </w:rPr>
              <w:t>C</w:t>
            </w:r>
            <w:r>
              <w:rPr>
                <w:b/>
                <w:lang w:eastAsia="it-IT"/>
              </w:rPr>
              <w:t>ET</w:t>
            </w:r>
            <w:r w:rsidRPr="008541A3">
              <w:rPr>
                <w:b/>
                <w:lang w:eastAsia="it-IT"/>
              </w:rPr>
              <w:t xml:space="preserve">1 capital before regulatory </w:t>
            </w:r>
            <w:r w:rsidR="008F2507">
              <w:rPr>
                <w:b/>
                <w:lang w:eastAsia="it-IT"/>
              </w:rPr>
              <w:t>deductions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570" w:type="dxa"/>
            <w:tcBorders>
              <w:top w:val="single" w:sz="6" w:space="0" w:color="auto"/>
              <w:left w:val="nil"/>
              <w:bottom w:val="single" w:sz="4" w:space="0" w:color="auto"/>
              <w:right w:val="single" w:sz="4" w:space="0" w:color="auto"/>
            </w:tcBorders>
            <w:shd w:val="clear" w:color="auto" w:fill="A6A6A6" w:themeFill="background1" w:themeFillShade="A6"/>
          </w:tcPr>
          <w:p w:rsidR="00545554" w:rsidRPr="008B2E9C" w:rsidRDefault="00545554" w:rsidP="00545554">
            <w:pPr>
              <w:pStyle w:val="TableText"/>
              <w:snapToGrid w:val="0"/>
              <w:ind w:left="417" w:rightChars="71" w:right="142"/>
              <w:rPr>
                <w:b/>
                <w:szCs w:val="17"/>
                <w:lang w:eastAsia="it-IT"/>
              </w:rPr>
            </w:pPr>
          </w:p>
        </w:tc>
        <w:tc>
          <w:tcPr>
            <w:tcW w:w="5951" w:type="dxa"/>
            <w:tcBorders>
              <w:top w:val="single" w:sz="6" w:space="0" w:color="auto"/>
              <w:left w:val="single" w:sz="4" w:space="0" w:color="auto"/>
              <w:bottom w:val="single" w:sz="4" w:space="0" w:color="auto"/>
              <w:right w:val="nil"/>
            </w:tcBorders>
            <w:shd w:val="clear" w:color="auto" w:fill="A6A6A6" w:themeFill="background1" w:themeFillShade="A6"/>
          </w:tcPr>
          <w:p w:rsidR="00545554" w:rsidRPr="008B2E9C" w:rsidRDefault="00545554" w:rsidP="00545554">
            <w:pPr>
              <w:pStyle w:val="TableText"/>
              <w:snapToGrid w:val="0"/>
              <w:ind w:left="57" w:rightChars="71" w:right="142"/>
              <w:rPr>
                <w:b/>
                <w:szCs w:val="17"/>
                <w:lang w:eastAsia="it-IT"/>
              </w:rPr>
            </w:pPr>
            <w:r>
              <w:rPr>
                <w:b/>
                <w:lang w:eastAsia="it-IT"/>
              </w:rPr>
              <w:t>CET1 capital: regulatory deductions</w:t>
            </w:r>
          </w:p>
        </w:tc>
        <w:tc>
          <w:tcPr>
            <w:tcW w:w="1276" w:type="dxa"/>
            <w:tcBorders>
              <w:top w:val="single" w:sz="6" w:space="0" w:color="auto"/>
              <w:left w:val="nil"/>
              <w:bottom w:val="single" w:sz="4" w:space="0" w:color="auto"/>
              <w:right w:val="nil"/>
            </w:tcBorders>
            <w:shd w:val="clear" w:color="auto" w:fill="A6A6A6" w:themeFill="background1" w:themeFillShade="A6"/>
          </w:tcPr>
          <w:p w:rsidR="00545554" w:rsidRPr="0023654F" w:rsidRDefault="00545554" w:rsidP="00545554">
            <w:pPr>
              <w:pStyle w:val="TableText"/>
              <w:snapToGrid w:val="0"/>
              <w:jc w:val="center"/>
              <w:rPr>
                <w:lang w:eastAsia="it-IT"/>
              </w:rPr>
            </w:pPr>
          </w:p>
        </w:tc>
        <w:tc>
          <w:tcPr>
            <w:tcW w:w="1417" w:type="dxa"/>
            <w:tcBorders>
              <w:top w:val="single" w:sz="6" w:space="0" w:color="auto"/>
              <w:left w:val="nil"/>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7</w:t>
            </w:r>
          </w:p>
        </w:tc>
        <w:tc>
          <w:tcPr>
            <w:tcW w:w="5951" w:type="dxa"/>
            <w:tcBorders>
              <w:top w:val="single" w:sz="6" w:space="0" w:color="auto"/>
              <w:left w:val="single" w:sz="4" w:space="0" w:color="auto"/>
              <w:bottom w:val="single" w:sz="6" w:space="0" w:color="auto"/>
              <w:right w:val="single" w:sz="6" w:space="0" w:color="auto"/>
            </w:tcBorders>
            <w:shd w:val="clear" w:color="auto" w:fill="auto"/>
          </w:tcPr>
          <w:p w:rsidR="00545554" w:rsidRPr="00A3109D" w:rsidRDefault="00545554" w:rsidP="00545554">
            <w:pPr>
              <w:pStyle w:val="TableText"/>
              <w:snapToGrid w:val="0"/>
              <w:ind w:left="57" w:rightChars="71" w:right="142"/>
              <w:rPr>
                <w:lang w:eastAsia="it-IT"/>
              </w:rPr>
            </w:pPr>
            <w:r>
              <w:rPr>
                <w:lang w:eastAsia="it-IT"/>
              </w:rPr>
              <w:t>Valuation adjustments</w:t>
            </w:r>
          </w:p>
        </w:tc>
        <w:tc>
          <w:tcPr>
            <w:tcW w:w="1276" w:type="dxa"/>
            <w:tcBorders>
              <w:top w:val="single" w:sz="4"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lastRenderedPageBreak/>
              <w:t>8</w:t>
            </w:r>
          </w:p>
        </w:tc>
        <w:tc>
          <w:tcPr>
            <w:tcW w:w="5951" w:type="dxa"/>
            <w:tcBorders>
              <w:top w:val="single" w:sz="6" w:space="0" w:color="auto"/>
              <w:left w:val="single" w:sz="4" w:space="0" w:color="auto"/>
              <w:bottom w:val="single" w:sz="4" w:space="0" w:color="auto"/>
              <w:right w:val="single" w:sz="6" w:space="0" w:color="auto"/>
            </w:tcBorders>
            <w:shd w:val="clear" w:color="auto" w:fill="auto"/>
          </w:tcPr>
          <w:p w:rsidR="00545554" w:rsidRPr="00B62B9C" w:rsidRDefault="00545554" w:rsidP="00545554">
            <w:pPr>
              <w:pStyle w:val="TableText"/>
              <w:snapToGrid w:val="0"/>
              <w:ind w:left="57" w:rightChars="71" w:right="142"/>
              <w:rPr>
                <w:lang w:val="en-US" w:eastAsia="it-IT"/>
              </w:rPr>
            </w:pPr>
            <w:r>
              <w:rPr>
                <w:lang w:val="en-US" w:eastAsia="it-IT"/>
              </w:rPr>
              <w:t>Goodwill (net of associated deferred tax liabilities)</w:t>
            </w:r>
          </w:p>
        </w:tc>
        <w:tc>
          <w:tcPr>
            <w:tcW w:w="1276" w:type="dxa"/>
            <w:tcBorders>
              <w:top w:val="single" w:sz="6"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r>
              <w:rPr>
                <w:lang w:eastAsia="it-IT"/>
              </w:rPr>
              <w:t>[a] - [c]</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9</w:t>
            </w:r>
          </w:p>
        </w:tc>
        <w:tc>
          <w:tcPr>
            <w:tcW w:w="5951" w:type="dxa"/>
            <w:tcBorders>
              <w:top w:val="single" w:sz="4" w:space="0" w:color="auto"/>
              <w:left w:val="single" w:sz="4" w:space="0" w:color="auto"/>
              <w:bottom w:val="single" w:sz="4" w:space="0" w:color="auto"/>
              <w:right w:val="single" w:sz="6" w:space="0" w:color="auto"/>
            </w:tcBorders>
            <w:shd w:val="clear" w:color="auto" w:fill="auto"/>
          </w:tcPr>
          <w:p w:rsidR="00545554" w:rsidRPr="00C50113" w:rsidRDefault="00545554" w:rsidP="00545554">
            <w:pPr>
              <w:pStyle w:val="TableText"/>
              <w:snapToGrid w:val="0"/>
              <w:ind w:left="57" w:rightChars="71" w:right="142"/>
              <w:rPr>
                <w:lang w:eastAsia="it-IT"/>
              </w:rPr>
            </w:pPr>
            <w:r>
              <w:rPr>
                <w:lang w:eastAsia="it-IT"/>
              </w:rPr>
              <w:t>Other intangible assets (net of associated deferred tax liabilities)</w:t>
            </w:r>
          </w:p>
        </w:tc>
        <w:tc>
          <w:tcPr>
            <w:tcW w:w="1276" w:type="dxa"/>
            <w:tcBorders>
              <w:top w:val="single" w:sz="4"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r>
              <w:rPr>
                <w:lang w:eastAsia="it-IT"/>
              </w:rPr>
              <w:t>[b] - [d]</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10</w:t>
            </w:r>
          </w:p>
        </w:tc>
        <w:tc>
          <w:tcPr>
            <w:tcW w:w="5951" w:type="dxa"/>
            <w:tcBorders>
              <w:top w:val="single" w:sz="4" w:space="0" w:color="auto"/>
              <w:left w:val="single" w:sz="4" w:space="0" w:color="auto"/>
              <w:bottom w:val="single" w:sz="6" w:space="0" w:color="auto"/>
              <w:right w:val="single" w:sz="6" w:space="0" w:color="auto"/>
            </w:tcBorders>
            <w:shd w:val="clear" w:color="auto" w:fill="auto"/>
          </w:tcPr>
          <w:p w:rsidR="00545554" w:rsidRPr="00C50113" w:rsidRDefault="00545554">
            <w:pPr>
              <w:pStyle w:val="TableText"/>
              <w:snapToGrid w:val="0"/>
              <w:ind w:left="57" w:rightChars="71" w:right="142"/>
              <w:rPr>
                <w:lang w:eastAsia="it-IT"/>
              </w:rPr>
            </w:pPr>
            <w:r w:rsidRPr="00267664">
              <w:rPr>
                <w:lang w:eastAsia="it-IT"/>
              </w:rPr>
              <w:t xml:space="preserve">Deferred tax assets </w:t>
            </w:r>
            <w:r>
              <w:rPr>
                <w:lang w:eastAsia="it-IT"/>
              </w:rPr>
              <w:t>(</w:t>
            </w:r>
            <w:r w:rsidRPr="00267664">
              <w:rPr>
                <w:lang w:eastAsia="it-IT"/>
              </w:rPr>
              <w:t xml:space="preserve">net of </w:t>
            </w:r>
            <w:r>
              <w:rPr>
                <w:lang w:eastAsia="it-IT"/>
              </w:rPr>
              <w:t xml:space="preserve">associated </w:t>
            </w:r>
            <w:r w:rsidRPr="00267664">
              <w:rPr>
                <w:lang w:eastAsia="it-IT"/>
              </w:rPr>
              <w:t>deferred tax liabilities</w:t>
            </w:r>
            <w:r>
              <w:rPr>
                <w:lang w:eastAsia="it-IT"/>
              </w:rPr>
              <w:t>)</w:t>
            </w:r>
          </w:p>
        </w:tc>
        <w:tc>
          <w:tcPr>
            <w:tcW w:w="1276" w:type="dxa"/>
            <w:tcBorders>
              <w:top w:val="single" w:sz="4"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11</w:t>
            </w:r>
          </w:p>
        </w:tc>
        <w:tc>
          <w:tcPr>
            <w:tcW w:w="5951" w:type="dxa"/>
            <w:tcBorders>
              <w:top w:val="single" w:sz="6" w:space="0" w:color="auto"/>
              <w:left w:val="single" w:sz="4" w:space="0" w:color="auto"/>
              <w:bottom w:val="single" w:sz="4" w:space="0" w:color="auto"/>
              <w:right w:val="single" w:sz="6" w:space="0" w:color="auto"/>
            </w:tcBorders>
            <w:shd w:val="clear" w:color="auto" w:fill="auto"/>
          </w:tcPr>
          <w:p w:rsidR="00545554" w:rsidRPr="00267664" w:rsidRDefault="00545554" w:rsidP="00545554">
            <w:pPr>
              <w:pStyle w:val="TableText"/>
              <w:snapToGrid w:val="0"/>
              <w:ind w:left="57" w:rightChars="71" w:right="142"/>
              <w:rPr>
                <w:lang w:val="en-US" w:eastAsia="it-IT"/>
              </w:rPr>
            </w:pPr>
            <w:r w:rsidRPr="00267664">
              <w:rPr>
                <w:lang w:val="en-US" w:eastAsia="it-IT"/>
              </w:rPr>
              <w:t>Cash flow hedge reserve</w:t>
            </w:r>
          </w:p>
        </w:tc>
        <w:tc>
          <w:tcPr>
            <w:tcW w:w="1276" w:type="dxa"/>
            <w:tcBorders>
              <w:top w:val="single" w:sz="6"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340"/>
        </w:trPr>
        <w:tc>
          <w:tcPr>
            <w:tcW w:w="570" w:type="dxa"/>
            <w:tcBorders>
              <w:top w:val="single" w:sz="4" w:space="0" w:color="auto"/>
              <w:left w:val="nil"/>
              <w:bottom w:val="single" w:sz="4" w:space="0" w:color="auto"/>
              <w:right w:val="single" w:sz="6" w:space="0" w:color="auto"/>
            </w:tcBorders>
          </w:tcPr>
          <w:p w:rsidR="00545554" w:rsidRPr="008B2E9C" w:rsidRDefault="00545554" w:rsidP="00545554">
            <w:pPr>
              <w:pStyle w:val="TableText"/>
              <w:snapToGrid w:val="0"/>
              <w:ind w:left="57"/>
              <w:rPr>
                <w:szCs w:val="17"/>
                <w:lang w:eastAsia="en-GB"/>
              </w:rPr>
            </w:pPr>
            <w:r>
              <w:rPr>
                <w:szCs w:val="17"/>
                <w:lang w:eastAsia="en-GB"/>
              </w:rPr>
              <w:t>12</w:t>
            </w:r>
          </w:p>
        </w:tc>
        <w:tc>
          <w:tcPr>
            <w:tcW w:w="5951" w:type="dxa"/>
            <w:tcBorders>
              <w:top w:val="single" w:sz="4" w:space="0" w:color="auto"/>
              <w:left w:val="single" w:sz="6" w:space="0" w:color="auto"/>
              <w:bottom w:val="single" w:sz="4" w:space="0" w:color="auto"/>
              <w:right w:val="single" w:sz="6" w:space="0" w:color="auto"/>
            </w:tcBorders>
          </w:tcPr>
          <w:p w:rsidR="00545554" w:rsidRPr="006C20C4" w:rsidRDefault="00545554" w:rsidP="00545554">
            <w:pPr>
              <w:pStyle w:val="TableText"/>
              <w:snapToGrid w:val="0"/>
              <w:ind w:left="57" w:rightChars="71" w:right="142"/>
              <w:rPr>
                <w:lang w:eastAsia="it-IT"/>
              </w:rPr>
            </w:pPr>
            <w:r w:rsidRPr="00267664">
              <w:rPr>
                <w:lang w:eastAsia="it-IT"/>
              </w:rPr>
              <w:t>Excess of total EL amount over total eligible provisions under the IRB approach</w:t>
            </w:r>
          </w:p>
        </w:tc>
        <w:tc>
          <w:tcPr>
            <w:tcW w:w="1276" w:type="dxa"/>
            <w:tcBorders>
              <w:top w:val="single" w:sz="4" w:space="0" w:color="auto"/>
              <w:left w:val="single" w:sz="6" w:space="0" w:color="auto"/>
              <w:bottom w:val="single" w:sz="4" w:space="0" w:color="auto"/>
              <w:right w:val="single" w:sz="6" w:space="0" w:color="auto"/>
            </w:tcBorders>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6" w:space="0" w:color="auto"/>
              <w:bottom w:val="single" w:sz="4" w:space="0" w:color="auto"/>
              <w:right w:val="single" w:sz="4" w:space="0" w:color="auto"/>
            </w:tcBorders>
          </w:tcPr>
          <w:p w:rsidR="00545554" w:rsidRPr="0023654F" w:rsidRDefault="00545554" w:rsidP="00545554">
            <w:pPr>
              <w:pStyle w:val="TableText"/>
              <w:snapToGrid w:val="0"/>
              <w:jc w:val="center"/>
              <w:rPr>
                <w:lang w:eastAsia="it-IT"/>
              </w:rPr>
            </w:pPr>
          </w:p>
        </w:tc>
      </w:tr>
      <w:tr w:rsidR="00545554" w:rsidRPr="0023654F" w:rsidTr="00545554">
        <w:trPr>
          <w:cantSplit/>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13</w:t>
            </w:r>
          </w:p>
        </w:tc>
        <w:tc>
          <w:tcPr>
            <w:tcW w:w="5951" w:type="dxa"/>
            <w:tcBorders>
              <w:top w:val="single" w:sz="4" w:space="0" w:color="auto"/>
              <w:left w:val="single" w:sz="4" w:space="0" w:color="auto"/>
              <w:bottom w:val="single" w:sz="4" w:space="0" w:color="auto"/>
              <w:right w:val="single" w:sz="4" w:space="0" w:color="auto"/>
            </w:tcBorders>
          </w:tcPr>
          <w:p w:rsidR="00545554" w:rsidRPr="00267664" w:rsidRDefault="00545554" w:rsidP="00545554">
            <w:pPr>
              <w:pStyle w:val="TableText"/>
              <w:snapToGrid w:val="0"/>
              <w:ind w:left="57" w:rightChars="71" w:right="142"/>
              <w:rPr>
                <w:lang w:eastAsia="it-IT"/>
              </w:rPr>
            </w:pPr>
            <w:r>
              <w:rPr>
                <w:lang w:eastAsia="it-IT"/>
              </w:rPr>
              <w:t>Credit-enhancing interest-only strip, and any g</w:t>
            </w:r>
            <w:r w:rsidRPr="00267664">
              <w:rPr>
                <w:lang w:eastAsia="it-IT"/>
              </w:rPr>
              <w:t xml:space="preserve">ain-on-sale </w:t>
            </w:r>
            <w:r>
              <w:rPr>
                <w:lang w:eastAsia="it-IT"/>
              </w:rPr>
              <w:t xml:space="preserve">and other increase in the CET1 capital </w:t>
            </w:r>
            <w:r w:rsidRPr="00267664">
              <w:rPr>
                <w:lang w:eastAsia="it-IT"/>
              </w:rPr>
              <w:t>arising from securitization transactions</w:t>
            </w:r>
          </w:p>
        </w:tc>
        <w:tc>
          <w:tcPr>
            <w:tcW w:w="1276" w:type="dxa"/>
            <w:tcBorders>
              <w:top w:val="single" w:sz="4" w:space="0" w:color="auto"/>
              <w:left w:val="single" w:sz="4" w:space="0" w:color="auto"/>
              <w:bottom w:val="single" w:sz="4" w:space="0" w:color="auto"/>
              <w:right w:val="single" w:sz="4" w:space="0" w:color="auto"/>
            </w:tcBorders>
          </w:tcPr>
          <w:p w:rsidR="00545554" w:rsidRPr="006C20C4"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14</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r w:rsidRPr="00267664">
              <w:rPr>
                <w:lang w:eastAsia="it-IT"/>
              </w:rPr>
              <w:t>Gains and losses due to changes in own credit risk on fair valued liabilities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15</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r w:rsidRPr="00267664">
              <w:rPr>
                <w:lang w:eastAsia="it-IT"/>
              </w:rPr>
              <w:t>Defined benefit pension fund net assets (net of associated deferred tax liabilities)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16</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r w:rsidRPr="00267664">
              <w:rPr>
                <w:lang w:eastAsia="it-IT"/>
              </w:rPr>
              <w:t>Investments in own CET1 capital instruments (if not already netted off paid-in capital on reported balance sheet)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17</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r w:rsidRPr="00267664">
              <w:rPr>
                <w:lang w:eastAsia="it-IT"/>
              </w:rPr>
              <w:t>Reciprocal cross-holdings in CET1 capital instruments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18</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051179">
            <w:pPr>
              <w:pStyle w:val="TableText"/>
              <w:snapToGrid w:val="0"/>
              <w:ind w:left="57" w:rightChars="71" w:right="142"/>
              <w:rPr>
                <w:lang w:eastAsia="it-IT"/>
              </w:rPr>
            </w:pPr>
            <w:r w:rsidRPr="00267664">
              <w:rPr>
                <w:lang w:eastAsia="it-IT"/>
              </w:rPr>
              <w:t xml:space="preserve">Insignificant </w:t>
            </w:r>
            <w:r w:rsidR="00051179">
              <w:rPr>
                <w:lang w:eastAsia="it-IT"/>
              </w:rPr>
              <w:t xml:space="preserve">LAC </w:t>
            </w:r>
            <w:r w:rsidRPr="00267664">
              <w:rPr>
                <w:lang w:eastAsia="it-IT"/>
              </w:rPr>
              <w:t>investments in CET1 capital instruments issued by financial sector entities that are outside the scope of regulatory consolidation (amount above 10% threshold)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19</w:t>
            </w:r>
          </w:p>
        </w:tc>
        <w:tc>
          <w:tcPr>
            <w:tcW w:w="595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051179">
            <w:pPr>
              <w:pStyle w:val="TableText"/>
              <w:snapToGrid w:val="0"/>
              <w:ind w:left="57" w:rightChars="71" w:right="142"/>
              <w:rPr>
                <w:lang w:eastAsia="it-IT"/>
              </w:rPr>
            </w:pPr>
            <w:r w:rsidRPr="00267664">
              <w:rPr>
                <w:lang w:eastAsia="it-IT"/>
              </w:rPr>
              <w:t xml:space="preserve">Significant </w:t>
            </w:r>
            <w:r w:rsidR="00051179">
              <w:rPr>
                <w:lang w:eastAsia="it-IT"/>
              </w:rPr>
              <w:t xml:space="preserve">LAC </w:t>
            </w:r>
            <w:r w:rsidRPr="00267664">
              <w:rPr>
                <w:lang w:eastAsia="it-IT"/>
              </w:rPr>
              <w:t>investments in CET1 capital instruments issued by financial sector entities that are outside the scope of regulatory consolidation (amount above 10% threshold)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20</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Del="001C71B9" w:rsidRDefault="00545554" w:rsidP="00545554">
            <w:pPr>
              <w:pStyle w:val="TableText"/>
              <w:snapToGrid w:val="0"/>
              <w:ind w:left="57" w:rightChars="71" w:right="142"/>
              <w:rPr>
                <w:lang w:eastAsia="it-IT"/>
              </w:rPr>
            </w:pPr>
            <w:r>
              <w:rPr>
                <w:lang w:eastAsia="it-IT"/>
              </w:rPr>
              <w:t>Mortgage servicing rights (net of associated deferred tax liabilities)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21</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RDefault="00545554" w:rsidP="00545554">
            <w:pPr>
              <w:pStyle w:val="TableText"/>
              <w:snapToGrid w:val="0"/>
              <w:ind w:left="57" w:rightChars="71" w:right="142"/>
              <w:rPr>
                <w:lang w:val="en-US" w:eastAsia="it-IT"/>
              </w:rPr>
            </w:pPr>
            <w:r w:rsidRPr="00267664">
              <w:rPr>
                <w:lang w:val="en-US" w:eastAsia="it-IT"/>
              </w:rPr>
              <w:t>Deferred tax assets arising from temporary differences</w:t>
            </w:r>
            <w:r>
              <w:rPr>
                <w:lang w:eastAsia="it-IT"/>
              </w:rPr>
              <w:t xml:space="preserve"> (net of associated deferred tax liabilities)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22</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RDefault="00545554" w:rsidP="00545554">
            <w:pPr>
              <w:pStyle w:val="TableText"/>
              <w:snapToGrid w:val="0"/>
              <w:ind w:left="57" w:rightChars="71" w:right="142"/>
              <w:rPr>
                <w:lang w:val="en-US" w:eastAsia="it-IT"/>
              </w:rPr>
            </w:pPr>
            <w:r w:rsidRPr="00267664">
              <w:rPr>
                <w:lang w:val="en-US" w:eastAsia="it-IT"/>
              </w:rPr>
              <w:t>Amount exceeding the 15% threshold</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267664" w:rsidRDefault="00545554" w:rsidP="00545554">
            <w:pPr>
              <w:pStyle w:val="TableText"/>
              <w:snapToGrid w:val="0"/>
              <w:ind w:left="57"/>
              <w:rPr>
                <w:szCs w:val="17"/>
                <w:lang w:eastAsia="en-GB"/>
              </w:rPr>
            </w:pPr>
            <w:r w:rsidRPr="00267664">
              <w:rPr>
                <w:szCs w:val="17"/>
                <w:lang w:eastAsia="en-GB"/>
              </w:rPr>
              <w:t>23</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RDefault="00545554" w:rsidP="00545554">
            <w:pPr>
              <w:pStyle w:val="TableText"/>
              <w:snapToGrid w:val="0"/>
              <w:ind w:left="423" w:rightChars="71" w:right="142"/>
              <w:rPr>
                <w:lang w:eastAsia="it-IT"/>
              </w:rPr>
            </w:pPr>
            <w:r w:rsidRPr="00267664">
              <w:rPr>
                <w:lang w:eastAsia="it-IT"/>
              </w:rPr>
              <w:t xml:space="preserve">of which: significant investments in the </w:t>
            </w:r>
            <w:r>
              <w:rPr>
                <w:lang w:eastAsia="it-IT"/>
              </w:rPr>
              <w:t>ordinary share</w:t>
            </w:r>
            <w:r w:rsidRPr="00267664">
              <w:rPr>
                <w:lang w:eastAsia="it-IT"/>
              </w:rPr>
              <w:t xml:space="preserve"> of financial sector entities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267664" w:rsidRDefault="00545554" w:rsidP="00545554">
            <w:pPr>
              <w:pStyle w:val="TableText"/>
              <w:snapToGrid w:val="0"/>
              <w:ind w:left="57"/>
              <w:rPr>
                <w:szCs w:val="17"/>
                <w:lang w:eastAsia="en-GB"/>
              </w:rPr>
            </w:pPr>
            <w:r w:rsidRPr="00267664">
              <w:rPr>
                <w:szCs w:val="17"/>
                <w:lang w:eastAsia="en-GB"/>
              </w:rPr>
              <w:t>24</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RDefault="00545554" w:rsidP="00545554">
            <w:pPr>
              <w:pStyle w:val="TableText"/>
              <w:snapToGrid w:val="0"/>
              <w:ind w:left="423" w:rightChars="71" w:right="142"/>
              <w:rPr>
                <w:lang w:eastAsia="it-IT"/>
              </w:rPr>
            </w:pPr>
            <w:r w:rsidRPr="00267664">
              <w:rPr>
                <w:lang w:eastAsia="it-IT"/>
              </w:rPr>
              <w:t>of which: mortgage servicing rights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267664" w:rsidRDefault="00545554" w:rsidP="00545554">
            <w:pPr>
              <w:pStyle w:val="TableText"/>
              <w:snapToGrid w:val="0"/>
              <w:ind w:left="57"/>
              <w:rPr>
                <w:szCs w:val="17"/>
                <w:lang w:eastAsia="en-GB"/>
              </w:rPr>
            </w:pPr>
            <w:r w:rsidRPr="00267664">
              <w:rPr>
                <w:szCs w:val="17"/>
                <w:lang w:eastAsia="en-GB"/>
              </w:rPr>
              <w:t>25</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267664" w:rsidRDefault="00545554" w:rsidP="00545554">
            <w:pPr>
              <w:pStyle w:val="TableText"/>
              <w:snapToGrid w:val="0"/>
              <w:ind w:left="423" w:rightChars="71" w:right="142"/>
              <w:rPr>
                <w:lang w:eastAsia="it-IT"/>
              </w:rPr>
            </w:pPr>
            <w:r w:rsidRPr="00267664">
              <w:rPr>
                <w:lang w:eastAsia="it-IT"/>
              </w:rPr>
              <w:t>of which: deferred tax assets arising from temporary differences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National specific regulatory adjustments applied to CET1 capital</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26a</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Cumulative fair value gains arising from the revaluation of land and buildings (own-use and investment properties)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26b</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Regulatory reserve for general banking risks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26c</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Securitization exposures specified in a notice given by the M</w:t>
            </w:r>
            <w:r>
              <w:rPr>
                <w:lang w:eastAsia="it-IT"/>
              </w:rPr>
              <w:t>A</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26d</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Cumulative losses below depreciated cost arising from the institution's holdings of land and buildings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26e</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Capital shortfall of regulated non-bank subsidiaries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26f</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Capital investment in a connected company which is a commercial entity (amount above 15% of the reporting institution's capital base)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27</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r w:rsidRPr="00267664">
              <w:rPr>
                <w:lang w:eastAsia="it-IT"/>
              </w:rPr>
              <w:t>Regulatory deductions applied to CET1 capital due to insufficient AT1 capital and Tier 2 capital to cover deductions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28</w:t>
            </w:r>
          </w:p>
        </w:tc>
        <w:tc>
          <w:tcPr>
            <w:tcW w:w="5951" w:type="dxa"/>
            <w:tcBorders>
              <w:top w:val="single" w:sz="4" w:space="0" w:color="auto"/>
              <w:left w:val="single" w:sz="4" w:space="0" w:color="auto"/>
              <w:bottom w:val="single" w:sz="18" w:space="0" w:color="auto"/>
              <w:right w:val="single" w:sz="4"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sidRPr="00267664">
              <w:rPr>
                <w:b/>
                <w:lang w:eastAsia="it-IT"/>
              </w:rPr>
              <w:t>Total regulatory deductions to CET1 capital</w:t>
            </w:r>
          </w:p>
        </w:tc>
        <w:tc>
          <w:tcPr>
            <w:tcW w:w="1276" w:type="dxa"/>
            <w:tcBorders>
              <w:top w:val="single" w:sz="4" w:space="0" w:color="auto"/>
              <w:left w:val="single" w:sz="4" w:space="0" w:color="auto"/>
              <w:bottom w:val="single" w:sz="18"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18"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lastRenderedPageBreak/>
              <w:t>29</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sidRPr="00267664">
              <w:rPr>
                <w:b/>
                <w:lang w:eastAsia="it-IT"/>
              </w:rPr>
              <w:t>CET1 capital</w:t>
            </w:r>
          </w:p>
        </w:tc>
        <w:tc>
          <w:tcPr>
            <w:tcW w:w="1276" w:type="dxa"/>
            <w:tcBorders>
              <w:top w:val="single" w:sz="18" w:space="0" w:color="auto"/>
              <w:left w:val="single" w:sz="18" w:space="0" w:color="auto"/>
              <w:bottom w:val="single" w:sz="18" w:space="0" w:color="auto"/>
              <w:right w:val="single" w:sz="18"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6A6A6" w:themeFill="background1" w:themeFillShade="A6"/>
          </w:tcPr>
          <w:p w:rsidR="00545554" w:rsidRPr="008B2E9C" w:rsidRDefault="00545554" w:rsidP="00545554">
            <w:pPr>
              <w:pStyle w:val="TableText"/>
              <w:snapToGrid w:val="0"/>
              <w:ind w:left="57"/>
              <w:rPr>
                <w:szCs w:val="17"/>
                <w:lang w:eastAsia="en-GB"/>
              </w:rPr>
            </w:pPr>
          </w:p>
        </w:tc>
        <w:tc>
          <w:tcPr>
            <w:tcW w:w="5951" w:type="dxa"/>
            <w:tcBorders>
              <w:top w:val="single" w:sz="18" w:space="0" w:color="auto"/>
              <w:left w:val="single" w:sz="4" w:space="0" w:color="auto"/>
              <w:bottom w:val="single" w:sz="4" w:space="0" w:color="auto"/>
              <w:right w:val="single" w:sz="4" w:space="0" w:color="auto"/>
            </w:tcBorders>
            <w:shd w:val="clear" w:color="auto" w:fill="A6A6A6" w:themeFill="background1" w:themeFillShade="A6"/>
          </w:tcPr>
          <w:p w:rsidR="00545554" w:rsidRPr="00445B4A" w:rsidRDefault="00545554" w:rsidP="00545554">
            <w:pPr>
              <w:pStyle w:val="TableText"/>
              <w:snapToGrid w:val="0"/>
              <w:ind w:left="57" w:rightChars="71" w:right="142"/>
              <w:rPr>
                <w:b/>
                <w:lang w:eastAsia="it-IT"/>
              </w:rPr>
            </w:pPr>
            <w:r>
              <w:rPr>
                <w:b/>
                <w:lang w:eastAsia="it-IT"/>
              </w:rPr>
              <w:t>AT1 capital: instruments</w:t>
            </w:r>
          </w:p>
        </w:tc>
        <w:tc>
          <w:tcPr>
            <w:tcW w:w="1276" w:type="dxa"/>
            <w:tcBorders>
              <w:top w:val="single" w:sz="18"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30</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r w:rsidRPr="00372905">
              <w:rPr>
                <w:lang w:eastAsia="it-IT"/>
              </w:rPr>
              <w:t>Qualifying AT1 capital instruments plus any related share premium</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r>
              <w:rPr>
                <w:lang w:eastAsia="it-IT"/>
              </w:rPr>
              <w:t>[f]</w:t>
            </w: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31</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423" w:rightChars="71" w:right="142"/>
              <w:rPr>
                <w:lang w:eastAsia="it-IT"/>
              </w:rPr>
            </w:pPr>
            <w:r w:rsidRPr="00372905">
              <w:rPr>
                <w:lang w:eastAsia="it-IT"/>
              </w:rPr>
              <w:t>of which: classified as equity under applicable accounting standards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32</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423" w:rightChars="71" w:right="142"/>
              <w:rPr>
                <w:lang w:eastAsia="it-IT"/>
              </w:rPr>
            </w:pPr>
            <w:r w:rsidRPr="00372905">
              <w:rPr>
                <w:lang w:eastAsia="it-IT"/>
              </w:rPr>
              <w:t>of which: classified as liabilities under applicable accounting standards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Pr>
                <w:szCs w:val="17"/>
                <w:lang w:eastAsia="en-GB"/>
              </w:rPr>
              <w:t>33</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i/>
                <w:lang w:eastAsia="it-IT"/>
              </w:rPr>
            </w:pPr>
            <w:r w:rsidRPr="00372905">
              <w:rPr>
                <w:i/>
                <w:lang w:eastAsia="it-IT"/>
              </w:rPr>
              <w:t>Capital instruments subject to phase</w:t>
            </w:r>
            <w:r>
              <w:rPr>
                <w:i/>
                <w:lang w:eastAsia="it-IT"/>
              </w:rPr>
              <w:t>-</w:t>
            </w:r>
            <w:r w:rsidRPr="00372905">
              <w:rPr>
                <w:i/>
                <w:lang w:eastAsia="it-IT"/>
              </w:rPr>
              <w:t>out arrangements from AT1 capital</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Pr>
                <w:szCs w:val="17"/>
                <w:lang w:eastAsia="en-GB"/>
              </w:rPr>
              <w:t>34</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r w:rsidRPr="00372905">
              <w:rPr>
                <w:lang w:eastAsia="it-IT"/>
              </w:rPr>
              <w:t>AT1 capital instruments issued by consolidated bank subsidiaries and held by third parties (amount allowed in AT1 capital of the consolidation group)</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Pr>
                <w:szCs w:val="17"/>
                <w:lang w:eastAsia="en-GB"/>
              </w:rPr>
              <w:t>35</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423" w:rightChars="71" w:right="142"/>
              <w:rPr>
                <w:i/>
                <w:lang w:eastAsia="it-IT"/>
              </w:rPr>
            </w:pPr>
            <w:r w:rsidRPr="00372905">
              <w:rPr>
                <w:i/>
                <w:lang w:eastAsia="it-IT"/>
              </w:rPr>
              <w:t>of which: AT1 capital instruments issued by subsidiaries subject to phase</w:t>
            </w:r>
            <w:r>
              <w:rPr>
                <w:i/>
                <w:lang w:eastAsia="it-IT"/>
              </w:rPr>
              <w:t>-</w:t>
            </w:r>
            <w:r w:rsidRPr="00372905">
              <w:rPr>
                <w:i/>
                <w:lang w:eastAsia="it-IT"/>
              </w:rPr>
              <w:t>out arrangements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Pr>
                <w:szCs w:val="17"/>
                <w:lang w:eastAsia="en-GB"/>
              </w:rPr>
              <w:t>36</w:t>
            </w:r>
          </w:p>
        </w:tc>
        <w:tc>
          <w:tcPr>
            <w:tcW w:w="5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372905" w:rsidRDefault="00545554" w:rsidP="00545554">
            <w:pPr>
              <w:pStyle w:val="TableText"/>
              <w:snapToGrid w:val="0"/>
              <w:ind w:left="57" w:rightChars="71" w:right="142"/>
              <w:rPr>
                <w:b/>
                <w:lang w:eastAsia="it-IT"/>
              </w:rPr>
            </w:pPr>
            <w:r w:rsidRPr="00372905">
              <w:rPr>
                <w:b/>
                <w:lang w:eastAsia="it-IT"/>
              </w:rPr>
              <w:t>AT1 capital before regulatory deductions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6A6A6" w:themeFill="background1" w:themeFillShade="A6"/>
          </w:tcPr>
          <w:p w:rsidR="00545554" w:rsidRPr="00C050E0" w:rsidRDefault="00545554" w:rsidP="00545554">
            <w:pPr>
              <w:pStyle w:val="TableText"/>
              <w:snapToGrid w:val="0"/>
              <w:ind w:rightChars="71" w:right="142"/>
              <w:rPr>
                <w:b/>
                <w:bCs/>
                <w:szCs w:val="17"/>
              </w:rPr>
            </w:pPr>
          </w:p>
        </w:tc>
        <w:tc>
          <w:tcPr>
            <w:tcW w:w="5951" w:type="dxa"/>
            <w:tcBorders>
              <w:top w:val="single" w:sz="4" w:space="0" w:color="auto"/>
              <w:left w:val="single" w:sz="4" w:space="0" w:color="auto"/>
              <w:bottom w:val="single" w:sz="6" w:space="0" w:color="auto"/>
              <w:right w:val="nil"/>
            </w:tcBorders>
            <w:shd w:val="clear" w:color="auto" w:fill="A6A6A6" w:themeFill="background1" w:themeFillShade="A6"/>
          </w:tcPr>
          <w:p w:rsidR="00545554" w:rsidRPr="008B2E9C" w:rsidRDefault="00545554" w:rsidP="00545554">
            <w:pPr>
              <w:pStyle w:val="TableText"/>
              <w:snapToGrid w:val="0"/>
              <w:ind w:left="57" w:rightChars="71" w:right="142"/>
              <w:rPr>
                <w:b/>
                <w:bCs/>
                <w:szCs w:val="17"/>
              </w:rPr>
            </w:pPr>
            <w:r>
              <w:rPr>
                <w:b/>
                <w:lang w:eastAsia="it-IT"/>
              </w:rPr>
              <w:t>AT1 capital: regulatory deductions</w:t>
            </w:r>
          </w:p>
        </w:tc>
        <w:tc>
          <w:tcPr>
            <w:tcW w:w="1276" w:type="dxa"/>
            <w:tcBorders>
              <w:top w:val="single" w:sz="4" w:space="0" w:color="auto"/>
              <w:left w:val="nil"/>
              <w:bottom w:val="single" w:sz="6" w:space="0" w:color="auto"/>
              <w:right w:val="nil"/>
            </w:tcBorders>
            <w:shd w:val="clear" w:color="auto" w:fill="A6A6A6" w:themeFill="background1" w:themeFillShade="A6"/>
          </w:tcPr>
          <w:p w:rsidR="00545554" w:rsidRPr="0023654F" w:rsidRDefault="00545554" w:rsidP="00545554">
            <w:pPr>
              <w:pStyle w:val="TableText"/>
              <w:snapToGrid w:val="0"/>
              <w:jc w:val="center"/>
              <w:rPr>
                <w:lang w:eastAsia="it-IT"/>
              </w:rPr>
            </w:pPr>
          </w:p>
        </w:tc>
        <w:tc>
          <w:tcPr>
            <w:tcW w:w="1417" w:type="dxa"/>
            <w:tcBorders>
              <w:top w:val="single" w:sz="4" w:space="0" w:color="auto"/>
              <w:left w:val="nil"/>
              <w:bottom w:val="single" w:sz="6"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37</w:t>
            </w:r>
          </w:p>
        </w:tc>
        <w:tc>
          <w:tcPr>
            <w:tcW w:w="5951" w:type="dxa"/>
            <w:tcBorders>
              <w:top w:val="single" w:sz="4" w:space="0" w:color="auto"/>
              <w:left w:val="single" w:sz="4" w:space="0" w:color="auto"/>
              <w:bottom w:val="single" w:sz="6" w:space="0" w:color="auto"/>
              <w:right w:val="single" w:sz="4" w:space="0" w:color="auto"/>
            </w:tcBorders>
            <w:shd w:val="clear" w:color="auto" w:fill="auto"/>
          </w:tcPr>
          <w:p w:rsidR="00545554" w:rsidRPr="008F1419" w:rsidRDefault="00545554" w:rsidP="00545554">
            <w:pPr>
              <w:pStyle w:val="TableText"/>
              <w:snapToGrid w:val="0"/>
              <w:ind w:left="57" w:rightChars="71" w:right="142"/>
              <w:rPr>
                <w:lang w:eastAsia="it-IT"/>
              </w:rPr>
            </w:pPr>
            <w:r w:rsidRPr="008F1419">
              <w:rPr>
                <w:lang w:eastAsia="it-IT"/>
              </w:rPr>
              <w:t>Investments in own AT1 capital instruments</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38</w:t>
            </w:r>
          </w:p>
        </w:tc>
        <w:tc>
          <w:tcPr>
            <w:tcW w:w="5951" w:type="dxa"/>
            <w:tcBorders>
              <w:top w:val="single" w:sz="4" w:space="0" w:color="auto"/>
              <w:left w:val="single" w:sz="4" w:space="0" w:color="auto"/>
              <w:bottom w:val="single" w:sz="6" w:space="0" w:color="auto"/>
              <w:right w:val="single" w:sz="4" w:space="0" w:color="auto"/>
            </w:tcBorders>
            <w:shd w:val="clear" w:color="auto" w:fill="auto"/>
          </w:tcPr>
          <w:p w:rsidR="00545554" w:rsidRPr="008F1419" w:rsidRDefault="00545554" w:rsidP="00545554">
            <w:pPr>
              <w:pStyle w:val="TableText"/>
              <w:snapToGrid w:val="0"/>
              <w:ind w:left="57" w:rightChars="71" w:right="142"/>
              <w:rPr>
                <w:lang w:eastAsia="it-IT"/>
              </w:rPr>
            </w:pPr>
            <w:r w:rsidRPr="008F1419">
              <w:rPr>
                <w:lang w:eastAsia="it-IT"/>
              </w:rPr>
              <w:t>Reciprocal cross-holdings in AT1 capital instruments</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39</w:t>
            </w:r>
          </w:p>
        </w:tc>
        <w:tc>
          <w:tcPr>
            <w:tcW w:w="5951" w:type="dxa"/>
            <w:tcBorders>
              <w:top w:val="single" w:sz="4" w:space="0" w:color="auto"/>
              <w:left w:val="single" w:sz="4" w:space="0" w:color="auto"/>
              <w:bottom w:val="single" w:sz="6" w:space="0" w:color="auto"/>
              <w:right w:val="single" w:sz="4" w:space="0" w:color="auto"/>
            </w:tcBorders>
            <w:shd w:val="clear" w:color="auto" w:fill="auto"/>
          </w:tcPr>
          <w:p w:rsidR="00545554" w:rsidRPr="008F1419" w:rsidRDefault="00545554" w:rsidP="00051179">
            <w:pPr>
              <w:pStyle w:val="TableText"/>
              <w:snapToGrid w:val="0"/>
              <w:ind w:left="57" w:rightChars="71" w:right="142"/>
              <w:rPr>
                <w:lang w:eastAsia="it-IT"/>
              </w:rPr>
            </w:pPr>
            <w:r w:rsidRPr="008F1419">
              <w:rPr>
                <w:lang w:eastAsia="it-IT"/>
              </w:rPr>
              <w:t xml:space="preserve">Insignificant </w:t>
            </w:r>
            <w:r w:rsidR="00051179">
              <w:rPr>
                <w:lang w:eastAsia="it-IT"/>
              </w:rPr>
              <w:t xml:space="preserve">LAC </w:t>
            </w:r>
            <w:r w:rsidRPr="008F1419">
              <w:rPr>
                <w:lang w:eastAsia="it-IT"/>
              </w:rPr>
              <w:t>investments in AT1 capital instruments issued by financial sector entities that are outside the scope of regulatory consolidation (amount above 10% threshold)</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40</w:t>
            </w:r>
          </w:p>
        </w:tc>
        <w:tc>
          <w:tcPr>
            <w:tcW w:w="5951" w:type="dxa"/>
            <w:tcBorders>
              <w:top w:val="single" w:sz="4" w:space="0" w:color="auto"/>
              <w:left w:val="single" w:sz="4" w:space="0" w:color="auto"/>
              <w:bottom w:val="single" w:sz="6" w:space="0" w:color="auto"/>
              <w:right w:val="single" w:sz="4" w:space="0" w:color="auto"/>
            </w:tcBorders>
            <w:shd w:val="clear" w:color="auto" w:fill="auto"/>
          </w:tcPr>
          <w:p w:rsidR="00545554" w:rsidRPr="008F1419" w:rsidRDefault="00545554" w:rsidP="00051179">
            <w:pPr>
              <w:pStyle w:val="TableText"/>
              <w:snapToGrid w:val="0"/>
              <w:ind w:left="57" w:rightChars="71" w:right="142"/>
              <w:rPr>
                <w:lang w:eastAsia="it-IT"/>
              </w:rPr>
            </w:pPr>
            <w:r w:rsidRPr="008F1419">
              <w:rPr>
                <w:lang w:eastAsia="it-IT"/>
              </w:rPr>
              <w:t xml:space="preserve">Significant </w:t>
            </w:r>
            <w:r w:rsidR="00051179">
              <w:rPr>
                <w:lang w:eastAsia="it-IT"/>
              </w:rPr>
              <w:t xml:space="preserve">LAC </w:t>
            </w:r>
            <w:r w:rsidRPr="008F1419">
              <w:rPr>
                <w:lang w:eastAsia="it-IT"/>
              </w:rPr>
              <w:t>investments in AT1 capital instruments issued by financial sector entities that are outside the scope of regulatory consolidation</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41</w:t>
            </w:r>
          </w:p>
        </w:tc>
        <w:tc>
          <w:tcPr>
            <w:tcW w:w="5951" w:type="dxa"/>
            <w:tcBorders>
              <w:top w:val="single" w:sz="4" w:space="0" w:color="auto"/>
              <w:left w:val="single" w:sz="4" w:space="0" w:color="auto"/>
              <w:bottom w:val="single" w:sz="6" w:space="0" w:color="auto"/>
              <w:right w:val="single" w:sz="4" w:space="0" w:color="auto"/>
            </w:tcBorders>
            <w:shd w:val="clear" w:color="auto" w:fill="auto"/>
          </w:tcPr>
          <w:p w:rsidR="00545554" w:rsidRPr="008F1419" w:rsidRDefault="00545554" w:rsidP="00545554">
            <w:pPr>
              <w:pStyle w:val="TableText"/>
              <w:snapToGrid w:val="0"/>
              <w:ind w:left="57" w:rightChars="71" w:right="142"/>
              <w:rPr>
                <w:lang w:eastAsia="it-IT"/>
              </w:rPr>
            </w:pPr>
            <w:r w:rsidRPr="008F1419">
              <w:rPr>
                <w:lang w:eastAsia="it-IT"/>
              </w:rPr>
              <w:t>National specific regulatory adjustments applied to AT1 capital</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4" w:space="0" w:color="auto"/>
              <w:left w:val="nil"/>
              <w:bottom w:val="single" w:sz="6" w:space="0" w:color="auto"/>
              <w:right w:val="single" w:sz="4" w:space="0" w:color="auto"/>
            </w:tcBorders>
            <w:shd w:val="clear" w:color="auto" w:fill="auto"/>
          </w:tcPr>
          <w:p w:rsidR="00545554" w:rsidRPr="00BC315E" w:rsidRDefault="00545554" w:rsidP="00545554">
            <w:pPr>
              <w:pStyle w:val="TableText"/>
              <w:snapToGrid w:val="0"/>
              <w:ind w:left="57"/>
              <w:rPr>
                <w:szCs w:val="17"/>
                <w:lang w:eastAsia="en-GB"/>
              </w:rPr>
            </w:pPr>
            <w:r w:rsidRPr="00BC315E">
              <w:rPr>
                <w:szCs w:val="17"/>
                <w:lang w:eastAsia="en-GB"/>
              </w:rPr>
              <w:t>42</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8F1419" w:rsidRDefault="00545554" w:rsidP="00545554">
            <w:pPr>
              <w:pStyle w:val="TableText"/>
              <w:snapToGrid w:val="0"/>
              <w:ind w:left="57" w:rightChars="71" w:right="142"/>
              <w:rPr>
                <w:lang w:eastAsia="it-IT"/>
              </w:rPr>
            </w:pPr>
            <w:r w:rsidRPr="008F1419">
              <w:rPr>
                <w:lang w:eastAsia="it-IT"/>
              </w:rPr>
              <w:t>Regulatory deductions applied to AT1 capital due to insufficient Tier 2 capital to cover deductions</w:t>
            </w:r>
          </w:p>
        </w:tc>
        <w:tc>
          <w:tcPr>
            <w:tcW w:w="1276"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4" w:space="0" w:color="auto"/>
              <w:left w:val="single" w:sz="4"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BCBDBC"/>
              <w:right w:val="single" w:sz="4" w:space="0" w:color="auto"/>
            </w:tcBorders>
          </w:tcPr>
          <w:p w:rsidR="00545554" w:rsidRPr="008B2E9C" w:rsidRDefault="00545554" w:rsidP="00545554">
            <w:pPr>
              <w:pStyle w:val="TableText"/>
              <w:snapToGrid w:val="0"/>
              <w:ind w:left="57"/>
              <w:rPr>
                <w:szCs w:val="17"/>
                <w:lang w:eastAsia="en-GB"/>
              </w:rPr>
            </w:pPr>
            <w:r>
              <w:rPr>
                <w:szCs w:val="17"/>
                <w:lang w:eastAsia="en-GB"/>
              </w:rPr>
              <w:t>43</w:t>
            </w:r>
          </w:p>
        </w:tc>
        <w:tc>
          <w:tcPr>
            <w:tcW w:w="5951" w:type="dxa"/>
            <w:tcBorders>
              <w:top w:val="single" w:sz="4" w:space="0" w:color="auto"/>
              <w:left w:val="single" w:sz="4" w:space="0" w:color="auto"/>
              <w:bottom w:val="single" w:sz="18" w:space="0" w:color="auto"/>
              <w:right w:val="single" w:sz="6" w:space="0" w:color="auto"/>
            </w:tcBorders>
            <w:shd w:val="clear" w:color="auto" w:fill="D9D9D9" w:themeFill="background1" w:themeFillShade="D9"/>
          </w:tcPr>
          <w:p w:rsidR="00545554" w:rsidRPr="00FE7722" w:rsidRDefault="00545554" w:rsidP="00545554">
            <w:pPr>
              <w:pStyle w:val="TableText"/>
              <w:snapToGrid w:val="0"/>
              <w:ind w:left="57" w:rightChars="71" w:right="142"/>
              <w:rPr>
                <w:b/>
                <w:lang w:eastAsia="it-IT"/>
              </w:rPr>
            </w:pPr>
            <w:r w:rsidRPr="00FE7722">
              <w:rPr>
                <w:b/>
                <w:lang w:eastAsia="it-IT"/>
              </w:rPr>
              <w:t>Total regulatory deductions to AT1 capital</w:t>
            </w:r>
          </w:p>
        </w:tc>
        <w:tc>
          <w:tcPr>
            <w:tcW w:w="1276" w:type="dxa"/>
            <w:tcBorders>
              <w:top w:val="single" w:sz="6" w:space="0" w:color="auto"/>
              <w:left w:val="single" w:sz="6" w:space="0" w:color="auto"/>
              <w:bottom w:val="single" w:sz="18"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1417"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BCBDBC"/>
              <w:left w:val="nil"/>
              <w:bottom w:val="single" w:sz="6" w:space="0" w:color="BCBDBC"/>
              <w:right w:val="single" w:sz="18" w:space="0" w:color="auto"/>
            </w:tcBorders>
          </w:tcPr>
          <w:p w:rsidR="00545554" w:rsidRPr="008B2E9C" w:rsidRDefault="00545554" w:rsidP="00545554">
            <w:pPr>
              <w:pStyle w:val="TableText"/>
              <w:snapToGrid w:val="0"/>
              <w:ind w:left="57"/>
              <w:rPr>
                <w:szCs w:val="17"/>
                <w:lang w:eastAsia="en-GB"/>
              </w:rPr>
            </w:pPr>
            <w:r>
              <w:rPr>
                <w:szCs w:val="17"/>
                <w:lang w:eastAsia="en-GB"/>
              </w:rPr>
              <w:t>44</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FE7722" w:rsidRDefault="00545554" w:rsidP="00545554">
            <w:pPr>
              <w:pStyle w:val="TableText"/>
              <w:snapToGrid w:val="0"/>
              <w:ind w:left="57" w:rightChars="71" w:right="142"/>
              <w:rPr>
                <w:b/>
                <w:lang w:eastAsia="it-IT"/>
              </w:rPr>
            </w:pPr>
            <w:r w:rsidRPr="00FE7722">
              <w:rPr>
                <w:b/>
                <w:lang w:eastAsia="it-IT"/>
              </w:rPr>
              <w:t>AT1 capital</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6" w:space="0" w:color="auto"/>
              <w:left w:val="single" w:sz="18"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BCBDBC"/>
              <w:left w:val="nil"/>
              <w:bottom w:val="single" w:sz="6" w:space="0" w:color="BCBDBC"/>
              <w:right w:val="single" w:sz="18" w:space="0" w:color="auto"/>
            </w:tcBorders>
          </w:tcPr>
          <w:p w:rsidR="00545554" w:rsidRPr="008B2E9C" w:rsidRDefault="00545554" w:rsidP="00545554">
            <w:pPr>
              <w:pStyle w:val="TableText"/>
              <w:snapToGrid w:val="0"/>
              <w:ind w:left="57"/>
              <w:rPr>
                <w:szCs w:val="17"/>
                <w:lang w:eastAsia="en-GB"/>
              </w:rPr>
            </w:pPr>
            <w:r>
              <w:rPr>
                <w:szCs w:val="17"/>
                <w:lang w:eastAsia="en-GB"/>
              </w:rPr>
              <w:t>45</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FE7722" w:rsidRDefault="00545554" w:rsidP="00545554">
            <w:pPr>
              <w:pStyle w:val="TableText"/>
              <w:snapToGrid w:val="0"/>
              <w:ind w:left="57" w:rightChars="71" w:right="142"/>
              <w:rPr>
                <w:b/>
                <w:lang w:eastAsia="it-IT"/>
              </w:rPr>
            </w:pPr>
            <w:r w:rsidRPr="00FE7722">
              <w:rPr>
                <w:b/>
                <w:lang w:eastAsia="it-IT"/>
              </w:rPr>
              <w:t>Tier 1 capital (</w:t>
            </w:r>
            <w:r>
              <w:rPr>
                <w:b/>
                <w:lang w:eastAsia="it-IT"/>
              </w:rPr>
              <w:t>T</w:t>
            </w:r>
            <w:r w:rsidRPr="00FE7722">
              <w:rPr>
                <w:b/>
                <w:lang w:eastAsia="it-IT"/>
              </w:rPr>
              <w:t>1 = CET1 + AT1)</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6" w:space="0" w:color="auto"/>
              <w:left w:val="single" w:sz="18"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8B2E9C" w:rsidRDefault="00545554" w:rsidP="00545554">
            <w:pPr>
              <w:pStyle w:val="TableText"/>
              <w:snapToGrid w:val="0"/>
              <w:ind w:left="417" w:rightChars="71" w:right="142"/>
              <w:rPr>
                <w:b/>
                <w:szCs w:val="17"/>
                <w:lang w:eastAsia="it-IT"/>
              </w:rPr>
            </w:pPr>
          </w:p>
        </w:tc>
        <w:tc>
          <w:tcPr>
            <w:tcW w:w="5951" w:type="dxa"/>
            <w:tcBorders>
              <w:top w:val="single" w:sz="18" w:space="0" w:color="auto"/>
              <w:left w:val="single" w:sz="4" w:space="0" w:color="auto"/>
              <w:bottom w:val="single" w:sz="4" w:space="0" w:color="auto"/>
              <w:right w:val="nil"/>
            </w:tcBorders>
            <w:shd w:val="clear" w:color="auto" w:fill="A6A6A6" w:themeFill="background1" w:themeFillShade="A6"/>
          </w:tcPr>
          <w:p w:rsidR="00545554" w:rsidRPr="008B2E9C" w:rsidRDefault="00545554" w:rsidP="00545554">
            <w:pPr>
              <w:pStyle w:val="TableText"/>
              <w:snapToGrid w:val="0"/>
              <w:ind w:left="57" w:rightChars="71" w:right="142"/>
              <w:rPr>
                <w:b/>
                <w:szCs w:val="17"/>
                <w:lang w:eastAsia="it-IT"/>
              </w:rPr>
            </w:pPr>
            <w:r w:rsidRPr="00FE7722">
              <w:rPr>
                <w:b/>
                <w:szCs w:val="17"/>
                <w:lang w:eastAsia="it-IT"/>
              </w:rPr>
              <w:t>Tier 2 capital: instruments and provisions</w:t>
            </w:r>
          </w:p>
        </w:tc>
        <w:tc>
          <w:tcPr>
            <w:tcW w:w="1276" w:type="dxa"/>
            <w:tcBorders>
              <w:top w:val="single" w:sz="18" w:space="0" w:color="auto"/>
              <w:left w:val="nil"/>
              <w:bottom w:val="single" w:sz="4" w:space="0" w:color="auto"/>
              <w:right w:val="nil"/>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6" w:space="0" w:color="auto"/>
              <w:left w:val="nil"/>
              <w:bottom w:val="single" w:sz="4" w:space="0" w:color="auto"/>
              <w:right w:val="single" w:sz="6"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46</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Qualifying Tier 2 capital instruments plus any related share premium</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47</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591AE9" w:rsidRDefault="00545554" w:rsidP="00545554">
            <w:pPr>
              <w:pStyle w:val="TableText"/>
              <w:snapToGrid w:val="0"/>
              <w:ind w:left="57" w:rightChars="71" w:right="142"/>
              <w:rPr>
                <w:i/>
                <w:szCs w:val="17"/>
                <w:lang w:eastAsia="it-IT"/>
              </w:rPr>
            </w:pPr>
            <w:r w:rsidRPr="00591AE9">
              <w:rPr>
                <w:i/>
                <w:szCs w:val="17"/>
                <w:lang w:eastAsia="it-IT"/>
              </w:rPr>
              <w:t>Capital instruments subject to phase-out arrangements from Tier 2 capital</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48</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Tier 2 capital instruments issued by consolidated bank subsidiaries and held by third parties (amount allowed in Tier 2 capital of the consolidation group)</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49</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BE3166" w:rsidRDefault="00545554" w:rsidP="00545554">
            <w:pPr>
              <w:pStyle w:val="TableText"/>
              <w:snapToGrid w:val="0"/>
              <w:ind w:left="423" w:rightChars="71" w:right="142"/>
              <w:rPr>
                <w:i/>
                <w:szCs w:val="17"/>
                <w:lang w:eastAsia="it-IT"/>
              </w:rPr>
            </w:pPr>
            <w:r w:rsidRPr="00BE3166">
              <w:rPr>
                <w:i/>
                <w:szCs w:val="17"/>
                <w:lang w:eastAsia="it-IT"/>
              </w:rPr>
              <w:t>of which: capital instruments issued by subsidiaries subject to phase</w:t>
            </w:r>
            <w:r>
              <w:rPr>
                <w:i/>
                <w:szCs w:val="17"/>
                <w:lang w:eastAsia="it-IT"/>
              </w:rPr>
              <w:t>-</w:t>
            </w:r>
            <w:r w:rsidRPr="00BE3166">
              <w:rPr>
                <w:i/>
                <w:szCs w:val="17"/>
                <w:lang w:eastAsia="it-IT"/>
              </w:rPr>
              <w:t>out arrangements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50</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48768A">
              <w:rPr>
                <w:szCs w:val="17"/>
                <w:lang w:eastAsia="it-IT"/>
              </w:rPr>
              <w:t>Collective provisions and regulatory</w:t>
            </w:r>
            <w:r w:rsidRPr="00FE7722">
              <w:rPr>
                <w:szCs w:val="17"/>
                <w:lang w:eastAsia="it-IT"/>
              </w:rPr>
              <w:t xml:space="preserve"> reserve for general banking risks eligible for inclusion in Tier 2 capital</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51</w:t>
            </w:r>
          </w:p>
        </w:tc>
        <w:tc>
          <w:tcPr>
            <w:tcW w:w="5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Tier 2 capital before regulatory deductions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Pr>
                <w:szCs w:val="17"/>
                <w:lang w:eastAsia="en-GB"/>
              </w:rPr>
            </w:pPr>
          </w:p>
        </w:tc>
        <w:tc>
          <w:tcPr>
            <w:tcW w:w="5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Tier 2 capital: regulatory deductions</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52</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Investments in own Tier 2 capital instruments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53</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Reciprocal cross-holdings in Tier 2 capital instruments</w:t>
            </w:r>
            <w:r w:rsidR="00051179">
              <w:rPr>
                <w:szCs w:val="17"/>
                <w:lang w:eastAsia="it-IT"/>
              </w:rPr>
              <w:t xml:space="preserve"> and non-capital LAC liabilities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051179"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lastRenderedPageBreak/>
              <w:t>54</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051179">
            <w:pPr>
              <w:pStyle w:val="TableText"/>
              <w:snapToGrid w:val="0"/>
              <w:ind w:left="57" w:rightChars="71" w:right="142"/>
              <w:rPr>
                <w:szCs w:val="17"/>
                <w:lang w:eastAsia="it-IT"/>
              </w:rPr>
            </w:pPr>
            <w:r w:rsidRPr="00FE7722">
              <w:rPr>
                <w:szCs w:val="17"/>
                <w:lang w:eastAsia="it-IT"/>
              </w:rPr>
              <w:t xml:space="preserve">Insignificant </w:t>
            </w:r>
            <w:r w:rsidR="00051179">
              <w:rPr>
                <w:szCs w:val="17"/>
                <w:lang w:eastAsia="it-IT"/>
              </w:rPr>
              <w:t xml:space="preserve">LAC </w:t>
            </w:r>
            <w:r w:rsidRPr="00FE7722">
              <w:rPr>
                <w:szCs w:val="17"/>
                <w:lang w:eastAsia="it-IT"/>
              </w:rPr>
              <w:t>investments in Tier 2 capital instruments</w:t>
            </w:r>
            <w:r>
              <w:rPr>
                <w:szCs w:val="17"/>
                <w:lang w:eastAsia="it-IT"/>
              </w:rPr>
              <w:t xml:space="preserve"> </w:t>
            </w:r>
            <w:r w:rsidRPr="00FE7722">
              <w:rPr>
                <w:szCs w:val="17"/>
                <w:lang w:eastAsia="it-IT"/>
              </w:rPr>
              <w:t>issued by</w:t>
            </w:r>
            <w:r w:rsidR="00051179">
              <w:rPr>
                <w:szCs w:val="17"/>
                <w:lang w:eastAsia="it-IT"/>
              </w:rPr>
              <w:t>, and non-capital LAC liabilities of,</w:t>
            </w:r>
            <w:r w:rsidRPr="00FE7722">
              <w:rPr>
                <w:szCs w:val="17"/>
                <w:lang w:eastAsia="it-IT"/>
              </w:rPr>
              <w:t xml:space="preserve"> financial sector entities that are outside the scope of regulatory consolidation (amount above 10% threshold</w:t>
            </w:r>
            <w:r w:rsidR="00051179">
              <w:rPr>
                <w:szCs w:val="17"/>
                <w:lang w:eastAsia="it-IT"/>
              </w:rPr>
              <w:t xml:space="preserve"> and, where applicable, 5% threshold</w:t>
            </w:r>
            <w:r w:rsidRPr="00FE7722">
              <w:rPr>
                <w:szCs w:val="17"/>
                <w:lang w:eastAsia="it-IT"/>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051179" w:rsidRPr="00051179"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051179" w:rsidRDefault="00051179" w:rsidP="00545554">
            <w:pPr>
              <w:pStyle w:val="TableText"/>
              <w:snapToGrid w:val="0"/>
              <w:ind w:left="57"/>
              <w:rPr>
                <w:szCs w:val="17"/>
                <w:lang w:eastAsia="en-GB"/>
              </w:rPr>
            </w:pPr>
            <w:r>
              <w:rPr>
                <w:szCs w:val="17"/>
                <w:lang w:eastAsia="en-GB"/>
              </w:rPr>
              <w:t>54a</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051179" w:rsidRPr="00FE7722" w:rsidRDefault="00051179" w:rsidP="00051179">
            <w:pPr>
              <w:pStyle w:val="TableText"/>
              <w:snapToGrid w:val="0"/>
              <w:ind w:left="57" w:rightChars="71" w:right="142"/>
              <w:rPr>
                <w:szCs w:val="17"/>
                <w:lang w:eastAsia="it-IT"/>
              </w:rPr>
            </w:pPr>
            <w:r>
              <w:rPr>
                <w:kern w:val="2"/>
                <w:szCs w:val="17"/>
                <w:lang w:eastAsia="it-IT"/>
              </w:rPr>
              <w:t>Insignificant LAC i</w:t>
            </w:r>
            <w:r w:rsidRPr="00A11ECA">
              <w:rPr>
                <w:kern w:val="2"/>
                <w:szCs w:val="17"/>
                <w:lang w:eastAsia="it-IT"/>
              </w:rPr>
              <w:t xml:space="preserve">nvestments in </w:t>
            </w:r>
            <w:r>
              <w:rPr>
                <w:kern w:val="2"/>
                <w:szCs w:val="17"/>
                <w:lang w:eastAsia="it-IT"/>
              </w:rPr>
              <w:t xml:space="preserve">non-capital </w:t>
            </w:r>
            <w:r w:rsidRPr="00A11ECA">
              <w:rPr>
                <w:kern w:val="2"/>
                <w:szCs w:val="17"/>
                <w:lang w:eastAsia="it-IT"/>
              </w:rPr>
              <w:t xml:space="preserve">LAC liabilities </w:t>
            </w:r>
            <w:r>
              <w:rPr>
                <w:kern w:val="2"/>
                <w:szCs w:val="17"/>
                <w:lang w:eastAsia="it-IT"/>
              </w:rPr>
              <w:t>of</w:t>
            </w:r>
            <w:r w:rsidRPr="00A11ECA">
              <w:rPr>
                <w:kern w:val="2"/>
                <w:szCs w:val="17"/>
                <w:lang w:eastAsia="it-IT"/>
              </w:rPr>
              <w:t xml:space="preserve"> financial </w:t>
            </w:r>
            <w:r>
              <w:rPr>
                <w:kern w:val="2"/>
                <w:szCs w:val="17"/>
                <w:lang w:eastAsia="it-IT"/>
              </w:rPr>
              <w:t>sector</w:t>
            </w:r>
            <w:r w:rsidRPr="00A11ECA">
              <w:rPr>
                <w:kern w:val="2"/>
                <w:szCs w:val="17"/>
                <w:lang w:eastAsia="it-IT"/>
              </w:rPr>
              <w:t xml:space="preserve"> entities that are outside the scope of regulatory consolidation</w:t>
            </w:r>
            <w:r>
              <w:rPr>
                <w:kern w:val="2"/>
                <w:szCs w:val="17"/>
                <w:lang w:eastAsia="it-IT"/>
              </w:rPr>
              <w:t xml:space="preserve"> (</w:t>
            </w:r>
            <w:r w:rsidRPr="00A11ECA">
              <w:rPr>
                <w:kern w:val="2"/>
                <w:szCs w:val="17"/>
                <w:lang w:eastAsia="it-IT"/>
              </w:rPr>
              <w:t xml:space="preserve">amount </w:t>
            </w:r>
            <w:r>
              <w:rPr>
                <w:kern w:val="2"/>
                <w:szCs w:val="17"/>
                <w:lang w:eastAsia="it-IT"/>
              </w:rPr>
              <w:t>former</w:t>
            </w:r>
            <w:r w:rsidRPr="00A11ECA">
              <w:rPr>
                <w:kern w:val="2"/>
                <w:szCs w:val="17"/>
                <w:lang w:eastAsia="it-IT"/>
              </w:rPr>
              <w:t>ly designated for the 5% threshold but no longer meets the conditions</w:t>
            </w:r>
            <w:r>
              <w:rPr>
                <w:kern w:val="2"/>
                <w:szCs w:val="17"/>
                <w:lang w:eastAsia="it-IT"/>
              </w:rPr>
              <w:t>)</w:t>
            </w:r>
            <w:r w:rsidRPr="00A11ECA">
              <w:rPr>
                <w:kern w:val="2"/>
                <w:szCs w:val="17"/>
                <w:lang w:eastAsia="it-IT"/>
              </w:rPr>
              <w:t xml:space="preserve"> (for </w:t>
            </w:r>
            <w:r>
              <w:rPr>
                <w:kern w:val="2"/>
                <w:szCs w:val="17"/>
                <w:lang w:eastAsia="it-IT"/>
              </w:rPr>
              <w:t xml:space="preserve">institutions defined as “section 2 institution” under </w:t>
            </w:r>
            <w:r>
              <w:rPr>
                <w:szCs w:val="17"/>
              </w:rPr>
              <w:t>§</w:t>
            </w:r>
            <w:r>
              <w:rPr>
                <w:kern w:val="2"/>
                <w:szCs w:val="17"/>
                <w:lang w:eastAsia="it-IT"/>
              </w:rPr>
              <w:t>2(1) of Schedule 4F to BCR</w:t>
            </w:r>
            <w:r w:rsidRPr="00A11ECA">
              <w:rPr>
                <w:kern w:val="2"/>
                <w:szCs w:val="17"/>
                <w:lang w:eastAsia="it-IT"/>
              </w:rPr>
              <w:t xml:space="preserve"> only)</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051179" w:rsidRPr="003B53ED" w:rsidRDefault="00051179"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51179" w:rsidRPr="0023654F" w:rsidRDefault="00051179"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55</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051179">
            <w:pPr>
              <w:pStyle w:val="TableText"/>
              <w:snapToGrid w:val="0"/>
              <w:ind w:left="57" w:rightChars="71" w:right="142"/>
              <w:rPr>
                <w:szCs w:val="17"/>
                <w:lang w:eastAsia="it-IT"/>
              </w:rPr>
            </w:pPr>
            <w:r w:rsidRPr="00FE7722">
              <w:rPr>
                <w:szCs w:val="17"/>
                <w:lang w:eastAsia="it-IT"/>
              </w:rPr>
              <w:t xml:space="preserve">Significant </w:t>
            </w:r>
            <w:r w:rsidR="00051179">
              <w:rPr>
                <w:szCs w:val="17"/>
                <w:lang w:eastAsia="it-IT"/>
              </w:rPr>
              <w:t xml:space="preserve">LAC </w:t>
            </w:r>
            <w:r w:rsidRPr="00FE7722">
              <w:rPr>
                <w:szCs w:val="17"/>
                <w:lang w:eastAsia="it-IT"/>
              </w:rPr>
              <w:t>investments in Tier 2 capital instruments issued by financial sector entities that are outside the scope of regulatory consolidation</w:t>
            </w:r>
            <w:r>
              <w:rPr>
                <w:szCs w:val="17"/>
                <w:lang w:eastAsia="it-IT"/>
              </w:rPr>
              <w:t xml:space="preserve"> </w:t>
            </w:r>
            <w:r>
              <w:rPr>
                <w:szCs w:val="17"/>
              </w:rPr>
              <w:t>(net of eligible short positions)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051179"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051179" w:rsidRDefault="00051179" w:rsidP="00545554">
            <w:pPr>
              <w:pStyle w:val="TableText"/>
              <w:snapToGrid w:val="0"/>
              <w:ind w:left="57"/>
              <w:rPr>
                <w:szCs w:val="17"/>
                <w:lang w:eastAsia="en-GB"/>
              </w:rPr>
            </w:pPr>
            <w:r>
              <w:rPr>
                <w:szCs w:val="17"/>
                <w:lang w:eastAsia="en-GB"/>
              </w:rPr>
              <w:t>55a</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051179" w:rsidRPr="00FE7722" w:rsidRDefault="00051179" w:rsidP="00051179">
            <w:pPr>
              <w:pStyle w:val="TableText"/>
              <w:snapToGrid w:val="0"/>
              <w:ind w:left="57" w:rightChars="71" w:right="142"/>
              <w:rPr>
                <w:szCs w:val="17"/>
                <w:lang w:eastAsia="it-IT"/>
              </w:rPr>
            </w:pPr>
            <w:r>
              <w:rPr>
                <w:kern w:val="2"/>
                <w:szCs w:val="17"/>
                <w:lang w:eastAsia="it-IT"/>
              </w:rPr>
              <w:t>Significant LAC investments in non-capital LAC liabilities of financial sector entities that are outside the scope of regulatory consolidation (net of eligible short positions)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051179" w:rsidRPr="003B53ED" w:rsidRDefault="00051179"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51179" w:rsidRPr="0023654F" w:rsidRDefault="00051179"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56</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National specific regulatory adjustments applied to Tier 2 capital</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56a</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szCs w:val="17"/>
                <w:lang w:eastAsia="it-IT"/>
              </w:rPr>
            </w:pPr>
            <w:r w:rsidRPr="00FE7722">
              <w:rPr>
                <w:szCs w:val="17"/>
                <w:lang w:eastAsia="it-IT"/>
              </w:rPr>
              <w:t>Add back of cumulative fair value gains arising from the revaluation of land and buildings (own-use and investment properties) eligible for inclusion in Tier 2 capital</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051179"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051179" w:rsidRDefault="00051179" w:rsidP="00545554">
            <w:pPr>
              <w:pStyle w:val="TableText"/>
              <w:snapToGrid w:val="0"/>
              <w:ind w:left="57"/>
              <w:rPr>
                <w:szCs w:val="17"/>
                <w:lang w:eastAsia="en-GB"/>
              </w:rPr>
            </w:pPr>
            <w:r>
              <w:rPr>
                <w:szCs w:val="17"/>
                <w:lang w:eastAsia="en-GB"/>
              </w:rPr>
              <w:t>56b</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051179" w:rsidRPr="00FE7722" w:rsidRDefault="00051179" w:rsidP="00545554">
            <w:pPr>
              <w:pStyle w:val="TableText"/>
              <w:snapToGrid w:val="0"/>
              <w:ind w:left="57" w:rightChars="71" w:right="142"/>
              <w:rPr>
                <w:szCs w:val="17"/>
                <w:lang w:eastAsia="it-IT"/>
              </w:rPr>
            </w:pPr>
            <w:r>
              <w:rPr>
                <w:kern w:val="2"/>
                <w:szCs w:val="17"/>
                <w:lang w:eastAsia="it-IT"/>
              </w:rPr>
              <w:t xml:space="preserve">Regulatory deductions applied to Tier 2 capital to cover the required deductions falling within </w:t>
            </w:r>
            <w:r>
              <w:rPr>
                <w:szCs w:val="17"/>
              </w:rPr>
              <w:t>§</w:t>
            </w:r>
            <w:r>
              <w:rPr>
                <w:kern w:val="2"/>
                <w:szCs w:val="17"/>
                <w:lang w:eastAsia="it-IT"/>
              </w:rPr>
              <w:t>48(1)(g) of BCR</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051179" w:rsidRPr="003B53ED" w:rsidRDefault="00051179"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51179" w:rsidRPr="0023654F" w:rsidRDefault="00051179"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57</w:t>
            </w:r>
          </w:p>
        </w:tc>
        <w:tc>
          <w:tcPr>
            <w:tcW w:w="5951" w:type="dxa"/>
            <w:tcBorders>
              <w:top w:val="single" w:sz="4" w:space="0" w:color="auto"/>
              <w:left w:val="single" w:sz="4" w:space="0" w:color="auto"/>
              <w:bottom w:val="single" w:sz="18" w:space="0" w:color="auto"/>
              <w:right w:val="single" w:sz="4" w:space="0" w:color="auto"/>
            </w:tcBorders>
            <w:shd w:val="clear" w:color="auto" w:fill="D9D9D9" w:themeFill="background1" w:themeFillShade="D9"/>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 xml:space="preserve">Total regulatory </w:t>
            </w:r>
            <w:r>
              <w:rPr>
                <w:b/>
                <w:szCs w:val="17"/>
                <w:lang w:eastAsia="it-IT"/>
              </w:rPr>
              <w:t>adjustments</w:t>
            </w:r>
            <w:r w:rsidRPr="00FE7722">
              <w:rPr>
                <w:b/>
                <w:szCs w:val="17"/>
                <w:lang w:eastAsia="it-IT"/>
              </w:rPr>
              <w:t xml:space="preserve"> to Tier 2 capital</w:t>
            </w:r>
          </w:p>
        </w:tc>
        <w:tc>
          <w:tcPr>
            <w:tcW w:w="1276" w:type="dxa"/>
            <w:tcBorders>
              <w:top w:val="single" w:sz="4" w:space="0" w:color="auto"/>
              <w:left w:val="single" w:sz="4" w:space="0" w:color="auto"/>
              <w:bottom w:val="single" w:sz="18"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58</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Tier 2 capital</w:t>
            </w:r>
            <w:r>
              <w:rPr>
                <w:b/>
                <w:szCs w:val="17"/>
                <w:lang w:eastAsia="it-IT"/>
              </w:rPr>
              <w:t xml:space="preserve"> (T2)</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59</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 xml:space="preserve">Total </w:t>
            </w:r>
            <w:r>
              <w:rPr>
                <w:b/>
                <w:szCs w:val="17"/>
                <w:lang w:eastAsia="it-IT"/>
              </w:rPr>
              <w:t xml:space="preserve">regulatory </w:t>
            </w:r>
            <w:r w:rsidRPr="00FE7722">
              <w:rPr>
                <w:b/>
                <w:szCs w:val="17"/>
                <w:lang w:eastAsia="it-IT"/>
              </w:rPr>
              <w:t>capital (T</w:t>
            </w:r>
            <w:r>
              <w:rPr>
                <w:b/>
                <w:szCs w:val="17"/>
                <w:lang w:eastAsia="it-IT"/>
              </w:rPr>
              <w:t>C</w:t>
            </w:r>
            <w:r w:rsidRPr="00FE7722">
              <w:rPr>
                <w:b/>
                <w:szCs w:val="17"/>
                <w:lang w:eastAsia="it-IT"/>
              </w:rPr>
              <w:t xml:space="preserve"> = T1 + T2)</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60</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FE7722" w:rsidRDefault="00545554" w:rsidP="00545554">
            <w:pPr>
              <w:pStyle w:val="TableText"/>
              <w:snapToGrid w:val="0"/>
              <w:ind w:left="57" w:rightChars="71" w:right="142"/>
              <w:rPr>
                <w:b/>
                <w:szCs w:val="17"/>
                <w:lang w:eastAsia="it-IT"/>
              </w:rPr>
            </w:pPr>
            <w:r w:rsidRPr="00FE7722">
              <w:rPr>
                <w:b/>
                <w:szCs w:val="17"/>
                <w:lang w:eastAsia="it-IT"/>
              </w:rPr>
              <w:t xml:space="preserve">Total </w:t>
            </w:r>
            <w:r>
              <w:rPr>
                <w:b/>
                <w:szCs w:val="17"/>
                <w:lang w:eastAsia="it-IT"/>
              </w:rPr>
              <w:t>RWA</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Pr>
                <w:szCs w:val="17"/>
                <w:lang w:eastAsia="en-GB"/>
              </w:rPr>
            </w:pPr>
          </w:p>
        </w:tc>
        <w:tc>
          <w:tcPr>
            <w:tcW w:w="5951" w:type="dxa"/>
            <w:tcBorders>
              <w:top w:val="single" w:sz="18" w:space="0" w:color="auto"/>
              <w:left w:val="single" w:sz="4" w:space="0" w:color="auto"/>
              <w:bottom w:val="single" w:sz="18"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ightChars="71" w:right="142"/>
              <w:rPr>
                <w:b/>
                <w:szCs w:val="17"/>
                <w:lang w:eastAsia="it-IT"/>
              </w:rPr>
            </w:pPr>
            <w:r w:rsidRPr="00010C76">
              <w:rPr>
                <w:b/>
                <w:szCs w:val="17"/>
                <w:lang w:eastAsia="it-IT"/>
              </w:rPr>
              <w:t xml:space="preserve">Capital ratios (as a percentage of </w:t>
            </w:r>
            <w:r>
              <w:rPr>
                <w:b/>
                <w:szCs w:val="17"/>
                <w:lang w:eastAsia="it-IT"/>
              </w:rPr>
              <w:t>RWA</w:t>
            </w:r>
            <w:r w:rsidRPr="00010C76">
              <w:rPr>
                <w:b/>
                <w:szCs w:val="17"/>
                <w:lang w:eastAsia="it-IT"/>
              </w:rPr>
              <w:t>)</w:t>
            </w:r>
          </w:p>
        </w:tc>
        <w:tc>
          <w:tcPr>
            <w:tcW w:w="1276" w:type="dxa"/>
            <w:tcBorders>
              <w:top w:val="single" w:sz="18" w:space="0" w:color="auto"/>
              <w:left w:val="single" w:sz="4" w:space="0" w:color="auto"/>
              <w:bottom w:val="single" w:sz="18"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61</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164EDB" w:rsidRDefault="00545554" w:rsidP="00545554">
            <w:pPr>
              <w:pStyle w:val="TableText"/>
              <w:snapToGrid w:val="0"/>
              <w:ind w:left="57" w:rightChars="71" w:right="142"/>
              <w:rPr>
                <w:b/>
                <w:szCs w:val="17"/>
                <w:lang w:eastAsia="it-IT"/>
              </w:rPr>
            </w:pPr>
            <w:r w:rsidRPr="00164EDB">
              <w:rPr>
                <w:b/>
                <w:szCs w:val="17"/>
                <w:lang w:eastAsia="it-IT"/>
              </w:rPr>
              <w:t>CET1 capital ratio</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62</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164EDB" w:rsidRDefault="00545554" w:rsidP="00545554">
            <w:pPr>
              <w:pStyle w:val="TableText"/>
              <w:snapToGrid w:val="0"/>
              <w:ind w:left="57" w:rightChars="71" w:right="142"/>
              <w:rPr>
                <w:b/>
                <w:szCs w:val="17"/>
                <w:lang w:eastAsia="it-IT"/>
              </w:rPr>
            </w:pPr>
            <w:r w:rsidRPr="00164EDB">
              <w:rPr>
                <w:b/>
                <w:szCs w:val="17"/>
                <w:lang w:eastAsia="it-IT"/>
              </w:rPr>
              <w:t>Tier 1 capital ratio</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63</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164EDB" w:rsidRDefault="00545554" w:rsidP="00545554">
            <w:pPr>
              <w:pStyle w:val="TableText"/>
              <w:snapToGrid w:val="0"/>
              <w:ind w:left="57" w:rightChars="71" w:right="142"/>
              <w:rPr>
                <w:b/>
                <w:szCs w:val="17"/>
                <w:lang w:eastAsia="it-IT"/>
              </w:rPr>
            </w:pPr>
            <w:r w:rsidRPr="00164EDB">
              <w:rPr>
                <w:b/>
                <w:szCs w:val="17"/>
                <w:lang w:eastAsia="it-IT"/>
              </w:rPr>
              <w:t>Total capital ratio</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64</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164EDB" w:rsidRDefault="00545554" w:rsidP="00545554">
            <w:pPr>
              <w:pStyle w:val="TableText"/>
              <w:snapToGrid w:val="0"/>
              <w:ind w:left="57" w:rightChars="71" w:right="142"/>
              <w:rPr>
                <w:b/>
                <w:szCs w:val="17"/>
                <w:lang w:eastAsia="it-IT"/>
              </w:rPr>
            </w:pPr>
            <w:r w:rsidRPr="00164EDB">
              <w:rPr>
                <w:b/>
                <w:szCs w:val="17"/>
                <w:lang w:eastAsia="it-IT"/>
              </w:rPr>
              <w:t xml:space="preserve">Institution-specific buffer requirement (capital conservation buffer plus countercyclical </w:t>
            </w:r>
            <w:r>
              <w:rPr>
                <w:b/>
                <w:szCs w:val="17"/>
                <w:lang w:eastAsia="it-IT"/>
              </w:rPr>
              <w:t xml:space="preserve">capital </w:t>
            </w:r>
            <w:r w:rsidRPr="00164EDB">
              <w:rPr>
                <w:b/>
                <w:szCs w:val="17"/>
                <w:lang w:eastAsia="it-IT"/>
              </w:rPr>
              <w:t>buffer plus higher loss absorbency requirements)</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65</w:t>
            </w:r>
          </w:p>
        </w:tc>
        <w:tc>
          <w:tcPr>
            <w:tcW w:w="5951" w:type="dxa"/>
            <w:tcBorders>
              <w:top w:val="single" w:sz="18" w:space="0" w:color="auto"/>
              <w:left w:val="single" w:sz="4" w:space="0" w:color="auto"/>
              <w:bottom w:val="single" w:sz="4" w:space="0" w:color="auto"/>
              <w:right w:val="single" w:sz="4" w:space="0" w:color="auto"/>
            </w:tcBorders>
            <w:shd w:val="clear" w:color="auto" w:fill="auto"/>
          </w:tcPr>
          <w:p w:rsidR="00545554" w:rsidRPr="008C6B25" w:rsidRDefault="00545554" w:rsidP="00545554">
            <w:pPr>
              <w:pStyle w:val="TableText"/>
              <w:snapToGrid w:val="0"/>
              <w:ind w:left="423" w:rightChars="71" w:right="142"/>
              <w:rPr>
                <w:szCs w:val="17"/>
                <w:lang w:eastAsia="it-IT"/>
              </w:rPr>
            </w:pPr>
            <w:r w:rsidRPr="008C6B25">
              <w:rPr>
                <w:szCs w:val="17"/>
                <w:lang w:eastAsia="it-IT"/>
              </w:rPr>
              <w:t>of which: capital conservation buffer requirement</w:t>
            </w:r>
          </w:p>
        </w:tc>
        <w:tc>
          <w:tcPr>
            <w:tcW w:w="1276" w:type="dxa"/>
            <w:tcBorders>
              <w:top w:val="single" w:sz="18"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66</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8C6B25" w:rsidRDefault="00545554" w:rsidP="00545554">
            <w:pPr>
              <w:pStyle w:val="TableText"/>
              <w:snapToGrid w:val="0"/>
              <w:ind w:left="423" w:rightChars="71" w:right="142"/>
              <w:rPr>
                <w:szCs w:val="17"/>
                <w:lang w:eastAsia="it-IT"/>
              </w:rPr>
            </w:pPr>
            <w:r w:rsidRPr="008C6B25">
              <w:rPr>
                <w:szCs w:val="17"/>
                <w:lang w:eastAsia="it-IT"/>
              </w:rPr>
              <w:t xml:space="preserve">of which: bank specific countercyclical </w:t>
            </w:r>
            <w:r>
              <w:rPr>
                <w:szCs w:val="17"/>
                <w:lang w:eastAsia="it-IT"/>
              </w:rPr>
              <w:t xml:space="preserve">capital </w:t>
            </w:r>
            <w:r w:rsidRPr="008C6B25">
              <w:rPr>
                <w:szCs w:val="17"/>
                <w:lang w:eastAsia="it-IT"/>
              </w:rPr>
              <w:t>buffer requirement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67</w:t>
            </w:r>
          </w:p>
        </w:tc>
        <w:tc>
          <w:tcPr>
            <w:tcW w:w="5951" w:type="dxa"/>
            <w:tcBorders>
              <w:top w:val="single" w:sz="4" w:space="0" w:color="auto"/>
              <w:left w:val="single" w:sz="4" w:space="0" w:color="auto"/>
              <w:bottom w:val="single" w:sz="12" w:space="0" w:color="auto"/>
              <w:right w:val="single" w:sz="4" w:space="0" w:color="auto"/>
            </w:tcBorders>
            <w:shd w:val="clear" w:color="auto" w:fill="auto"/>
          </w:tcPr>
          <w:p w:rsidR="00545554" w:rsidRPr="008C6B25" w:rsidRDefault="00545554" w:rsidP="00545554">
            <w:pPr>
              <w:pStyle w:val="TableText"/>
              <w:snapToGrid w:val="0"/>
              <w:ind w:left="423" w:rightChars="71" w:right="142"/>
              <w:rPr>
                <w:szCs w:val="17"/>
                <w:lang w:eastAsia="it-IT"/>
              </w:rPr>
            </w:pPr>
            <w:r w:rsidRPr="008C6B25">
              <w:rPr>
                <w:szCs w:val="17"/>
                <w:lang w:eastAsia="it-IT"/>
              </w:rPr>
              <w:t xml:space="preserve">of which: </w:t>
            </w:r>
            <w:r>
              <w:rPr>
                <w:szCs w:val="17"/>
                <w:lang w:eastAsia="it-IT"/>
              </w:rPr>
              <w:t>higher loss absorbency requirement</w:t>
            </w:r>
          </w:p>
        </w:tc>
        <w:tc>
          <w:tcPr>
            <w:tcW w:w="1276" w:type="dxa"/>
            <w:tcBorders>
              <w:top w:val="single" w:sz="4" w:space="0" w:color="auto"/>
              <w:left w:val="single" w:sz="4" w:space="0" w:color="auto"/>
              <w:bottom w:val="single" w:sz="12"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18" w:space="0" w:color="auto"/>
            </w:tcBorders>
            <w:shd w:val="clear" w:color="auto" w:fill="auto"/>
          </w:tcPr>
          <w:p w:rsidR="00545554" w:rsidRPr="00FE7722" w:rsidRDefault="00545554" w:rsidP="00545554">
            <w:pPr>
              <w:pStyle w:val="TableText"/>
              <w:snapToGrid w:val="0"/>
              <w:ind w:left="57"/>
              <w:rPr>
                <w:szCs w:val="17"/>
                <w:lang w:eastAsia="en-GB"/>
              </w:rPr>
            </w:pPr>
            <w:r>
              <w:rPr>
                <w:szCs w:val="17"/>
                <w:lang w:eastAsia="en-GB"/>
              </w:rPr>
              <w:t>68</w:t>
            </w:r>
          </w:p>
        </w:tc>
        <w:tc>
          <w:tcPr>
            <w:tcW w:w="595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545554" w:rsidRPr="00010C76" w:rsidRDefault="00545554" w:rsidP="00545554">
            <w:pPr>
              <w:pStyle w:val="TableText"/>
              <w:snapToGrid w:val="0"/>
              <w:ind w:left="57" w:rightChars="71" w:right="142"/>
              <w:rPr>
                <w:szCs w:val="17"/>
                <w:lang w:eastAsia="it-IT"/>
              </w:rPr>
            </w:pPr>
            <w:r w:rsidRPr="00010C76">
              <w:rPr>
                <w:szCs w:val="17"/>
                <w:lang w:eastAsia="it-IT"/>
              </w:rPr>
              <w:t xml:space="preserve">CET1 </w:t>
            </w:r>
            <w:r>
              <w:rPr>
                <w:szCs w:val="17"/>
                <w:lang w:eastAsia="it-IT"/>
              </w:rPr>
              <w:t>(as a percentage of RWA) available after meeting minimum capital requirements</w:t>
            </w:r>
          </w:p>
        </w:tc>
        <w:tc>
          <w:tcPr>
            <w:tcW w:w="1276" w:type="dxa"/>
            <w:tcBorders>
              <w:top w:val="single" w:sz="18" w:space="0" w:color="auto"/>
              <w:left w:val="single" w:sz="18" w:space="0" w:color="auto"/>
              <w:bottom w:val="single" w:sz="18" w:space="0" w:color="auto"/>
              <w:right w:val="single" w:sz="18"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18"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Pr>
                <w:szCs w:val="17"/>
                <w:lang w:eastAsia="en-GB"/>
              </w:rPr>
            </w:pPr>
          </w:p>
        </w:tc>
        <w:tc>
          <w:tcPr>
            <w:tcW w:w="5951" w:type="dxa"/>
            <w:tcBorders>
              <w:top w:val="single" w:sz="18" w:space="0" w:color="auto"/>
              <w:left w:val="single" w:sz="4" w:space="0" w:color="auto"/>
              <w:bottom w:val="single" w:sz="4"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ightChars="71" w:right="142"/>
              <w:rPr>
                <w:b/>
                <w:szCs w:val="17"/>
                <w:lang w:eastAsia="it-IT"/>
              </w:rPr>
            </w:pPr>
            <w:r w:rsidRPr="00010C76">
              <w:rPr>
                <w:b/>
                <w:szCs w:val="17"/>
                <w:lang w:eastAsia="it-IT"/>
              </w:rPr>
              <w:t>National minima (if different from Basel 3 minimum)</w:t>
            </w:r>
          </w:p>
        </w:tc>
        <w:tc>
          <w:tcPr>
            <w:tcW w:w="1276" w:type="dxa"/>
            <w:tcBorders>
              <w:top w:val="single" w:sz="18" w:space="0" w:color="auto"/>
              <w:left w:val="single" w:sz="4" w:space="0" w:color="auto"/>
              <w:bottom w:val="single" w:sz="4"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69</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10C76" w:rsidRDefault="00545554" w:rsidP="00545554">
            <w:pPr>
              <w:pStyle w:val="TableText"/>
              <w:snapToGrid w:val="0"/>
              <w:ind w:left="57" w:rightChars="71" w:right="142"/>
              <w:rPr>
                <w:szCs w:val="17"/>
                <w:lang w:eastAsia="it-IT"/>
              </w:rPr>
            </w:pPr>
            <w:r w:rsidRPr="00010C76">
              <w:rPr>
                <w:szCs w:val="17"/>
                <w:lang w:eastAsia="it-IT"/>
              </w:rPr>
              <w:t>National CET1 minimum ratio</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70</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10C76" w:rsidRDefault="00545554" w:rsidP="00545554">
            <w:pPr>
              <w:pStyle w:val="TableText"/>
              <w:snapToGrid w:val="0"/>
              <w:ind w:left="57" w:rightChars="71" w:right="142"/>
              <w:rPr>
                <w:szCs w:val="17"/>
                <w:lang w:eastAsia="it-IT"/>
              </w:rPr>
            </w:pPr>
            <w:r w:rsidRPr="00010C76">
              <w:rPr>
                <w:szCs w:val="17"/>
                <w:lang w:eastAsia="it-IT"/>
              </w:rPr>
              <w:t>National Tier 1 minimum ratio</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71</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10C76" w:rsidRDefault="00545554" w:rsidP="00545554">
            <w:pPr>
              <w:pStyle w:val="TableText"/>
              <w:snapToGrid w:val="0"/>
              <w:ind w:left="57" w:rightChars="71" w:right="142"/>
              <w:rPr>
                <w:szCs w:val="17"/>
                <w:lang w:eastAsia="it-IT"/>
              </w:rPr>
            </w:pPr>
            <w:r w:rsidRPr="00010C76">
              <w:rPr>
                <w:szCs w:val="17"/>
                <w:lang w:eastAsia="it-IT"/>
              </w:rPr>
              <w:t>National Total capital minimum ratio</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010C76" w:rsidRDefault="00545554" w:rsidP="00545554">
            <w:pPr>
              <w:pStyle w:val="TableText"/>
              <w:snapToGrid w:val="0"/>
              <w:ind w:left="57"/>
              <w:rPr>
                <w:szCs w:val="17"/>
                <w:lang w:eastAsia="en-GB"/>
              </w:rPr>
            </w:pPr>
          </w:p>
        </w:tc>
        <w:tc>
          <w:tcPr>
            <w:tcW w:w="5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E219E7" w:rsidRDefault="00545554" w:rsidP="00545554">
            <w:pPr>
              <w:pStyle w:val="TableText"/>
              <w:snapToGrid w:val="0"/>
              <w:ind w:left="57" w:rightChars="71" w:right="142"/>
              <w:rPr>
                <w:b/>
                <w:szCs w:val="17"/>
                <w:lang w:eastAsia="it-IT"/>
              </w:rPr>
            </w:pPr>
            <w:r w:rsidRPr="00E219E7">
              <w:rPr>
                <w:b/>
                <w:szCs w:val="17"/>
                <w:lang w:eastAsia="it-IT"/>
              </w:rPr>
              <w:t>Amounts below the thresholds for deduction (before risk weighting)</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72</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010C76" w:rsidRDefault="00545554" w:rsidP="00051179">
            <w:pPr>
              <w:pStyle w:val="TableText"/>
              <w:snapToGrid w:val="0"/>
              <w:ind w:left="57" w:rightChars="71" w:right="142"/>
              <w:rPr>
                <w:szCs w:val="17"/>
                <w:lang w:eastAsia="it-IT"/>
              </w:rPr>
            </w:pPr>
            <w:r w:rsidRPr="004169EF">
              <w:rPr>
                <w:szCs w:val="17"/>
                <w:lang w:eastAsia="it-IT"/>
              </w:rPr>
              <w:t xml:space="preserve">Insignificant </w:t>
            </w:r>
            <w:r w:rsidR="00051179">
              <w:rPr>
                <w:szCs w:val="17"/>
                <w:lang w:eastAsia="it-IT"/>
              </w:rPr>
              <w:t xml:space="preserve">LAC </w:t>
            </w:r>
            <w:r w:rsidRPr="004169EF">
              <w:rPr>
                <w:szCs w:val="17"/>
                <w:lang w:eastAsia="it-IT"/>
              </w:rPr>
              <w:t>investments in CET1, AT1 and Tier 2 capital instrumen</w:t>
            </w:r>
            <w:r w:rsidRPr="00E219E7">
              <w:rPr>
                <w:szCs w:val="17"/>
                <w:lang w:eastAsia="it-IT"/>
              </w:rPr>
              <w:t>ts issued by</w:t>
            </w:r>
            <w:r w:rsidR="00051179">
              <w:rPr>
                <w:szCs w:val="17"/>
                <w:lang w:eastAsia="it-IT"/>
              </w:rPr>
              <w:t>, and non-capital LAC liabilities of,</w:t>
            </w:r>
            <w:r w:rsidRPr="00E219E7">
              <w:rPr>
                <w:szCs w:val="17"/>
                <w:lang w:eastAsia="it-IT"/>
              </w:rPr>
              <w:t xml:space="preserve"> financial sector entities that are outside the sc</w:t>
            </w:r>
            <w:r>
              <w:rPr>
                <w:szCs w:val="17"/>
                <w:lang w:eastAsia="it-IT"/>
              </w:rPr>
              <w:t>ope of regulatory consolidation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73</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E219E7" w:rsidRDefault="00545554" w:rsidP="00051179">
            <w:pPr>
              <w:pStyle w:val="TableText"/>
              <w:snapToGrid w:val="0"/>
              <w:ind w:left="57" w:rightChars="71" w:right="142"/>
              <w:rPr>
                <w:szCs w:val="17"/>
                <w:lang w:eastAsia="it-IT"/>
              </w:rPr>
            </w:pPr>
            <w:r w:rsidRPr="00E219E7">
              <w:rPr>
                <w:szCs w:val="17"/>
                <w:lang w:eastAsia="it-IT"/>
              </w:rPr>
              <w:t xml:space="preserve">Significant </w:t>
            </w:r>
            <w:r w:rsidR="00051179">
              <w:rPr>
                <w:szCs w:val="17"/>
                <w:lang w:eastAsia="it-IT"/>
              </w:rPr>
              <w:t xml:space="preserve">LAC </w:t>
            </w:r>
            <w:r w:rsidRPr="00E219E7">
              <w:rPr>
                <w:szCs w:val="17"/>
                <w:lang w:eastAsia="it-IT"/>
              </w:rPr>
              <w:t>investments in CET1 capital instruments issued by financial sector entities that are outside the sc</w:t>
            </w:r>
            <w:r>
              <w:rPr>
                <w:szCs w:val="17"/>
                <w:lang w:eastAsia="it-IT"/>
              </w:rPr>
              <w:t>ope of regulatory consolidation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74</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E219E7" w:rsidRDefault="00545554" w:rsidP="00545554">
            <w:pPr>
              <w:pStyle w:val="TableText"/>
              <w:snapToGrid w:val="0"/>
              <w:ind w:left="57" w:rightChars="71" w:right="142"/>
              <w:rPr>
                <w:szCs w:val="17"/>
                <w:lang w:eastAsia="it-IT"/>
              </w:rPr>
            </w:pPr>
            <w:r w:rsidRPr="00E219E7">
              <w:rPr>
                <w:szCs w:val="17"/>
                <w:lang w:eastAsia="it-IT"/>
              </w:rPr>
              <w:t>Mortgage servicing rights</w:t>
            </w:r>
            <w:r>
              <w:rPr>
                <w:szCs w:val="17"/>
                <w:lang w:eastAsia="it-IT"/>
              </w:rPr>
              <w:t xml:space="preserve"> </w:t>
            </w:r>
            <w:r>
              <w:rPr>
                <w:lang w:eastAsia="it-IT"/>
              </w:rPr>
              <w:t>(net of associated deferred tax liabilities)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en-GB"/>
              </w:rPr>
            </w:pPr>
            <w:r w:rsidRPr="00010C76">
              <w:rPr>
                <w:szCs w:val="17"/>
                <w:lang w:eastAsia="en-GB"/>
              </w:rPr>
              <w:t>75</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10C76" w:rsidRDefault="00545554" w:rsidP="00545554">
            <w:pPr>
              <w:pStyle w:val="TableText"/>
              <w:snapToGrid w:val="0"/>
              <w:ind w:left="57" w:rightChars="71" w:right="142"/>
              <w:rPr>
                <w:szCs w:val="17"/>
                <w:lang w:eastAsia="it-IT"/>
              </w:rPr>
            </w:pPr>
            <w:r w:rsidRPr="00E219E7">
              <w:rPr>
                <w:szCs w:val="17"/>
                <w:lang w:eastAsia="it-IT"/>
              </w:rPr>
              <w:t xml:space="preserve">Deferred tax assets arising from temporary differences </w:t>
            </w:r>
            <w:r>
              <w:rPr>
                <w:lang w:eastAsia="it-IT"/>
              </w:rPr>
              <w:t>(net of associated deferred tax liabilities)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010C76" w:rsidRDefault="00545554" w:rsidP="00545554">
            <w:pPr>
              <w:pStyle w:val="TableText"/>
              <w:snapToGrid w:val="0"/>
              <w:ind w:left="57"/>
              <w:rPr>
                <w:szCs w:val="17"/>
                <w:lang w:eastAsia="en-GB"/>
              </w:rPr>
            </w:pPr>
          </w:p>
        </w:tc>
        <w:tc>
          <w:tcPr>
            <w:tcW w:w="5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E219E7" w:rsidRDefault="00545554" w:rsidP="00545554">
            <w:pPr>
              <w:pStyle w:val="TableText"/>
              <w:snapToGrid w:val="0"/>
              <w:ind w:left="57" w:rightChars="71" w:right="142"/>
              <w:rPr>
                <w:b/>
                <w:szCs w:val="17"/>
                <w:lang w:eastAsia="it-IT"/>
              </w:rPr>
            </w:pPr>
            <w:r w:rsidRPr="00E219E7">
              <w:rPr>
                <w:b/>
                <w:szCs w:val="17"/>
                <w:lang w:eastAsia="it-IT"/>
              </w:rPr>
              <w:t>Applicable caps on the inclusion of provisions in Tier 2 capital</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sidRPr="00010C76">
              <w:rPr>
                <w:szCs w:val="17"/>
                <w:lang w:eastAsia="it-IT"/>
              </w:rPr>
              <w:t>76</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E219E7" w:rsidRDefault="00545554" w:rsidP="00545554">
            <w:pPr>
              <w:pStyle w:val="TableText"/>
              <w:snapToGrid w:val="0"/>
              <w:ind w:left="57" w:rightChars="71" w:right="142"/>
              <w:rPr>
                <w:szCs w:val="17"/>
                <w:lang w:eastAsia="it-IT"/>
              </w:rPr>
            </w:pPr>
            <w:r w:rsidRPr="00E219E7">
              <w:rPr>
                <w:szCs w:val="17"/>
                <w:lang w:eastAsia="it-IT"/>
              </w:rPr>
              <w:t>Provisions eligible for inclusion in Tier 2 in respect of</w:t>
            </w:r>
            <w:r>
              <w:rPr>
                <w:szCs w:val="17"/>
                <w:lang w:eastAsia="it-IT"/>
              </w:rPr>
              <w:t xml:space="preserve"> exposures subject to the BSC </w:t>
            </w:r>
            <w:r w:rsidRPr="00E219E7">
              <w:rPr>
                <w:szCs w:val="17"/>
                <w:lang w:eastAsia="it-IT"/>
              </w:rPr>
              <w:t>approach</w:t>
            </w:r>
            <w:r>
              <w:rPr>
                <w:szCs w:val="17"/>
                <w:lang w:eastAsia="it-IT"/>
              </w:rPr>
              <w:t xml:space="preserve">, or </w:t>
            </w:r>
            <w:r w:rsidRPr="00E219E7">
              <w:rPr>
                <w:szCs w:val="17"/>
                <w:lang w:eastAsia="it-IT"/>
              </w:rPr>
              <w:t xml:space="preserve">the </w:t>
            </w:r>
            <w:r>
              <w:rPr>
                <w:szCs w:val="17"/>
                <w:lang w:eastAsia="it-IT"/>
              </w:rPr>
              <w:t>STC</w:t>
            </w:r>
            <w:r w:rsidRPr="00E219E7">
              <w:rPr>
                <w:szCs w:val="17"/>
                <w:lang w:eastAsia="it-IT"/>
              </w:rPr>
              <w:t xml:space="preserve"> approach</w:t>
            </w:r>
            <w:r>
              <w:rPr>
                <w:szCs w:val="17"/>
                <w:lang w:eastAsia="it-IT"/>
              </w:rPr>
              <w:t xml:space="preserve"> and SEC-ERBA, SEC-SA and SEC-FBA</w:t>
            </w:r>
            <w:r w:rsidRPr="00E219E7">
              <w:rPr>
                <w:szCs w:val="17"/>
                <w:lang w:eastAsia="it-IT"/>
              </w:rPr>
              <w:t xml:space="preserve"> (prior to application of cap)</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sidRPr="00010C76">
              <w:rPr>
                <w:szCs w:val="17"/>
                <w:lang w:eastAsia="it-IT"/>
              </w:rPr>
              <w:t>77</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b/>
                <w:szCs w:val="17"/>
                <w:lang w:eastAsia="it-IT"/>
              </w:rPr>
            </w:pPr>
            <w:r w:rsidRPr="00E219E7">
              <w:rPr>
                <w:szCs w:val="17"/>
                <w:lang w:eastAsia="it-IT"/>
              </w:rPr>
              <w:t xml:space="preserve">Cap on inclusion of provisions in Tier 2 under the </w:t>
            </w:r>
            <w:r>
              <w:rPr>
                <w:szCs w:val="17"/>
                <w:lang w:eastAsia="it-IT"/>
              </w:rPr>
              <w:t xml:space="preserve">BSC </w:t>
            </w:r>
            <w:r w:rsidRPr="00E219E7">
              <w:rPr>
                <w:szCs w:val="17"/>
                <w:lang w:eastAsia="it-IT"/>
              </w:rPr>
              <w:t>approach</w:t>
            </w:r>
            <w:r>
              <w:rPr>
                <w:szCs w:val="17"/>
                <w:lang w:eastAsia="it-IT"/>
              </w:rPr>
              <w:t xml:space="preserve">, or </w:t>
            </w:r>
            <w:r w:rsidRPr="00E219E7">
              <w:rPr>
                <w:szCs w:val="17"/>
                <w:lang w:eastAsia="it-IT"/>
              </w:rPr>
              <w:t xml:space="preserve"> the </w:t>
            </w:r>
            <w:r>
              <w:rPr>
                <w:szCs w:val="17"/>
                <w:lang w:eastAsia="it-IT"/>
              </w:rPr>
              <w:t>STC approach, and SEC-ERBA, SEC-SA and SEC-FBA</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sidRPr="00010C76">
              <w:rPr>
                <w:szCs w:val="17"/>
                <w:lang w:eastAsia="it-IT"/>
              </w:rPr>
              <w:t>78</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b/>
                <w:szCs w:val="17"/>
                <w:lang w:eastAsia="it-IT"/>
              </w:rPr>
            </w:pPr>
            <w:r w:rsidRPr="00E219E7">
              <w:rPr>
                <w:szCs w:val="17"/>
                <w:lang w:eastAsia="it-IT"/>
              </w:rPr>
              <w:t xml:space="preserve">Provisions eligible for inclusion in Tier 2 in respect of exposures subject to the IRB approach </w:t>
            </w:r>
            <w:r>
              <w:rPr>
                <w:szCs w:val="17"/>
                <w:lang w:eastAsia="it-IT"/>
              </w:rPr>
              <w:t xml:space="preserve">and SEC-IRBA </w:t>
            </w:r>
            <w:r w:rsidRPr="00E219E7">
              <w:rPr>
                <w:szCs w:val="17"/>
                <w:lang w:eastAsia="it-IT"/>
              </w:rPr>
              <w:t>(prior to application of cap)</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sidRPr="00010C76">
              <w:rPr>
                <w:szCs w:val="17"/>
                <w:lang w:eastAsia="it-IT"/>
              </w:rPr>
              <w:t>79</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FE7722" w:rsidRDefault="00545554" w:rsidP="00545554">
            <w:pPr>
              <w:pStyle w:val="TableText"/>
              <w:snapToGrid w:val="0"/>
              <w:ind w:left="57" w:rightChars="71" w:right="142"/>
              <w:rPr>
                <w:b/>
                <w:szCs w:val="17"/>
                <w:lang w:eastAsia="it-IT"/>
              </w:rPr>
            </w:pPr>
            <w:r w:rsidRPr="00E219E7">
              <w:rPr>
                <w:szCs w:val="17"/>
                <w:lang w:eastAsia="it-IT"/>
              </w:rPr>
              <w:t>Cap for inclusion of provisions i</w:t>
            </w:r>
            <w:r>
              <w:rPr>
                <w:szCs w:val="17"/>
                <w:lang w:eastAsia="it-IT"/>
              </w:rPr>
              <w:t>n Tier 2 under the IRB approach</w:t>
            </w:r>
            <w:r w:rsidRPr="00E219E7">
              <w:rPr>
                <w:szCs w:val="17"/>
                <w:lang w:eastAsia="it-IT"/>
              </w:rPr>
              <w:t xml:space="preserve"> </w:t>
            </w:r>
            <w:r>
              <w:rPr>
                <w:szCs w:val="17"/>
                <w:lang w:eastAsia="it-IT"/>
              </w:rPr>
              <w:t>and SEC-IRBA</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010C76" w:rsidRDefault="00545554" w:rsidP="00545554">
            <w:pPr>
              <w:pStyle w:val="TableText"/>
              <w:snapToGrid w:val="0"/>
              <w:ind w:left="57"/>
              <w:rPr>
                <w:szCs w:val="17"/>
                <w:lang w:eastAsia="it-IT"/>
              </w:rPr>
            </w:pPr>
          </w:p>
        </w:tc>
        <w:tc>
          <w:tcPr>
            <w:tcW w:w="59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FE7722" w:rsidRDefault="00545554" w:rsidP="00545554">
            <w:pPr>
              <w:pStyle w:val="TableText"/>
              <w:snapToGrid w:val="0"/>
              <w:ind w:left="57" w:rightChars="71" w:right="142"/>
              <w:rPr>
                <w:b/>
                <w:szCs w:val="17"/>
                <w:lang w:eastAsia="it-IT"/>
              </w:rPr>
            </w:pPr>
            <w:r w:rsidRPr="00E219E7">
              <w:rPr>
                <w:b/>
                <w:szCs w:val="17"/>
                <w:lang w:eastAsia="it-IT"/>
              </w:rPr>
              <w:t>Capital instruments subject to phase-out arrangements                                                                                                           (only applicable between 1 Jan 2018 and 1 Jan 2022)</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80</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Current cap on CET1 capital instruments subject to phase</w:t>
            </w:r>
            <w:r>
              <w:rPr>
                <w:i/>
                <w:szCs w:val="17"/>
                <w:lang w:eastAsia="it-IT"/>
              </w:rPr>
              <w:t>-</w:t>
            </w:r>
            <w:r w:rsidRPr="00060038">
              <w:rPr>
                <w:i/>
                <w:szCs w:val="17"/>
                <w:lang w:eastAsia="it-IT"/>
              </w:rPr>
              <w:t>out arrangements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81</w:t>
            </w:r>
          </w:p>
        </w:tc>
        <w:tc>
          <w:tcPr>
            <w:tcW w:w="5951" w:type="dxa"/>
            <w:tcBorders>
              <w:top w:val="single" w:sz="4" w:space="0" w:color="auto"/>
              <w:left w:val="single" w:sz="4" w:space="0" w:color="auto"/>
              <w:bottom w:val="single" w:sz="4" w:space="0" w:color="auto"/>
              <w:right w:val="single" w:sz="4" w:space="0" w:color="auto"/>
            </w:tcBorders>
            <w:shd w:val="clear" w:color="auto" w:fill="FFFF00"/>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Amount excluded from CET1 due to cap (excess over cap after redemptions and maturities)</w:t>
            </w:r>
          </w:p>
        </w:tc>
        <w:tc>
          <w:tcPr>
            <w:tcW w:w="1276"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c>
          <w:tcPr>
            <w:tcW w:w="1417" w:type="dxa"/>
            <w:tcBorders>
              <w:top w:val="single" w:sz="4" w:space="0" w:color="auto"/>
              <w:left w:val="single" w:sz="4" w:space="0" w:color="auto"/>
              <w:bottom w:val="single" w:sz="4" w:space="0" w:color="auto"/>
              <w:right w:val="single" w:sz="4" w:space="0" w:color="auto"/>
            </w:tcBorders>
            <w:shd w:val="clear" w:color="auto" w:fill="FFFF00"/>
          </w:tcPr>
          <w:p w:rsidR="00545554" w:rsidRPr="0023654F" w:rsidRDefault="00545554" w:rsidP="00545554">
            <w:pPr>
              <w:pStyle w:val="TableText"/>
              <w:snapToGrid w:val="0"/>
              <w:jc w:val="center"/>
              <w:rPr>
                <w:lang w:eastAsia="it-IT"/>
              </w:rPr>
            </w:pPr>
            <w:r>
              <w:rPr>
                <w:lang w:eastAsia="it-IT"/>
              </w:rPr>
              <w:t>Not applicable</w:t>
            </w: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82</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Current cap on AT1 capital instruments subject to phase</w:t>
            </w:r>
            <w:r>
              <w:rPr>
                <w:i/>
                <w:szCs w:val="17"/>
                <w:lang w:eastAsia="it-IT"/>
              </w:rPr>
              <w:t>-</w:t>
            </w:r>
            <w:r w:rsidRPr="00060038">
              <w:rPr>
                <w:i/>
                <w:szCs w:val="17"/>
                <w:lang w:eastAsia="it-IT"/>
              </w:rPr>
              <w:t>out arrangements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83</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Amount excluded from AT1 capital due to cap (excess over cap after redemptions and maturities)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84</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Current cap on Tier 2 capital instruments subject to phase</w:t>
            </w:r>
            <w:r>
              <w:rPr>
                <w:i/>
                <w:szCs w:val="17"/>
                <w:lang w:eastAsia="it-IT"/>
              </w:rPr>
              <w:t>-</w:t>
            </w:r>
            <w:r w:rsidRPr="00060038">
              <w:rPr>
                <w:i/>
                <w:szCs w:val="17"/>
                <w:lang w:eastAsia="it-IT"/>
              </w:rPr>
              <w:t>out arrangements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70" w:type="dxa"/>
            <w:tcBorders>
              <w:top w:val="single" w:sz="6" w:space="0" w:color="auto"/>
              <w:left w:val="nil"/>
              <w:bottom w:val="single" w:sz="6" w:space="0" w:color="auto"/>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85</w:t>
            </w:r>
          </w:p>
        </w:tc>
        <w:tc>
          <w:tcPr>
            <w:tcW w:w="5951" w:type="dxa"/>
            <w:tcBorders>
              <w:top w:val="single" w:sz="4" w:space="0" w:color="auto"/>
              <w:left w:val="single" w:sz="4" w:space="0" w:color="auto"/>
              <w:bottom w:val="single" w:sz="4" w:space="0" w:color="auto"/>
              <w:right w:val="single" w:sz="4" w:space="0" w:color="auto"/>
            </w:tcBorders>
            <w:shd w:val="clear" w:color="auto" w:fill="auto"/>
          </w:tcPr>
          <w:p w:rsidR="00545554" w:rsidRPr="00060038" w:rsidRDefault="00545554" w:rsidP="00545554">
            <w:pPr>
              <w:pStyle w:val="TableText"/>
              <w:snapToGrid w:val="0"/>
              <w:ind w:left="57" w:rightChars="71" w:right="142"/>
              <w:rPr>
                <w:i/>
                <w:szCs w:val="17"/>
                <w:lang w:eastAsia="it-IT"/>
              </w:rPr>
            </w:pPr>
            <w:r w:rsidRPr="00060038">
              <w:rPr>
                <w:i/>
                <w:szCs w:val="17"/>
                <w:lang w:eastAsia="it-IT"/>
              </w:rPr>
              <w:t>Amount excluded from Tier 2 capital due to cap (excess over cap after redemptions and maturities)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545554" w:rsidRPr="006D3AE2" w:rsidRDefault="00545554" w:rsidP="00545554">
            <w:pPr>
              <w:pStyle w:val="TableText"/>
              <w:snapToGrid w:val="0"/>
              <w:ind w:left="57"/>
              <w:jc w:val="center"/>
              <w:rPr>
                <w:lang w:eastAsia="it-IT"/>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bl>
    <w:tbl>
      <w:tblPr>
        <w:tblStyle w:val="TableGrid"/>
        <w:tblW w:w="9214" w:type="dxa"/>
        <w:tblInd w:w="-459" w:type="dxa"/>
        <w:tblLook w:val="04A0" w:firstRow="1" w:lastRow="0" w:firstColumn="1" w:lastColumn="0" w:noHBand="0" w:noVBand="1"/>
      </w:tblPr>
      <w:tblGrid>
        <w:gridCol w:w="9214"/>
      </w:tblGrid>
      <w:tr w:rsidR="00545554" w:rsidTr="00545554">
        <w:tc>
          <w:tcPr>
            <w:tcW w:w="9214" w:type="dxa"/>
            <w:tcBorders>
              <w:top w:val="nil"/>
              <w:left w:val="nil"/>
            </w:tcBorders>
          </w:tcPr>
          <w:p w:rsidR="00545554" w:rsidRPr="000F6D32" w:rsidRDefault="00545554" w:rsidP="00545554">
            <w:pPr>
              <w:pStyle w:val="TableText"/>
              <w:snapToGrid w:val="0"/>
              <w:spacing w:line="240" w:lineRule="exact"/>
              <w:jc w:val="both"/>
              <w:rPr>
                <w:rFonts w:cs="Segoe UI"/>
                <w:i/>
                <w:szCs w:val="17"/>
                <w:lang w:eastAsia="it-IT"/>
              </w:rPr>
            </w:pPr>
            <w:r w:rsidRPr="000F6D32">
              <w:rPr>
                <w:rFonts w:cs="Segoe UI"/>
                <w:i/>
                <w:szCs w:val="17"/>
                <w:lang w:eastAsia="it-IT"/>
              </w:rPr>
              <w:t>Points to note:</w:t>
            </w:r>
          </w:p>
          <w:p w:rsidR="00545554" w:rsidRPr="000F6D32" w:rsidRDefault="00545554" w:rsidP="00545554">
            <w:pPr>
              <w:pStyle w:val="ListParagraph"/>
              <w:numPr>
                <w:ilvl w:val="0"/>
                <w:numId w:val="22"/>
              </w:numPr>
              <w:autoSpaceDE w:val="0"/>
              <w:autoSpaceDN w:val="0"/>
              <w:adjustRightInd w:val="0"/>
              <w:spacing w:after="60" w:line="240" w:lineRule="exact"/>
              <w:ind w:leftChars="0" w:left="425" w:rightChars="71" w:right="142" w:hanging="425"/>
              <w:jc w:val="both"/>
              <w:rPr>
                <w:rFonts w:ascii="Segoe UI" w:hAnsi="Segoe UI" w:cs="Segoe UI"/>
                <w:i/>
                <w:sz w:val="17"/>
                <w:szCs w:val="17"/>
                <w:lang w:eastAsia="it-IT"/>
              </w:rPr>
            </w:pPr>
            <w:r w:rsidRPr="000F6D32">
              <w:rPr>
                <w:rFonts w:ascii="Segoe UI" w:hAnsi="Segoe UI" w:cs="Segoe UI"/>
                <w:i/>
                <w:sz w:val="17"/>
                <w:szCs w:val="17"/>
                <w:lang w:eastAsia="it-IT"/>
              </w:rPr>
              <w:t>Rows with item titles in italics are rows that will be deleted after all the ineligible capital instruments have been fully phased out (i.e. from 1 January 2022 onwards).</w:t>
            </w:r>
          </w:p>
          <w:p w:rsidR="00545554" w:rsidRPr="000F6D32" w:rsidRDefault="00545554" w:rsidP="00545554">
            <w:pPr>
              <w:pStyle w:val="ListParagraph"/>
              <w:numPr>
                <w:ilvl w:val="0"/>
                <w:numId w:val="22"/>
              </w:numPr>
              <w:autoSpaceDE w:val="0"/>
              <w:autoSpaceDN w:val="0"/>
              <w:adjustRightInd w:val="0"/>
              <w:spacing w:after="60" w:line="240" w:lineRule="exact"/>
              <w:ind w:leftChars="0" w:left="425" w:rightChars="71" w:right="142" w:hanging="425"/>
              <w:jc w:val="both"/>
              <w:rPr>
                <w:rFonts w:ascii="Segoe UI" w:hAnsi="Segoe UI" w:cs="Segoe UI"/>
                <w:i/>
                <w:sz w:val="17"/>
                <w:szCs w:val="17"/>
                <w:lang w:eastAsia="it-IT"/>
              </w:rPr>
            </w:pPr>
            <w:r w:rsidRPr="000F6D32">
              <w:rPr>
                <w:rFonts w:ascii="Segoe UI" w:hAnsi="Segoe UI" w:cs="Segoe UI"/>
                <w:i/>
                <w:sz w:val="17"/>
                <w:szCs w:val="17"/>
                <w:lang w:eastAsia="it-IT"/>
              </w:rPr>
              <w:t>Shaded rows with borders indicate the following:</w:t>
            </w:r>
          </w:p>
          <w:p w:rsidR="00545554" w:rsidRPr="000F6D32" w:rsidRDefault="00545554" w:rsidP="00545554">
            <w:pPr>
              <w:pStyle w:val="ListParagraph"/>
              <w:numPr>
                <w:ilvl w:val="0"/>
                <w:numId w:val="23"/>
              </w:numPr>
              <w:autoSpaceDE w:val="0"/>
              <w:autoSpaceDN w:val="0"/>
              <w:adjustRightInd w:val="0"/>
              <w:spacing w:after="60" w:line="240" w:lineRule="exact"/>
              <w:ind w:leftChars="0" w:left="709" w:rightChars="71" w:right="142" w:hanging="284"/>
              <w:jc w:val="both"/>
              <w:rPr>
                <w:rFonts w:ascii="Segoe UI" w:hAnsi="Segoe UI" w:cs="Segoe UI"/>
                <w:i/>
                <w:sz w:val="17"/>
                <w:szCs w:val="17"/>
                <w:lang w:eastAsia="it-IT"/>
              </w:rPr>
            </w:pPr>
            <w:r w:rsidRPr="000F6D32">
              <w:rPr>
                <w:rFonts w:ascii="Segoe UI" w:hAnsi="Segoe UI" w:cs="Segoe UI"/>
                <w:i/>
                <w:sz w:val="17"/>
                <w:szCs w:val="17"/>
                <w:lang w:eastAsia="it-IT"/>
              </w:rPr>
              <w:t>a row shaded dark grey introduces a new section which provides details of a certain component of regulatory capital;</w:t>
            </w:r>
          </w:p>
          <w:p w:rsidR="00545554" w:rsidRPr="000F6D32" w:rsidRDefault="00545554" w:rsidP="00545554">
            <w:pPr>
              <w:pStyle w:val="ListParagraph"/>
              <w:numPr>
                <w:ilvl w:val="0"/>
                <w:numId w:val="23"/>
              </w:numPr>
              <w:autoSpaceDE w:val="0"/>
              <w:autoSpaceDN w:val="0"/>
              <w:adjustRightInd w:val="0"/>
              <w:spacing w:after="60" w:line="240" w:lineRule="exact"/>
              <w:ind w:leftChars="0" w:left="709" w:rightChars="71" w:right="142" w:hanging="284"/>
              <w:jc w:val="both"/>
              <w:rPr>
                <w:rFonts w:ascii="Segoe UI" w:hAnsi="Segoe UI" w:cs="Segoe UI"/>
                <w:i/>
                <w:sz w:val="17"/>
                <w:szCs w:val="17"/>
                <w:lang w:eastAsia="it-IT"/>
              </w:rPr>
            </w:pPr>
            <w:r w:rsidRPr="000F6D32">
              <w:rPr>
                <w:rFonts w:ascii="Segoe UI" w:hAnsi="Segoe UI" w:cs="Segoe UI"/>
                <w:i/>
                <w:sz w:val="17"/>
                <w:szCs w:val="17"/>
                <w:lang w:eastAsia="it-IT"/>
              </w:rPr>
              <w:t>a row shaded light grey, with no thick border, represents the sum of cells in the relevant section above it;</w:t>
            </w:r>
          </w:p>
          <w:p w:rsidR="00545554" w:rsidRPr="000F6D32" w:rsidRDefault="00545554" w:rsidP="00545554">
            <w:pPr>
              <w:pStyle w:val="ListParagraph"/>
              <w:numPr>
                <w:ilvl w:val="0"/>
                <w:numId w:val="23"/>
              </w:numPr>
              <w:autoSpaceDE w:val="0"/>
              <w:autoSpaceDN w:val="0"/>
              <w:adjustRightInd w:val="0"/>
              <w:spacing w:after="60" w:line="240" w:lineRule="exact"/>
              <w:ind w:leftChars="0" w:left="709" w:rightChars="71" w:right="142" w:hanging="284"/>
              <w:jc w:val="both"/>
              <w:rPr>
                <w:rFonts w:ascii="Segoe UI" w:hAnsi="Segoe UI" w:cs="Segoe UI"/>
                <w:i/>
                <w:sz w:val="17"/>
                <w:szCs w:val="17"/>
                <w:lang w:eastAsia="it-IT"/>
              </w:rPr>
            </w:pPr>
            <w:r w:rsidRPr="000F6D32">
              <w:rPr>
                <w:rFonts w:ascii="Segoe UI" w:hAnsi="Segoe UI" w:cs="Segoe UI"/>
                <w:i/>
                <w:sz w:val="17"/>
                <w:szCs w:val="17"/>
                <w:lang w:eastAsia="it-IT"/>
              </w:rPr>
              <w:t>a row shaded light grey, with a thick border, indicates a key component of regulatory capital and the regulatory capital ratios;</w:t>
            </w:r>
          </w:p>
          <w:p w:rsidR="00545554" w:rsidRPr="000F6D32" w:rsidRDefault="00545554" w:rsidP="00545554">
            <w:pPr>
              <w:pStyle w:val="ListParagraph"/>
              <w:numPr>
                <w:ilvl w:val="0"/>
                <w:numId w:val="23"/>
              </w:numPr>
              <w:autoSpaceDE w:val="0"/>
              <w:autoSpaceDN w:val="0"/>
              <w:adjustRightInd w:val="0"/>
              <w:spacing w:after="60" w:line="240" w:lineRule="exact"/>
              <w:ind w:leftChars="0" w:left="709" w:rightChars="71" w:right="142" w:hanging="284"/>
              <w:jc w:val="both"/>
              <w:rPr>
                <w:rFonts w:ascii="Segoe UI" w:hAnsi="Segoe UI" w:cs="Segoe UI"/>
                <w:i/>
                <w:sz w:val="17"/>
                <w:szCs w:val="17"/>
                <w:lang w:eastAsia="it-IT"/>
              </w:rPr>
            </w:pPr>
            <w:r w:rsidRPr="000F6D32">
              <w:rPr>
                <w:rFonts w:ascii="Segoe UI" w:hAnsi="Segoe UI" w:cs="Segoe UI"/>
                <w:i/>
                <w:sz w:val="17"/>
                <w:szCs w:val="17"/>
                <w:lang w:eastAsia="it-IT"/>
              </w:rPr>
              <w:t>a row shaded yellow represents an item that is not applicable to Hong Kong.</w:t>
            </w:r>
          </w:p>
          <w:p w:rsidR="00545554" w:rsidRPr="000F6D32" w:rsidRDefault="00545554" w:rsidP="00545554">
            <w:pPr>
              <w:pStyle w:val="ListParagraph"/>
              <w:numPr>
                <w:ilvl w:val="0"/>
                <w:numId w:val="22"/>
              </w:numPr>
              <w:autoSpaceDE w:val="0"/>
              <w:autoSpaceDN w:val="0"/>
              <w:adjustRightInd w:val="0"/>
              <w:spacing w:after="60" w:line="240" w:lineRule="exact"/>
              <w:ind w:leftChars="0" w:left="425" w:rightChars="71" w:right="142" w:hanging="425"/>
              <w:jc w:val="both"/>
              <w:rPr>
                <w:rFonts w:ascii="Segoe UI" w:hAnsi="Segoe UI" w:cs="Segoe UI"/>
                <w:i/>
                <w:sz w:val="17"/>
                <w:szCs w:val="17"/>
                <w:lang w:eastAsia="it-IT"/>
              </w:rPr>
            </w:pPr>
            <w:r w:rsidRPr="000F6D32">
              <w:rPr>
                <w:rFonts w:ascii="Segoe UI" w:hAnsi="Segoe UI" w:cs="Segoe UI"/>
                <w:i/>
                <w:sz w:val="17"/>
                <w:szCs w:val="17"/>
                <w:lang w:eastAsia="it-IT"/>
              </w:rPr>
              <w:t xml:space="preserve">The reconciliation requirements included in Template CC2 result in the decomposition of certain regulatory adjustments.  For example, the disclosure template above includes the adjustment “Goodwill net of associated </w:t>
            </w:r>
            <w:r w:rsidRPr="000F6D32">
              <w:rPr>
                <w:rFonts w:ascii="Segoe UI" w:hAnsi="Segoe UI" w:cs="Segoe UI"/>
                <w:i/>
                <w:sz w:val="17"/>
                <w:szCs w:val="17"/>
                <w:lang w:eastAsia="it-IT"/>
              </w:rPr>
              <w:lastRenderedPageBreak/>
              <w:t>deferred tax liabilities”.  The reconciliation requirements will lead to the disclosure of both the goodwill component and the related tax liability component of this regulatory adjustment.</w:t>
            </w:r>
          </w:p>
          <w:p w:rsidR="00545554" w:rsidRPr="007E1862" w:rsidRDefault="00545554" w:rsidP="00545554">
            <w:pPr>
              <w:pStyle w:val="ListParagraph"/>
              <w:numPr>
                <w:ilvl w:val="0"/>
                <w:numId w:val="22"/>
              </w:numPr>
              <w:autoSpaceDE w:val="0"/>
              <w:autoSpaceDN w:val="0"/>
              <w:adjustRightInd w:val="0"/>
              <w:spacing w:after="60" w:line="240" w:lineRule="exact"/>
              <w:ind w:leftChars="0" w:left="425" w:rightChars="71" w:right="142" w:hanging="425"/>
              <w:jc w:val="both"/>
              <w:rPr>
                <w:rFonts w:cs="Segoe UI"/>
                <w:sz w:val="22"/>
              </w:rPr>
            </w:pPr>
            <w:r w:rsidRPr="000F6D32">
              <w:rPr>
                <w:rFonts w:ascii="Segoe UI" w:hAnsi="Segoe UI" w:cs="Segoe UI"/>
                <w:i/>
                <w:sz w:val="17"/>
                <w:szCs w:val="17"/>
                <w:lang w:eastAsia="it-IT"/>
              </w:rPr>
              <w:t>Elements where a more conservative definition has been applied in the BCR relative to that set out in Basel III capital standards are disclosed below in Notes to the Template.</w:t>
            </w:r>
          </w:p>
        </w:tc>
      </w:tr>
    </w:tbl>
    <w:p w:rsidR="00545554" w:rsidRDefault="00545554" w:rsidP="00545554">
      <w:pPr>
        <w:spacing w:before="120" w:after="120"/>
        <w:ind w:leftChars="-283" w:left="-566"/>
        <w:rPr>
          <w:sz w:val="22"/>
        </w:rPr>
      </w:pPr>
    </w:p>
    <w:p w:rsidR="00545554" w:rsidRDefault="00545554" w:rsidP="00545554">
      <w:pPr>
        <w:spacing w:before="120" w:after="120"/>
        <w:ind w:leftChars="-283" w:left="-566"/>
        <w:rPr>
          <w:sz w:val="22"/>
        </w:rPr>
      </w:pPr>
    </w:p>
    <w:p w:rsidR="00545554" w:rsidRPr="009F63DC" w:rsidRDefault="00545554" w:rsidP="00545554">
      <w:pPr>
        <w:spacing w:before="120" w:after="120"/>
        <w:ind w:leftChars="-283" w:left="-566"/>
        <w:rPr>
          <w:sz w:val="22"/>
        </w:rPr>
      </w:pPr>
    </w:p>
    <w:p w:rsidR="00545554" w:rsidRDefault="00545554" w:rsidP="00545554">
      <w:pPr>
        <w:spacing w:before="120" w:after="120"/>
        <w:ind w:leftChars="-283" w:left="-566"/>
        <w:rPr>
          <w:sz w:val="17"/>
          <w:szCs w:val="17"/>
          <w:u w:val="single"/>
        </w:rPr>
      </w:pPr>
      <w:r w:rsidRPr="006211B4">
        <w:rPr>
          <w:sz w:val="17"/>
          <w:szCs w:val="17"/>
          <w:u w:val="single"/>
        </w:rPr>
        <w:t>Notes to the Template</w:t>
      </w: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67"/>
        <w:gridCol w:w="6659"/>
        <w:gridCol w:w="994"/>
        <w:gridCol w:w="994"/>
      </w:tblGrid>
      <w:tr w:rsidR="00545554" w:rsidRPr="0023654F" w:rsidTr="00545554">
        <w:trPr>
          <w:trHeight w:val="270"/>
          <w:tblHeader/>
        </w:trPr>
        <w:tc>
          <w:tcPr>
            <w:tcW w:w="567" w:type="dxa"/>
            <w:tcBorders>
              <w:top w:val="single" w:sz="6" w:space="0" w:color="auto"/>
              <w:left w:val="nil"/>
              <w:bottom w:val="single" w:sz="6" w:space="0" w:color="auto"/>
              <w:right w:val="single" w:sz="4" w:space="0" w:color="auto"/>
            </w:tcBorders>
            <w:shd w:val="clear" w:color="auto" w:fill="D9D9D9" w:themeFill="background1" w:themeFillShade="D9"/>
            <w:vAlign w:val="center"/>
          </w:tcPr>
          <w:p w:rsidR="00545554" w:rsidRPr="00544F8F" w:rsidRDefault="00545554" w:rsidP="00545554">
            <w:pPr>
              <w:pStyle w:val="TableText"/>
              <w:snapToGrid w:val="0"/>
              <w:ind w:left="57"/>
              <w:rPr>
                <w:b/>
                <w:szCs w:val="17"/>
                <w:lang w:eastAsia="it-IT"/>
              </w:rPr>
            </w:pPr>
          </w:p>
        </w:tc>
        <w:tc>
          <w:tcPr>
            <w:tcW w:w="6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45554" w:rsidRPr="00544F8F" w:rsidRDefault="00545554" w:rsidP="00545554">
            <w:pPr>
              <w:pStyle w:val="TableText"/>
              <w:snapToGrid w:val="0"/>
              <w:ind w:left="57" w:rightChars="71" w:right="142"/>
              <w:rPr>
                <w:b/>
                <w:szCs w:val="17"/>
                <w:lang w:eastAsia="it-IT"/>
              </w:rPr>
            </w:pPr>
            <w:r w:rsidRPr="00544F8F">
              <w:rPr>
                <w:b/>
                <w:szCs w:val="17"/>
                <w:lang w:eastAsia="it-IT"/>
              </w:rPr>
              <w:t>Description</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45554" w:rsidRPr="00544F8F" w:rsidRDefault="00545554" w:rsidP="00545554">
            <w:pPr>
              <w:pStyle w:val="TableText"/>
              <w:snapToGrid w:val="0"/>
              <w:ind w:left="4"/>
              <w:jc w:val="center"/>
              <w:rPr>
                <w:b/>
                <w:lang w:eastAsia="it-IT"/>
              </w:rPr>
            </w:pPr>
            <w:r w:rsidRPr="00544F8F">
              <w:rPr>
                <w:b/>
                <w:lang w:eastAsia="it-IT"/>
              </w:rPr>
              <w:t>Hong Kong basis</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45554" w:rsidRPr="00544F8F" w:rsidRDefault="00545554" w:rsidP="00545554">
            <w:pPr>
              <w:pStyle w:val="TableText"/>
              <w:snapToGrid w:val="0"/>
              <w:jc w:val="center"/>
              <w:rPr>
                <w:b/>
                <w:lang w:eastAsia="it-IT"/>
              </w:rPr>
            </w:pPr>
            <w:r w:rsidRPr="00544F8F">
              <w:rPr>
                <w:b/>
                <w:lang w:eastAsia="it-IT"/>
              </w:rPr>
              <w:t>Basel III basis</w:t>
            </w:r>
          </w:p>
        </w:tc>
      </w:tr>
      <w:tr w:rsidR="00545554" w:rsidRPr="0023654F" w:rsidTr="00545554">
        <w:trPr>
          <w:trHeight w:val="270"/>
        </w:trPr>
        <w:tc>
          <w:tcPr>
            <w:tcW w:w="567" w:type="dxa"/>
            <w:vMerge w:val="restart"/>
            <w:tcBorders>
              <w:top w:val="single" w:sz="6" w:space="0" w:color="auto"/>
              <w:left w:val="nil"/>
              <w:right w:val="single" w:sz="4" w:space="0" w:color="auto"/>
            </w:tcBorders>
            <w:shd w:val="clear" w:color="auto" w:fill="FFFFFF" w:themeFill="background1"/>
          </w:tcPr>
          <w:p w:rsidR="00545554" w:rsidRPr="00544F8F" w:rsidRDefault="00545554" w:rsidP="00545554">
            <w:pPr>
              <w:pStyle w:val="TableText"/>
              <w:snapToGrid w:val="0"/>
              <w:ind w:left="57"/>
              <w:rPr>
                <w:b/>
                <w:szCs w:val="17"/>
                <w:lang w:eastAsia="it-IT"/>
              </w:rPr>
            </w:pPr>
            <w:r w:rsidRPr="00494F30">
              <w:rPr>
                <w:szCs w:val="17"/>
                <w:lang w:eastAsia="it-IT"/>
              </w:rPr>
              <w:t>9</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494F30" w:rsidRDefault="00545554" w:rsidP="00545554">
            <w:pPr>
              <w:pStyle w:val="TableText"/>
              <w:snapToGrid w:val="0"/>
              <w:ind w:left="57" w:rightChars="71" w:right="142"/>
              <w:rPr>
                <w:b/>
                <w:szCs w:val="17"/>
                <w:lang w:eastAsia="it-IT"/>
              </w:rPr>
            </w:pPr>
            <w:r w:rsidRPr="00494F30">
              <w:rPr>
                <w:b/>
                <w:lang w:eastAsia="it-IT"/>
              </w:rPr>
              <w:t>Other intangible assets (net of associated deferred tax liabilities)</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544F8F" w:rsidRDefault="00545554" w:rsidP="00545554">
            <w:pPr>
              <w:pStyle w:val="TableText"/>
              <w:snapToGrid w:val="0"/>
              <w:ind w:left="4"/>
              <w:jc w:val="center"/>
              <w:rPr>
                <w:b/>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544F8F" w:rsidRDefault="00545554" w:rsidP="00545554">
            <w:pPr>
              <w:pStyle w:val="TableText"/>
              <w:snapToGrid w:val="0"/>
              <w:jc w:val="center"/>
              <w:rPr>
                <w:b/>
                <w:lang w:eastAsia="it-IT"/>
              </w:rPr>
            </w:pPr>
          </w:p>
        </w:tc>
      </w:tr>
      <w:tr w:rsidR="00545554" w:rsidRPr="0023654F" w:rsidTr="00545554">
        <w:trPr>
          <w:trHeight w:val="270"/>
        </w:trPr>
        <w:tc>
          <w:tcPr>
            <w:tcW w:w="567" w:type="dxa"/>
            <w:vMerge/>
            <w:tcBorders>
              <w:left w:val="nil"/>
              <w:bottom w:val="single" w:sz="6" w:space="0" w:color="auto"/>
              <w:right w:val="single" w:sz="4" w:space="0" w:color="auto"/>
            </w:tcBorders>
            <w:shd w:val="clear" w:color="auto" w:fill="FFFFFF" w:themeFill="background1"/>
          </w:tcPr>
          <w:p w:rsidR="00545554" w:rsidRPr="00494F30"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F6771E" w:rsidRDefault="00545554" w:rsidP="00545554">
            <w:pPr>
              <w:pStyle w:val="TableText"/>
              <w:snapToGrid w:val="0"/>
              <w:ind w:left="57" w:rightChars="71" w:right="142"/>
              <w:jc w:val="both"/>
              <w:rPr>
                <w:u w:val="single"/>
                <w:lang w:eastAsia="it-IT"/>
              </w:rPr>
            </w:pPr>
            <w:r w:rsidRPr="00F6771E">
              <w:rPr>
                <w:u w:val="single"/>
                <w:lang w:eastAsia="it-IT"/>
              </w:rPr>
              <w:t>Explanation</w:t>
            </w:r>
          </w:p>
          <w:p w:rsidR="00545554" w:rsidRPr="00544F8F" w:rsidRDefault="00545554" w:rsidP="00545554">
            <w:pPr>
              <w:pStyle w:val="TableText"/>
              <w:snapToGrid w:val="0"/>
              <w:ind w:left="57" w:rightChars="71" w:right="142"/>
              <w:jc w:val="both"/>
              <w:rPr>
                <w:b/>
                <w:lang w:eastAsia="it-IT"/>
              </w:rPr>
            </w:pPr>
            <w:r w:rsidRPr="00F6771E">
              <w:rPr>
                <w:lang w:eastAsia="it-IT"/>
              </w:rPr>
              <w:t xml:space="preserve">As set out in paragraph 87 of the Basel III text issued by the Basel Committee (December 2010), mortgage servicing rights (“MSRs”) may be given limited recognition in CET1 capital (and hence be excluded from deduction from CET1 capital up to the specified threshold).  In Hong Kong, an AI is required to follow the accounting treatment of including MSRs as part of intangible assets reported in the AI's financial statements and to deduct MSRs in full from CET1 capital.  Therefore, the amount to be deducted as reported in row </w:t>
            </w:r>
            <w:r>
              <w:rPr>
                <w:lang w:eastAsia="it-IT"/>
              </w:rPr>
              <w:t>9</w:t>
            </w:r>
            <w:r w:rsidRPr="00F6771E">
              <w:rPr>
                <w:lang w:eastAsia="it-IT"/>
              </w:rPr>
              <w:t xml:space="preserve"> may be greater than </w:t>
            </w:r>
            <w:r>
              <w:rPr>
                <w:lang w:eastAsia="it-IT"/>
              </w:rPr>
              <w:t xml:space="preserve">that required under Basel III.  </w:t>
            </w:r>
            <w:r w:rsidRPr="00F6771E">
              <w:rPr>
                <w:lang w:eastAsia="it-IT"/>
              </w:rPr>
              <w:t xml:space="preserve">The amount reported under the column "Basel III basis" in this box represents the amount reported in row </w:t>
            </w:r>
            <w:r>
              <w:rPr>
                <w:lang w:eastAsia="it-IT"/>
              </w:rPr>
              <w:t>9</w:t>
            </w:r>
            <w:r w:rsidRPr="00F6771E">
              <w:rPr>
                <w:lang w:eastAsia="it-IT"/>
              </w:rPr>
              <w:t xml:space="preserve"> (i.e. the amount reported under the "Hong Kong basis") adjusted by reducing the amount of MSRs to be deducted to the extent not in excess of the 10% threshold set for MSRs and the aggregate 15% threshold set for MSRs, DTAs arising from temporary differences and significant investments in CET1 capital instruments issued by financial sector entities (excluding those that are loans, facilities or other credit exposures to connected companies) under Basel III.</w:t>
            </w:r>
          </w:p>
        </w:tc>
      </w:tr>
      <w:tr w:rsidR="00545554" w:rsidRPr="0023654F" w:rsidTr="00545554">
        <w:trPr>
          <w:trHeight w:val="270"/>
        </w:trPr>
        <w:tc>
          <w:tcPr>
            <w:tcW w:w="567" w:type="dxa"/>
            <w:vMerge w:val="restart"/>
            <w:tcBorders>
              <w:top w:val="single" w:sz="6" w:space="0" w:color="auto"/>
              <w:left w:val="nil"/>
              <w:right w:val="single" w:sz="4" w:space="0" w:color="auto"/>
            </w:tcBorders>
            <w:shd w:val="clear" w:color="auto" w:fill="FFFFFF" w:themeFill="background1"/>
          </w:tcPr>
          <w:p w:rsidR="00545554" w:rsidRPr="00494F30" w:rsidRDefault="00545554" w:rsidP="00545554">
            <w:pPr>
              <w:pStyle w:val="TableText"/>
              <w:snapToGrid w:val="0"/>
              <w:ind w:left="57"/>
              <w:rPr>
                <w:szCs w:val="17"/>
                <w:lang w:eastAsia="it-IT"/>
              </w:rPr>
            </w:pPr>
            <w:r>
              <w:rPr>
                <w:szCs w:val="17"/>
                <w:lang w:eastAsia="it-IT"/>
              </w:rPr>
              <w:t>10</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544F8F" w:rsidRDefault="00545554">
            <w:pPr>
              <w:pStyle w:val="TableText"/>
              <w:snapToGrid w:val="0"/>
              <w:ind w:left="57" w:rightChars="71" w:right="142"/>
              <w:rPr>
                <w:b/>
                <w:szCs w:val="17"/>
                <w:lang w:eastAsia="it-IT"/>
              </w:rPr>
            </w:pPr>
            <w:r w:rsidRPr="00494F30">
              <w:rPr>
                <w:b/>
                <w:lang w:eastAsia="it-IT"/>
              </w:rPr>
              <w:t xml:space="preserve">Deferred tax assets </w:t>
            </w:r>
            <w:r w:rsidRPr="00494F30">
              <w:rPr>
                <w:b/>
                <w:lang w:val="en-US" w:eastAsia="it-IT"/>
              </w:rPr>
              <w:t>(net o</w:t>
            </w:r>
            <w:r w:rsidRPr="00591AE9">
              <w:rPr>
                <w:b/>
                <w:lang w:val="en-US" w:eastAsia="it-IT"/>
              </w:rPr>
              <w:t>f a</w:t>
            </w:r>
            <w:r>
              <w:rPr>
                <w:b/>
                <w:lang w:val="en-US" w:eastAsia="it-IT"/>
              </w:rPr>
              <w:t>ssociated deferred tax liabilities</w:t>
            </w:r>
            <w:r w:rsidRPr="00591AE9">
              <w:rPr>
                <w:b/>
                <w:lang w:val="en-US" w:eastAsia="it-IT"/>
              </w:rPr>
              <w:t>)</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544F8F" w:rsidRDefault="00545554" w:rsidP="00545554">
            <w:pPr>
              <w:pStyle w:val="TableText"/>
              <w:snapToGrid w:val="0"/>
              <w:ind w:left="4"/>
              <w:jc w:val="center"/>
              <w:rPr>
                <w:b/>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544F8F" w:rsidRDefault="00545554" w:rsidP="00545554">
            <w:pPr>
              <w:pStyle w:val="TableText"/>
              <w:snapToGrid w:val="0"/>
              <w:jc w:val="center"/>
              <w:rPr>
                <w:b/>
                <w:lang w:eastAsia="it-IT"/>
              </w:rPr>
            </w:pPr>
          </w:p>
        </w:tc>
      </w:tr>
      <w:tr w:rsidR="00545554" w:rsidRPr="0023654F" w:rsidTr="00545554">
        <w:trPr>
          <w:trHeight w:val="270"/>
        </w:trPr>
        <w:tc>
          <w:tcPr>
            <w:tcW w:w="567" w:type="dxa"/>
            <w:vMerge/>
            <w:tcBorders>
              <w:left w:val="nil"/>
              <w:bottom w:val="single" w:sz="6" w:space="0" w:color="auto"/>
              <w:right w:val="single" w:sz="4" w:space="0" w:color="auto"/>
            </w:tcBorders>
            <w:shd w:val="clear" w:color="auto" w:fill="FFFFFF" w:themeFill="background1"/>
            <w:vAlign w:val="center"/>
          </w:tcPr>
          <w:p w:rsidR="00545554" w:rsidRPr="00494F30"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F6771E" w:rsidRDefault="00545554" w:rsidP="00545554">
            <w:pPr>
              <w:pStyle w:val="TableText"/>
              <w:snapToGrid w:val="0"/>
              <w:ind w:left="57" w:rightChars="71" w:right="142"/>
              <w:jc w:val="both"/>
              <w:rPr>
                <w:u w:val="single"/>
                <w:lang w:eastAsia="it-IT"/>
              </w:rPr>
            </w:pPr>
            <w:r w:rsidRPr="00F6771E">
              <w:rPr>
                <w:u w:val="single"/>
                <w:lang w:eastAsia="it-IT"/>
              </w:rPr>
              <w:t>Explanation</w:t>
            </w:r>
          </w:p>
          <w:p w:rsidR="00545554" w:rsidRPr="00544F8F" w:rsidRDefault="00545554">
            <w:pPr>
              <w:pStyle w:val="TableText"/>
              <w:snapToGrid w:val="0"/>
              <w:ind w:left="57" w:rightChars="71" w:right="142"/>
              <w:jc w:val="both"/>
              <w:rPr>
                <w:b/>
                <w:lang w:eastAsia="it-IT"/>
              </w:rPr>
            </w:pPr>
            <w:r w:rsidRPr="00F6771E">
              <w:rPr>
                <w:lang w:eastAsia="it-IT"/>
              </w:rPr>
              <w:t xml:space="preserve">As set out in paragraphs 69 and 87 of the Basel III text issued by the Basel Committee (December 2010), DTAs of the bank to be realized are to be deducted, whereas DTAs which relate to temporary differences may be given limited recognition in CET1 capital (and hence be excluded from deduction from CET1 capital up to the specified threshold).  In Hong Kong, an AI is required to deduct all DTAs in full, </w:t>
            </w:r>
            <w:r>
              <w:rPr>
                <w:lang w:eastAsia="it-IT"/>
              </w:rPr>
              <w:t>irrespective of their origin</w:t>
            </w:r>
            <w:r w:rsidRPr="00F6771E">
              <w:rPr>
                <w:lang w:eastAsia="it-IT"/>
              </w:rPr>
              <w:t xml:space="preserve">, from CET1 capital.  Therefore, the amount to be deducted as reported in row </w:t>
            </w:r>
            <w:r>
              <w:rPr>
                <w:lang w:eastAsia="it-IT"/>
              </w:rPr>
              <w:t>10</w:t>
            </w:r>
            <w:r w:rsidRPr="00F6771E">
              <w:rPr>
                <w:lang w:eastAsia="it-IT"/>
              </w:rPr>
              <w:t xml:space="preserve"> may be greater than that required under Basel III.</w:t>
            </w:r>
            <w:r>
              <w:rPr>
                <w:lang w:eastAsia="it-IT"/>
              </w:rPr>
              <w:t xml:space="preserve">  </w:t>
            </w:r>
            <w:r w:rsidRPr="00F6771E">
              <w:rPr>
                <w:lang w:eastAsia="it-IT"/>
              </w:rPr>
              <w:t xml:space="preserve">The amount reported under the column "Basel III basis" in this box represents the amount reported in row </w:t>
            </w:r>
            <w:r>
              <w:rPr>
                <w:lang w:eastAsia="it-IT"/>
              </w:rPr>
              <w:t>10</w:t>
            </w:r>
            <w:r w:rsidRPr="00F6771E">
              <w:rPr>
                <w:lang w:eastAsia="it-IT"/>
              </w:rPr>
              <w:t xml:space="preserve"> (i.e. the amount reported under the "Hong Kong basis") adjusted by reducing the amount of DTAs to be deducted which relate to temporary differences to the extent not in excess of the 10% threshold set for DTAs arising from temporary differences and the aggregate 15% threshold set for MSRs, DTAs arising from temporary differences and significant investments in CET1 capital instruments issued by financial sector entities (excluding thos</w:t>
            </w:r>
            <w:r>
              <w:rPr>
                <w:lang w:eastAsia="it-IT"/>
              </w:rPr>
              <w:t>e that are loans, facilities or</w:t>
            </w:r>
            <w:r w:rsidRPr="00F6771E">
              <w:rPr>
                <w:lang w:eastAsia="it-IT"/>
              </w:rPr>
              <w:t xml:space="preserve"> other credit exposures to connected companies) under Basel III.</w:t>
            </w:r>
          </w:p>
        </w:tc>
      </w:tr>
      <w:tr w:rsidR="00545554" w:rsidRPr="0023654F" w:rsidTr="00545554">
        <w:trPr>
          <w:cantSplit/>
          <w:trHeight w:val="270"/>
        </w:trPr>
        <w:tc>
          <w:tcPr>
            <w:tcW w:w="567" w:type="dxa"/>
            <w:vMerge w:val="restart"/>
            <w:tcBorders>
              <w:top w:val="single" w:sz="4" w:space="0" w:color="auto"/>
              <w:left w:val="nil"/>
              <w:right w:val="single" w:sz="4" w:space="0" w:color="auto"/>
            </w:tcBorders>
            <w:shd w:val="clear" w:color="auto" w:fill="auto"/>
          </w:tcPr>
          <w:p w:rsidR="00545554" w:rsidRPr="00010C76" w:rsidRDefault="00545554" w:rsidP="00545554">
            <w:pPr>
              <w:pStyle w:val="TableText"/>
              <w:snapToGrid w:val="0"/>
              <w:ind w:left="57"/>
              <w:rPr>
                <w:szCs w:val="17"/>
                <w:lang w:eastAsia="it-IT"/>
              </w:rPr>
            </w:pPr>
            <w:r>
              <w:rPr>
                <w:szCs w:val="17"/>
                <w:lang w:eastAsia="it-IT"/>
              </w:rPr>
              <w:t>18</w:t>
            </w:r>
          </w:p>
        </w:tc>
        <w:tc>
          <w:tcPr>
            <w:tcW w:w="6659"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051179">
            <w:pPr>
              <w:pStyle w:val="TableText"/>
              <w:snapToGrid w:val="0"/>
              <w:ind w:left="57" w:rightChars="71" w:right="142"/>
              <w:rPr>
                <w:b/>
                <w:szCs w:val="17"/>
                <w:lang w:eastAsia="it-IT"/>
              </w:rPr>
            </w:pPr>
            <w:r w:rsidRPr="00F6771E">
              <w:rPr>
                <w:b/>
                <w:szCs w:val="17"/>
                <w:lang w:eastAsia="it-IT"/>
              </w:rPr>
              <w:t xml:space="preserve">Insignificant </w:t>
            </w:r>
            <w:r w:rsidR="00051179">
              <w:rPr>
                <w:b/>
                <w:szCs w:val="17"/>
                <w:lang w:eastAsia="it-IT"/>
              </w:rPr>
              <w:t xml:space="preserve">LAC </w:t>
            </w:r>
            <w:r w:rsidRPr="00F6771E">
              <w:rPr>
                <w:b/>
                <w:szCs w:val="17"/>
                <w:lang w:eastAsia="it-IT"/>
              </w:rPr>
              <w:t>investments in CET1 capital instruments issued by financial sector entities that are outside the scope of regulatory consolidation (amount above 10% threshold)</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67" w:type="dxa"/>
            <w:vMerge/>
            <w:tcBorders>
              <w:left w:val="nil"/>
              <w:bottom w:val="single" w:sz="6" w:space="0" w:color="auto"/>
              <w:right w:val="single" w:sz="4" w:space="0" w:color="auto"/>
            </w:tcBorders>
            <w:shd w:val="clear" w:color="auto" w:fill="auto"/>
          </w:tcPr>
          <w:p w:rsidR="00545554"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545554">
            <w:pPr>
              <w:pStyle w:val="TableText"/>
              <w:snapToGrid w:val="0"/>
              <w:ind w:left="57" w:rightChars="71" w:right="142"/>
              <w:jc w:val="both"/>
              <w:rPr>
                <w:szCs w:val="17"/>
                <w:u w:val="single"/>
                <w:lang w:eastAsia="it-IT"/>
              </w:rPr>
            </w:pPr>
            <w:r w:rsidRPr="00F6771E">
              <w:rPr>
                <w:u w:val="single"/>
                <w:lang w:eastAsia="it-IT"/>
              </w:rPr>
              <w:t>Exp</w:t>
            </w:r>
            <w:r w:rsidRPr="00F6771E">
              <w:rPr>
                <w:szCs w:val="17"/>
                <w:u w:val="single"/>
                <w:lang w:eastAsia="it-IT"/>
              </w:rPr>
              <w:t>lanation</w:t>
            </w:r>
          </w:p>
          <w:p w:rsidR="00545554" w:rsidRPr="00F6771E" w:rsidRDefault="00545554" w:rsidP="00051179">
            <w:pPr>
              <w:pStyle w:val="TableText"/>
              <w:snapToGrid w:val="0"/>
              <w:ind w:left="57" w:rightChars="71" w:right="142"/>
              <w:jc w:val="both"/>
              <w:rPr>
                <w:lang w:eastAsia="it-IT"/>
              </w:rPr>
            </w:pPr>
            <w:r w:rsidRPr="00F6771E">
              <w:rPr>
                <w:szCs w:val="17"/>
                <w:lang w:eastAsia="it-IT"/>
              </w:rPr>
              <w:t xml:space="preserve">For the purpose of determining the total amount of insignificant </w:t>
            </w:r>
            <w:r w:rsidR="00051179">
              <w:rPr>
                <w:szCs w:val="17"/>
                <w:lang w:eastAsia="it-IT"/>
              </w:rPr>
              <w:t xml:space="preserve">LAC </w:t>
            </w:r>
            <w:r w:rsidRPr="00F6771E">
              <w:rPr>
                <w:szCs w:val="17"/>
                <w:lang w:eastAsia="it-IT"/>
              </w:rPr>
              <w:t>investments in CET1 capital instruments issued by financial sector entities, an AI is required to aggregate any amount of loans, facilities or other credit exposures provided by it to any of its connected companies, where the connected company is a financial sector entity, as if such loans, facilities or other credit exposures were direct holdings, indirect holdings or synthetic holdings of the AI in the capital instruments of the financial sector entity, except where the AI demonstrates to the satisfaction of the M</w:t>
            </w:r>
            <w:r>
              <w:rPr>
                <w:szCs w:val="17"/>
                <w:lang w:eastAsia="it-IT"/>
              </w:rPr>
              <w:t>A</w:t>
            </w:r>
            <w:r w:rsidRPr="00F6771E">
              <w:rPr>
                <w:szCs w:val="17"/>
                <w:lang w:eastAsia="it-IT"/>
              </w:rPr>
              <w:t xml:space="preserve"> that any such loan was made, any such facility was granted, or any such other credit exposure was incurred, in the ordinary course of the AI's business.  Therefore, the amount to be deducted as reported in row 18 may be greater than that required under Basel III.  The amount reported under the column "Basel III basis"</w:t>
            </w:r>
            <w:r w:rsidRPr="00F6771E">
              <w:rPr>
                <w:lang w:eastAsia="it-IT"/>
              </w:rPr>
              <w:t xml:space="preserve"> in this box represents the amount reported in row 18 (i.e. the amount reported under the "Hong Kong basis") adjusted by excluding the aggregate amount of loans, facilities or other credit exposures to the AI's connected companies which were subject to deduction under the Hong Kong approach.</w:t>
            </w:r>
          </w:p>
        </w:tc>
      </w:tr>
      <w:tr w:rsidR="00545554" w:rsidRPr="0023654F" w:rsidTr="00545554">
        <w:trPr>
          <w:cantSplit/>
          <w:trHeight w:val="270"/>
        </w:trPr>
        <w:tc>
          <w:tcPr>
            <w:tcW w:w="567" w:type="dxa"/>
            <w:vMerge w:val="restart"/>
            <w:tcBorders>
              <w:left w:val="nil"/>
              <w:right w:val="single" w:sz="4" w:space="0" w:color="auto"/>
            </w:tcBorders>
            <w:shd w:val="clear" w:color="auto" w:fill="auto"/>
          </w:tcPr>
          <w:p w:rsidR="00545554" w:rsidRDefault="00545554" w:rsidP="00545554">
            <w:pPr>
              <w:pStyle w:val="TableText"/>
              <w:snapToGrid w:val="0"/>
              <w:ind w:left="57"/>
              <w:rPr>
                <w:szCs w:val="17"/>
                <w:lang w:eastAsia="it-IT"/>
              </w:rPr>
            </w:pPr>
            <w:r>
              <w:rPr>
                <w:szCs w:val="17"/>
                <w:lang w:eastAsia="it-IT"/>
              </w:rPr>
              <w:lastRenderedPageBreak/>
              <w:t>19</w:t>
            </w:r>
          </w:p>
        </w:tc>
        <w:tc>
          <w:tcPr>
            <w:tcW w:w="6659"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051179">
            <w:pPr>
              <w:pStyle w:val="TableText"/>
              <w:snapToGrid w:val="0"/>
              <w:ind w:left="57" w:rightChars="71" w:right="142"/>
              <w:rPr>
                <w:b/>
                <w:szCs w:val="17"/>
                <w:lang w:eastAsia="it-IT"/>
              </w:rPr>
            </w:pPr>
            <w:r w:rsidRPr="00F6771E">
              <w:rPr>
                <w:b/>
                <w:szCs w:val="17"/>
                <w:lang w:eastAsia="it-IT"/>
              </w:rPr>
              <w:t xml:space="preserve">Significant </w:t>
            </w:r>
            <w:r w:rsidR="00051179">
              <w:rPr>
                <w:b/>
                <w:szCs w:val="17"/>
                <w:lang w:eastAsia="it-IT"/>
              </w:rPr>
              <w:t xml:space="preserve">LAC </w:t>
            </w:r>
            <w:r w:rsidRPr="00F6771E">
              <w:rPr>
                <w:b/>
                <w:szCs w:val="17"/>
                <w:lang w:eastAsia="it-IT"/>
              </w:rPr>
              <w:t>investments in CET1 capital instruments issued by financial sector entities that are outside the scope of regulatory consolidation (amount above 10% threshold)</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D95E5B" w:rsidRDefault="00545554" w:rsidP="00545554">
            <w:pPr>
              <w:pStyle w:val="TableText"/>
              <w:snapToGrid w:val="0"/>
              <w:ind w:left="57" w:rightChars="71" w:right="142"/>
              <w:rPr>
                <w:u w:val="single"/>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D95E5B" w:rsidRDefault="00545554" w:rsidP="00545554">
            <w:pPr>
              <w:pStyle w:val="TableText"/>
              <w:snapToGrid w:val="0"/>
              <w:ind w:left="57" w:rightChars="71" w:right="142"/>
              <w:rPr>
                <w:u w:val="single"/>
                <w:lang w:eastAsia="it-IT"/>
              </w:rPr>
            </w:pPr>
          </w:p>
        </w:tc>
      </w:tr>
      <w:tr w:rsidR="00545554" w:rsidRPr="0023654F" w:rsidTr="00545554">
        <w:trPr>
          <w:cantSplit/>
          <w:trHeight w:val="270"/>
        </w:trPr>
        <w:tc>
          <w:tcPr>
            <w:tcW w:w="567" w:type="dxa"/>
            <w:vMerge/>
            <w:tcBorders>
              <w:left w:val="nil"/>
              <w:bottom w:val="single" w:sz="6" w:space="0" w:color="auto"/>
              <w:right w:val="single" w:sz="4" w:space="0" w:color="auto"/>
            </w:tcBorders>
            <w:shd w:val="clear" w:color="auto" w:fill="auto"/>
          </w:tcPr>
          <w:p w:rsidR="00545554"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auto"/>
          </w:tcPr>
          <w:p w:rsidR="00545554" w:rsidRPr="00EF641D" w:rsidRDefault="00545554" w:rsidP="00545554">
            <w:pPr>
              <w:pStyle w:val="TableText"/>
              <w:snapToGrid w:val="0"/>
              <w:ind w:left="57" w:rightChars="71" w:right="142"/>
              <w:jc w:val="both"/>
              <w:rPr>
                <w:u w:val="single"/>
                <w:lang w:eastAsia="it-IT"/>
              </w:rPr>
            </w:pPr>
            <w:r w:rsidRPr="00EF641D">
              <w:rPr>
                <w:szCs w:val="17"/>
                <w:u w:val="single"/>
                <w:lang w:eastAsia="it-IT"/>
              </w:rPr>
              <w:t>Explanation</w:t>
            </w:r>
          </w:p>
          <w:p w:rsidR="00545554" w:rsidRPr="00D95E5B" w:rsidRDefault="00545554" w:rsidP="00051179">
            <w:pPr>
              <w:pStyle w:val="TableText"/>
              <w:snapToGrid w:val="0"/>
              <w:ind w:left="57" w:rightChars="71" w:right="142"/>
              <w:jc w:val="both"/>
              <w:rPr>
                <w:u w:val="single"/>
                <w:lang w:eastAsia="it-IT"/>
              </w:rPr>
            </w:pPr>
            <w:r w:rsidRPr="00544F8F">
              <w:rPr>
                <w:szCs w:val="17"/>
                <w:lang w:eastAsia="it-IT"/>
              </w:rPr>
              <w:t>For</w:t>
            </w:r>
            <w:r>
              <w:rPr>
                <w:lang w:eastAsia="it-IT"/>
              </w:rPr>
              <w:t xml:space="preserve"> the purpose of determining the total amount of significant </w:t>
            </w:r>
            <w:r w:rsidR="00051179">
              <w:rPr>
                <w:lang w:eastAsia="it-IT"/>
              </w:rPr>
              <w:t xml:space="preserve">LAC </w:t>
            </w:r>
            <w:r>
              <w:rPr>
                <w:lang w:eastAsia="it-IT"/>
              </w:rPr>
              <w:t xml:space="preserve">investments in CET1 capital instruments issued by financial sector entities, an AI is required to aggregate any amount of loans, facilities or other credit exposures provided by it to any of its connected companies, where the connected company is a financial sector entity, as if such loans, facilities or other credit exposures were direct holdings, indirect holdings or synthetic holdings of the AI in the capital instruments of the financial sector entity, except where the AI demonstrates to the satisfaction of the MA that any such loan was made, any such facility was granted, or any such other credit exposure was incurred, in the ordinary course of the AI's business.  </w:t>
            </w:r>
            <w:r w:rsidRPr="00544F8F">
              <w:rPr>
                <w:szCs w:val="17"/>
                <w:lang w:eastAsia="it-IT"/>
              </w:rPr>
              <w:t>Therefore</w:t>
            </w:r>
            <w:r w:rsidRPr="00544F8F">
              <w:rPr>
                <w:lang w:eastAsia="it-IT"/>
              </w:rPr>
              <w:t xml:space="preserve">, the amount to be deducted as reported in row 19 may be greater than </w:t>
            </w:r>
            <w:r>
              <w:rPr>
                <w:lang w:eastAsia="it-IT"/>
              </w:rPr>
              <w:t xml:space="preserve">that required under Basel III.  </w:t>
            </w:r>
            <w:r w:rsidRPr="00544F8F">
              <w:rPr>
                <w:lang w:eastAsia="it-IT"/>
              </w:rPr>
              <w:t>The amount reported under the column "Basel III basis" in this box represents the amount reported in row 19 (i.e. the amount reported under the "Hong Kong basis") adjusted by excluding the aggregate amount of loans, facilities or other credit exposures to the AI's connected companies which were subject to deduction under the Hong Kong approach.</w:t>
            </w:r>
          </w:p>
        </w:tc>
      </w:tr>
      <w:tr w:rsidR="00545554" w:rsidRPr="0023654F" w:rsidTr="00545554">
        <w:trPr>
          <w:cantSplit/>
          <w:trHeight w:val="270"/>
        </w:trPr>
        <w:tc>
          <w:tcPr>
            <w:tcW w:w="567" w:type="dxa"/>
            <w:vMerge w:val="restart"/>
            <w:tcBorders>
              <w:top w:val="single" w:sz="6" w:space="0" w:color="auto"/>
              <w:left w:val="nil"/>
              <w:right w:val="single" w:sz="4" w:space="0" w:color="auto"/>
            </w:tcBorders>
            <w:shd w:val="clear" w:color="auto" w:fill="auto"/>
          </w:tcPr>
          <w:p w:rsidR="00545554" w:rsidRDefault="00545554" w:rsidP="00545554">
            <w:pPr>
              <w:pStyle w:val="TableText"/>
              <w:snapToGrid w:val="0"/>
              <w:ind w:left="57"/>
              <w:rPr>
                <w:szCs w:val="17"/>
                <w:lang w:eastAsia="it-IT"/>
              </w:rPr>
            </w:pPr>
            <w:r>
              <w:rPr>
                <w:szCs w:val="17"/>
                <w:lang w:eastAsia="it-IT"/>
              </w:rPr>
              <w:t>39</w:t>
            </w:r>
          </w:p>
        </w:tc>
        <w:tc>
          <w:tcPr>
            <w:tcW w:w="6659"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051179">
            <w:pPr>
              <w:pStyle w:val="TableText"/>
              <w:snapToGrid w:val="0"/>
              <w:ind w:left="57" w:rightChars="71" w:right="142"/>
              <w:rPr>
                <w:b/>
                <w:szCs w:val="17"/>
                <w:lang w:eastAsia="it-IT"/>
              </w:rPr>
            </w:pPr>
            <w:r w:rsidRPr="00F6771E">
              <w:rPr>
                <w:b/>
                <w:szCs w:val="17"/>
                <w:lang w:eastAsia="it-IT"/>
              </w:rPr>
              <w:t xml:space="preserve">Insignificant </w:t>
            </w:r>
            <w:r w:rsidR="00051179">
              <w:rPr>
                <w:b/>
                <w:szCs w:val="17"/>
                <w:lang w:eastAsia="it-IT"/>
              </w:rPr>
              <w:t xml:space="preserve">LAC </w:t>
            </w:r>
            <w:r w:rsidRPr="00F6771E">
              <w:rPr>
                <w:b/>
                <w:szCs w:val="17"/>
                <w:lang w:eastAsia="it-IT"/>
              </w:rPr>
              <w:t>investments in AT1 capital instruments issued by financial sector entities that are outside the scope of regulatory consolidation (amount above 10% threshold)</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567" w:type="dxa"/>
            <w:vMerge/>
            <w:tcBorders>
              <w:left w:val="nil"/>
              <w:bottom w:val="single" w:sz="6" w:space="0" w:color="auto"/>
              <w:right w:val="single" w:sz="4" w:space="0" w:color="auto"/>
            </w:tcBorders>
            <w:shd w:val="clear" w:color="auto" w:fill="auto"/>
          </w:tcPr>
          <w:p w:rsidR="00545554"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auto"/>
          </w:tcPr>
          <w:p w:rsidR="00545554" w:rsidRPr="00EF641D" w:rsidRDefault="00545554" w:rsidP="00545554">
            <w:pPr>
              <w:pStyle w:val="TableText"/>
              <w:snapToGrid w:val="0"/>
              <w:ind w:left="57" w:rightChars="71" w:right="142"/>
              <w:jc w:val="both"/>
              <w:rPr>
                <w:u w:val="single"/>
                <w:lang w:eastAsia="it-IT"/>
              </w:rPr>
            </w:pPr>
            <w:r w:rsidRPr="00EF641D">
              <w:rPr>
                <w:szCs w:val="17"/>
                <w:u w:val="single"/>
                <w:lang w:eastAsia="it-IT"/>
              </w:rPr>
              <w:t>Explanation</w:t>
            </w:r>
          </w:p>
          <w:p w:rsidR="00545554" w:rsidRPr="0023654F" w:rsidRDefault="00545554" w:rsidP="001B47CF">
            <w:pPr>
              <w:pStyle w:val="TableText"/>
              <w:snapToGrid w:val="0"/>
              <w:ind w:left="57" w:rightChars="71" w:right="142"/>
              <w:jc w:val="both"/>
              <w:rPr>
                <w:lang w:eastAsia="it-IT"/>
              </w:rPr>
            </w:pPr>
            <w:r>
              <w:rPr>
                <w:lang w:eastAsia="it-IT"/>
              </w:rPr>
              <w:t xml:space="preserve">The </w:t>
            </w:r>
            <w:r w:rsidRPr="00544F8F">
              <w:rPr>
                <w:szCs w:val="17"/>
                <w:lang w:eastAsia="it-IT"/>
              </w:rPr>
              <w:t>effect</w:t>
            </w:r>
            <w:r>
              <w:rPr>
                <w:lang w:eastAsia="it-IT"/>
              </w:rPr>
              <w:t xml:space="preserve"> of treating loans, facilities or other credit exposures to connected companies which are financial sector entities as CET1 capital instruments for the purpose of considering deductions to be made in calculating the capital base (see note re row 18 to the template above) will mean the headroom within the threshold available for the exemption from capital deduction of other insignificant </w:t>
            </w:r>
            <w:r w:rsidR="001B47CF">
              <w:rPr>
                <w:lang w:eastAsia="it-IT"/>
              </w:rPr>
              <w:t xml:space="preserve">LAC </w:t>
            </w:r>
            <w:r>
              <w:rPr>
                <w:lang w:eastAsia="it-IT"/>
              </w:rPr>
              <w:t>investments in AT1 capital instruments may be smaller.  Therefore, the amount to be deducted as reported in row 39 may be greater than that required under Basel III.  The amount reported under the column "Basel III basis" in this box represents the amount reported in row 39 (i.e. the amount reported under the "Hong Kong basis") adjusted by excluding the aggregate amount of loans, facilities or other credit exposures to the AI's connected companies which were subject to deduction under the Hong Kong approach.</w:t>
            </w:r>
          </w:p>
        </w:tc>
      </w:tr>
      <w:tr w:rsidR="00545554" w:rsidRPr="0023654F" w:rsidTr="00545554">
        <w:trPr>
          <w:cantSplit/>
          <w:trHeight w:val="270"/>
        </w:trPr>
        <w:tc>
          <w:tcPr>
            <w:tcW w:w="567" w:type="dxa"/>
            <w:vMerge w:val="restart"/>
            <w:tcBorders>
              <w:top w:val="single" w:sz="6" w:space="0" w:color="auto"/>
              <w:left w:val="nil"/>
              <w:right w:val="single" w:sz="4" w:space="0" w:color="auto"/>
            </w:tcBorders>
            <w:shd w:val="clear" w:color="auto" w:fill="auto"/>
          </w:tcPr>
          <w:p w:rsidR="00545554" w:rsidRDefault="00545554" w:rsidP="00545554">
            <w:pPr>
              <w:pStyle w:val="TableText"/>
              <w:snapToGrid w:val="0"/>
              <w:ind w:left="57"/>
              <w:rPr>
                <w:szCs w:val="17"/>
                <w:lang w:eastAsia="it-IT"/>
              </w:rPr>
            </w:pPr>
            <w:r>
              <w:rPr>
                <w:szCs w:val="17"/>
                <w:lang w:eastAsia="it-IT"/>
              </w:rPr>
              <w:t>54</w:t>
            </w:r>
          </w:p>
        </w:tc>
        <w:tc>
          <w:tcPr>
            <w:tcW w:w="6659"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1B47CF">
            <w:pPr>
              <w:pStyle w:val="TableText"/>
              <w:snapToGrid w:val="0"/>
              <w:ind w:left="57" w:rightChars="71" w:right="142"/>
              <w:rPr>
                <w:b/>
                <w:szCs w:val="17"/>
                <w:lang w:eastAsia="it-IT"/>
              </w:rPr>
            </w:pPr>
            <w:r w:rsidRPr="00F6771E">
              <w:rPr>
                <w:b/>
                <w:szCs w:val="17"/>
                <w:lang w:eastAsia="it-IT"/>
              </w:rPr>
              <w:t xml:space="preserve">Insignificant </w:t>
            </w:r>
            <w:r w:rsidR="001B47CF">
              <w:rPr>
                <w:b/>
                <w:szCs w:val="17"/>
                <w:lang w:eastAsia="it-IT"/>
              </w:rPr>
              <w:t xml:space="preserve">LAC </w:t>
            </w:r>
            <w:r w:rsidRPr="00F6771E">
              <w:rPr>
                <w:b/>
                <w:szCs w:val="17"/>
                <w:lang w:eastAsia="it-IT"/>
              </w:rPr>
              <w:t>investments in Tier 2 capital instruments issued by</w:t>
            </w:r>
            <w:r w:rsidR="001B47CF">
              <w:rPr>
                <w:b/>
                <w:szCs w:val="17"/>
                <w:lang w:eastAsia="it-IT"/>
              </w:rPr>
              <w:t>, and non-capital LAC liabilities of,</w:t>
            </w:r>
            <w:r w:rsidRPr="00F6771E">
              <w:rPr>
                <w:b/>
                <w:szCs w:val="17"/>
                <w:lang w:eastAsia="it-IT"/>
              </w:rPr>
              <w:t xml:space="preserve"> financial sector entities that are outside the scope of regulatory consolidation (amount above 10% threshold</w:t>
            </w:r>
            <w:r w:rsidR="001B47CF">
              <w:rPr>
                <w:b/>
                <w:szCs w:val="17"/>
                <w:lang w:eastAsia="it-IT"/>
              </w:rPr>
              <w:t xml:space="preserve"> and, where applicable, 5% threshold</w:t>
            </w:r>
            <w:r w:rsidRPr="00F6771E">
              <w:rPr>
                <w:b/>
                <w:szCs w:val="17"/>
                <w:lang w:eastAsia="it-IT"/>
              </w:rPr>
              <w:t>)</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545554">
            <w:pPr>
              <w:pStyle w:val="TableText"/>
              <w:snapToGrid w:val="0"/>
              <w:ind w:left="57"/>
              <w:jc w:val="center"/>
              <w:rPr>
                <w:lang w:eastAsia="it-IT"/>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545554">
            <w:pPr>
              <w:pStyle w:val="TableText"/>
              <w:snapToGrid w:val="0"/>
              <w:jc w:val="center"/>
              <w:rPr>
                <w:lang w:eastAsia="it-IT"/>
              </w:rPr>
            </w:pPr>
          </w:p>
        </w:tc>
      </w:tr>
      <w:tr w:rsidR="00545554" w:rsidRPr="0023654F" w:rsidTr="00545554">
        <w:trPr>
          <w:cantSplit/>
          <w:trHeight w:val="270"/>
        </w:trPr>
        <w:tc>
          <w:tcPr>
            <w:tcW w:w="567" w:type="dxa"/>
            <w:vMerge/>
            <w:tcBorders>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it-IT"/>
              </w:rPr>
            </w:pPr>
          </w:p>
        </w:tc>
        <w:tc>
          <w:tcPr>
            <w:tcW w:w="8647" w:type="dxa"/>
            <w:gridSpan w:val="3"/>
            <w:tcBorders>
              <w:top w:val="single" w:sz="4" w:space="0" w:color="auto"/>
              <w:left w:val="single" w:sz="4" w:space="0" w:color="auto"/>
              <w:bottom w:val="single" w:sz="4" w:space="0" w:color="auto"/>
              <w:right w:val="single" w:sz="4" w:space="0" w:color="auto"/>
            </w:tcBorders>
            <w:shd w:val="clear" w:color="auto" w:fill="auto"/>
          </w:tcPr>
          <w:p w:rsidR="00545554" w:rsidRPr="00F6771E" w:rsidRDefault="00545554" w:rsidP="00545554">
            <w:pPr>
              <w:pStyle w:val="TableText"/>
              <w:snapToGrid w:val="0"/>
              <w:ind w:left="57" w:rightChars="71" w:right="142"/>
              <w:jc w:val="both"/>
              <w:rPr>
                <w:u w:val="single"/>
                <w:lang w:eastAsia="it-IT"/>
              </w:rPr>
            </w:pPr>
            <w:r w:rsidRPr="00F6771E">
              <w:rPr>
                <w:szCs w:val="17"/>
                <w:u w:val="single"/>
                <w:lang w:eastAsia="it-IT"/>
              </w:rPr>
              <w:t>Explanation</w:t>
            </w:r>
          </w:p>
          <w:p w:rsidR="00545554" w:rsidRPr="00F6771E" w:rsidRDefault="00545554" w:rsidP="001B47CF">
            <w:pPr>
              <w:pStyle w:val="TableText"/>
              <w:snapToGrid w:val="0"/>
              <w:ind w:left="57" w:rightChars="71" w:right="142"/>
              <w:jc w:val="both"/>
              <w:rPr>
                <w:lang w:eastAsia="it-IT"/>
              </w:rPr>
            </w:pPr>
            <w:r w:rsidRPr="00F6771E">
              <w:rPr>
                <w:szCs w:val="17"/>
                <w:lang w:eastAsia="it-IT"/>
              </w:rPr>
              <w:t>The</w:t>
            </w:r>
            <w:r w:rsidRPr="00F6771E">
              <w:rPr>
                <w:lang w:eastAsia="it-IT"/>
              </w:rPr>
              <w:t xml:space="preserve"> effect of treating loans, facilities or other credit exposures to connected companies which are financial sector entities as CET1 capital instruments for the purpose of considering deductions to be made in calculating the capital base (see note re row 18 to the template above) will mean the headroom within the threshold available for the exemption from capital deduction of other insignificant </w:t>
            </w:r>
            <w:r w:rsidR="001B47CF">
              <w:rPr>
                <w:lang w:eastAsia="it-IT"/>
              </w:rPr>
              <w:t xml:space="preserve">LAC </w:t>
            </w:r>
            <w:r w:rsidRPr="00F6771E">
              <w:rPr>
                <w:lang w:eastAsia="it-IT"/>
              </w:rPr>
              <w:t xml:space="preserve">investments in Tier 2 capital instruments </w:t>
            </w:r>
            <w:r w:rsidR="001B47CF">
              <w:rPr>
                <w:lang w:eastAsia="it-IT"/>
              </w:rPr>
              <w:t xml:space="preserve">and non-capital LAC liabilities </w:t>
            </w:r>
            <w:r w:rsidRPr="00F6771E">
              <w:rPr>
                <w:lang w:eastAsia="it-IT"/>
              </w:rPr>
              <w:t xml:space="preserve">may be smaller.  Therefore, the amount to be deducted as reported in row 54 may be greater than </w:t>
            </w:r>
            <w:r>
              <w:rPr>
                <w:lang w:eastAsia="it-IT"/>
              </w:rPr>
              <w:t xml:space="preserve">that required under Basel III.  </w:t>
            </w:r>
            <w:r w:rsidRPr="00F6771E">
              <w:rPr>
                <w:lang w:eastAsia="it-IT"/>
              </w:rPr>
              <w:t>The amount reported under the column "Basel III basis" in this box represents the amount reported in row 54 (i.e. the amount reported under the "Hong Kong basis") adjusted by excluding the aggregate amount of loans, facilities or other credit exposures to the AI's connected companies which were subject to deduction under the Hong Kong approach.</w:t>
            </w:r>
          </w:p>
        </w:tc>
      </w:tr>
      <w:tr w:rsidR="00545554" w:rsidRPr="0023654F" w:rsidTr="00545554">
        <w:trPr>
          <w:cantSplit/>
          <w:trHeight w:val="270"/>
        </w:trPr>
        <w:tc>
          <w:tcPr>
            <w:tcW w:w="9214" w:type="dxa"/>
            <w:gridSpan w:val="4"/>
            <w:tcBorders>
              <w:top w:val="single" w:sz="4" w:space="0" w:color="auto"/>
              <w:left w:val="nil"/>
              <w:bottom w:val="single" w:sz="6" w:space="0" w:color="auto"/>
              <w:right w:val="single" w:sz="4" w:space="0" w:color="auto"/>
            </w:tcBorders>
            <w:shd w:val="clear" w:color="auto" w:fill="auto"/>
          </w:tcPr>
          <w:p w:rsidR="00545554" w:rsidRDefault="00545554" w:rsidP="00545554">
            <w:pPr>
              <w:pStyle w:val="TableText"/>
              <w:snapToGrid w:val="0"/>
              <w:ind w:left="57" w:rightChars="71" w:right="142"/>
              <w:rPr>
                <w:szCs w:val="17"/>
                <w:lang w:eastAsia="it-IT"/>
              </w:rPr>
            </w:pPr>
            <w:r w:rsidRPr="00EF641D">
              <w:rPr>
                <w:szCs w:val="17"/>
                <w:lang w:eastAsia="it-IT"/>
              </w:rPr>
              <w:t>Remarks:</w:t>
            </w:r>
          </w:p>
          <w:p w:rsidR="00545554" w:rsidRPr="00EF641D" w:rsidRDefault="00545554" w:rsidP="00545554">
            <w:pPr>
              <w:pStyle w:val="TableText"/>
              <w:snapToGrid w:val="0"/>
              <w:ind w:left="57" w:rightChars="71" w:right="142"/>
              <w:jc w:val="both"/>
              <w:rPr>
                <w:szCs w:val="17"/>
                <w:lang w:eastAsia="it-IT"/>
              </w:rPr>
            </w:pPr>
            <w:r>
              <w:rPr>
                <w:szCs w:val="17"/>
                <w:lang w:eastAsia="it-IT"/>
              </w:rPr>
              <w:t xml:space="preserve">The amount of the 10% threshold </w:t>
            </w:r>
            <w:r w:rsidR="001B47CF">
              <w:rPr>
                <w:szCs w:val="17"/>
                <w:lang w:eastAsia="it-IT"/>
              </w:rPr>
              <w:t xml:space="preserve">and 5% threshold </w:t>
            </w:r>
            <w:r>
              <w:rPr>
                <w:szCs w:val="17"/>
                <w:lang w:eastAsia="it-IT"/>
              </w:rPr>
              <w:t xml:space="preserve">mentioned above is calculated based on the amount of CET1 capital determined in accordance with the deduction methods set out in BCR Schedule 4F.  The 15% threshold is referring to paragraph 88 </w:t>
            </w:r>
            <w:r w:rsidRPr="00F6771E">
              <w:rPr>
                <w:lang w:eastAsia="it-IT"/>
              </w:rPr>
              <w:t>of the Basel III text issued by the Basel Committee (December 2010)</w:t>
            </w:r>
            <w:r>
              <w:rPr>
                <w:szCs w:val="17"/>
                <w:lang w:eastAsia="it-IT"/>
              </w:rPr>
              <w:t xml:space="preserve"> and has no effect to the Hong Kong regime.</w:t>
            </w:r>
          </w:p>
        </w:tc>
      </w:tr>
    </w:tbl>
    <w:p w:rsidR="00545554" w:rsidRPr="006211B4" w:rsidRDefault="00545554" w:rsidP="00545554">
      <w:pPr>
        <w:spacing w:before="120" w:after="120"/>
        <w:ind w:leftChars="-283" w:left="-566"/>
        <w:rPr>
          <w:sz w:val="17"/>
          <w:szCs w:val="17"/>
          <w:u w:val="single"/>
        </w:rPr>
      </w:pPr>
    </w:p>
    <w:tbl>
      <w:tblPr>
        <w:tblStyle w:val="TableGrid"/>
        <w:tblW w:w="9214" w:type="dxa"/>
        <w:tblInd w:w="-459" w:type="dxa"/>
        <w:tblLook w:val="04A0" w:firstRow="1" w:lastRow="0" w:firstColumn="1" w:lastColumn="0" w:noHBand="0" w:noVBand="1"/>
      </w:tblPr>
      <w:tblGrid>
        <w:gridCol w:w="567"/>
        <w:gridCol w:w="8647"/>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153"/>
        </w:trPr>
        <w:tc>
          <w:tcPr>
            <w:tcW w:w="9214" w:type="dxa"/>
            <w:gridSpan w:val="2"/>
            <w:shd w:val="clear" w:color="auto" w:fill="F2F2F2" w:themeFill="background1" w:themeFillShade="F2"/>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545554" w:rsidRPr="00280717" w:rsidTr="00545554">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(a)</w:t>
            </w:r>
          </w:p>
        </w:tc>
        <w:tc>
          <w:tcPr>
            <w:tcW w:w="8647" w:type="dxa"/>
          </w:tcPr>
          <w:p w:rsidR="00545554" w:rsidRPr="00A539ED" w:rsidRDefault="00545554" w:rsidP="00545554">
            <w:pPr>
              <w:pStyle w:val="TableText"/>
              <w:keepNext/>
              <w:jc w:val="both"/>
              <w:rPr>
                <w:szCs w:val="17"/>
              </w:rPr>
            </w:pPr>
            <w:r>
              <w:rPr>
                <w:szCs w:val="17"/>
              </w:rPr>
              <w:t>All amounts should be reported in Hong Kong dollars unless the AI uses another currency consistently for disclosure purposes.</w:t>
            </w:r>
          </w:p>
        </w:tc>
      </w:tr>
      <w:tr w:rsidR="00545554" w:rsidRPr="00280717" w:rsidTr="00545554">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280717">
              <w:rPr>
                <w:rFonts w:cs="Segoe UI"/>
                <w:sz w:val="17"/>
                <w:szCs w:val="17"/>
                <w:lang w:eastAsia="en-GB"/>
              </w:rPr>
              <w:t>(b)</w:t>
            </w:r>
          </w:p>
        </w:tc>
        <w:tc>
          <w:tcPr>
            <w:tcW w:w="8647" w:type="dxa"/>
          </w:tcPr>
          <w:p w:rsidR="00545554" w:rsidRPr="00A539ED" w:rsidRDefault="00545554" w:rsidP="00545554">
            <w:pPr>
              <w:pStyle w:val="TableText"/>
              <w:keepNext/>
              <w:jc w:val="both"/>
              <w:rPr>
                <w:szCs w:val="17"/>
              </w:rPr>
            </w:pPr>
            <w:r>
              <w:rPr>
                <w:szCs w:val="17"/>
              </w:rPr>
              <w:t>An AI</w:t>
            </w:r>
            <w:r w:rsidRPr="00CA1187">
              <w:rPr>
                <w:szCs w:val="17"/>
              </w:rPr>
              <w:t xml:space="preserve"> </w:t>
            </w:r>
            <w:r>
              <w:rPr>
                <w:szCs w:val="17"/>
              </w:rPr>
              <w:t>is</w:t>
            </w:r>
            <w:r w:rsidRPr="00CA1187">
              <w:rPr>
                <w:szCs w:val="17"/>
              </w:rPr>
              <w:t xml:space="preserve"> required to complete column (b) to show the source of every major input, which is to be cross-referenced to the corresponding rows in Template CC2. </w:t>
            </w:r>
            <w:r>
              <w:rPr>
                <w:szCs w:val="17"/>
              </w:rPr>
              <w:t xml:space="preserve"> </w:t>
            </w:r>
            <w:r w:rsidRPr="00CA1187">
              <w:rPr>
                <w:szCs w:val="17"/>
              </w:rPr>
              <w:t xml:space="preserve">This is Step 3 as required under the three-step approach to reconciliation as explained and illustrated </w:t>
            </w:r>
            <w:r w:rsidRPr="00C15A1D">
              <w:rPr>
                <w:szCs w:val="17"/>
              </w:rPr>
              <w:t xml:space="preserve">in paragraphs 23–6 and 44–5 (Annex 2) of BCBS’s document </w:t>
            </w:r>
            <w:r w:rsidRPr="00C15A1D">
              <w:rPr>
                <w:i/>
                <w:szCs w:val="17"/>
              </w:rPr>
              <w:t>Composition of capital disclosure requirements</w:t>
            </w:r>
            <w:r w:rsidRPr="00C15A1D">
              <w:rPr>
                <w:szCs w:val="17"/>
              </w:rPr>
              <w:t xml:space="preserve"> dated June 2012.</w:t>
            </w:r>
          </w:p>
        </w:tc>
      </w:tr>
      <w:tr w:rsidR="00545554" w:rsidRPr="00280717" w:rsidTr="00545554">
        <w:trPr>
          <w:trHeight w:val="373"/>
        </w:trPr>
        <w:tc>
          <w:tcPr>
            <w:tcW w:w="9214" w:type="dxa"/>
            <w:gridSpan w:val="2"/>
            <w:shd w:val="clear" w:color="auto" w:fill="F2F2F2" w:themeFill="background1" w:themeFillShade="F2"/>
          </w:tcPr>
          <w:p w:rsidR="00545554" w:rsidRPr="00A539ED" w:rsidRDefault="00545554" w:rsidP="003F5295">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647" w:type="dxa"/>
          </w:tcPr>
          <w:p w:rsidR="00545554" w:rsidRPr="00805D2E" w:rsidRDefault="00545554" w:rsidP="003F5295">
            <w:pPr>
              <w:pStyle w:val="TableNote"/>
              <w:spacing w:before="40" w:after="40"/>
              <w:rPr>
                <w:sz w:val="17"/>
                <w:szCs w:val="17"/>
              </w:rPr>
            </w:pPr>
            <w:r w:rsidRPr="00805D2E">
              <w:rPr>
                <w:sz w:val="17"/>
                <w:szCs w:val="17"/>
              </w:rPr>
              <w:t xml:space="preserve">Instruments that meet all the qualifying criteria for CET1 capital as set out in BCR Schedule 4A issued by an AI. </w:t>
            </w:r>
            <w:r>
              <w:rPr>
                <w:sz w:val="17"/>
                <w:szCs w:val="17"/>
              </w:rPr>
              <w:t xml:space="preserve"> </w:t>
            </w:r>
            <w:r w:rsidRPr="00805D2E">
              <w:rPr>
                <w:sz w:val="17"/>
                <w:szCs w:val="17"/>
              </w:rPr>
              <w:t xml:space="preserve">This should be equal to the sum of ordinary shares (and any related share premium) and other capital instruments (in the case of non-joint stock companies) which meet the qualifying criteria. </w:t>
            </w:r>
            <w:r>
              <w:rPr>
                <w:sz w:val="17"/>
                <w:szCs w:val="17"/>
              </w:rPr>
              <w:t xml:space="preserve"> </w:t>
            </w:r>
            <w:r w:rsidRPr="00805D2E">
              <w:rPr>
                <w:sz w:val="17"/>
                <w:szCs w:val="17"/>
              </w:rPr>
              <w:t xml:space="preserve">This item should be net of treasury stock and other investments in own shares to the extent that such investments are already derecognized on the balance sheet under the relevant accounting standards. </w:t>
            </w:r>
            <w:r>
              <w:rPr>
                <w:sz w:val="17"/>
                <w:szCs w:val="17"/>
              </w:rPr>
              <w:t xml:space="preserve"> </w:t>
            </w:r>
            <w:r w:rsidRPr="00805D2E">
              <w:rPr>
                <w:sz w:val="17"/>
                <w:szCs w:val="17"/>
              </w:rPr>
              <w:t xml:space="preserve">Other paid-in capital elements </w:t>
            </w:r>
            <w:r>
              <w:rPr>
                <w:sz w:val="17"/>
                <w:szCs w:val="17"/>
              </w:rPr>
              <w:t>should</w:t>
            </w:r>
            <w:r w:rsidRPr="00805D2E">
              <w:rPr>
                <w:sz w:val="17"/>
                <w:szCs w:val="17"/>
              </w:rPr>
              <w:t xml:space="preserve"> be excluded. </w:t>
            </w:r>
            <w:r>
              <w:rPr>
                <w:sz w:val="17"/>
                <w:szCs w:val="17"/>
              </w:rPr>
              <w:t xml:space="preserve"> </w:t>
            </w:r>
            <w:r w:rsidRPr="00805D2E">
              <w:rPr>
                <w:sz w:val="17"/>
                <w:szCs w:val="17"/>
              </w:rPr>
              <w:t xml:space="preserve">All minority interests </w:t>
            </w:r>
            <w:r>
              <w:rPr>
                <w:sz w:val="17"/>
                <w:szCs w:val="17"/>
              </w:rPr>
              <w:t>should</w:t>
            </w:r>
            <w:r w:rsidRPr="00805D2E">
              <w:rPr>
                <w:sz w:val="17"/>
                <w:szCs w:val="17"/>
              </w:rPr>
              <w:t xml:space="preserve"> be excluded.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647" w:type="dxa"/>
          </w:tcPr>
          <w:p w:rsidR="00545554" w:rsidRPr="00BE7677" w:rsidRDefault="00545554" w:rsidP="00545554">
            <w:pPr>
              <w:pStyle w:val="TableText"/>
              <w:keepNext/>
              <w:jc w:val="both"/>
              <w:rPr>
                <w:szCs w:val="17"/>
              </w:rPr>
            </w:pPr>
            <w:r w:rsidRPr="00FE05E5">
              <w:rPr>
                <w:szCs w:val="17"/>
              </w:rPr>
              <w:t>Retained earnings, prior to all regulatory deductions, in accordance with BCR</w:t>
            </w:r>
            <w:r>
              <w:rPr>
                <w:szCs w:val="17"/>
              </w:rPr>
              <w:t xml:space="preserve"> </w:t>
            </w:r>
            <w:r w:rsidRPr="00D03153">
              <w:rPr>
                <w:szCs w:val="17"/>
              </w:rPr>
              <w:t>§</w:t>
            </w:r>
            <w:r w:rsidRPr="00FE05E5">
              <w:rPr>
                <w:szCs w:val="17"/>
              </w:rPr>
              <w:t xml:space="preserve">38(1)(c). </w:t>
            </w:r>
            <w:r>
              <w:rPr>
                <w:szCs w:val="17"/>
              </w:rPr>
              <w:t xml:space="preserve"> For interim disclosure, t</w:t>
            </w:r>
            <w:r w:rsidRPr="00FE05E5">
              <w:rPr>
                <w:szCs w:val="17"/>
              </w:rPr>
              <w:t xml:space="preserve">his row should </w:t>
            </w:r>
            <w:r>
              <w:rPr>
                <w:szCs w:val="17"/>
              </w:rPr>
              <w:t>report</w:t>
            </w:r>
            <w:r w:rsidRPr="009D65A7">
              <w:rPr>
                <w:szCs w:val="17"/>
              </w:rPr>
              <w:t xml:space="preserve"> for </w:t>
            </w:r>
            <w:r>
              <w:rPr>
                <w:szCs w:val="17"/>
              </w:rPr>
              <w:t>the reporting period</w:t>
            </w:r>
            <w:r w:rsidRPr="00FE05E5">
              <w:rPr>
                <w:szCs w:val="17"/>
              </w:rPr>
              <w:t xml:space="preserve"> an A</w:t>
            </w:r>
            <w:r w:rsidRPr="009D65A7">
              <w:rPr>
                <w:szCs w:val="17"/>
              </w:rPr>
              <w:t xml:space="preserve">I’s profit or loss </w:t>
            </w:r>
            <w:r>
              <w:rPr>
                <w:szCs w:val="17"/>
              </w:rPr>
              <w:t>as published in</w:t>
            </w:r>
            <w:r w:rsidRPr="009D65A7">
              <w:rPr>
                <w:szCs w:val="17"/>
              </w:rPr>
              <w:t xml:space="preserve"> its interim financial statements</w:t>
            </w:r>
            <w:r>
              <w:rPr>
                <w:szCs w:val="17"/>
              </w:rPr>
              <w:t xml:space="preserve"> (and therefore subject to internal review);</w:t>
            </w:r>
            <w:r w:rsidRPr="009D65A7">
              <w:rPr>
                <w:szCs w:val="17"/>
              </w:rPr>
              <w:t xml:space="preserve"> and for annual disclosure, </w:t>
            </w:r>
            <w:r>
              <w:rPr>
                <w:szCs w:val="17"/>
              </w:rPr>
              <w:t xml:space="preserve">the </w:t>
            </w:r>
            <w:r w:rsidRPr="009D65A7">
              <w:rPr>
                <w:szCs w:val="17"/>
              </w:rPr>
              <w:t>audited profit or loss as</w:t>
            </w:r>
            <w:r>
              <w:rPr>
                <w:szCs w:val="17"/>
              </w:rPr>
              <w:t xml:space="preserve"> published in its annual financial statements</w:t>
            </w:r>
            <w:r w:rsidRPr="00FE05E5">
              <w:rPr>
                <w:szCs w:val="17"/>
              </w:rPr>
              <w:t xml:space="preserve">. </w:t>
            </w:r>
            <w:r>
              <w:rPr>
                <w:szCs w:val="17"/>
              </w:rPr>
              <w:t xml:space="preserve"> </w:t>
            </w:r>
            <w:r w:rsidRPr="00FE05E5">
              <w:rPr>
                <w:szCs w:val="17"/>
              </w:rPr>
              <w:t xml:space="preserve">Dividends </w:t>
            </w:r>
            <w:r>
              <w:rPr>
                <w:szCs w:val="17"/>
              </w:rPr>
              <w:t>should</w:t>
            </w:r>
            <w:r w:rsidRPr="00FE05E5">
              <w:rPr>
                <w:szCs w:val="17"/>
              </w:rPr>
              <w:t xml:space="preserve"> be removed in accordance with the applicable accounting standards, i.e. they should be </w:t>
            </w:r>
            <w:r>
              <w:rPr>
                <w:szCs w:val="17"/>
              </w:rPr>
              <w:t>exclude</w:t>
            </w:r>
            <w:r w:rsidRPr="00FE05E5">
              <w:rPr>
                <w:szCs w:val="17"/>
              </w:rPr>
              <w:t>d from this row when they are removed from the balance sheet of the AI.</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1926D2">
              <w:rPr>
                <w:sz w:val="17"/>
                <w:szCs w:val="17"/>
              </w:rPr>
              <w:t xml:space="preserve">Disclosed reserves (including accumulated other comprehensive income), prior to all regulatory </w:t>
            </w:r>
            <w:r>
              <w:rPr>
                <w:sz w:val="17"/>
                <w:szCs w:val="17"/>
              </w:rPr>
              <w:t>adjustment</w:t>
            </w:r>
            <w:r w:rsidRPr="001926D2">
              <w:rPr>
                <w:sz w:val="17"/>
                <w:szCs w:val="17"/>
              </w:rPr>
              <w:t>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647" w:type="dxa"/>
            <w:shd w:val="clear" w:color="auto" w:fill="FFFF00"/>
          </w:tcPr>
          <w:p w:rsidR="00545554" w:rsidRPr="00F56787" w:rsidRDefault="00545554" w:rsidP="00545554">
            <w:pPr>
              <w:keepLines/>
              <w:widowControl w:val="0"/>
              <w:tabs>
                <w:tab w:val="left" w:pos="150"/>
                <w:tab w:val="left" w:pos="397"/>
                <w:tab w:val="left" w:pos="794"/>
                <w:tab w:val="left" w:pos="1191"/>
              </w:tabs>
              <w:spacing w:before="40" w:after="40"/>
              <w:jc w:val="both"/>
              <w:rPr>
                <w:i/>
                <w:sz w:val="17"/>
                <w:szCs w:val="17"/>
              </w:rPr>
            </w:pPr>
            <w:r w:rsidRPr="00F56787">
              <w:rPr>
                <w:i/>
                <w:sz w:val="17"/>
                <w:szCs w:val="17"/>
              </w:rPr>
              <w:t xml:space="preserve">Directly issued capital instruments subject to phase-out </w:t>
            </w:r>
            <w:r>
              <w:rPr>
                <w:i/>
                <w:sz w:val="17"/>
                <w:szCs w:val="17"/>
              </w:rPr>
              <w:t xml:space="preserve">arrangements </w:t>
            </w:r>
            <w:r w:rsidRPr="00F56787">
              <w:rPr>
                <w:i/>
                <w:sz w:val="17"/>
                <w:szCs w:val="17"/>
              </w:rPr>
              <w:t>from CET1.  This row is only applicable to non-joint stock companies which are not relevant in the case of Hong Kong.</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A8109E">
              <w:rPr>
                <w:sz w:val="17"/>
                <w:szCs w:val="17"/>
              </w:rPr>
              <w:t xml:space="preserve">Minority interests arising from CET1 capital instruments issued by consolidated bank subsidiaries and held by third parties. </w:t>
            </w:r>
            <w:r>
              <w:rPr>
                <w:sz w:val="17"/>
                <w:szCs w:val="17"/>
              </w:rPr>
              <w:t xml:space="preserve"> </w:t>
            </w:r>
            <w:r w:rsidRPr="00A8109E">
              <w:rPr>
                <w:sz w:val="17"/>
                <w:szCs w:val="17"/>
              </w:rPr>
              <w:t>Only the amount that is eligible for inclusion in the CET1 capital of the consolidation group should be reported here, as determined by the application of BCR Schedule 4D.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647" w:type="dxa"/>
          </w:tcPr>
          <w:p w:rsidR="00545554" w:rsidRPr="001B4B35" w:rsidRDefault="00545554" w:rsidP="00545554">
            <w:pPr>
              <w:keepLines/>
              <w:widowControl w:val="0"/>
              <w:tabs>
                <w:tab w:val="left" w:pos="150"/>
                <w:tab w:val="left" w:pos="397"/>
                <w:tab w:val="left" w:pos="794"/>
                <w:tab w:val="left" w:pos="1191"/>
              </w:tabs>
              <w:spacing w:before="40" w:after="40"/>
              <w:jc w:val="both"/>
              <w:rPr>
                <w:sz w:val="17"/>
                <w:szCs w:val="17"/>
              </w:rPr>
            </w:pPr>
            <w:r w:rsidRPr="00A8109E">
              <w:rPr>
                <w:sz w:val="17"/>
                <w:szCs w:val="17"/>
              </w:rPr>
              <w:t xml:space="preserve">Sum of </w:t>
            </w:r>
            <w:r>
              <w:rPr>
                <w:sz w:val="17"/>
                <w:szCs w:val="17"/>
              </w:rPr>
              <w:t xml:space="preserve">values in </w:t>
            </w:r>
            <w:r w:rsidRPr="00A8109E">
              <w:rPr>
                <w:sz w:val="17"/>
                <w:szCs w:val="17"/>
              </w:rPr>
              <w:t>rows 1 to 5.</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A8109E">
              <w:rPr>
                <w:sz w:val="17"/>
                <w:szCs w:val="17"/>
              </w:rPr>
              <w:t>Prudential valuation adjustments according to the requirements of BCR §43(1)(g)</w:t>
            </w:r>
            <w:r>
              <w:rPr>
                <w:sz w:val="17"/>
                <w:szCs w:val="17"/>
              </w:rPr>
              <w:t xml:space="preserve"> </w:t>
            </w:r>
            <w:r w:rsidRPr="00A8109E">
              <w:rPr>
                <w:sz w:val="17"/>
                <w:szCs w:val="17"/>
              </w:rPr>
              <w:t>and paragraph 4.5 of the Supervisory Policy Manual module CA-S-10</w:t>
            </w:r>
            <w:r>
              <w:rPr>
                <w:sz w:val="17"/>
                <w:szCs w:val="17"/>
              </w:rPr>
              <w:t xml:space="preserve"> </w:t>
            </w:r>
            <w:r w:rsidRPr="00A8109E">
              <w:rPr>
                <w:sz w:val="17"/>
                <w:szCs w:val="17"/>
              </w:rPr>
              <w:t>“Financial Instrument Fair Value Practices”.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3E31E0">
              <w:rPr>
                <w:sz w:val="17"/>
                <w:szCs w:val="17"/>
              </w:rPr>
              <w:t xml:space="preserve">Goodwill net of </w:t>
            </w:r>
            <w:r>
              <w:rPr>
                <w:sz w:val="17"/>
                <w:szCs w:val="17"/>
              </w:rPr>
              <w:t xml:space="preserve">associated </w:t>
            </w:r>
            <w:r w:rsidRPr="003E31E0">
              <w:rPr>
                <w:sz w:val="17"/>
                <w:szCs w:val="17"/>
              </w:rPr>
              <w:t xml:space="preserve">deferred tax liabilities, as referred to in </w:t>
            </w:r>
            <w:r w:rsidRPr="00A8109E">
              <w:rPr>
                <w:sz w:val="17"/>
                <w:szCs w:val="17"/>
              </w:rPr>
              <w:t>BCR §</w:t>
            </w:r>
            <w:r w:rsidRPr="003E31E0">
              <w:rPr>
                <w:sz w:val="17"/>
                <w:szCs w:val="17"/>
              </w:rPr>
              <w:t>43(1)(a).</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704BF9">
              <w:rPr>
                <w:rFonts w:cs="Segoe UI"/>
                <w:sz w:val="17"/>
                <w:szCs w:val="17"/>
                <w:lang w:eastAsia="en-GB"/>
              </w:rPr>
              <w:t>9</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703BC0">
              <w:rPr>
                <w:sz w:val="17"/>
                <w:szCs w:val="17"/>
              </w:rPr>
              <w:t>Other intangible assets</w:t>
            </w:r>
            <w:r>
              <w:rPr>
                <w:sz w:val="17"/>
                <w:szCs w:val="17"/>
              </w:rPr>
              <w:t xml:space="preserve"> (</w:t>
            </w:r>
            <w:r w:rsidRPr="00703BC0">
              <w:rPr>
                <w:sz w:val="17"/>
                <w:szCs w:val="17"/>
              </w:rPr>
              <w:t>referred to in B</w:t>
            </w:r>
            <w:r w:rsidRPr="00917A47">
              <w:rPr>
                <w:sz w:val="17"/>
                <w:szCs w:val="17"/>
              </w:rPr>
              <w:t>CR §43(1)(b)) including mortgage servicing rights (“MSRs”), n</w:t>
            </w:r>
            <w:r w:rsidRPr="00703BC0">
              <w:rPr>
                <w:sz w:val="17"/>
                <w:szCs w:val="17"/>
              </w:rPr>
              <w:t xml:space="preserve">et of </w:t>
            </w:r>
            <w:r>
              <w:rPr>
                <w:sz w:val="17"/>
                <w:szCs w:val="17"/>
              </w:rPr>
              <w:t>associated deferred tax liabilities</w:t>
            </w:r>
            <w:r w:rsidRPr="00703BC0">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647" w:type="dxa"/>
          </w:tcPr>
          <w:p w:rsidR="00545554" w:rsidRPr="00BE7677" w:rsidRDefault="00545554">
            <w:pPr>
              <w:keepLines/>
              <w:widowControl w:val="0"/>
              <w:tabs>
                <w:tab w:val="left" w:pos="150"/>
                <w:tab w:val="left" w:pos="397"/>
                <w:tab w:val="left" w:pos="794"/>
                <w:tab w:val="left" w:pos="1191"/>
              </w:tabs>
              <w:spacing w:before="40" w:after="40"/>
              <w:jc w:val="both"/>
              <w:rPr>
                <w:sz w:val="17"/>
                <w:szCs w:val="17"/>
              </w:rPr>
            </w:pPr>
            <w:r w:rsidRPr="004738F7">
              <w:rPr>
                <w:sz w:val="17"/>
                <w:szCs w:val="17"/>
              </w:rPr>
              <w:t xml:space="preserve">Deferred tax assets (“DTAs”) </w:t>
            </w:r>
            <w:r>
              <w:rPr>
                <w:sz w:val="17"/>
                <w:szCs w:val="17"/>
              </w:rPr>
              <w:t>(referred to</w:t>
            </w:r>
            <w:r w:rsidRPr="004738F7">
              <w:rPr>
                <w:sz w:val="17"/>
                <w:szCs w:val="17"/>
              </w:rPr>
              <w:t xml:space="preserve"> in </w:t>
            </w:r>
            <w:r w:rsidRPr="00703BC0">
              <w:rPr>
                <w:sz w:val="17"/>
                <w:szCs w:val="17"/>
              </w:rPr>
              <w:t xml:space="preserve">BCR </w:t>
            </w:r>
            <w:r w:rsidRPr="00A8109E">
              <w:rPr>
                <w:sz w:val="17"/>
                <w:szCs w:val="17"/>
              </w:rPr>
              <w:t>§</w:t>
            </w:r>
            <w:r w:rsidRPr="004738F7">
              <w:rPr>
                <w:sz w:val="17"/>
                <w:szCs w:val="17"/>
              </w:rPr>
              <w:t>43(1)(d)</w:t>
            </w:r>
            <w:r>
              <w:rPr>
                <w:sz w:val="17"/>
                <w:szCs w:val="17"/>
              </w:rPr>
              <w:t>) including those arising from temporary differences, net of associated</w:t>
            </w:r>
            <w:r w:rsidRPr="004738F7">
              <w:rPr>
                <w:sz w:val="17"/>
                <w:szCs w:val="17"/>
              </w:rPr>
              <w:t xml:space="preserve"> deferred tax liabilities.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11</w:t>
            </w:r>
          </w:p>
        </w:tc>
        <w:tc>
          <w:tcPr>
            <w:tcW w:w="8647" w:type="dxa"/>
          </w:tcPr>
          <w:p w:rsidR="00545554" w:rsidRPr="00E876D8"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Cumulative cash flow hedge reserve</w:t>
            </w:r>
            <w:r w:rsidRPr="00FF413A">
              <w:rPr>
                <w:sz w:val="17"/>
                <w:szCs w:val="17"/>
              </w:rPr>
              <w:t xml:space="preserve"> that relate to the hedging of financial instruments that are not fair valued on the balance sheet (including projected cash flows) described in </w:t>
            </w:r>
            <w:r w:rsidRPr="00703BC0">
              <w:rPr>
                <w:sz w:val="17"/>
                <w:szCs w:val="17"/>
              </w:rPr>
              <w:t xml:space="preserve">BCR </w:t>
            </w:r>
            <w:r w:rsidRPr="00A8109E">
              <w:rPr>
                <w:sz w:val="17"/>
                <w:szCs w:val="17"/>
              </w:rPr>
              <w:t>§</w:t>
            </w:r>
            <w:r w:rsidRPr="00FF413A">
              <w:rPr>
                <w:sz w:val="17"/>
                <w:szCs w:val="17"/>
              </w:rPr>
              <w:t>38(2)(a).</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12</w:t>
            </w:r>
          </w:p>
        </w:tc>
        <w:tc>
          <w:tcPr>
            <w:tcW w:w="8647" w:type="dxa"/>
          </w:tcPr>
          <w:p w:rsidR="00545554" w:rsidRPr="004367D8" w:rsidRDefault="00545554" w:rsidP="00545554">
            <w:pPr>
              <w:keepLines/>
              <w:widowControl w:val="0"/>
              <w:spacing w:before="40" w:after="40"/>
              <w:jc w:val="both"/>
              <w:rPr>
                <w:sz w:val="17"/>
                <w:szCs w:val="17"/>
              </w:rPr>
            </w:pPr>
            <w:r w:rsidRPr="007C314E">
              <w:rPr>
                <w:sz w:val="17"/>
                <w:szCs w:val="17"/>
              </w:rPr>
              <w:t xml:space="preserve">Excess of total EL amount over total eligible provisions under the IRB approach as described in </w:t>
            </w:r>
            <w:r w:rsidRPr="00703BC0">
              <w:rPr>
                <w:sz w:val="17"/>
                <w:szCs w:val="17"/>
              </w:rPr>
              <w:t xml:space="preserve">BCR </w:t>
            </w:r>
            <w:r w:rsidRPr="00A8109E">
              <w:rPr>
                <w:sz w:val="17"/>
                <w:szCs w:val="17"/>
              </w:rPr>
              <w:t>§</w:t>
            </w:r>
            <w:r w:rsidRPr="007C314E">
              <w:rPr>
                <w:sz w:val="17"/>
                <w:szCs w:val="17"/>
              </w:rPr>
              <w:t>43(1)(i).</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13</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Credit-enhancing interest-only strip, and any g</w:t>
            </w:r>
            <w:r w:rsidRPr="007C314E">
              <w:rPr>
                <w:sz w:val="17"/>
                <w:szCs w:val="17"/>
              </w:rPr>
              <w:t>ain-on-sale</w:t>
            </w:r>
            <w:r>
              <w:rPr>
                <w:sz w:val="17"/>
                <w:szCs w:val="17"/>
              </w:rPr>
              <w:t xml:space="preserve"> and other increase in the CET1 capital</w:t>
            </w:r>
            <w:r w:rsidRPr="007C314E">
              <w:rPr>
                <w:sz w:val="17"/>
                <w:szCs w:val="17"/>
              </w:rPr>
              <w:t xml:space="preserve"> arising from securitization transactions in which the AI is the originating institution as referred to in </w:t>
            </w:r>
            <w:r w:rsidRPr="00703BC0">
              <w:rPr>
                <w:sz w:val="17"/>
                <w:szCs w:val="17"/>
              </w:rPr>
              <w:t xml:space="preserve">BCR </w:t>
            </w:r>
            <w:r w:rsidRPr="00A8109E">
              <w:rPr>
                <w:sz w:val="17"/>
                <w:szCs w:val="17"/>
              </w:rPr>
              <w:t>§</w:t>
            </w:r>
            <w:r w:rsidRPr="007C314E">
              <w:rPr>
                <w:sz w:val="17"/>
                <w:szCs w:val="17"/>
              </w:rPr>
              <w:t>43(1)(e).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14</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38434E">
              <w:rPr>
                <w:sz w:val="17"/>
                <w:szCs w:val="17"/>
              </w:rPr>
              <w:t xml:space="preserve">Gains and losses due to changes in own credit risk on fair valued liabilities, as described in </w:t>
            </w:r>
            <w:r w:rsidRPr="00703BC0">
              <w:rPr>
                <w:sz w:val="17"/>
                <w:szCs w:val="17"/>
              </w:rPr>
              <w:t xml:space="preserve">BCR </w:t>
            </w:r>
            <w:r w:rsidRPr="00A8109E">
              <w:rPr>
                <w:sz w:val="17"/>
                <w:szCs w:val="17"/>
              </w:rPr>
              <w:t>§</w:t>
            </w:r>
            <w:r w:rsidRPr="0038434E">
              <w:rPr>
                <w:sz w:val="17"/>
                <w:szCs w:val="17"/>
              </w:rPr>
              <w:t xml:space="preserve">38(2)(b), and debit valuation adjustments in respect of derivative contracts as referred to in </w:t>
            </w:r>
            <w:r w:rsidRPr="00703BC0">
              <w:rPr>
                <w:sz w:val="17"/>
                <w:szCs w:val="17"/>
              </w:rPr>
              <w:t xml:space="preserve">BCR </w:t>
            </w:r>
            <w:r w:rsidRPr="00A8109E">
              <w:rPr>
                <w:sz w:val="17"/>
                <w:szCs w:val="17"/>
              </w:rPr>
              <w:t>§</w:t>
            </w:r>
            <w:r w:rsidRPr="0038434E">
              <w:rPr>
                <w:sz w:val="17"/>
                <w:szCs w:val="17"/>
              </w:rPr>
              <w:t>43(1)(h).</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N</w:t>
            </w:r>
            <w:r w:rsidRPr="0038434E">
              <w:rPr>
                <w:sz w:val="17"/>
                <w:szCs w:val="17"/>
              </w:rPr>
              <w:t xml:space="preserve">et assets </w:t>
            </w:r>
            <w:r>
              <w:rPr>
                <w:sz w:val="17"/>
                <w:szCs w:val="17"/>
              </w:rPr>
              <w:t xml:space="preserve">of defined </w:t>
            </w:r>
            <w:r w:rsidRPr="0038434E">
              <w:rPr>
                <w:sz w:val="17"/>
                <w:szCs w:val="17"/>
              </w:rPr>
              <w:t xml:space="preserve">benefit pension fund </w:t>
            </w:r>
            <w:r>
              <w:rPr>
                <w:sz w:val="17"/>
                <w:szCs w:val="17"/>
              </w:rPr>
              <w:t xml:space="preserve">or plan, </w:t>
            </w:r>
            <w:r w:rsidRPr="0038434E">
              <w:rPr>
                <w:sz w:val="17"/>
                <w:szCs w:val="17"/>
              </w:rPr>
              <w:t xml:space="preserve">net of </w:t>
            </w:r>
            <w:r>
              <w:rPr>
                <w:sz w:val="17"/>
                <w:szCs w:val="17"/>
              </w:rPr>
              <w:t xml:space="preserve">associated </w:t>
            </w:r>
            <w:r w:rsidRPr="0038434E">
              <w:rPr>
                <w:sz w:val="17"/>
                <w:szCs w:val="17"/>
              </w:rPr>
              <w:t>deferred tax liabilities</w:t>
            </w:r>
            <w:r>
              <w:rPr>
                <w:sz w:val="17"/>
                <w:szCs w:val="17"/>
              </w:rPr>
              <w:t>,</w:t>
            </w:r>
            <w:r w:rsidRPr="0038434E">
              <w:rPr>
                <w:sz w:val="17"/>
                <w:szCs w:val="17"/>
              </w:rPr>
              <w:t xml:space="preserve"> as referred to in </w:t>
            </w:r>
            <w:r w:rsidRPr="00703BC0">
              <w:rPr>
                <w:sz w:val="17"/>
                <w:szCs w:val="17"/>
              </w:rPr>
              <w:t xml:space="preserve">BCR </w:t>
            </w:r>
            <w:r w:rsidRPr="00A8109E">
              <w:rPr>
                <w:sz w:val="17"/>
                <w:szCs w:val="17"/>
              </w:rPr>
              <w:t>§</w:t>
            </w:r>
            <w:r w:rsidRPr="0038434E">
              <w:rPr>
                <w:sz w:val="17"/>
                <w:szCs w:val="17"/>
              </w:rPr>
              <w:t>43(1)(c).</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16</w:t>
            </w:r>
          </w:p>
        </w:tc>
        <w:tc>
          <w:tcPr>
            <w:tcW w:w="8647" w:type="dxa"/>
          </w:tcPr>
          <w:p w:rsidR="00545554" w:rsidRPr="003E0ED7" w:rsidRDefault="00545554" w:rsidP="00545554">
            <w:pPr>
              <w:keepLines/>
              <w:widowControl w:val="0"/>
              <w:tabs>
                <w:tab w:val="left" w:pos="150"/>
                <w:tab w:val="left" w:pos="397"/>
                <w:tab w:val="left" w:pos="794"/>
                <w:tab w:val="left" w:pos="1191"/>
              </w:tabs>
              <w:spacing w:before="40" w:after="40"/>
              <w:jc w:val="both"/>
              <w:rPr>
                <w:sz w:val="17"/>
                <w:szCs w:val="17"/>
              </w:rPr>
            </w:pPr>
            <w:r w:rsidRPr="0038434E">
              <w:rPr>
                <w:sz w:val="17"/>
                <w:szCs w:val="17"/>
              </w:rPr>
              <w:t xml:space="preserve">Investments in own CET1 capital instruments, as referred to in </w:t>
            </w:r>
            <w:r w:rsidRPr="00703BC0">
              <w:rPr>
                <w:sz w:val="17"/>
                <w:szCs w:val="17"/>
              </w:rPr>
              <w:t xml:space="preserve">BCR </w:t>
            </w:r>
            <w:r w:rsidRPr="00A8109E">
              <w:rPr>
                <w:sz w:val="17"/>
                <w:szCs w:val="17"/>
              </w:rPr>
              <w:t>§</w:t>
            </w:r>
            <w:r w:rsidRPr="0038434E">
              <w:rPr>
                <w:sz w:val="17"/>
                <w:szCs w:val="17"/>
              </w:rPr>
              <w:t>43(1)(l).</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647"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6B5FAD">
              <w:rPr>
                <w:sz w:val="17"/>
                <w:szCs w:val="17"/>
              </w:rPr>
              <w:t xml:space="preserve">Reciprocal cross-holdings in CET1 capital instruments, as referred to in </w:t>
            </w:r>
            <w:r w:rsidRPr="00703BC0">
              <w:rPr>
                <w:sz w:val="17"/>
                <w:szCs w:val="17"/>
              </w:rPr>
              <w:t xml:space="preserve">BCR </w:t>
            </w:r>
            <w:r w:rsidRPr="00A8109E">
              <w:rPr>
                <w:sz w:val="17"/>
                <w:szCs w:val="17"/>
              </w:rPr>
              <w:t>§</w:t>
            </w:r>
            <w:r w:rsidRPr="006B5FAD">
              <w:rPr>
                <w:sz w:val="17"/>
                <w:szCs w:val="17"/>
              </w:rPr>
              <w:t>43(1)(m).</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18</w:t>
            </w:r>
          </w:p>
        </w:tc>
        <w:tc>
          <w:tcPr>
            <w:tcW w:w="8647" w:type="dxa"/>
          </w:tcPr>
          <w:p w:rsidR="00545554" w:rsidRPr="00A66751" w:rsidRDefault="00545554" w:rsidP="00EC2911">
            <w:pPr>
              <w:keepLines/>
              <w:widowControl w:val="0"/>
              <w:tabs>
                <w:tab w:val="left" w:pos="150"/>
                <w:tab w:val="left" w:pos="397"/>
                <w:tab w:val="left" w:pos="794"/>
                <w:tab w:val="left" w:pos="1191"/>
              </w:tabs>
              <w:spacing w:before="40" w:after="40"/>
              <w:jc w:val="both"/>
              <w:rPr>
                <w:sz w:val="17"/>
                <w:szCs w:val="17"/>
              </w:rPr>
            </w:pPr>
            <w:r w:rsidRPr="00D81F1B">
              <w:rPr>
                <w:sz w:val="17"/>
                <w:szCs w:val="17"/>
              </w:rPr>
              <w:t xml:space="preserve">Amount of insignificant </w:t>
            </w:r>
            <w:r w:rsidR="00EC2911">
              <w:rPr>
                <w:sz w:val="17"/>
                <w:szCs w:val="17"/>
              </w:rPr>
              <w:t xml:space="preserve">LAC </w:t>
            </w:r>
            <w:r w:rsidRPr="00D81F1B">
              <w:rPr>
                <w:sz w:val="17"/>
                <w:szCs w:val="17"/>
              </w:rPr>
              <w:t xml:space="preserve">investments in CET1 capital instruments issued by financial sector entities outside the scope of regulatory consolidation that is in excess of the 10% threshold according to BCR Schedule 4F after taking into account any amount of loans, facilities or other credit exposures that is required (i) by </w:t>
            </w:r>
            <w:r w:rsidRPr="00703BC0">
              <w:rPr>
                <w:sz w:val="17"/>
                <w:szCs w:val="17"/>
              </w:rPr>
              <w:t xml:space="preserve">BCR </w:t>
            </w:r>
            <w:r w:rsidRPr="00A8109E">
              <w:rPr>
                <w:sz w:val="17"/>
                <w:szCs w:val="17"/>
              </w:rPr>
              <w:t>§</w:t>
            </w:r>
            <w:r w:rsidRPr="00D81F1B">
              <w:rPr>
                <w:sz w:val="17"/>
                <w:szCs w:val="17"/>
              </w:rPr>
              <w:t xml:space="preserve">46(2) to be aggregated with this item for the purpose of determining the excess amount, and (ii) by </w:t>
            </w:r>
            <w:r w:rsidRPr="00703BC0">
              <w:rPr>
                <w:sz w:val="17"/>
                <w:szCs w:val="17"/>
              </w:rPr>
              <w:t xml:space="preserve">BCR </w:t>
            </w:r>
            <w:r w:rsidRPr="00A8109E">
              <w:rPr>
                <w:sz w:val="17"/>
                <w:szCs w:val="17"/>
              </w:rPr>
              <w:t>§</w:t>
            </w:r>
            <w:r w:rsidRPr="00D81F1B">
              <w:rPr>
                <w:sz w:val="17"/>
                <w:szCs w:val="17"/>
              </w:rPr>
              <w:t>43(1)(o) to be deducted from CET1 capital.</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19</w:t>
            </w:r>
          </w:p>
        </w:tc>
        <w:tc>
          <w:tcPr>
            <w:tcW w:w="8647" w:type="dxa"/>
          </w:tcPr>
          <w:p w:rsidR="00545554" w:rsidRPr="004367D8" w:rsidRDefault="00545554" w:rsidP="00EC2911">
            <w:pPr>
              <w:keepLines/>
              <w:widowControl w:val="0"/>
              <w:spacing w:before="40" w:after="40"/>
              <w:jc w:val="both"/>
              <w:rPr>
                <w:sz w:val="17"/>
                <w:szCs w:val="17"/>
              </w:rPr>
            </w:pPr>
            <w:r w:rsidRPr="00AF53FD">
              <w:rPr>
                <w:sz w:val="17"/>
                <w:szCs w:val="17"/>
              </w:rPr>
              <w:t xml:space="preserve">Amount of significant </w:t>
            </w:r>
            <w:r w:rsidR="00EC2911">
              <w:rPr>
                <w:sz w:val="17"/>
                <w:szCs w:val="17"/>
              </w:rPr>
              <w:t xml:space="preserve">LAC </w:t>
            </w:r>
            <w:r w:rsidRPr="00AF53FD">
              <w:rPr>
                <w:sz w:val="17"/>
                <w:szCs w:val="17"/>
              </w:rPr>
              <w:t xml:space="preserve">investments in CET1 capital instruments issued by financial sector entities outside the scope of regulatory consolidation that is in excess of the 10% threshold according to BCR Schedule 4G, after taking into account any amount of loans, facilities or other credit exposures that is required (i) by </w:t>
            </w:r>
            <w:r w:rsidRPr="00703BC0">
              <w:rPr>
                <w:sz w:val="17"/>
                <w:szCs w:val="17"/>
              </w:rPr>
              <w:t xml:space="preserve">BCR </w:t>
            </w:r>
            <w:r w:rsidRPr="00A8109E">
              <w:rPr>
                <w:sz w:val="17"/>
                <w:szCs w:val="17"/>
              </w:rPr>
              <w:t>§</w:t>
            </w:r>
            <w:r w:rsidRPr="00AF53FD">
              <w:rPr>
                <w:sz w:val="17"/>
                <w:szCs w:val="17"/>
              </w:rPr>
              <w:t xml:space="preserve">46(2) to be aggregated with this item for the purpose of determining the excess amount, and (ii) by </w:t>
            </w:r>
            <w:r w:rsidRPr="00703BC0">
              <w:rPr>
                <w:sz w:val="17"/>
                <w:szCs w:val="17"/>
              </w:rPr>
              <w:t xml:space="preserve">BCR </w:t>
            </w:r>
            <w:r w:rsidRPr="00A8109E">
              <w:rPr>
                <w:sz w:val="17"/>
                <w:szCs w:val="17"/>
              </w:rPr>
              <w:t>§</w:t>
            </w:r>
            <w:r w:rsidRPr="00AF53FD">
              <w:rPr>
                <w:sz w:val="17"/>
                <w:szCs w:val="17"/>
              </w:rPr>
              <w:t>43(1)(p) to be deducted from CET1 capital.</w:t>
            </w:r>
          </w:p>
        </w:tc>
      </w:tr>
      <w:tr w:rsidR="00545554" w:rsidRPr="00A90287" w:rsidTr="00545554">
        <w:trPr>
          <w:trHeight w:val="373"/>
        </w:trPr>
        <w:tc>
          <w:tcPr>
            <w:tcW w:w="567" w:type="dxa"/>
          </w:tcPr>
          <w:p w:rsidR="00545554" w:rsidRPr="00704BF9"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704BF9">
              <w:rPr>
                <w:rFonts w:cs="Segoe UI"/>
                <w:sz w:val="17"/>
                <w:szCs w:val="17"/>
                <w:lang w:eastAsia="en-GB"/>
              </w:rPr>
              <w:t>20</w:t>
            </w:r>
          </w:p>
        </w:tc>
        <w:tc>
          <w:tcPr>
            <w:tcW w:w="8647" w:type="dxa"/>
            <w:shd w:val="clear" w:color="auto" w:fill="FFFF00"/>
          </w:tcPr>
          <w:p w:rsidR="00545554" w:rsidRPr="00A9028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This row is not applicable in the case of Hong Kong given that any amount of MSRs on an AI’s balance sheet will be included in row 9 (other intangible assets) and fully deducted in accordance with</w:t>
            </w:r>
            <w:r w:rsidRPr="00A90287">
              <w:rPr>
                <w:sz w:val="17"/>
                <w:szCs w:val="17"/>
              </w:rPr>
              <w:t xml:space="preserve"> BCR §43(1)(b).</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21</w:t>
            </w:r>
          </w:p>
        </w:tc>
        <w:tc>
          <w:tcPr>
            <w:tcW w:w="8647" w:type="dxa"/>
            <w:shd w:val="clear" w:color="auto" w:fill="FFFF00"/>
          </w:tcPr>
          <w:p w:rsidR="00545554" w:rsidRPr="00A90287" w:rsidRDefault="00545554">
            <w:pPr>
              <w:pStyle w:val="TableNote"/>
              <w:spacing w:before="40" w:after="40"/>
              <w:rPr>
                <w:sz w:val="17"/>
                <w:szCs w:val="17"/>
              </w:rPr>
            </w:pPr>
            <w:r>
              <w:rPr>
                <w:sz w:val="17"/>
                <w:szCs w:val="17"/>
              </w:rPr>
              <w:t>This row is not applicable in the case of Hong Kong given that any amount of DTA arising from temporary difference on an AI’s balance sheet will be included in row 10 (</w:t>
            </w:r>
            <w:r w:rsidRPr="00917A47">
              <w:rPr>
                <w:sz w:val="17"/>
                <w:szCs w:val="17"/>
              </w:rPr>
              <w:t>deferred tax assets</w:t>
            </w:r>
            <w:r>
              <w:rPr>
                <w:sz w:val="17"/>
                <w:szCs w:val="17"/>
              </w:rPr>
              <w:t>) and fully deducted in accordance with</w:t>
            </w:r>
            <w:r w:rsidRPr="00A90287">
              <w:rPr>
                <w:sz w:val="17"/>
                <w:szCs w:val="17"/>
              </w:rPr>
              <w:t xml:space="preserve"> BCR §43(1)(</w:t>
            </w:r>
            <w:r>
              <w:rPr>
                <w:sz w:val="17"/>
                <w:szCs w:val="17"/>
              </w:rPr>
              <w:t>d</w:t>
            </w:r>
            <w:r w:rsidRPr="00A90287">
              <w:rPr>
                <w:sz w:val="17"/>
                <w:szCs w:val="17"/>
              </w:rPr>
              <w:t>).</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22</w:t>
            </w:r>
          </w:p>
        </w:tc>
        <w:tc>
          <w:tcPr>
            <w:tcW w:w="8647" w:type="dxa"/>
            <w:shd w:val="clear" w:color="auto" w:fill="FFFF00"/>
          </w:tcPr>
          <w:p w:rsidR="00545554" w:rsidRPr="007638B7" w:rsidRDefault="00545554" w:rsidP="003F5295">
            <w:pPr>
              <w:pStyle w:val="TableNote"/>
              <w:spacing w:before="40" w:after="40"/>
              <w:rPr>
                <w:sz w:val="17"/>
                <w:szCs w:val="17"/>
              </w:rPr>
            </w:pPr>
            <w:r w:rsidRPr="007638B7">
              <w:rPr>
                <w:sz w:val="17"/>
                <w:szCs w:val="17"/>
              </w:rPr>
              <w:t>This row is irrelevant as the “15% threshold” is not applicable to Hong Kong since MSRs and DTAs are required to be fully deducted under the BCR.</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23</w:t>
            </w:r>
          </w:p>
        </w:tc>
        <w:tc>
          <w:tcPr>
            <w:tcW w:w="8647" w:type="dxa"/>
            <w:shd w:val="clear" w:color="auto" w:fill="FFFF00"/>
          </w:tcPr>
          <w:p w:rsidR="00545554" w:rsidRPr="007638B7" w:rsidRDefault="00545554" w:rsidP="003F5295">
            <w:pPr>
              <w:pStyle w:val="TableNote"/>
              <w:spacing w:before="40" w:after="40"/>
              <w:rPr>
                <w:sz w:val="17"/>
                <w:szCs w:val="17"/>
              </w:rPr>
            </w:pPr>
            <w:r w:rsidRPr="007638B7">
              <w:rPr>
                <w:sz w:val="17"/>
                <w:szCs w:val="17"/>
              </w:rPr>
              <w:t>This row is irrelevant as the “15% threshold” is not applicable to Hong Kong since MSRs and DTAs are required to be fully deducted under the BCR.</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24</w:t>
            </w:r>
          </w:p>
        </w:tc>
        <w:tc>
          <w:tcPr>
            <w:tcW w:w="8647" w:type="dxa"/>
            <w:shd w:val="clear" w:color="auto" w:fill="FFFF00"/>
          </w:tcPr>
          <w:p w:rsidR="00545554" w:rsidRPr="007638B7" w:rsidRDefault="00545554" w:rsidP="003F5295">
            <w:pPr>
              <w:pStyle w:val="TableNote"/>
              <w:spacing w:before="40" w:after="40"/>
              <w:rPr>
                <w:sz w:val="17"/>
                <w:szCs w:val="17"/>
              </w:rPr>
            </w:pPr>
            <w:r w:rsidRPr="007638B7">
              <w:rPr>
                <w:sz w:val="17"/>
                <w:szCs w:val="17"/>
              </w:rPr>
              <w:t>This row is irrelevant as the “15% threshold” is not applicable to Hong Kong since MSRs and DTAs are required to be fully deducted under the BCR.</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25</w:t>
            </w:r>
          </w:p>
        </w:tc>
        <w:tc>
          <w:tcPr>
            <w:tcW w:w="8647" w:type="dxa"/>
            <w:shd w:val="clear" w:color="auto" w:fill="FFFF00"/>
          </w:tcPr>
          <w:p w:rsidR="00545554" w:rsidRPr="007638B7" w:rsidRDefault="00545554" w:rsidP="003F5295">
            <w:pPr>
              <w:pStyle w:val="TableNote"/>
              <w:spacing w:before="40" w:after="40"/>
              <w:rPr>
                <w:sz w:val="17"/>
                <w:szCs w:val="17"/>
              </w:rPr>
            </w:pPr>
            <w:r w:rsidRPr="007638B7">
              <w:rPr>
                <w:sz w:val="17"/>
                <w:szCs w:val="17"/>
              </w:rPr>
              <w:t xml:space="preserve">This row is irrelevant as the “15% threshold” is not applicable to Hong Kong since MSRs and DTAs are required </w:t>
            </w:r>
            <w:r w:rsidRPr="007638B7">
              <w:rPr>
                <w:sz w:val="17"/>
                <w:szCs w:val="17"/>
              </w:rPr>
              <w:lastRenderedPageBreak/>
              <w:t>to be fully deducted under the BCR.</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26</w:t>
            </w:r>
          </w:p>
        </w:tc>
        <w:tc>
          <w:tcPr>
            <w:tcW w:w="8647" w:type="dxa"/>
          </w:tcPr>
          <w:p w:rsidR="00545554" w:rsidRPr="00A53B22" w:rsidRDefault="00545554" w:rsidP="003F5295">
            <w:pPr>
              <w:pStyle w:val="TableNote"/>
              <w:spacing w:before="40" w:after="40"/>
              <w:rPr>
                <w:sz w:val="17"/>
                <w:szCs w:val="17"/>
              </w:rPr>
            </w:pPr>
            <w:r w:rsidRPr="00A53B22">
              <w:rPr>
                <w:sz w:val="17"/>
                <w:szCs w:val="17"/>
              </w:rPr>
              <w:t>Specific regulatory adjustments that the M</w:t>
            </w:r>
            <w:r>
              <w:rPr>
                <w:sz w:val="17"/>
                <w:szCs w:val="17"/>
              </w:rPr>
              <w:t>A</w:t>
            </w:r>
            <w:r w:rsidRPr="00A53B22">
              <w:rPr>
                <w:sz w:val="17"/>
                <w:szCs w:val="17"/>
              </w:rPr>
              <w:t xml:space="preserve"> requires AIs to apply to CET1 capital in addition to the adjustments required under Basel III, calculated as the sum of </w:t>
            </w:r>
            <w:r>
              <w:rPr>
                <w:sz w:val="17"/>
                <w:szCs w:val="17"/>
              </w:rPr>
              <w:t xml:space="preserve">values in </w:t>
            </w:r>
            <w:r w:rsidRPr="00A53B22">
              <w:rPr>
                <w:sz w:val="17"/>
                <w:szCs w:val="17"/>
              </w:rPr>
              <w:t xml:space="preserve">rows 26a to 26f and any other </w:t>
            </w:r>
            <w:r>
              <w:rPr>
                <w:sz w:val="17"/>
                <w:szCs w:val="17"/>
              </w:rPr>
              <w:t>additional</w:t>
            </w:r>
            <w:r w:rsidRPr="00A53B22">
              <w:rPr>
                <w:sz w:val="17"/>
                <w:szCs w:val="17"/>
              </w:rPr>
              <w:t xml:space="preserve"> rows inserted between rows 26 and 27, if applicable.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26a</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Cumulative fair value gains arising from revaluation of land and buildings (covering both own-use and investment properties) as set out in </w:t>
            </w:r>
            <w:r w:rsidRPr="00703BC0">
              <w:rPr>
                <w:sz w:val="17"/>
                <w:szCs w:val="17"/>
              </w:rPr>
              <w:t xml:space="preserve">BCR </w:t>
            </w:r>
            <w:r w:rsidRPr="00A8109E">
              <w:rPr>
                <w:sz w:val="17"/>
                <w:szCs w:val="17"/>
              </w:rPr>
              <w:t>§</w:t>
            </w:r>
            <w:r w:rsidRPr="00A53B22">
              <w:rPr>
                <w:sz w:val="17"/>
                <w:szCs w:val="17"/>
              </w:rPr>
              <w:t>38(2)(c) and (d).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26b</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Regulatory reserve for general banking risks as referred to in </w:t>
            </w:r>
            <w:r w:rsidRPr="00703BC0">
              <w:rPr>
                <w:sz w:val="17"/>
                <w:szCs w:val="17"/>
              </w:rPr>
              <w:t xml:space="preserve">BCR </w:t>
            </w:r>
            <w:r w:rsidRPr="00A8109E">
              <w:rPr>
                <w:sz w:val="17"/>
                <w:szCs w:val="17"/>
              </w:rPr>
              <w:t>§</w:t>
            </w:r>
            <w:r w:rsidRPr="00A53B22">
              <w:rPr>
                <w:sz w:val="17"/>
                <w:szCs w:val="17"/>
              </w:rPr>
              <w:t>38(2)(e).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26c</w:t>
            </w:r>
          </w:p>
        </w:tc>
        <w:tc>
          <w:tcPr>
            <w:tcW w:w="8647" w:type="dxa"/>
          </w:tcPr>
          <w:p w:rsidR="00545554" w:rsidRPr="00A53B22" w:rsidRDefault="00545554" w:rsidP="003F5295">
            <w:pPr>
              <w:pStyle w:val="TableNote"/>
              <w:spacing w:before="40" w:after="40"/>
              <w:rPr>
                <w:sz w:val="17"/>
                <w:szCs w:val="17"/>
              </w:rPr>
            </w:pPr>
            <w:r w:rsidRPr="00A53B22">
              <w:rPr>
                <w:sz w:val="17"/>
                <w:szCs w:val="17"/>
              </w:rPr>
              <w:t>Any securitization exposures specified in a notice given by the M</w:t>
            </w:r>
            <w:r>
              <w:rPr>
                <w:sz w:val="17"/>
                <w:szCs w:val="17"/>
              </w:rPr>
              <w:t>A</w:t>
            </w:r>
            <w:r w:rsidRPr="00A53B22">
              <w:rPr>
                <w:sz w:val="17"/>
                <w:szCs w:val="17"/>
              </w:rPr>
              <w:t xml:space="preserve"> pursuant to </w:t>
            </w:r>
            <w:r w:rsidRPr="00703BC0">
              <w:rPr>
                <w:sz w:val="17"/>
                <w:szCs w:val="17"/>
              </w:rPr>
              <w:t xml:space="preserve">BCR </w:t>
            </w:r>
            <w:r w:rsidRPr="00A8109E">
              <w:rPr>
                <w:sz w:val="17"/>
                <w:szCs w:val="17"/>
              </w:rPr>
              <w:t>§</w:t>
            </w:r>
            <w:r w:rsidRPr="00A53B22">
              <w:rPr>
                <w:sz w:val="17"/>
                <w:szCs w:val="17"/>
              </w:rPr>
              <w:t>43(1)(f).</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26d</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Cumulative losses below depreciated cost arising from the institution’s holdings of land and buildings as referred to in </w:t>
            </w:r>
            <w:r w:rsidRPr="00703BC0">
              <w:rPr>
                <w:sz w:val="17"/>
                <w:szCs w:val="17"/>
              </w:rPr>
              <w:t xml:space="preserve">BCR </w:t>
            </w:r>
            <w:r w:rsidRPr="00A8109E">
              <w:rPr>
                <w:sz w:val="17"/>
                <w:szCs w:val="17"/>
              </w:rPr>
              <w:t>§</w:t>
            </w:r>
            <w:r w:rsidRPr="00A53B22">
              <w:rPr>
                <w:sz w:val="17"/>
                <w:szCs w:val="17"/>
              </w:rPr>
              <w:t>43(1)(j).</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26e</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Capital shortfall of regulated non-bank subsidiaries as specified in </w:t>
            </w:r>
            <w:r w:rsidRPr="00703BC0">
              <w:rPr>
                <w:sz w:val="17"/>
                <w:szCs w:val="17"/>
              </w:rPr>
              <w:t xml:space="preserve">BCR </w:t>
            </w:r>
            <w:r w:rsidRPr="00A8109E">
              <w:rPr>
                <w:sz w:val="17"/>
                <w:szCs w:val="17"/>
              </w:rPr>
              <w:t>§</w:t>
            </w:r>
            <w:r w:rsidRPr="00A53B22">
              <w:rPr>
                <w:sz w:val="17"/>
                <w:szCs w:val="17"/>
              </w:rPr>
              <w:t>43(1)(k).</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26f</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Amount of the sum of any capital investment in commercial connected entities that is in excess of 15% of the capital base of the AI (as reported in its capital adequacy return as at the immediately preceding calendar quarter end date according to </w:t>
            </w:r>
            <w:r w:rsidRPr="00703BC0">
              <w:rPr>
                <w:sz w:val="17"/>
                <w:szCs w:val="17"/>
              </w:rPr>
              <w:t xml:space="preserve">BCR </w:t>
            </w:r>
            <w:r w:rsidRPr="00A8109E">
              <w:rPr>
                <w:sz w:val="17"/>
                <w:szCs w:val="17"/>
              </w:rPr>
              <w:t>§</w:t>
            </w:r>
            <w:r w:rsidRPr="00A53B22">
              <w:rPr>
                <w:sz w:val="17"/>
                <w:szCs w:val="17"/>
              </w:rPr>
              <w:t xml:space="preserve">43(1)(n)), taking into account any amount of loans, facilities or other credit exposures that is required by </w:t>
            </w:r>
            <w:r w:rsidRPr="00703BC0">
              <w:rPr>
                <w:sz w:val="17"/>
                <w:szCs w:val="17"/>
              </w:rPr>
              <w:t xml:space="preserve">BCR </w:t>
            </w:r>
            <w:r w:rsidRPr="00A8109E">
              <w:rPr>
                <w:sz w:val="17"/>
                <w:szCs w:val="17"/>
              </w:rPr>
              <w:t>§</w:t>
            </w:r>
            <w:r w:rsidRPr="00A53B22">
              <w:rPr>
                <w:sz w:val="17"/>
                <w:szCs w:val="17"/>
              </w:rPr>
              <w:t>46(1) to be aggregated with this item for the purpose of determining the excess amount subject to deduction.</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27</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Regulatory deductions applied to CET1 capital due to insufficient AT1 capital being available to cover deductions, as required under </w:t>
            </w:r>
            <w:r w:rsidRPr="00703BC0">
              <w:rPr>
                <w:sz w:val="17"/>
                <w:szCs w:val="17"/>
              </w:rPr>
              <w:t xml:space="preserve">BCR </w:t>
            </w:r>
            <w:r w:rsidRPr="00A8109E">
              <w:rPr>
                <w:sz w:val="17"/>
                <w:szCs w:val="17"/>
              </w:rPr>
              <w:t>§</w:t>
            </w:r>
            <w:r w:rsidRPr="00A53B22">
              <w:rPr>
                <w:sz w:val="17"/>
                <w:szCs w:val="17"/>
              </w:rPr>
              <w:t xml:space="preserve">43(1)(r). </w:t>
            </w:r>
            <w:r>
              <w:rPr>
                <w:sz w:val="17"/>
                <w:szCs w:val="17"/>
              </w:rPr>
              <w:t xml:space="preserve"> </w:t>
            </w:r>
            <w:r w:rsidRPr="00A53B22">
              <w:rPr>
                <w:sz w:val="17"/>
                <w:szCs w:val="17"/>
              </w:rPr>
              <w:t xml:space="preserve">If the </w:t>
            </w:r>
            <w:r>
              <w:rPr>
                <w:sz w:val="17"/>
                <w:szCs w:val="17"/>
              </w:rPr>
              <w:t>value</w:t>
            </w:r>
            <w:r w:rsidRPr="00A53B22">
              <w:rPr>
                <w:sz w:val="17"/>
                <w:szCs w:val="17"/>
              </w:rPr>
              <w:t xml:space="preserve"> reported in row 43 exceeds th</w:t>
            </w:r>
            <w:r>
              <w:rPr>
                <w:sz w:val="17"/>
                <w:szCs w:val="17"/>
              </w:rPr>
              <w:t>at</w:t>
            </w:r>
            <w:r w:rsidRPr="00A53B22">
              <w:rPr>
                <w:sz w:val="17"/>
                <w:szCs w:val="17"/>
              </w:rPr>
              <w:t xml:space="preserve"> in row 36, the excess is to be reported here.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28</w:t>
            </w:r>
          </w:p>
        </w:tc>
        <w:tc>
          <w:tcPr>
            <w:tcW w:w="8647" w:type="dxa"/>
          </w:tcPr>
          <w:p w:rsidR="00545554" w:rsidRPr="00A53B22" w:rsidRDefault="00545554" w:rsidP="003F5295">
            <w:pPr>
              <w:pStyle w:val="TableNote"/>
              <w:spacing w:before="40" w:after="40"/>
              <w:rPr>
                <w:sz w:val="17"/>
                <w:szCs w:val="17"/>
              </w:rPr>
            </w:pPr>
            <w:r w:rsidRPr="00A53B22">
              <w:rPr>
                <w:sz w:val="17"/>
                <w:szCs w:val="17"/>
              </w:rPr>
              <w:t xml:space="preserve">Total regulatory deductions to CET1 capital, calculated as the sum of </w:t>
            </w:r>
            <w:r>
              <w:rPr>
                <w:sz w:val="17"/>
                <w:szCs w:val="17"/>
              </w:rPr>
              <w:t xml:space="preserve">values in </w:t>
            </w:r>
            <w:r w:rsidRPr="00A53B22">
              <w:rPr>
                <w:sz w:val="17"/>
                <w:szCs w:val="17"/>
              </w:rPr>
              <w:t>rows 7 to 19</w:t>
            </w:r>
            <w:r>
              <w:rPr>
                <w:sz w:val="17"/>
                <w:szCs w:val="17"/>
              </w:rPr>
              <w:t xml:space="preserve">, </w:t>
            </w:r>
            <w:r w:rsidRPr="00A53B22">
              <w:rPr>
                <w:sz w:val="17"/>
                <w:szCs w:val="17"/>
              </w:rPr>
              <w:t>rows 26 and 27.</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29</w:t>
            </w:r>
          </w:p>
        </w:tc>
        <w:tc>
          <w:tcPr>
            <w:tcW w:w="8647" w:type="dxa"/>
          </w:tcPr>
          <w:p w:rsidR="00545554" w:rsidRPr="00A53B22" w:rsidRDefault="00545554" w:rsidP="003F5295">
            <w:pPr>
              <w:pStyle w:val="TableNote"/>
              <w:spacing w:before="40" w:after="40"/>
              <w:rPr>
                <w:sz w:val="17"/>
                <w:szCs w:val="17"/>
              </w:rPr>
            </w:pPr>
            <w:r>
              <w:rPr>
                <w:sz w:val="17"/>
                <w:szCs w:val="17"/>
              </w:rPr>
              <w:t xml:space="preserve">CET1 capital, </w:t>
            </w:r>
            <w:r w:rsidRPr="00A53B22">
              <w:rPr>
                <w:sz w:val="17"/>
                <w:szCs w:val="17"/>
              </w:rPr>
              <w:t xml:space="preserve">calculated as </w:t>
            </w:r>
            <w:r>
              <w:rPr>
                <w:sz w:val="17"/>
                <w:szCs w:val="17"/>
              </w:rPr>
              <w:t xml:space="preserve">the difference of values in </w:t>
            </w:r>
            <w:r w:rsidRPr="00A53B22">
              <w:rPr>
                <w:sz w:val="17"/>
                <w:szCs w:val="17"/>
              </w:rPr>
              <w:t xml:space="preserve">row 6 </w:t>
            </w:r>
            <w:r>
              <w:rPr>
                <w:sz w:val="17"/>
                <w:szCs w:val="17"/>
              </w:rPr>
              <w:t>and</w:t>
            </w:r>
            <w:r w:rsidRPr="00A53B22">
              <w:rPr>
                <w:sz w:val="17"/>
                <w:szCs w:val="17"/>
              </w:rPr>
              <w:t xml:space="preserve"> row 28.</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30</w:t>
            </w:r>
          </w:p>
        </w:tc>
        <w:tc>
          <w:tcPr>
            <w:tcW w:w="8647" w:type="dxa"/>
          </w:tcPr>
          <w:p w:rsidR="00545554" w:rsidRPr="00A53B22" w:rsidRDefault="00545554" w:rsidP="003F5295">
            <w:pPr>
              <w:pStyle w:val="TableNote"/>
              <w:spacing w:before="40" w:after="40"/>
              <w:rPr>
                <w:sz w:val="17"/>
                <w:szCs w:val="17"/>
              </w:rPr>
            </w:pPr>
            <w:r w:rsidRPr="00535152">
              <w:rPr>
                <w:sz w:val="17"/>
                <w:szCs w:val="17"/>
              </w:rPr>
              <w:t xml:space="preserve">Instruments issued by an AI that meet all the qualifying criteria for AT1 capital as set out in BCR Schedule 4B, and any related share premium as referred to in </w:t>
            </w:r>
            <w:r w:rsidRPr="00703BC0">
              <w:rPr>
                <w:sz w:val="17"/>
                <w:szCs w:val="17"/>
              </w:rPr>
              <w:t xml:space="preserve">BCR </w:t>
            </w:r>
            <w:r w:rsidRPr="00A8109E">
              <w:rPr>
                <w:sz w:val="17"/>
                <w:szCs w:val="17"/>
              </w:rPr>
              <w:t>§</w:t>
            </w:r>
            <w:r w:rsidRPr="00535152">
              <w:rPr>
                <w:sz w:val="17"/>
                <w:szCs w:val="17"/>
              </w:rPr>
              <w:t xml:space="preserve">39(1)(b). </w:t>
            </w:r>
            <w:r>
              <w:rPr>
                <w:sz w:val="17"/>
                <w:szCs w:val="17"/>
              </w:rPr>
              <w:t xml:space="preserve"> </w:t>
            </w:r>
            <w:r w:rsidRPr="00535152">
              <w:rPr>
                <w:sz w:val="17"/>
                <w:szCs w:val="17"/>
              </w:rPr>
              <w:t xml:space="preserve">All instruments issued by subsidiaries of the consolidation group should be excluded from this row. </w:t>
            </w:r>
            <w:r>
              <w:rPr>
                <w:sz w:val="17"/>
                <w:szCs w:val="17"/>
              </w:rPr>
              <w:t xml:space="preserve"> </w:t>
            </w:r>
            <w:r w:rsidRPr="00535152">
              <w:rPr>
                <w:sz w:val="17"/>
                <w:szCs w:val="17"/>
              </w:rPr>
              <w:t xml:space="preserve">This row may however include AT1 capital instruments issued by an SPV of the institution only if it meets the requirements set out in </w:t>
            </w:r>
            <w:r w:rsidRPr="00703BC0">
              <w:rPr>
                <w:sz w:val="17"/>
                <w:szCs w:val="17"/>
              </w:rPr>
              <w:t xml:space="preserve">BCR </w:t>
            </w:r>
            <w:r w:rsidRPr="00A8109E">
              <w:rPr>
                <w:sz w:val="17"/>
                <w:szCs w:val="17"/>
              </w:rPr>
              <w:t>§</w:t>
            </w:r>
            <w:r w:rsidRPr="00535152">
              <w:rPr>
                <w:sz w:val="17"/>
                <w:szCs w:val="17"/>
              </w:rPr>
              <w:t>39(3) and Schedule 4B.</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31</w:t>
            </w:r>
          </w:p>
        </w:tc>
        <w:tc>
          <w:tcPr>
            <w:tcW w:w="8647" w:type="dxa"/>
          </w:tcPr>
          <w:p w:rsidR="00545554" w:rsidRPr="00A53B22" w:rsidRDefault="00545554" w:rsidP="003F5295">
            <w:pPr>
              <w:pStyle w:val="TableNote"/>
              <w:spacing w:before="40" w:after="40"/>
              <w:rPr>
                <w:sz w:val="17"/>
                <w:szCs w:val="17"/>
              </w:rPr>
            </w:pPr>
            <w:r w:rsidRPr="00290062">
              <w:rPr>
                <w:sz w:val="17"/>
                <w:szCs w:val="17"/>
              </w:rPr>
              <w:t>The amount of instruments in row 30 classified as equity under applicable accounting standards.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32</w:t>
            </w:r>
          </w:p>
        </w:tc>
        <w:tc>
          <w:tcPr>
            <w:tcW w:w="8647" w:type="dxa"/>
          </w:tcPr>
          <w:p w:rsidR="00545554" w:rsidRPr="00A53B22" w:rsidRDefault="00545554" w:rsidP="003F5295">
            <w:pPr>
              <w:pStyle w:val="TableNote"/>
              <w:spacing w:before="40" w:after="40"/>
              <w:rPr>
                <w:sz w:val="17"/>
                <w:szCs w:val="17"/>
              </w:rPr>
            </w:pPr>
            <w:r w:rsidRPr="00290062">
              <w:rPr>
                <w:sz w:val="17"/>
                <w:szCs w:val="17"/>
              </w:rPr>
              <w:t>The amount of instruments in row 30 classified as liabilities under applicable accounting standards.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33</w:t>
            </w:r>
          </w:p>
        </w:tc>
        <w:tc>
          <w:tcPr>
            <w:tcW w:w="8647" w:type="dxa"/>
          </w:tcPr>
          <w:p w:rsidR="00545554" w:rsidRPr="004C5DC8" w:rsidRDefault="00545554" w:rsidP="003F5295">
            <w:pPr>
              <w:pStyle w:val="TableNote"/>
              <w:spacing w:before="40" w:after="40"/>
              <w:rPr>
                <w:i/>
                <w:sz w:val="17"/>
                <w:szCs w:val="17"/>
              </w:rPr>
            </w:pPr>
            <w:r w:rsidRPr="004C5DC8">
              <w:rPr>
                <w:i/>
                <w:sz w:val="17"/>
                <w:szCs w:val="17"/>
              </w:rPr>
              <w:t>Capital instruments subject to phase</w:t>
            </w:r>
            <w:r>
              <w:rPr>
                <w:i/>
                <w:sz w:val="17"/>
                <w:szCs w:val="17"/>
              </w:rPr>
              <w:t>-</w:t>
            </w:r>
            <w:r w:rsidRPr="004C5DC8">
              <w:rPr>
                <w:i/>
                <w:sz w:val="17"/>
                <w:szCs w:val="17"/>
              </w:rPr>
              <w:t>out</w:t>
            </w:r>
            <w:r>
              <w:rPr>
                <w:i/>
                <w:sz w:val="17"/>
                <w:szCs w:val="17"/>
              </w:rPr>
              <w:t xml:space="preserve"> arrangements</w:t>
            </w:r>
            <w:r w:rsidRPr="004C5DC8">
              <w:rPr>
                <w:i/>
                <w:sz w:val="17"/>
                <w:szCs w:val="17"/>
              </w:rPr>
              <w:t xml:space="preserve"> from AT1 capital in accordance with the requirements of BCR Schedule 4H.</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34</w:t>
            </w:r>
          </w:p>
        </w:tc>
        <w:tc>
          <w:tcPr>
            <w:tcW w:w="8647" w:type="dxa"/>
          </w:tcPr>
          <w:p w:rsidR="00545554" w:rsidRPr="00A53B22" w:rsidRDefault="00545554" w:rsidP="003F5295">
            <w:pPr>
              <w:pStyle w:val="TableNote"/>
              <w:spacing w:before="40" w:after="40"/>
              <w:rPr>
                <w:sz w:val="17"/>
                <w:szCs w:val="17"/>
              </w:rPr>
            </w:pPr>
            <w:r w:rsidRPr="00290062">
              <w:rPr>
                <w:sz w:val="17"/>
                <w:szCs w:val="17"/>
              </w:rPr>
              <w:t>Applicable amount of capital instruments issued by consolidated bank subsidiaries and held by third parties allowed to be recognized in consolidated AT1 capital in accordance with BCR Schedule 4D.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35</w:t>
            </w:r>
          </w:p>
        </w:tc>
        <w:tc>
          <w:tcPr>
            <w:tcW w:w="8647" w:type="dxa"/>
          </w:tcPr>
          <w:p w:rsidR="00545554" w:rsidRPr="000F2F8D" w:rsidRDefault="00545554" w:rsidP="003F5295">
            <w:pPr>
              <w:pStyle w:val="TableNote"/>
              <w:spacing w:before="40" w:after="40"/>
              <w:rPr>
                <w:i/>
                <w:sz w:val="17"/>
                <w:szCs w:val="17"/>
              </w:rPr>
            </w:pPr>
            <w:r w:rsidRPr="000F2F8D">
              <w:rPr>
                <w:i/>
                <w:sz w:val="17"/>
                <w:szCs w:val="17"/>
              </w:rPr>
              <w:t>The amount reported in row 34 that relates to instruments subject to phase</w:t>
            </w:r>
            <w:r>
              <w:rPr>
                <w:i/>
                <w:sz w:val="17"/>
                <w:szCs w:val="17"/>
              </w:rPr>
              <w:t>-</w:t>
            </w:r>
            <w:r w:rsidRPr="000F2F8D">
              <w:rPr>
                <w:i/>
                <w:sz w:val="17"/>
                <w:szCs w:val="17"/>
              </w:rPr>
              <w:t xml:space="preserve">out </w:t>
            </w:r>
            <w:r>
              <w:rPr>
                <w:i/>
                <w:sz w:val="17"/>
                <w:szCs w:val="17"/>
              </w:rPr>
              <w:t xml:space="preserve">arrangements </w:t>
            </w:r>
            <w:r w:rsidRPr="000F2F8D">
              <w:rPr>
                <w:i/>
                <w:sz w:val="17"/>
                <w:szCs w:val="17"/>
              </w:rPr>
              <w:t>from AT1 capital in accordance with BCR Schedule 4H.</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36</w:t>
            </w:r>
          </w:p>
        </w:tc>
        <w:tc>
          <w:tcPr>
            <w:tcW w:w="8647" w:type="dxa"/>
          </w:tcPr>
          <w:p w:rsidR="00545554" w:rsidRPr="00A53B22" w:rsidRDefault="00545554" w:rsidP="003F5295">
            <w:pPr>
              <w:pStyle w:val="TableNote"/>
              <w:spacing w:before="40" w:after="40"/>
              <w:rPr>
                <w:sz w:val="17"/>
                <w:szCs w:val="17"/>
              </w:rPr>
            </w:pPr>
            <w:r w:rsidRPr="00290062">
              <w:rPr>
                <w:sz w:val="17"/>
                <w:szCs w:val="17"/>
              </w:rPr>
              <w:t xml:space="preserve">The sum of </w:t>
            </w:r>
            <w:r>
              <w:rPr>
                <w:sz w:val="17"/>
                <w:szCs w:val="17"/>
              </w:rPr>
              <w:t xml:space="preserve">values in </w:t>
            </w:r>
            <w:r w:rsidRPr="00290062">
              <w:rPr>
                <w:sz w:val="17"/>
                <w:szCs w:val="17"/>
              </w:rPr>
              <w:t>rows 30, 33 and 34.</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37</w:t>
            </w:r>
          </w:p>
        </w:tc>
        <w:tc>
          <w:tcPr>
            <w:tcW w:w="8647" w:type="dxa"/>
          </w:tcPr>
          <w:p w:rsidR="00545554" w:rsidRPr="00A53B22" w:rsidRDefault="00545554" w:rsidP="003F5295">
            <w:pPr>
              <w:pStyle w:val="TableNote"/>
              <w:spacing w:before="40" w:after="40"/>
              <w:rPr>
                <w:sz w:val="17"/>
                <w:szCs w:val="17"/>
              </w:rPr>
            </w:pPr>
            <w:r w:rsidRPr="00290062">
              <w:rPr>
                <w:sz w:val="17"/>
                <w:szCs w:val="17"/>
              </w:rPr>
              <w:t xml:space="preserve">Investments in own AT1 capital instruments, as referred to in </w:t>
            </w:r>
            <w:r w:rsidRPr="00703BC0">
              <w:rPr>
                <w:sz w:val="17"/>
                <w:szCs w:val="17"/>
              </w:rPr>
              <w:t xml:space="preserve">BCR </w:t>
            </w:r>
            <w:r w:rsidRPr="00A8109E">
              <w:rPr>
                <w:sz w:val="17"/>
                <w:szCs w:val="17"/>
              </w:rPr>
              <w:t>§</w:t>
            </w:r>
            <w:r w:rsidRPr="00290062">
              <w:rPr>
                <w:sz w:val="17"/>
                <w:szCs w:val="17"/>
              </w:rPr>
              <w:t>47(1)(a).</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38</w:t>
            </w:r>
          </w:p>
        </w:tc>
        <w:tc>
          <w:tcPr>
            <w:tcW w:w="8647" w:type="dxa"/>
          </w:tcPr>
          <w:p w:rsidR="00545554" w:rsidRPr="00A53B22" w:rsidRDefault="00545554" w:rsidP="003F5295">
            <w:pPr>
              <w:pStyle w:val="TableNote"/>
              <w:spacing w:before="40" w:after="40"/>
              <w:rPr>
                <w:sz w:val="17"/>
                <w:szCs w:val="17"/>
              </w:rPr>
            </w:pPr>
            <w:r w:rsidRPr="0078082C">
              <w:rPr>
                <w:sz w:val="17"/>
                <w:szCs w:val="17"/>
              </w:rPr>
              <w:t xml:space="preserve">Reciprocal cross-holdings in AT1 capital instruments, as referred to in </w:t>
            </w:r>
            <w:r w:rsidRPr="00703BC0">
              <w:rPr>
                <w:sz w:val="17"/>
                <w:szCs w:val="17"/>
              </w:rPr>
              <w:t xml:space="preserve">BCR </w:t>
            </w:r>
            <w:r w:rsidRPr="00A8109E">
              <w:rPr>
                <w:sz w:val="17"/>
                <w:szCs w:val="17"/>
              </w:rPr>
              <w:t>§</w:t>
            </w:r>
            <w:r w:rsidRPr="0078082C">
              <w:rPr>
                <w:sz w:val="17"/>
                <w:szCs w:val="17"/>
              </w:rPr>
              <w:t>47(1)(b).</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39</w:t>
            </w:r>
          </w:p>
        </w:tc>
        <w:tc>
          <w:tcPr>
            <w:tcW w:w="8647" w:type="dxa"/>
          </w:tcPr>
          <w:p w:rsidR="00545554" w:rsidRPr="00A53B22" w:rsidRDefault="00545554" w:rsidP="00EC2911">
            <w:pPr>
              <w:pStyle w:val="TableNote"/>
              <w:spacing w:before="40" w:after="40"/>
              <w:rPr>
                <w:sz w:val="17"/>
                <w:szCs w:val="17"/>
              </w:rPr>
            </w:pPr>
            <w:r w:rsidRPr="0078082C">
              <w:rPr>
                <w:sz w:val="17"/>
                <w:szCs w:val="17"/>
              </w:rPr>
              <w:t xml:space="preserve">Amount of insignificant </w:t>
            </w:r>
            <w:r w:rsidR="00EC2911">
              <w:rPr>
                <w:sz w:val="17"/>
                <w:szCs w:val="17"/>
              </w:rPr>
              <w:t xml:space="preserve">LAC </w:t>
            </w:r>
            <w:r w:rsidRPr="0078082C">
              <w:rPr>
                <w:sz w:val="17"/>
                <w:szCs w:val="17"/>
              </w:rPr>
              <w:t>investments in AT1 capital instruments issued by financial sector entities outside the scope of regulatory consolidation that is in excess of the 10% threshold according to BCR S</w:t>
            </w:r>
            <w:r>
              <w:rPr>
                <w:sz w:val="17"/>
                <w:szCs w:val="17"/>
              </w:rPr>
              <w:t>chedule 4F</w:t>
            </w:r>
            <w:r w:rsidRPr="0078082C">
              <w:rPr>
                <w:sz w:val="17"/>
                <w:szCs w:val="17"/>
              </w:rPr>
              <w:t xml:space="preserve">, and is required to be deducted from AT1 capital in accordance with </w:t>
            </w:r>
            <w:r w:rsidRPr="00703BC0">
              <w:rPr>
                <w:sz w:val="17"/>
                <w:szCs w:val="17"/>
              </w:rPr>
              <w:t xml:space="preserve">BCR </w:t>
            </w:r>
            <w:r w:rsidRPr="00A8109E">
              <w:rPr>
                <w:sz w:val="17"/>
                <w:szCs w:val="17"/>
              </w:rPr>
              <w:t>§</w:t>
            </w:r>
            <w:r w:rsidRPr="0078082C">
              <w:rPr>
                <w:sz w:val="17"/>
                <w:szCs w:val="17"/>
              </w:rPr>
              <w:t>47(1)(c).</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40</w:t>
            </w:r>
          </w:p>
        </w:tc>
        <w:tc>
          <w:tcPr>
            <w:tcW w:w="8647" w:type="dxa"/>
          </w:tcPr>
          <w:p w:rsidR="00545554" w:rsidRPr="00A53B22" w:rsidRDefault="00545554" w:rsidP="00EC2911">
            <w:pPr>
              <w:pStyle w:val="TableNote"/>
              <w:spacing w:before="40" w:after="40"/>
              <w:rPr>
                <w:sz w:val="17"/>
                <w:szCs w:val="17"/>
              </w:rPr>
            </w:pPr>
            <w:r w:rsidRPr="0078082C">
              <w:rPr>
                <w:sz w:val="17"/>
                <w:szCs w:val="17"/>
              </w:rPr>
              <w:t xml:space="preserve">Amount of significant </w:t>
            </w:r>
            <w:r w:rsidR="00EC2911">
              <w:rPr>
                <w:sz w:val="17"/>
                <w:szCs w:val="17"/>
              </w:rPr>
              <w:t xml:space="preserve">LAC </w:t>
            </w:r>
            <w:r w:rsidRPr="0078082C">
              <w:rPr>
                <w:sz w:val="17"/>
                <w:szCs w:val="17"/>
              </w:rPr>
              <w:t xml:space="preserve">investments in AT1 capital instruments issued by financial sector entities outside the scope of regulatory consolidation that is required to be deducted from AT1 capital in accordance with </w:t>
            </w:r>
            <w:r w:rsidRPr="00703BC0">
              <w:rPr>
                <w:sz w:val="17"/>
                <w:szCs w:val="17"/>
              </w:rPr>
              <w:t xml:space="preserve">BCR </w:t>
            </w:r>
            <w:r w:rsidRPr="00A8109E">
              <w:rPr>
                <w:sz w:val="17"/>
                <w:szCs w:val="17"/>
              </w:rPr>
              <w:t>§</w:t>
            </w:r>
            <w:r>
              <w:rPr>
                <w:sz w:val="17"/>
                <w:szCs w:val="17"/>
              </w:rPr>
              <w:t>47(1)(d)</w:t>
            </w:r>
            <w:r w:rsidRPr="0078082C">
              <w:rPr>
                <w:sz w:val="17"/>
                <w:szCs w:val="17"/>
              </w:rPr>
              <w:t>.</w:t>
            </w:r>
          </w:p>
        </w:tc>
      </w:tr>
      <w:tr w:rsidR="00545554" w:rsidRPr="001270EC"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41</w:t>
            </w:r>
          </w:p>
        </w:tc>
        <w:tc>
          <w:tcPr>
            <w:tcW w:w="8647" w:type="dxa"/>
          </w:tcPr>
          <w:p w:rsidR="00545554" w:rsidRPr="00A53B22" w:rsidRDefault="00545554" w:rsidP="003F5295">
            <w:pPr>
              <w:pStyle w:val="TableNote"/>
              <w:spacing w:before="40" w:after="40"/>
              <w:rPr>
                <w:sz w:val="17"/>
                <w:szCs w:val="17"/>
              </w:rPr>
            </w:pPr>
            <w:r w:rsidRPr="0078082C">
              <w:rPr>
                <w:sz w:val="17"/>
                <w:szCs w:val="17"/>
              </w:rPr>
              <w:t>Specific regulatory deductions that the M</w:t>
            </w:r>
            <w:r>
              <w:rPr>
                <w:sz w:val="17"/>
                <w:szCs w:val="17"/>
              </w:rPr>
              <w:t>A</w:t>
            </w:r>
            <w:r w:rsidRPr="0078082C">
              <w:rPr>
                <w:sz w:val="17"/>
                <w:szCs w:val="17"/>
              </w:rPr>
              <w:t xml:space="preserve"> requires AIs to apply to AT1 capital in addition to the adjustments required under Basel III, calculated as the sum of </w:t>
            </w:r>
            <w:r>
              <w:rPr>
                <w:sz w:val="17"/>
                <w:szCs w:val="17"/>
              </w:rPr>
              <w:t xml:space="preserve">values in </w:t>
            </w:r>
            <w:r w:rsidRPr="0078082C">
              <w:rPr>
                <w:sz w:val="17"/>
                <w:szCs w:val="17"/>
              </w:rPr>
              <w:t xml:space="preserve">any other </w:t>
            </w:r>
            <w:r>
              <w:rPr>
                <w:sz w:val="17"/>
                <w:szCs w:val="17"/>
              </w:rPr>
              <w:t>additional</w:t>
            </w:r>
            <w:r w:rsidRPr="0078082C">
              <w:rPr>
                <w:sz w:val="17"/>
                <w:szCs w:val="17"/>
              </w:rPr>
              <w:t xml:space="preserve"> rows inserted between rows 41 and 42, if applicable.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42</w:t>
            </w:r>
          </w:p>
        </w:tc>
        <w:tc>
          <w:tcPr>
            <w:tcW w:w="8647" w:type="dxa"/>
          </w:tcPr>
          <w:p w:rsidR="00545554" w:rsidRPr="00A53B22" w:rsidRDefault="00545554" w:rsidP="003F5295">
            <w:pPr>
              <w:pStyle w:val="TableNote"/>
              <w:spacing w:before="40" w:after="40"/>
              <w:rPr>
                <w:sz w:val="17"/>
                <w:szCs w:val="17"/>
              </w:rPr>
            </w:pPr>
            <w:r w:rsidRPr="0078082C">
              <w:rPr>
                <w:sz w:val="17"/>
                <w:szCs w:val="17"/>
              </w:rPr>
              <w:t>Regulatory deductions applied to AT1 capital due to insufficient Tier 2 capital being available to cover deductions</w:t>
            </w:r>
            <w:r w:rsidRPr="00A53B22">
              <w:rPr>
                <w:sz w:val="17"/>
                <w:szCs w:val="17"/>
              </w:rPr>
              <w:t xml:space="preserve">, as required under </w:t>
            </w:r>
            <w:r w:rsidRPr="00703BC0">
              <w:rPr>
                <w:sz w:val="17"/>
                <w:szCs w:val="17"/>
              </w:rPr>
              <w:t xml:space="preserve">BCR </w:t>
            </w:r>
            <w:r w:rsidRPr="00A8109E">
              <w:rPr>
                <w:sz w:val="17"/>
                <w:szCs w:val="17"/>
              </w:rPr>
              <w:t>§</w:t>
            </w:r>
            <w:r w:rsidRPr="00A53B22">
              <w:rPr>
                <w:sz w:val="17"/>
                <w:szCs w:val="17"/>
              </w:rPr>
              <w:t>4</w:t>
            </w:r>
            <w:r>
              <w:rPr>
                <w:sz w:val="17"/>
                <w:szCs w:val="17"/>
              </w:rPr>
              <w:t>7</w:t>
            </w:r>
            <w:r w:rsidRPr="00A53B22">
              <w:rPr>
                <w:sz w:val="17"/>
                <w:szCs w:val="17"/>
              </w:rPr>
              <w:t>(1)(</w:t>
            </w:r>
            <w:r>
              <w:rPr>
                <w:sz w:val="17"/>
                <w:szCs w:val="17"/>
              </w:rPr>
              <w:t>g</w:t>
            </w:r>
            <w:r w:rsidRPr="00A53B22">
              <w:rPr>
                <w:sz w:val="17"/>
                <w:szCs w:val="17"/>
              </w:rPr>
              <w:t>)</w:t>
            </w:r>
            <w:r w:rsidRPr="0078082C">
              <w:rPr>
                <w:sz w:val="17"/>
                <w:szCs w:val="17"/>
              </w:rPr>
              <w:t xml:space="preserve">. </w:t>
            </w:r>
            <w:r>
              <w:rPr>
                <w:sz w:val="17"/>
                <w:szCs w:val="17"/>
              </w:rPr>
              <w:t xml:space="preserve"> </w:t>
            </w:r>
            <w:r w:rsidRPr="0078082C">
              <w:rPr>
                <w:sz w:val="17"/>
                <w:szCs w:val="17"/>
              </w:rPr>
              <w:t xml:space="preserve">If the </w:t>
            </w:r>
            <w:r>
              <w:rPr>
                <w:sz w:val="17"/>
                <w:szCs w:val="17"/>
              </w:rPr>
              <w:t>value</w:t>
            </w:r>
            <w:r w:rsidRPr="0078082C">
              <w:rPr>
                <w:sz w:val="17"/>
                <w:szCs w:val="17"/>
              </w:rPr>
              <w:t xml:space="preserve"> reported in row 57 exceeds th</w:t>
            </w:r>
            <w:r>
              <w:rPr>
                <w:sz w:val="17"/>
                <w:szCs w:val="17"/>
              </w:rPr>
              <w:t>at</w:t>
            </w:r>
            <w:r w:rsidRPr="0078082C">
              <w:rPr>
                <w:sz w:val="17"/>
                <w:szCs w:val="17"/>
              </w:rPr>
              <w:t xml:space="preserve"> in row 51, the excess is to be reported here.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43</w:t>
            </w:r>
          </w:p>
        </w:tc>
        <w:tc>
          <w:tcPr>
            <w:tcW w:w="8647" w:type="dxa"/>
          </w:tcPr>
          <w:p w:rsidR="00545554" w:rsidRPr="00A53B22" w:rsidRDefault="00545554" w:rsidP="003F5295">
            <w:pPr>
              <w:pStyle w:val="TableNote"/>
              <w:spacing w:before="40" w:after="40"/>
              <w:rPr>
                <w:sz w:val="17"/>
                <w:szCs w:val="17"/>
              </w:rPr>
            </w:pPr>
            <w:r w:rsidRPr="008E2816">
              <w:rPr>
                <w:sz w:val="17"/>
                <w:szCs w:val="17"/>
              </w:rPr>
              <w:t xml:space="preserve">The sum of </w:t>
            </w:r>
            <w:r>
              <w:rPr>
                <w:sz w:val="17"/>
                <w:szCs w:val="17"/>
              </w:rPr>
              <w:t xml:space="preserve">values in </w:t>
            </w:r>
            <w:r w:rsidRPr="008E2816">
              <w:rPr>
                <w:sz w:val="17"/>
                <w:szCs w:val="17"/>
              </w:rPr>
              <w:t>rows 37 to 40</w:t>
            </w:r>
            <w:r>
              <w:rPr>
                <w:sz w:val="17"/>
                <w:szCs w:val="17"/>
              </w:rPr>
              <w:t>,</w:t>
            </w:r>
            <w:r w:rsidRPr="008E2816">
              <w:rPr>
                <w:sz w:val="17"/>
                <w:szCs w:val="17"/>
              </w:rPr>
              <w:t xml:space="preserve"> 41 </w:t>
            </w:r>
            <w:r>
              <w:rPr>
                <w:sz w:val="17"/>
                <w:szCs w:val="17"/>
              </w:rPr>
              <w:t>(</w:t>
            </w:r>
            <w:r w:rsidRPr="008E2816">
              <w:rPr>
                <w:sz w:val="17"/>
                <w:szCs w:val="17"/>
              </w:rPr>
              <w:t>if applicable) and 42.</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44</w:t>
            </w:r>
          </w:p>
        </w:tc>
        <w:tc>
          <w:tcPr>
            <w:tcW w:w="8647" w:type="dxa"/>
          </w:tcPr>
          <w:p w:rsidR="00545554" w:rsidRPr="00A53B22" w:rsidRDefault="00545554" w:rsidP="003F5295">
            <w:pPr>
              <w:pStyle w:val="TableNote"/>
              <w:spacing w:before="40" w:after="40"/>
              <w:rPr>
                <w:sz w:val="17"/>
                <w:szCs w:val="17"/>
              </w:rPr>
            </w:pPr>
            <w:r w:rsidRPr="008E2816">
              <w:rPr>
                <w:sz w:val="17"/>
                <w:szCs w:val="17"/>
              </w:rPr>
              <w:t xml:space="preserve">AT1 capital, calculated as </w:t>
            </w:r>
            <w:r>
              <w:rPr>
                <w:sz w:val="17"/>
                <w:szCs w:val="17"/>
              </w:rPr>
              <w:t xml:space="preserve">the difference of values in </w:t>
            </w:r>
            <w:r w:rsidRPr="008E2816">
              <w:rPr>
                <w:sz w:val="17"/>
                <w:szCs w:val="17"/>
              </w:rPr>
              <w:t xml:space="preserve">row 36 </w:t>
            </w:r>
            <w:r>
              <w:rPr>
                <w:sz w:val="17"/>
                <w:szCs w:val="17"/>
              </w:rPr>
              <w:t>and</w:t>
            </w:r>
            <w:r w:rsidRPr="008E2816">
              <w:rPr>
                <w:sz w:val="17"/>
                <w:szCs w:val="17"/>
              </w:rPr>
              <w:t xml:space="preserve"> row 43. </w:t>
            </w:r>
            <w:r>
              <w:rPr>
                <w:sz w:val="17"/>
                <w:szCs w:val="17"/>
              </w:rPr>
              <w:t xml:space="preserve"> </w:t>
            </w:r>
            <w:r w:rsidRPr="008E2816">
              <w:rPr>
                <w:sz w:val="17"/>
                <w:szCs w:val="17"/>
              </w:rPr>
              <w:t>If the amount reported in row 43 exceeds th</w:t>
            </w:r>
            <w:r>
              <w:rPr>
                <w:sz w:val="17"/>
                <w:szCs w:val="17"/>
              </w:rPr>
              <w:t>at</w:t>
            </w:r>
            <w:r w:rsidRPr="008E2816">
              <w:rPr>
                <w:sz w:val="17"/>
                <w:szCs w:val="17"/>
              </w:rPr>
              <w:t xml:space="preserve"> in row 36, include the excess amount in row 27 and report zero here.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45</w:t>
            </w:r>
          </w:p>
        </w:tc>
        <w:tc>
          <w:tcPr>
            <w:tcW w:w="8647" w:type="dxa"/>
          </w:tcPr>
          <w:p w:rsidR="00545554" w:rsidRPr="00A53B22" w:rsidRDefault="00545554" w:rsidP="003F5295">
            <w:pPr>
              <w:pStyle w:val="TableNote"/>
              <w:spacing w:before="40" w:after="40"/>
              <w:rPr>
                <w:sz w:val="17"/>
                <w:szCs w:val="17"/>
              </w:rPr>
            </w:pPr>
            <w:r w:rsidRPr="008E2816">
              <w:rPr>
                <w:sz w:val="17"/>
                <w:szCs w:val="17"/>
              </w:rPr>
              <w:t xml:space="preserve">Tier 1 capital, calculated as </w:t>
            </w:r>
            <w:r>
              <w:rPr>
                <w:sz w:val="17"/>
                <w:szCs w:val="17"/>
              </w:rPr>
              <w:t xml:space="preserve">the sum of values in </w:t>
            </w:r>
            <w:r w:rsidRPr="008E2816">
              <w:rPr>
                <w:sz w:val="17"/>
                <w:szCs w:val="17"/>
              </w:rPr>
              <w:t xml:space="preserve">row 29 </w:t>
            </w:r>
            <w:r>
              <w:rPr>
                <w:sz w:val="17"/>
                <w:szCs w:val="17"/>
              </w:rPr>
              <w:t>and</w:t>
            </w:r>
            <w:r w:rsidRPr="008E2816">
              <w:rPr>
                <w:sz w:val="17"/>
                <w:szCs w:val="17"/>
              </w:rPr>
              <w:t xml:space="preserve"> row 44.</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46</w:t>
            </w:r>
          </w:p>
        </w:tc>
        <w:tc>
          <w:tcPr>
            <w:tcW w:w="8647" w:type="dxa"/>
          </w:tcPr>
          <w:p w:rsidR="00545554" w:rsidRPr="00A53B22" w:rsidRDefault="00545554" w:rsidP="003F5295">
            <w:pPr>
              <w:pStyle w:val="TableNote"/>
              <w:spacing w:before="40" w:after="40"/>
              <w:rPr>
                <w:sz w:val="17"/>
                <w:szCs w:val="17"/>
              </w:rPr>
            </w:pPr>
            <w:r w:rsidRPr="008E2816">
              <w:rPr>
                <w:sz w:val="17"/>
                <w:szCs w:val="17"/>
              </w:rPr>
              <w:t xml:space="preserve">Instruments issued by an AI that meet all the qualifying criteria for Tier 2 capital as set out in BCR Schedule 4C and any related share premium as referred to in </w:t>
            </w:r>
            <w:r w:rsidRPr="00703BC0">
              <w:rPr>
                <w:sz w:val="17"/>
                <w:szCs w:val="17"/>
              </w:rPr>
              <w:t xml:space="preserve">BCR </w:t>
            </w:r>
            <w:r w:rsidRPr="00A8109E">
              <w:rPr>
                <w:sz w:val="17"/>
                <w:szCs w:val="17"/>
              </w:rPr>
              <w:t>§</w:t>
            </w:r>
            <w:r w:rsidRPr="008E2816">
              <w:rPr>
                <w:sz w:val="17"/>
                <w:szCs w:val="17"/>
              </w:rPr>
              <w:t xml:space="preserve">40(1)(b). </w:t>
            </w:r>
            <w:r>
              <w:rPr>
                <w:sz w:val="17"/>
                <w:szCs w:val="17"/>
              </w:rPr>
              <w:t xml:space="preserve"> </w:t>
            </w:r>
            <w:r w:rsidRPr="008E2816">
              <w:rPr>
                <w:sz w:val="17"/>
                <w:szCs w:val="17"/>
              </w:rPr>
              <w:t xml:space="preserve">All instruments issued by subsidiaries of the consolidation group should be excluded from this row. </w:t>
            </w:r>
            <w:r>
              <w:rPr>
                <w:sz w:val="17"/>
                <w:szCs w:val="17"/>
              </w:rPr>
              <w:t xml:space="preserve"> </w:t>
            </w:r>
            <w:r w:rsidRPr="008E2816">
              <w:rPr>
                <w:sz w:val="17"/>
                <w:szCs w:val="17"/>
              </w:rPr>
              <w:t xml:space="preserve">This row may however include Tier 2 capital instruments issued by an SPV of the institution only if it meets the requirements set out in </w:t>
            </w:r>
            <w:r w:rsidRPr="00703BC0">
              <w:rPr>
                <w:sz w:val="17"/>
                <w:szCs w:val="17"/>
              </w:rPr>
              <w:t xml:space="preserve">BCR </w:t>
            </w:r>
            <w:r w:rsidRPr="00A8109E">
              <w:rPr>
                <w:sz w:val="17"/>
                <w:szCs w:val="17"/>
              </w:rPr>
              <w:t>§</w:t>
            </w:r>
            <w:r w:rsidRPr="008E2816">
              <w:rPr>
                <w:sz w:val="17"/>
                <w:szCs w:val="17"/>
              </w:rPr>
              <w:t>40(3) and Schedule 4C.</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47</w:t>
            </w:r>
          </w:p>
        </w:tc>
        <w:tc>
          <w:tcPr>
            <w:tcW w:w="8647" w:type="dxa"/>
          </w:tcPr>
          <w:p w:rsidR="00545554" w:rsidRPr="00783FE6" w:rsidRDefault="00545554" w:rsidP="003F5295">
            <w:pPr>
              <w:pStyle w:val="TableNote"/>
              <w:spacing w:before="40" w:after="40"/>
              <w:rPr>
                <w:i/>
                <w:sz w:val="17"/>
                <w:szCs w:val="17"/>
              </w:rPr>
            </w:pPr>
            <w:r w:rsidRPr="00783FE6">
              <w:rPr>
                <w:i/>
                <w:sz w:val="17"/>
                <w:szCs w:val="17"/>
              </w:rPr>
              <w:t>Capital instruments subject to phase</w:t>
            </w:r>
            <w:r>
              <w:rPr>
                <w:i/>
                <w:sz w:val="17"/>
                <w:szCs w:val="17"/>
              </w:rPr>
              <w:t>-</w:t>
            </w:r>
            <w:r w:rsidRPr="00783FE6">
              <w:rPr>
                <w:i/>
                <w:sz w:val="17"/>
                <w:szCs w:val="17"/>
              </w:rPr>
              <w:t xml:space="preserve">out </w:t>
            </w:r>
            <w:r>
              <w:rPr>
                <w:i/>
                <w:sz w:val="17"/>
                <w:szCs w:val="17"/>
              </w:rPr>
              <w:t xml:space="preserve">arrangements </w:t>
            </w:r>
            <w:r w:rsidRPr="00783FE6">
              <w:rPr>
                <w:i/>
                <w:sz w:val="17"/>
                <w:szCs w:val="17"/>
              </w:rPr>
              <w:t>from Tier 2 capital in accordance with the requirements of BCR Schedule 4H.</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48</w:t>
            </w:r>
          </w:p>
        </w:tc>
        <w:tc>
          <w:tcPr>
            <w:tcW w:w="8647" w:type="dxa"/>
          </w:tcPr>
          <w:p w:rsidR="00545554" w:rsidRPr="00A53B22" w:rsidRDefault="00545554" w:rsidP="003F5295">
            <w:pPr>
              <w:pStyle w:val="TableNote"/>
              <w:spacing w:before="40" w:after="40"/>
              <w:rPr>
                <w:sz w:val="17"/>
                <w:szCs w:val="17"/>
              </w:rPr>
            </w:pPr>
            <w:r w:rsidRPr="008E2816">
              <w:rPr>
                <w:sz w:val="17"/>
                <w:szCs w:val="17"/>
              </w:rPr>
              <w:t>Applicable amount of capital instruments issued by consolidated bank subsidiaries and held by third parties allowed to be recognized in consolidated Tier 2 capital in accordance with BCR Schedule 4D.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49</w:t>
            </w:r>
          </w:p>
        </w:tc>
        <w:tc>
          <w:tcPr>
            <w:tcW w:w="8647" w:type="dxa"/>
          </w:tcPr>
          <w:p w:rsidR="00545554" w:rsidRPr="003C1EEA" w:rsidRDefault="00545554" w:rsidP="003F5295">
            <w:pPr>
              <w:pStyle w:val="TableNote"/>
              <w:spacing w:before="40" w:after="40"/>
              <w:rPr>
                <w:i/>
                <w:sz w:val="17"/>
                <w:szCs w:val="17"/>
              </w:rPr>
            </w:pPr>
            <w:r w:rsidRPr="003C1EEA">
              <w:rPr>
                <w:i/>
                <w:sz w:val="17"/>
                <w:szCs w:val="17"/>
              </w:rPr>
              <w:t>The amount reported in row 48 that relates to capital instruments subject to phase</w:t>
            </w:r>
            <w:r>
              <w:rPr>
                <w:i/>
                <w:sz w:val="17"/>
                <w:szCs w:val="17"/>
              </w:rPr>
              <w:t>-</w:t>
            </w:r>
            <w:r w:rsidRPr="003C1EEA">
              <w:rPr>
                <w:i/>
                <w:sz w:val="17"/>
                <w:szCs w:val="17"/>
              </w:rPr>
              <w:t xml:space="preserve">out </w:t>
            </w:r>
            <w:r>
              <w:rPr>
                <w:i/>
                <w:sz w:val="17"/>
                <w:szCs w:val="17"/>
              </w:rPr>
              <w:t xml:space="preserve">arrangements </w:t>
            </w:r>
            <w:r w:rsidRPr="003C1EEA">
              <w:rPr>
                <w:i/>
                <w:sz w:val="17"/>
                <w:szCs w:val="17"/>
              </w:rPr>
              <w:t xml:space="preserve">from Tier 2 capital in accordance with the requirements of BCR </w:t>
            </w:r>
            <w:r>
              <w:rPr>
                <w:i/>
                <w:sz w:val="17"/>
                <w:szCs w:val="17"/>
              </w:rPr>
              <w:t>Schedule 4H</w:t>
            </w:r>
            <w:r w:rsidRPr="003C1EEA">
              <w:rPr>
                <w:i/>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50</w:t>
            </w:r>
          </w:p>
        </w:tc>
        <w:tc>
          <w:tcPr>
            <w:tcW w:w="8647" w:type="dxa"/>
          </w:tcPr>
          <w:p w:rsidR="00545554" w:rsidRPr="00A53B22" w:rsidRDefault="00545554" w:rsidP="003F5295">
            <w:pPr>
              <w:pStyle w:val="TableNote"/>
              <w:spacing w:before="40" w:after="40"/>
              <w:rPr>
                <w:sz w:val="17"/>
                <w:szCs w:val="17"/>
              </w:rPr>
            </w:pPr>
            <w:r w:rsidRPr="003C1EEA">
              <w:rPr>
                <w:sz w:val="17"/>
                <w:szCs w:val="17"/>
              </w:rPr>
              <w:t xml:space="preserve">The aggregate amount of the </w:t>
            </w:r>
            <w:r>
              <w:rPr>
                <w:sz w:val="17"/>
                <w:szCs w:val="17"/>
              </w:rPr>
              <w:t>AI</w:t>
            </w:r>
            <w:r w:rsidRPr="003C1EEA">
              <w:rPr>
                <w:sz w:val="17"/>
                <w:szCs w:val="17"/>
              </w:rPr>
              <w:t>’s regulatory reserve for general banking risks an</w:t>
            </w:r>
            <w:r w:rsidRPr="007F7CA2">
              <w:rPr>
                <w:sz w:val="17"/>
                <w:szCs w:val="17"/>
              </w:rPr>
              <w:t xml:space="preserve">d </w:t>
            </w:r>
            <w:r>
              <w:rPr>
                <w:sz w:val="17"/>
                <w:szCs w:val="17"/>
              </w:rPr>
              <w:t xml:space="preserve">collective </w:t>
            </w:r>
            <w:r w:rsidRPr="007F7CA2">
              <w:rPr>
                <w:sz w:val="17"/>
                <w:szCs w:val="17"/>
              </w:rPr>
              <w:t>provisions related to the BSC approach or the STC approach</w:t>
            </w:r>
            <w:r>
              <w:rPr>
                <w:sz w:val="17"/>
                <w:szCs w:val="17"/>
              </w:rPr>
              <w:t>,</w:t>
            </w:r>
            <w:r w:rsidRPr="007F7CA2">
              <w:rPr>
                <w:sz w:val="17"/>
                <w:szCs w:val="17"/>
              </w:rPr>
              <w:t xml:space="preserve"> and </w:t>
            </w:r>
            <w:r w:rsidRPr="00917A47">
              <w:rPr>
                <w:sz w:val="17"/>
                <w:szCs w:val="17"/>
              </w:rPr>
              <w:t>SEC-ERBA, SEC-SA and SEC-</w:t>
            </w:r>
            <w:r>
              <w:rPr>
                <w:sz w:val="17"/>
                <w:szCs w:val="17"/>
              </w:rPr>
              <w:t>FBA</w:t>
            </w:r>
            <w:r w:rsidRPr="007F7CA2">
              <w:rPr>
                <w:sz w:val="17"/>
                <w:szCs w:val="17"/>
              </w:rPr>
              <w:t xml:space="preserve">, surplus provisions for exposures calculated by using the IRB approach, and the portion of the institution’s total regulatory reserve for general </w:t>
            </w:r>
            <w:r w:rsidRPr="007F7CA2">
              <w:rPr>
                <w:sz w:val="17"/>
                <w:szCs w:val="17"/>
              </w:rPr>
              <w:lastRenderedPageBreak/>
              <w:t xml:space="preserve">banking risks and </w:t>
            </w:r>
            <w:r>
              <w:rPr>
                <w:sz w:val="17"/>
                <w:szCs w:val="17"/>
              </w:rPr>
              <w:t xml:space="preserve">collective </w:t>
            </w:r>
            <w:r w:rsidRPr="007F7CA2">
              <w:rPr>
                <w:sz w:val="17"/>
                <w:szCs w:val="17"/>
              </w:rPr>
              <w:t xml:space="preserve">provisions </w:t>
            </w:r>
            <w:r w:rsidRPr="003C1EEA">
              <w:rPr>
                <w:sz w:val="17"/>
                <w:szCs w:val="17"/>
              </w:rPr>
              <w:t xml:space="preserve">apportioned to the </w:t>
            </w:r>
            <w:r>
              <w:rPr>
                <w:sz w:val="17"/>
                <w:szCs w:val="17"/>
              </w:rPr>
              <w:t>SEC-</w:t>
            </w:r>
            <w:r w:rsidRPr="003C1EEA">
              <w:rPr>
                <w:sz w:val="17"/>
                <w:szCs w:val="17"/>
              </w:rPr>
              <w:t>IRB</w:t>
            </w:r>
            <w:r>
              <w:rPr>
                <w:sz w:val="17"/>
                <w:szCs w:val="17"/>
              </w:rPr>
              <w:t>A</w:t>
            </w:r>
            <w:r w:rsidRPr="003C1EEA">
              <w:rPr>
                <w:sz w:val="17"/>
                <w:szCs w:val="17"/>
              </w:rPr>
              <w:t xml:space="preserve"> approach, allowed to be included in Tier 2 capital, calculated in accordance with </w:t>
            </w:r>
            <w:r w:rsidRPr="00703BC0">
              <w:rPr>
                <w:sz w:val="17"/>
                <w:szCs w:val="17"/>
              </w:rPr>
              <w:t xml:space="preserve">BCR </w:t>
            </w:r>
            <w:r w:rsidRPr="00A8109E">
              <w:rPr>
                <w:sz w:val="17"/>
                <w:szCs w:val="17"/>
              </w:rPr>
              <w:t>§</w:t>
            </w:r>
            <w:r>
              <w:rPr>
                <w:sz w:val="17"/>
                <w:szCs w:val="17"/>
              </w:rPr>
              <w:t>42</w:t>
            </w:r>
            <w:r w:rsidRPr="003C1EEA">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51</w:t>
            </w:r>
          </w:p>
        </w:tc>
        <w:tc>
          <w:tcPr>
            <w:tcW w:w="8647" w:type="dxa"/>
          </w:tcPr>
          <w:p w:rsidR="00545554" w:rsidRPr="00A53B22" w:rsidRDefault="00545554" w:rsidP="003F5295">
            <w:pPr>
              <w:pStyle w:val="TableNote"/>
              <w:spacing w:before="40" w:after="40"/>
              <w:rPr>
                <w:sz w:val="17"/>
                <w:szCs w:val="17"/>
              </w:rPr>
            </w:pPr>
            <w:r w:rsidRPr="003C1EEA">
              <w:rPr>
                <w:sz w:val="17"/>
                <w:szCs w:val="17"/>
              </w:rPr>
              <w:t xml:space="preserve">The sum of </w:t>
            </w:r>
            <w:r>
              <w:rPr>
                <w:sz w:val="17"/>
                <w:szCs w:val="17"/>
              </w:rPr>
              <w:t xml:space="preserve">values in </w:t>
            </w:r>
            <w:r w:rsidRPr="003C1EEA">
              <w:rPr>
                <w:sz w:val="17"/>
                <w:szCs w:val="17"/>
              </w:rPr>
              <w:t>rows 46 to 48 and 50.</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52</w:t>
            </w:r>
          </w:p>
        </w:tc>
        <w:tc>
          <w:tcPr>
            <w:tcW w:w="8647" w:type="dxa"/>
          </w:tcPr>
          <w:p w:rsidR="00545554" w:rsidRPr="00A53B22" w:rsidRDefault="00545554" w:rsidP="003F5295">
            <w:pPr>
              <w:pStyle w:val="TableNote"/>
              <w:spacing w:before="40" w:after="40"/>
              <w:rPr>
                <w:sz w:val="17"/>
                <w:szCs w:val="17"/>
              </w:rPr>
            </w:pPr>
            <w:r w:rsidRPr="003C1EEA">
              <w:rPr>
                <w:sz w:val="17"/>
                <w:szCs w:val="17"/>
              </w:rPr>
              <w:t xml:space="preserve">Investments in own Tier 2 capital instruments, as referred to in </w:t>
            </w:r>
            <w:r w:rsidRPr="00703BC0">
              <w:rPr>
                <w:sz w:val="17"/>
                <w:szCs w:val="17"/>
              </w:rPr>
              <w:t xml:space="preserve">BCR </w:t>
            </w:r>
            <w:r w:rsidRPr="00A8109E">
              <w:rPr>
                <w:sz w:val="17"/>
                <w:szCs w:val="17"/>
              </w:rPr>
              <w:t>§</w:t>
            </w:r>
            <w:r w:rsidRPr="003C1EEA">
              <w:rPr>
                <w:sz w:val="17"/>
                <w:szCs w:val="17"/>
              </w:rPr>
              <w:t>48(1)(a).</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53</w:t>
            </w:r>
          </w:p>
        </w:tc>
        <w:tc>
          <w:tcPr>
            <w:tcW w:w="8647" w:type="dxa"/>
          </w:tcPr>
          <w:p w:rsidR="00545554" w:rsidRPr="00A53B22" w:rsidRDefault="00545554" w:rsidP="003F5295">
            <w:pPr>
              <w:pStyle w:val="TableNote"/>
              <w:spacing w:before="40" w:after="40"/>
              <w:rPr>
                <w:sz w:val="17"/>
                <w:szCs w:val="17"/>
              </w:rPr>
            </w:pPr>
            <w:r w:rsidRPr="003C1EEA">
              <w:rPr>
                <w:sz w:val="17"/>
                <w:szCs w:val="17"/>
              </w:rPr>
              <w:t>Reciprocal cross-holdings in Tier 2 capital instruments</w:t>
            </w:r>
            <w:r w:rsidR="00EC2911">
              <w:rPr>
                <w:sz w:val="17"/>
                <w:szCs w:val="17"/>
              </w:rPr>
              <w:t xml:space="preserve"> and non-capital LAC liabilities</w:t>
            </w:r>
            <w:r w:rsidRPr="003C1EEA">
              <w:rPr>
                <w:sz w:val="17"/>
                <w:szCs w:val="17"/>
              </w:rPr>
              <w:t xml:space="preserve">, as referred to in </w:t>
            </w:r>
            <w:r w:rsidRPr="00703BC0">
              <w:rPr>
                <w:sz w:val="17"/>
                <w:szCs w:val="17"/>
              </w:rPr>
              <w:t xml:space="preserve">BCR </w:t>
            </w:r>
            <w:r w:rsidRPr="00A8109E">
              <w:rPr>
                <w:sz w:val="17"/>
                <w:szCs w:val="17"/>
              </w:rPr>
              <w:t>§</w:t>
            </w:r>
            <w:r w:rsidRPr="003C1EEA">
              <w:rPr>
                <w:sz w:val="17"/>
                <w:szCs w:val="17"/>
              </w:rPr>
              <w:t>48(1)(b).</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54</w:t>
            </w:r>
          </w:p>
        </w:tc>
        <w:tc>
          <w:tcPr>
            <w:tcW w:w="8647" w:type="dxa"/>
          </w:tcPr>
          <w:p w:rsidR="00545554" w:rsidRPr="00A53B22" w:rsidRDefault="00545554" w:rsidP="00EC2911">
            <w:pPr>
              <w:pStyle w:val="TableNote"/>
              <w:spacing w:before="40" w:after="40"/>
              <w:rPr>
                <w:sz w:val="17"/>
                <w:szCs w:val="17"/>
              </w:rPr>
            </w:pPr>
            <w:r w:rsidRPr="003C1EEA">
              <w:rPr>
                <w:sz w:val="17"/>
                <w:szCs w:val="17"/>
              </w:rPr>
              <w:t xml:space="preserve">Amount of insignificant </w:t>
            </w:r>
            <w:r w:rsidR="00EC2911">
              <w:rPr>
                <w:sz w:val="17"/>
                <w:szCs w:val="17"/>
              </w:rPr>
              <w:t xml:space="preserve">LAC </w:t>
            </w:r>
            <w:r w:rsidRPr="003C1EEA">
              <w:rPr>
                <w:sz w:val="17"/>
                <w:szCs w:val="17"/>
              </w:rPr>
              <w:t>investments in Tier 2 capital instruments issued by</w:t>
            </w:r>
            <w:r w:rsidR="00EC2911">
              <w:rPr>
                <w:sz w:val="17"/>
                <w:szCs w:val="17"/>
              </w:rPr>
              <w:t>, and non-capital LAC liabilities of,</w:t>
            </w:r>
            <w:r w:rsidRPr="003C1EEA">
              <w:rPr>
                <w:sz w:val="17"/>
                <w:szCs w:val="17"/>
              </w:rPr>
              <w:t xml:space="preserve"> financial sector entities outside the scope of regulatory consolidation </w:t>
            </w:r>
            <w:r>
              <w:rPr>
                <w:sz w:val="17"/>
                <w:szCs w:val="17"/>
              </w:rPr>
              <w:t>(net of eligible short positions)</w:t>
            </w:r>
            <w:r w:rsidRPr="003C1EEA">
              <w:rPr>
                <w:sz w:val="17"/>
                <w:szCs w:val="17"/>
              </w:rPr>
              <w:t xml:space="preserve"> that is in excess of the 10% threshold</w:t>
            </w:r>
            <w:r w:rsidR="00EC2911">
              <w:rPr>
                <w:sz w:val="17"/>
                <w:szCs w:val="17"/>
              </w:rPr>
              <w:t xml:space="preserve"> and, where applicable, the gross long positions of non-capital LAC liabilities of such entities that is in excess of the 5% threshold</w:t>
            </w:r>
            <w:r w:rsidRPr="003C1EEA">
              <w:rPr>
                <w:sz w:val="17"/>
                <w:szCs w:val="17"/>
              </w:rPr>
              <w:t xml:space="preserve"> according to BCR Schedule </w:t>
            </w:r>
            <w:r>
              <w:rPr>
                <w:sz w:val="17"/>
                <w:szCs w:val="17"/>
              </w:rPr>
              <w:t>4F</w:t>
            </w:r>
            <w:r w:rsidRPr="003C1EEA">
              <w:rPr>
                <w:sz w:val="17"/>
                <w:szCs w:val="17"/>
              </w:rPr>
              <w:t xml:space="preserve">, and is required to be deducted from Tier 2 capital in accordance with </w:t>
            </w:r>
            <w:r w:rsidRPr="00703BC0">
              <w:rPr>
                <w:sz w:val="17"/>
                <w:szCs w:val="17"/>
              </w:rPr>
              <w:t xml:space="preserve">BCR </w:t>
            </w:r>
            <w:r w:rsidRPr="00A8109E">
              <w:rPr>
                <w:sz w:val="17"/>
                <w:szCs w:val="17"/>
              </w:rPr>
              <w:t>§</w:t>
            </w:r>
            <w:r w:rsidRPr="003C1EEA">
              <w:rPr>
                <w:sz w:val="17"/>
                <w:szCs w:val="17"/>
              </w:rPr>
              <w:t>48(1)(c).</w:t>
            </w:r>
            <w:r>
              <w:rPr>
                <w:sz w:val="17"/>
                <w:szCs w:val="17"/>
              </w:rPr>
              <w:t xml:space="preserve"> </w:t>
            </w:r>
          </w:p>
        </w:tc>
      </w:tr>
      <w:tr w:rsidR="00EC2911" w:rsidRPr="00280717" w:rsidTr="00545554">
        <w:trPr>
          <w:trHeight w:val="373"/>
        </w:trPr>
        <w:tc>
          <w:tcPr>
            <w:tcW w:w="567" w:type="dxa"/>
          </w:tcPr>
          <w:p w:rsidR="00EC2911" w:rsidRDefault="00EC2911"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54a</w:t>
            </w:r>
          </w:p>
        </w:tc>
        <w:tc>
          <w:tcPr>
            <w:tcW w:w="8647" w:type="dxa"/>
          </w:tcPr>
          <w:p w:rsidR="00EC2911" w:rsidRPr="003C1EEA" w:rsidRDefault="00EC2911" w:rsidP="00EC2911">
            <w:pPr>
              <w:pStyle w:val="TableNote"/>
              <w:spacing w:before="40" w:after="40"/>
              <w:rPr>
                <w:sz w:val="17"/>
                <w:szCs w:val="17"/>
              </w:rPr>
            </w:pPr>
            <w:r>
              <w:rPr>
                <w:sz w:val="17"/>
                <w:szCs w:val="17"/>
              </w:rPr>
              <w:t>Amount of insignificant LAC i</w:t>
            </w:r>
            <w:r w:rsidRPr="00EC1E6E">
              <w:rPr>
                <w:sz w:val="17"/>
                <w:szCs w:val="17"/>
              </w:rPr>
              <w:t xml:space="preserve">nvestments in </w:t>
            </w:r>
            <w:r>
              <w:rPr>
                <w:sz w:val="17"/>
                <w:szCs w:val="17"/>
              </w:rPr>
              <w:t xml:space="preserve">non-capital </w:t>
            </w:r>
            <w:r w:rsidRPr="00EC1E6E">
              <w:rPr>
                <w:sz w:val="17"/>
                <w:szCs w:val="17"/>
              </w:rPr>
              <w:t xml:space="preserve">LAC liabilities </w:t>
            </w:r>
            <w:r>
              <w:rPr>
                <w:sz w:val="17"/>
                <w:szCs w:val="17"/>
              </w:rPr>
              <w:t>of</w:t>
            </w:r>
            <w:r w:rsidRPr="00EC1E6E">
              <w:rPr>
                <w:sz w:val="17"/>
                <w:szCs w:val="17"/>
              </w:rPr>
              <w:t xml:space="preserve"> financial </w:t>
            </w:r>
            <w:r>
              <w:rPr>
                <w:sz w:val="17"/>
                <w:szCs w:val="17"/>
              </w:rPr>
              <w:t xml:space="preserve">sector </w:t>
            </w:r>
            <w:r w:rsidRPr="00EC1E6E">
              <w:rPr>
                <w:sz w:val="17"/>
                <w:szCs w:val="17"/>
              </w:rPr>
              <w:t xml:space="preserve">entities that are outside the scope of regulatory consolidation, </w:t>
            </w:r>
            <w:r>
              <w:rPr>
                <w:sz w:val="17"/>
                <w:szCs w:val="17"/>
              </w:rPr>
              <w:t>former</w:t>
            </w:r>
            <w:r w:rsidRPr="00EC1E6E">
              <w:rPr>
                <w:sz w:val="17"/>
                <w:szCs w:val="17"/>
              </w:rPr>
              <w:t xml:space="preserve">ly designated for the 5% threshold but no longer meeting the </w:t>
            </w:r>
            <w:r w:rsidRPr="00C713FB">
              <w:rPr>
                <w:sz w:val="17"/>
                <w:szCs w:val="17"/>
              </w:rPr>
              <w:t xml:space="preserve">conditions </w:t>
            </w:r>
            <w:r>
              <w:rPr>
                <w:sz w:val="17"/>
                <w:szCs w:val="17"/>
              </w:rPr>
              <w:t xml:space="preserve">for designation </w:t>
            </w:r>
            <w:r w:rsidRPr="00C713FB">
              <w:rPr>
                <w:sz w:val="17"/>
                <w:szCs w:val="17"/>
              </w:rPr>
              <w:t>under</w:t>
            </w:r>
            <w:r w:rsidRPr="002B0189">
              <w:rPr>
                <w:sz w:val="17"/>
                <w:szCs w:val="17"/>
              </w:rPr>
              <w:t xml:space="preserve"> BCR Schedule 4F</w:t>
            </w:r>
            <w:r w:rsidRPr="00EC1E6E">
              <w:rPr>
                <w:sz w:val="17"/>
                <w:szCs w:val="17"/>
              </w:rPr>
              <w:t xml:space="preserve">, measured on a gross long basis. </w:t>
            </w:r>
            <w:r>
              <w:rPr>
                <w:sz w:val="17"/>
                <w:szCs w:val="17"/>
              </w:rPr>
              <w:t xml:space="preserve"> </w:t>
            </w:r>
            <w:r w:rsidRPr="00EC1E6E">
              <w:rPr>
                <w:sz w:val="17"/>
                <w:szCs w:val="17"/>
              </w:rPr>
              <w:t xml:space="preserve">This row is </w:t>
            </w:r>
            <w:r>
              <w:rPr>
                <w:sz w:val="17"/>
                <w:szCs w:val="17"/>
              </w:rPr>
              <w:t>applicable to</w:t>
            </w:r>
            <w:r w:rsidRPr="00EC1E6E">
              <w:rPr>
                <w:sz w:val="17"/>
                <w:szCs w:val="17"/>
              </w:rPr>
              <w:t xml:space="preserve"> </w:t>
            </w:r>
            <w:r>
              <w:rPr>
                <w:sz w:val="17"/>
                <w:szCs w:val="17"/>
              </w:rPr>
              <w:t>“section 2 institutions” (as defined in §2 of Schedule 4F)</w:t>
            </w:r>
            <w:r w:rsidRPr="00EC1E6E">
              <w:rPr>
                <w:sz w:val="17"/>
                <w:szCs w:val="17"/>
              </w:rPr>
              <w:t xml:space="preserve"> only</w:t>
            </w:r>
            <w:r>
              <w:rPr>
                <w:sz w:val="17"/>
                <w:szCs w:val="17"/>
              </w:rPr>
              <w:t xml:space="preserve">, where the </w:t>
            </w:r>
            <w:r w:rsidRPr="00EC1E6E">
              <w:rPr>
                <w:sz w:val="17"/>
                <w:szCs w:val="17"/>
              </w:rPr>
              <w:t xml:space="preserve">amounts designated to this threshold may not subsequently be moved to the 10% threshold. </w:t>
            </w:r>
            <w:r>
              <w:rPr>
                <w:sz w:val="17"/>
                <w:szCs w:val="17"/>
              </w:rPr>
              <w:t xml:space="preserve"> </w:t>
            </w:r>
            <w:r w:rsidRPr="00EC1E6E">
              <w:rPr>
                <w:sz w:val="17"/>
                <w:szCs w:val="17"/>
              </w:rPr>
              <w:t xml:space="preserve">This row does not apply to </w:t>
            </w:r>
            <w:r>
              <w:rPr>
                <w:sz w:val="17"/>
                <w:szCs w:val="17"/>
              </w:rPr>
              <w:t>“section 3 institutions” (as defined in §3 of Schedule 4F)</w:t>
            </w:r>
            <w:r w:rsidRPr="00EC1E6E">
              <w:rPr>
                <w:sz w:val="17"/>
                <w:szCs w:val="17"/>
              </w:rPr>
              <w:t xml:space="preserve">, to </w:t>
            </w:r>
            <w:r>
              <w:rPr>
                <w:sz w:val="17"/>
                <w:szCs w:val="17"/>
              </w:rPr>
              <w:t>which</w:t>
            </w:r>
            <w:r w:rsidRPr="00EC1E6E">
              <w:rPr>
                <w:sz w:val="17"/>
                <w:szCs w:val="17"/>
              </w:rPr>
              <w:t xml:space="preserve"> these conditions on the use of the 5% threshold do not apply.</w:t>
            </w:r>
          </w:p>
        </w:tc>
      </w:tr>
      <w:tr w:rsidR="00545554" w:rsidRPr="00EC2911"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55</w:t>
            </w:r>
          </w:p>
        </w:tc>
        <w:tc>
          <w:tcPr>
            <w:tcW w:w="8647" w:type="dxa"/>
          </w:tcPr>
          <w:p w:rsidR="00545554" w:rsidRPr="00A53B22" w:rsidRDefault="00545554" w:rsidP="00EC2911">
            <w:pPr>
              <w:pStyle w:val="TableNote"/>
              <w:spacing w:before="40" w:after="40"/>
              <w:rPr>
                <w:sz w:val="17"/>
                <w:szCs w:val="17"/>
              </w:rPr>
            </w:pPr>
            <w:r w:rsidRPr="003C1EEA">
              <w:rPr>
                <w:sz w:val="17"/>
                <w:szCs w:val="17"/>
              </w:rPr>
              <w:t xml:space="preserve">Amount of significant </w:t>
            </w:r>
            <w:r w:rsidR="00EC2911">
              <w:rPr>
                <w:sz w:val="17"/>
                <w:szCs w:val="17"/>
              </w:rPr>
              <w:t xml:space="preserve">LAC </w:t>
            </w:r>
            <w:r w:rsidRPr="003C1EEA">
              <w:rPr>
                <w:sz w:val="17"/>
                <w:szCs w:val="17"/>
              </w:rPr>
              <w:t xml:space="preserve">investments in Tier 2 capital instruments issued by financial sector entities outside the scope of regulatory consolidation </w:t>
            </w:r>
            <w:r>
              <w:rPr>
                <w:sz w:val="17"/>
                <w:szCs w:val="17"/>
              </w:rPr>
              <w:t xml:space="preserve">(net of eligible short positions) </w:t>
            </w:r>
            <w:r w:rsidRPr="003C1EEA">
              <w:rPr>
                <w:sz w:val="17"/>
                <w:szCs w:val="17"/>
              </w:rPr>
              <w:t xml:space="preserve">that is required to be deducted from Tier 2 capital in accordance with </w:t>
            </w:r>
            <w:r w:rsidRPr="00703BC0">
              <w:rPr>
                <w:sz w:val="17"/>
                <w:szCs w:val="17"/>
              </w:rPr>
              <w:t xml:space="preserve">BCR </w:t>
            </w:r>
            <w:r w:rsidRPr="00A8109E">
              <w:rPr>
                <w:sz w:val="17"/>
                <w:szCs w:val="17"/>
              </w:rPr>
              <w:t>§</w:t>
            </w:r>
            <w:r w:rsidRPr="003C1EEA">
              <w:rPr>
                <w:sz w:val="17"/>
                <w:szCs w:val="17"/>
              </w:rPr>
              <w:t>48(1)(d).</w:t>
            </w:r>
          </w:p>
        </w:tc>
      </w:tr>
      <w:tr w:rsidR="00EC2911" w:rsidRPr="00EC2911" w:rsidTr="00545554">
        <w:trPr>
          <w:trHeight w:val="373"/>
        </w:trPr>
        <w:tc>
          <w:tcPr>
            <w:tcW w:w="567" w:type="dxa"/>
          </w:tcPr>
          <w:p w:rsidR="00EC2911" w:rsidRDefault="00EC2911"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55a</w:t>
            </w:r>
          </w:p>
        </w:tc>
        <w:tc>
          <w:tcPr>
            <w:tcW w:w="8647" w:type="dxa"/>
          </w:tcPr>
          <w:p w:rsidR="00EC2911" w:rsidRPr="003C1EEA" w:rsidRDefault="00EC2911" w:rsidP="00EC2911">
            <w:pPr>
              <w:pStyle w:val="TableNote"/>
              <w:spacing w:before="40" w:after="40"/>
              <w:rPr>
                <w:sz w:val="17"/>
                <w:szCs w:val="17"/>
              </w:rPr>
            </w:pPr>
            <w:r>
              <w:rPr>
                <w:sz w:val="17"/>
                <w:szCs w:val="17"/>
              </w:rPr>
              <w:t>Amount of significant LAC investments in non-capital LAC liabilities of financial sector entities outside the scope of regulatory consolidation (net of eligible short positions) that is required to be deducted from Tier 2 capital in accordance with BCR §48(1)(d).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56</w:t>
            </w:r>
          </w:p>
        </w:tc>
        <w:tc>
          <w:tcPr>
            <w:tcW w:w="8647" w:type="dxa"/>
          </w:tcPr>
          <w:p w:rsidR="00545554" w:rsidRPr="00A53B22" w:rsidRDefault="00545554" w:rsidP="003F5295">
            <w:pPr>
              <w:pStyle w:val="TableNote"/>
              <w:spacing w:before="40" w:after="40"/>
              <w:rPr>
                <w:sz w:val="17"/>
                <w:szCs w:val="17"/>
              </w:rPr>
            </w:pPr>
            <w:r w:rsidRPr="003C1EEA">
              <w:rPr>
                <w:sz w:val="17"/>
                <w:szCs w:val="17"/>
              </w:rPr>
              <w:t>Specific regulatory adjustments that the M</w:t>
            </w:r>
            <w:r>
              <w:rPr>
                <w:sz w:val="17"/>
                <w:szCs w:val="17"/>
              </w:rPr>
              <w:t>A</w:t>
            </w:r>
            <w:r w:rsidRPr="003C1EEA">
              <w:rPr>
                <w:sz w:val="17"/>
                <w:szCs w:val="17"/>
              </w:rPr>
              <w:t xml:space="preserve"> requires AIs to apply to Tier 2 capital in addition to the minimum adjustm</w:t>
            </w:r>
            <w:r>
              <w:rPr>
                <w:sz w:val="17"/>
                <w:szCs w:val="17"/>
              </w:rPr>
              <w:t>ents required under Basel III,</w:t>
            </w:r>
            <w:r w:rsidRPr="003C1EEA">
              <w:rPr>
                <w:sz w:val="17"/>
                <w:szCs w:val="17"/>
              </w:rPr>
              <w:t xml:space="preserve"> calculated as the sum of </w:t>
            </w:r>
            <w:r>
              <w:rPr>
                <w:sz w:val="17"/>
                <w:szCs w:val="17"/>
              </w:rPr>
              <w:t xml:space="preserve">values in </w:t>
            </w:r>
            <w:r w:rsidRPr="003C1EEA">
              <w:rPr>
                <w:sz w:val="17"/>
                <w:szCs w:val="17"/>
              </w:rPr>
              <w:t xml:space="preserve">any </w:t>
            </w:r>
            <w:r>
              <w:rPr>
                <w:sz w:val="17"/>
                <w:szCs w:val="17"/>
              </w:rPr>
              <w:t>additional</w:t>
            </w:r>
            <w:r w:rsidRPr="003C1EEA">
              <w:rPr>
                <w:sz w:val="17"/>
                <w:szCs w:val="17"/>
              </w:rPr>
              <w:t xml:space="preserve"> rows inserted between rows 56 and 57, if applicable.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56a</w:t>
            </w:r>
          </w:p>
        </w:tc>
        <w:tc>
          <w:tcPr>
            <w:tcW w:w="8647" w:type="dxa"/>
          </w:tcPr>
          <w:p w:rsidR="00545554" w:rsidRPr="003C1EEA" w:rsidRDefault="00545554" w:rsidP="003F5295">
            <w:pPr>
              <w:pStyle w:val="TableNote"/>
              <w:spacing w:before="40" w:after="40"/>
              <w:rPr>
                <w:sz w:val="17"/>
                <w:szCs w:val="17"/>
              </w:rPr>
            </w:pPr>
            <w:r w:rsidRPr="003C1EEA">
              <w:rPr>
                <w:sz w:val="17"/>
                <w:szCs w:val="17"/>
              </w:rPr>
              <w:t xml:space="preserve">The portion (i.e. 45%) of the property revaluation reserve that is permitted to be included / added back as Tier 2 capital under </w:t>
            </w:r>
            <w:r w:rsidRPr="00703BC0">
              <w:rPr>
                <w:sz w:val="17"/>
                <w:szCs w:val="17"/>
              </w:rPr>
              <w:t xml:space="preserve">BCR </w:t>
            </w:r>
            <w:r w:rsidRPr="00A8109E">
              <w:rPr>
                <w:sz w:val="17"/>
                <w:szCs w:val="17"/>
              </w:rPr>
              <w:t>§</w:t>
            </w:r>
            <w:r w:rsidRPr="003C1EEA">
              <w:rPr>
                <w:sz w:val="17"/>
                <w:szCs w:val="17"/>
              </w:rPr>
              <w:t xml:space="preserve">40(1)(d). </w:t>
            </w:r>
            <w:r>
              <w:rPr>
                <w:sz w:val="17"/>
                <w:szCs w:val="17"/>
              </w:rPr>
              <w:t xml:space="preserve"> </w:t>
            </w:r>
            <w:r w:rsidRPr="003C1EEA">
              <w:rPr>
                <w:sz w:val="17"/>
                <w:szCs w:val="17"/>
              </w:rPr>
              <w:t>This item has the effect of reducing the total regulatory deductions to Tier 2 capital and must be reported as a negative figure.</w:t>
            </w:r>
          </w:p>
        </w:tc>
      </w:tr>
      <w:tr w:rsidR="00EC2911" w:rsidRPr="00280717" w:rsidTr="00545554">
        <w:trPr>
          <w:trHeight w:val="373"/>
        </w:trPr>
        <w:tc>
          <w:tcPr>
            <w:tcW w:w="567" w:type="dxa"/>
          </w:tcPr>
          <w:p w:rsidR="00EC2911" w:rsidRDefault="00EC2911"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56b</w:t>
            </w:r>
          </w:p>
        </w:tc>
        <w:tc>
          <w:tcPr>
            <w:tcW w:w="8647" w:type="dxa"/>
          </w:tcPr>
          <w:p w:rsidR="00EC2911" w:rsidRPr="003C1EEA" w:rsidRDefault="00EC2911" w:rsidP="003F5295">
            <w:pPr>
              <w:pStyle w:val="TableNote"/>
              <w:spacing w:before="40" w:after="40"/>
              <w:rPr>
                <w:sz w:val="17"/>
                <w:szCs w:val="17"/>
              </w:rPr>
            </w:pPr>
            <w:r>
              <w:rPr>
                <w:sz w:val="17"/>
                <w:szCs w:val="17"/>
              </w:rPr>
              <w:t>For institutions that maintain any non-capital LAC debt resources, the amount by which the total amount of the AI’s holdings of non-capital LAC liabilities falling within BCR §48(1)(g) exceeds the institution’s non-capital LAC debt resources or, for institutions that do not maintain any non-capital LAC debt resources, the total amount of the institution’s holdings of non-capital LAC liabilities falling within BCR §48(1)(g).</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57</w:t>
            </w:r>
          </w:p>
        </w:tc>
        <w:tc>
          <w:tcPr>
            <w:tcW w:w="8647" w:type="dxa"/>
          </w:tcPr>
          <w:p w:rsidR="00545554" w:rsidRPr="00A53B22" w:rsidRDefault="00545554" w:rsidP="003F5295">
            <w:pPr>
              <w:pStyle w:val="TableNote"/>
              <w:spacing w:before="40" w:after="40"/>
              <w:rPr>
                <w:sz w:val="17"/>
                <w:szCs w:val="17"/>
              </w:rPr>
            </w:pPr>
            <w:r w:rsidRPr="003C1EEA">
              <w:rPr>
                <w:sz w:val="17"/>
                <w:szCs w:val="17"/>
              </w:rPr>
              <w:t xml:space="preserve">The sum of </w:t>
            </w:r>
            <w:r>
              <w:rPr>
                <w:sz w:val="17"/>
                <w:szCs w:val="17"/>
              </w:rPr>
              <w:t xml:space="preserve">values in </w:t>
            </w:r>
            <w:r w:rsidRPr="003C1EEA">
              <w:rPr>
                <w:sz w:val="17"/>
                <w:szCs w:val="17"/>
              </w:rPr>
              <w:t>rows 52 to 56</w:t>
            </w:r>
            <w:r w:rsidR="00EC2911">
              <w:rPr>
                <w:sz w:val="17"/>
                <w:szCs w:val="17"/>
              </w:rPr>
              <w:t>b</w:t>
            </w:r>
            <w:r w:rsidRPr="003C1EEA">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58</w:t>
            </w:r>
          </w:p>
        </w:tc>
        <w:tc>
          <w:tcPr>
            <w:tcW w:w="8647" w:type="dxa"/>
          </w:tcPr>
          <w:p w:rsidR="00545554" w:rsidRPr="00A53B22" w:rsidRDefault="00545554" w:rsidP="003F5295">
            <w:pPr>
              <w:pStyle w:val="TableNote"/>
              <w:spacing w:before="40" w:after="40"/>
              <w:rPr>
                <w:sz w:val="17"/>
                <w:szCs w:val="17"/>
              </w:rPr>
            </w:pPr>
            <w:r w:rsidRPr="000B3CBD">
              <w:rPr>
                <w:sz w:val="17"/>
                <w:szCs w:val="17"/>
              </w:rPr>
              <w:t xml:space="preserve">Tier 2 capital, calculated as </w:t>
            </w:r>
            <w:r>
              <w:rPr>
                <w:sz w:val="17"/>
                <w:szCs w:val="17"/>
              </w:rPr>
              <w:t xml:space="preserve">the difference of values in </w:t>
            </w:r>
            <w:r w:rsidRPr="000B3CBD">
              <w:rPr>
                <w:sz w:val="17"/>
                <w:szCs w:val="17"/>
              </w:rPr>
              <w:t xml:space="preserve">row 51 </w:t>
            </w:r>
            <w:r>
              <w:rPr>
                <w:sz w:val="17"/>
                <w:szCs w:val="17"/>
              </w:rPr>
              <w:t>and</w:t>
            </w:r>
            <w:r w:rsidRPr="000B3CBD">
              <w:rPr>
                <w:sz w:val="17"/>
                <w:szCs w:val="17"/>
              </w:rPr>
              <w:t xml:space="preserve"> row 57. </w:t>
            </w:r>
            <w:r>
              <w:rPr>
                <w:sz w:val="17"/>
                <w:szCs w:val="17"/>
              </w:rPr>
              <w:t xml:space="preserve"> </w:t>
            </w:r>
            <w:r w:rsidRPr="000B3CBD">
              <w:rPr>
                <w:sz w:val="17"/>
                <w:szCs w:val="17"/>
              </w:rPr>
              <w:t>If the amount reported in row 57 exceeds th</w:t>
            </w:r>
            <w:r>
              <w:rPr>
                <w:sz w:val="17"/>
                <w:szCs w:val="17"/>
              </w:rPr>
              <w:t>at</w:t>
            </w:r>
            <w:r w:rsidRPr="000B3CBD">
              <w:rPr>
                <w:sz w:val="17"/>
                <w:szCs w:val="17"/>
              </w:rPr>
              <w:t xml:space="preserve"> in row 51, include the excess amount in row 42 and report zero here.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59</w:t>
            </w:r>
          </w:p>
        </w:tc>
        <w:tc>
          <w:tcPr>
            <w:tcW w:w="8647" w:type="dxa"/>
          </w:tcPr>
          <w:p w:rsidR="00545554" w:rsidRPr="00A53B22" w:rsidRDefault="00545554" w:rsidP="003F5295">
            <w:pPr>
              <w:pStyle w:val="TableNote"/>
              <w:spacing w:before="40" w:after="40"/>
              <w:rPr>
                <w:sz w:val="17"/>
                <w:szCs w:val="17"/>
              </w:rPr>
            </w:pPr>
            <w:r w:rsidRPr="000B3CBD">
              <w:rPr>
                <w:sz w:val="17"/>
                <w:szCs w:val="17"/>
              </w:rPr>
              <w:t xml:space="preserve">Total capital, calculated as </w:t>
            </w:r>
            <w:r>
              <w:rPr>
                <w:sz w:val="17"/>
                <w:szCs w:val="17"/>
              </w:rPr>
              <w:t xml:space="preserve">the sum of values in </w:t>
            </w:r>
            <w:r w:rsidRPr="000B3CBD">
              <w:rPr>
                <w:sz w:val="17"/>
                <w:szCs w:val="17"/>
              </w:rPr>
              <w:t xml:space="preserve">row 45 </w:t>
            </w:r>
            <w:r>
              <w:rPr>
                <w:sz w:val="17"/>
                <w:szCs w:val="17"/>
              </w:rPr>
              <w:t>and</w:t>
            </w:r>
            <w:r w:rsidRPr="000B3CBD">
              <w:rPr>
                <w:sz w:val="17"/>
                <w:szCs w:val="17"/>
              </w:rPr>
              <w:t xml:space="preserve"> row 58.</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60</w:t>
            </w:r>
          </w:p>
        </w:tc>
        <w:tc>
          <w:tcPr>
            <w:tcW w:w="8647" w:type="dxa"/>
          </w:tcPr>
          <w:p w:rsidR="00545554" w:rsidRPr="00A53B22" w:rsidRDefault="00545554" w:rsidP="003F5295">
            <w:pPr>
              <w:pStyle w:val="TableNote"/>
              <w:spacing w:before="40" w:after="40"/>
              <w:rPr>
                <w:sz w:val="17"/>
                <w:szCs w:val="17"/>
              </w:rPr>
            </w:pPr>
            <w:r w:rsidRPr="000B3CBD">
              <w:rPr>
                <w:sz w:val="17"/>
                <w:szCs w:val="17"/>
              </w:rPr>
              <w:t xml:space="preserve">Total </w:t>
            </w:r>
            <w:r>
              <w:rPr>
                <w:sz w:val="17"/>
                <w:szCs w:val="17"/>
              </w:rPr>
              <w:t>RWA</w:t>
            </w:r>
            <w:r w:rsidRPr="000B3CBD">
              <w:rPr>
                <w:sz w:val="17"/>
                <w:szCs w:val="17"/>
              </w:rPr>
              <w:t xml:space="preserve"> of the </w:t>
            </w:r>
            <w:r>
              <w:rPr>
                <w:sz w:val="17"/>
                <w:szCs w:val="17"/>
              </w:rPr>
              <w:t>AI</w:t>
            </w:r>
            <w:r w:rsidRPr="000B3CBD">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61</w:t>
            </w:r>
          </w:p>
        </w:tc>
        <w:tc>
          <w:tcPr>
            <w:tcW w:w="8647" w:type="dxa"/>
          </w:tcPr>
          <w:p w:rsidR="00545554" w:rsidRPr="00A53B22" w:rsidRDefault="00545554" w:rsidP="003F5295">
            <w:pPr>
              <w:pStyle w:val="TableNote"/>
              <w:spacing w:before="40" w:after="40"/>
              <w:rPr>
                <w:sz w:val="17"/>
                <w:szCs w:val="17"/>
              </w:rPr>
            </w:pPr>
            <w:r w:rsidRPr="000B3CBD">
              <w:rPr>
                <w:sz w:val="17"/>
                <w:szCs w:val="17"/>
              </w:rPr>
              <w:t xml:space="preserve">CET1 capital ratio (as a percentage of </w:t>
            </w:r>
            <w:r>
              <w:rPr>
                <w:sz w:val="17"/>
                <w:szCs w:val="17"/>
              </w:rPr>
              <w:t>RWA</w:t>
            </w:r>
            <w:r w:rsidRPr="000B3CBD">
              <w:rPr>
                <w:sz w:val="17"/>
                <w:szCs w:val="17"/>
              </w:rPr>
              <w:t xml:space="preserve">), calculated as </w:t>
            </w:r>
            <w:r>
              <w:rPr>
                <w:sz w:val="17"/>
                <w:szCs w:val="17"/>
              </w:rPr>
              <w:t xml:space="preserve">the quotient of value in </w:t>
            </w:r>
            <w:r w:rsidRPr="000B3CBD">
              <w:rPr>
                <w:sz w:val="17"/>
                <w:szCs w:val="17"/>
              </w:rPr>
              <w:t xml:space="preserve">row 29 </w:t>
            </w:r>
            <w:r>
              <w:rPr>
                <w:sz w:val="17"/>
                <w:szCs w:val="17"/>
              </w:rPr>
              <w:t>to</w:t>
            </w:r>
            <w:r w:rsidRPr="000B3CBD">
              <w:rPr>
                <w:sz w:val="17"/>
                <w:szCs w:val="17"/>
              </w:rPr>
              <w:t xml:space="preserve"> </w:t>
            </w:r>
            <w:r>
              <w:rPr>
                <w:sz w:val="17"/>
                <w:szCs w:val="17"/>
              </w:rPr>
              <w:t xml:space="preserve">value in </w:t>
            </w:r>
            <w:r w:rsidRPr="000B3CBD">
              <w:rPr>
                <w:sz w:val="17"/>
                <w:szCs w:val="17"/>
              </w:rPr>
              <w:t>row 60</w:t>
            </w:r>
            <w:r>
              <w:rPr>
                <w:sz w:val="17"/>
                <w:szCs w:val="17"/>
              </w:rPr>
              <w:t xml:space="preserve">, </w:t>
            </w:r>
            <w:r w:rsidRPr="000B3CBD">
              <w:rPr>
                <w:sz w:val="17"/>
                <w:szCs w:val="17"/>
              </w:rPr>
              <w:t>expressed as a percentage.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62</w:t>
            </w:r>
          </w:p>
        </w:tc>
        <w:tc>
          <w:tcPr>
            <w:tcW w:w="8647" w:type="dxa"/>
          </w:tcPr>
          <w:p w:rsidR="00545554" w:rsidRPr="00A53B22" w:rsidRDefault="00545554" w:rsidP="003F5295">
            <w:pPr>
              <w:pStyle w:val="TableNote"/>
              <w:spacing w:before="40" w:after="40"/>
              <w:rPr>
                <w:sz w:val="17"/>
                <w:szCs w:val="17"/>
              </w:rPr>
            </w:pPr>
            <w:r w:rsidRPr="000B3CBD">
              <w:rPr>
                <w:sz w:val="17"/>
                <w:szCs w:val="17"/>
              </w:rPr>
              <w:t xml:space="preserve">Tier 1 capital ratio (as a percentage of </w:t>
            </w:r>
            <w:r>
              <w:rPr>
                <w:sz w:val="17"/>
                <w:szCs w:val="17"/>
              </w:rPr>
              <w:t>RWA</w:t>
            </w:r>
            <w:r w:rsidRPr="000B3CBD">
              <w:rPr>
                <w:sz w:val="17"/>
                <w:szCs w:val="17"/>
              </w:rPr>
              <w:t xml:space="preserve">), calculated as </w:t>
            </w:r>
            <w:r>
              <w:rPr>
                <w:sz w:val="17"/>
                <w:szCs w:val="17"/>
              </w:rPr>
              <w:t xml:space="preserve">the quotient of value in </w:t>
            </w:r>
            <w:r w:rsidRPr="000B3CBD">
              <w:rPr>
                <w:sz w:val="17"/>
                <w:szCs w:val="17"/>
              </w:rPr>
              <w:t xml:space="preserve">row 45 </w:t>
            </w:r>
            <w:r>
              <w:rPr>
                <w:sz w:val="17"/>
                <w:szCs w:val="17"/>
              </w:rPr>
              <w:t>to</w:t>
            </w:r>
            <w:r w:rsidRPr="000B3CBD">
              <w:rPr>
                <w:sz w:val="17"/>
                <w:szCs w:val="17"/>
              </w:rPr>
              <w:t xml:space="preserve"> </w:t>
            </w:r>
            <w:r>
              <w:rPr>
                <w:sz w:val="17"/>
                <w:szCs w:val="17"/>
              </w:rPr>
              <w:t xml:space="preserve">value in </w:t>
            </w:r>
            <w:r w:rsidRPr="000B3CBD">
              <w:rPr>
                <w:sz w:val="17"/>
                <w:szCs w:val="17"/>
              </w:rPr>
              <w:t>row 60</w:t>
            </w:r>
            <w:r>
              <w:rPr>
                <w:sz w:val="17"/>
                <w:szCs w:val="17"/>
              </w:rPr>
              <w:t>,</w:t>
            </w:r>
            <w:r w:rsidRPr="000B3CBD">
              <w:rPr>
                <w:sz w:val="17"/>
                <w:szCs w:val="17"/>
              </w:rPr>
              <w:t xml:space="preserve"> expressed as a percentage.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63</w:t>
            </w:r>
          </w:p>
        </w:tc>
        <w:tc>
          <w:tcPr>
            <w:tcW w:w="8647" w:type="dxa"/>
          </w:tcPr>
          <w:p w:rsidR="00545554" w:rsidRPr="00A53B22" w:rsidRDefault="00545554" w:rsidP="003F5295">
            <w:pPr>
              <w:pStyle w:val="TableNote"/>
              <w:spacing w:before="40" w:after="40"/>
              <w:rPr>
                <w:sz w:val="17"/>
                <w:szCs w:val="17"/>
              </w:rPr>
            </w:pPr>
            <w:r w:rsidRPr="003435A2">
              <w:rPr>
                <w:sz w:val="17"/>
                <w:szCs w:val="17"/>
              </w:rPr>
              <w:t xml:space="preserve">Total capital ratio (as a percentage of </w:t>
            </w:r>
            <w:r>
              <w:rPr>
                <w:sz w:val="17"/>
                <w:szCs w:val="17"/>
              </w:rPr>
              <w:t>RWA</w:t>
            </w:r>
            <w:r w:rsidRPr="003435A2">
              <w:rPr>
                <w:sz w:val="17"/>
                <w:szCs w:val="17"/>
              </w:rPr>
              <w:t xml:space="preserve">), calculated as </w:t>
            </w:r>
            <w:r>
              <w:rPr>
                <w:sz w:val="17"/>
                <w:szCs w:val="17"/>
              </w:rPr>
              <w:t xml:space="preserve">the quotient of value in </w:t>
            </w:r>
            <w:r w:rsidRPr="003435A2">
              <w:rPr>
                <w:sz w:val="17"/>
                <w:szCs w:val="17"/>
              </w:rPr>
              <w:t xml:space="preserve">row 59 </w:t>
            </w:r>
            <w:r>
              <w:rPr>
                <w:sz w:val="17"/>
                <w:szCs w:val="17"/>
              </w:rPr>
              <w:t>to</w:t>
            </w:r>
            <w:r w:rsidRPr="003435A2">
              <w:rPr>
                <w:sz w:val="17"/>
                <w:szCs w:val="17"/>
              </w:rPr>
              <w:t xml:space="preserve"> </w:t>
            </w:r>
            <w:r>
              <w:rPr>
                <w:sz w:val="17"/>
                <w:szCs w:val="17"/>
              </w:rPr>
              <w:t xml:space="preserve">value in </w:t>
            </w:r>
            <w:r w:rsidRPr="003435A2">
              <w:rPr>
                <w:sz w:val="17"/>
                <w:szCs w:val="17"/>
              </w:rPr>
              <w:t>row 60</w:t>
            </w:r>
            <w:r>
              <w:rPr>
                <w:sz w:val="17"/>
                <w:szCs w:val="17"/>
              </w:rPr>
              <w:t>,</w:t>
            </w:r>
            <w:r w:rsidRPr="003435A2">
              <w:rPr>
                <w:sz w:val="17"/>
                <w:szCs w:val="17"/>
              </w:rPr>
              <w:t xml:space="preserve"> expressed as a percentage.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64</w:t>
            </w:r>
          </w:p>
        </w:tc>
        <w:tc>
          <w:tcPr>
            <w:tcW w:w="8647" w:type="dxa"/>
          </w:tcPr>
          <w:p w:rsidR="00545554" w:rsidRPr="00A53B22" w:rsidRDefault="00545554" w:rsidP="00310756">
            <w:pPr>
              <w:pStyle w:val="TableNote"/>
              <w:spacing w:before="40" w:after="40"/>
              <w:rPr>
                <w:sz w:val="17"/>
                <w:szCs w:val="17"/>
              </w:rPr>
            </w:pPr>
            <w:r w:rsidRPr="00B67938">
              <w:rPr>
                <w:sz w:val="17"/>
                <w:szCs w:val="17"/>
              </w:rPr>
              <w:t xml:space="preserve">Institution-specific </w:t>
            </w:r>
            <w:r>
              <w:rPr>
                <w:sz w:val="17"/>
                <w:szCs w:val="17"/>
              </w:rPr>
              <w:t xml:space="preserve">buffer requirement (i.e. </w:t>
            </w:r>
            <w:r w:rsidRPr="00B67938">
              <w:rPr>
                <w:sz w:val="17"/>
                <w:szCs w:val="17"/>
              </w:rPr>
              <w:t>capital conservation buffer</w:t>
            </w:r>
            <w:r>
              <w:rPr>
                <w:sz w:val="17"/>
                <w:szCs w:val="17"/>
              </w:rPr>
              <w:t xml:space="preserve"> (“CB”)</w:t>
            </w:r>
            <w:r w:rsidRPr="00B67938">
              <w:rPr>
                <w:sz w:val="17"/>
                <w:szCs w:val="17"/>
              </w:rPr>
              <w:t xml:space="preserve">, any countercyclical </w:t>
            </w:r>
            <w:r>
              <w:rPr>
                <w:sz w:val="17"/>
                <w:szCs w:val="17"/>
              </w:rPr>
              <w:t xml:space="preserve">capital </w:t>
            </w:r>
            <w:r w:rsidRPr="00B67938">
              <w:rPr>
                <w:sz w:val="17"/>
                <w:szCs w:val="17"/>
              </w:rPr>
              <w:t xml:space="preserve">buffer </w:t>
            </w:r>
            <w:r>
              <w:rPr>
                <w:sz w:val="17"/>
                <w:szCs w:val="17"/>
              </w:rPr>
              <w:t>(“CCyB”)</w:t>
            </w:r>
            <w:r w:rsidRPr="00B67938">
              <w:rPr>
                <w:sz w:val="17"/>
                <w:szCs w:val="17"/>
              </w:rPr>
              <w:t xml:space="preserve"> </w:t>
            </w:r>
            <w:r>
              <w:rPr>
                <w:sz w:val="17"/>
                <w:szCs w:val="17"/>
              </w:rPr>
              <w:t>and</w:t>
            </w:r>
            <w:r w:rsidRPr="00B67938">
              <w:rPr>
                <w:sz w:val="17"/>
                <w:szCs w:val="17"/>
              </w:rPr>
              <w:t xml:space="preserve"> </w:t>
            </w:r>
            <w:r>
              <w:rPr>
                <w:sz w:val="17"/>
                <w:szCs w:val="17"/>
              </w:rPr>
              <w:t>any higher loss absorbency</w:t>
            </w:r>
            <w:r w:rsidRPr="00B67938">
              <w:rPr>
                <w:sz w:val="17"/>
                <w:szCs w:val="17"/>
              </w:rPr>
              <w:t xml:space="preserve"> </w:t>
            </w:r>
            <w:r>
              <w:rPr>
                <w:sz w:val="17"/>
                <w:szCs w:val="17"/>
              </w:rPr>
              <w:t xml:space="preserve">(“HLA”) </w:t>
            </w:r>
            <w:r w:rsidRPr="00B67938">
              <w:rPr>
                <w:sz w:val="17"/>
                <w:szCs w:val="17"/>
              </w:rPr>
              <w:t xml:space="preserve">requirements, all expressed as a percentage of </w:t>
            </w:r>
            <w:r>
              <w:rPr>
                <w:sz w:val="17"/>
                <w:szCs w:val="17"/>
              </w:rPr>
              <w:t>RWA</w:t>
            </w:r>
            <w:r w:rsidRPr="00B67938">
              <w:rPr>
                <w:sz w:val="17"/>
                <w:szCs w:val="17"/>
              </w:rPr>
              <w:t xml:space="preserve">), to be calculated </w:t>
            </w:r>
            <w:r w:rsidR="00A23C56">
              <w:rPr>
                <w:sz w:val="17"/>
                <w:szCs w:val="17"/>
              </w:rPr>
              <w:t>in accordance with the level</w:t>
            </w:r>
            <w:r w:rsidR="00310756">
              <w:rPr>
                <w:sz w:val="17"/>
                <w:szCs w:val="17"/>
              </w:rPr>
              <w:t xml:space="preserve"> </w:t>
            </w:r>
            <w:r w:rsidR="00F278F3">
              <w:rPr>
                <w:sz w:val="17"/>
                <w:szCs w:val="17"/>
              </w:rPr>
              <w:t xml:space="preserve">specified </w:t>
            </w:r>
            <w:r w:rsidR="004D12A5">
              <w:rPr>
                <w:sz w:val="17"/>
                <w:szCs w:val="17"/>
              </w:rPr>
              <w:t>in</w:t>
            </w:r>
            <w:r w:rsidR="00F278F3">
              <w:rPr>
                <w:sz w:val="17"/>
                <w:szCs w:val="17"/>
              </w:rPr>
              <w:t xml:space="preserve"> BCR </w:t>
            </w:r>
            <w:r w:rsidR="00F278F3" w:rsidRPr="00A8109E">
              <w:rPr>
                <w:sz w:val="17"/>
                <w:szCs w:val="17"/>
              </w:rPr>
              <w:t>§</w:t>
            </w:r>
            <w:r w:rsidR="00F278F3">
              <w:rPr>
                <w:sz w:val="17"/>
                <w:szCs w:val="17"/>
              </w:rPr>
              <w:t>3M</w:t>
            </w:r>
            <w:r w:rsidR="00A23C56">
              <w:rPr>
                <w:sz w:val="17"/>
                <w:szCs w:val="17"/>
              </w:rPr>
              <w:t xml:space="preserve"> for</w:t>
            </w:r>
            <w:r w:rsidR="00F278F3">
              <w:rPr>
                <w:sz w:val="17"/>
                <w:szCs w:val="17"/>
              </w:rPr>
              <w:t xml:space="preserve"> </w:t>
            </w:r>
            <w:r>
              <w:rPr>
                <w:sz w:val="17"/>
                <w:szCs w:val="17"/>
              </w:rPr>
              <w:t>CB</w:t>
            </w:r>
            <w:r w:rsidRPr="00B67938">
              <w:rPr>
                <w:sz w:val="17"/>
                <w:szCs w:val="17"/>
              </w:rPr>
              <w:t xml:space="preserve"> requirement, plus the institution-specific </w:t>
            </w:r>
            <w:r>
              <w:rPr>
                <w:sz w:val="17"/>
                <w:szCs w:val="17"/>
              </w:rPr>
              <w:t>CCyB</w:t>
            </w:r>
            <w:r w:rsidRPr="00B67938">
              <w:rPr>
                <w:sz w:val="17"/>
                <w:szCs w:val="17"/>
              </w:rPr>
              <w:t xml:space="preserve"> requirement and the institution</w:t>
            </w:r>
            <w:r>
              <w:rPr>
                <w:sz w:val="17"/>
                <w:szCs w:val="17"/>
              </w:rPr>
              <w:t>-</w:t>
            </w:r>
            <w:r w:rsidRPr="00B67938">
              <w:rPr>
                <w:sz w:val="17"/>
                <w:szCs w:val="17"/>
              </w:rPr>
              <w:t xml:space="preserve">specific </w:t>
            </w:r>
            <w:r>
              <w:rPr>
                <w:sz w:val="17"/>
                <w:szCs w:val="17"/>
              </w:rPr>
              <w:t>HLA</w:t>
            </w:r>
            <w:r w:rsidRPr="00B67938">
              <w:rPr>
                <w:sz w:val="17"/>
                <w:szCs w:val="17"/>
              </w:rPr>
              <w:t xml:space="preserve"> requirement.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65</w:t>
            </w:r>
          </w:p>
        </w:tc>
        <w:tc>
          <w:tcPr>
            <w:tcW w:w="8647" w:type="dxa"/>
          </w:tcPr>
          <w:p w:rsidR="00545554" w:rsidRPr="00A53B22" w:rsidRDefault="00545554" w:rsidP="00A23C56">
            <w:pPr>
              <w:pStyle w:val="TableNote"/>
              <w:spacing w:before="40" w:after="40"/>
              <w:rPr>
                <w:sz w:val="17"/>
                <w:szCs w:val="17"/>
              </w:rPr>
            </w:pPr>
            <w:r w:rsidRPr="00B67938">
              <w:rPr>
                <w:sz w:val="17"/>
                <w:szCs w:val="17"/>
              </w:rPr>
              <w:t xml:space="preserve">The amount in row 64 (expressed as a percentage of </w:t>
            </w:r>
            <w:r>
              <w:rPr>
                <w:sz w:val="17"/>
                <w:szCs w:val="17"/>
              </w:rPr>
              <w:t>RWA</w:t>
            </w:r>
            <w:r w:rsidRPr="00B67938">
              <w:rPr>
                <w:sz w:val="17"/>
                <w:szCs w:val="17"/>
              </w:rPr>
              <w:t xml:space="preserve">) that relates to the </w:t>
            </w:r>
            <w:r>
              <w:rPr>
                <w:sz w:val="17"/>
                <w:szCs w:val="17"/>
              </w:rPr>
              <w:t>CB</w:t>
            </w:r>
            <w:r w:rsidRPr="00B67938">
              <w:rPr>
                <w:sz w:val="17"/>
                <w:szCs w:val="17"/>
              </w:rPr>
              <w:t xml:space="preserve"> </w:t>
            </w:r>
            <w:r>
              <w:rPr>
                <w:sz w:val="17"/>
                <w:szCs w:val="17"/>
              </w:rPr>
              <w:t xml:space="preserve">requirement </w:t>
            </w:r>
            <w:r w:rsidRPr="00B67938">
              <w:rPr>
                <w:sz w:val="17"/>
                <w:szCs w:val="17"/>
              </w:rPr>
              <w:t xml:space="preserve">(i.e. </w:t>
            </w:r>
            <w:r>
              <w:rPr>
                <w:sz w:val="17"/>
                <w:szCs w:val="17"/>
              </w:rPr>
              <w:t>to</w:t>
            </w:r>
            <w:r w:rsidRPr="00B67938">
              <w:rPr>
                <w:sz w:val="17"/>
                <w:szCs w:val="17"/>
              </w:rPr>
              <w:t xml:space="preserve"> report</w:t>
            </w:r>
            <w:r w:rsidR="00F278F3">
              <w:rPr>
                <w:sz w:val="17"/>
                <w:szCs w:val="17"/>
              </w:rPr>
              <w:t xml:space="preserve"> the </w:t>
            </w:r>
            <w:r w:rsidR="00A23C56">
              <w:rPr>
                <w:sz w:val="17"/>
                <w:szCs w:val="17"/>
              </w:rPr>
              <w:t xml:space="preserve">level </w:t>
            </w:r>
            <w:r w:rsidR="00F278F3">
              <w:rPr>
                <w:sz w:val="17"/>
                <w:szCs w:val="17"/>
              </w:rPr>
              <w:t xml:space="preserve">specified </w:t>
            </w:r>
            <w:r w:rsidR="004D12A5">
              <w:rPr>
                <w:sz w:val="17"/>
                <w:szCs w:val="17"/>
              </w:rPr>
              <w:t>in</w:t>
            </w:r>
            <w:r w:rsidR="00F278F3">
              <w:rPr>
                <w:sz w:val="17"/>
                <w:szCs w:val="17"/>
              </w:rPr>
              <w:t xml:space="preserve"> BCR </w:t>
            </w:r>
            <w:r w:rsidR="00F278F3" w:rsidRPr="00A8109E">
              <w:rPr>
                <w:sz w:val="17"/>
                <w:szCs w:val="17"/>
              </w:rPr>
              <w:t>§</w:t>
            </w:r>
            <w:r w:rsidR="00F278F3">
              <w:rPr>
                <w:sz w:val="17"/>
                <w:szCs w:val="17"/>
              </w:rPr>
              <w:t>3M</w:t>
            </w:r>
            <w:r w:rsidRPr="00B67938">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66</w:t>
            </w:r>
          </w:p>
        </w:tc>
        <w:tc>
          <w:tcPr>
            <w:tcW w:w="8647" w:type="dxa"/>
          </w:tcPr>
          <w:p w:rsidR="00545554" w:rsidRPr="00A53B22" w:rsidRDefault="00545554" w:rsidP="005E25C4">
            <w:pPr>
              <w:pStyle w:val="TableNote"/>
              <w:spacing w:before="40" w:after="40"/>
              <w:rPr>
                <w:sz w:val="17"/>
                <w:szCs w:val="17"/>
              </w:rPr>
            </w:pPr>
            <w:r w:rsidRPr="00B67938">
              <w:rPr>
                <w:sz w:val="17"/>
                <w:szCs w:val="17"/>
              </w:rPr>
              <w:t xml:space="preserve">The amount in row 64 (expressed as a percentage of </w:t>
            </w:r>
            <w:r>
              <w:rPr>
                <w:sz w:val="17"/>
                <w:szCs w:val="17"/>
              </w:rPr>
              <w:t>RWA</w:t>
            </w:r>
            <w:r w:rsidRPr="00B67938">
              <w:rPr>
                <w:sz w:val="17"/>
                <w:szCs w:val="17"/>
              </w:rPr>
              <w:t xml:space="preserve">) that relates to the institution-specific </w:t>
            </w:r>
            <w:r>
              <w:rPr>
                <w:sz w:val="17"/>
                <w:szCs w:val="17"/>
              </w:rPr>
              <w:t>CCyB requirem</w:t>
            </w:r>
            <w:r w:rsidRPr="00DF54A6">
              <w:rPr>
                <w:sz w:val="17"/>
                <w:szCs w:val="17"/>
              </w:rPr>
              <w:t>ent, which is equal to the value reported in cell N+2/d of Template CCyB1.</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67</w:t>
            </w:r>
          </w:p>
        </w:tc>
        <w:tc>
          <w:tcPr>
            <w:tcW w:w="8647" w:type="dxa"/>
          </w:tcPr>
          <w:p w:rsidR="00545554" w:rsidRPr="00A53B22" w:rsidRDefault="00545554" w:rsidP="003F5295">
            <w:pPr>
              <w:pStyle w:val="TableNote"/>
              <w:spacing w:before="40" w:after="40"/>
              <w:rPr>
                <w:sz w:val="17"/>
                <w:szCs w:val="17"/>
              </w:rPr>
            </w:pPr>
            <w:r w:rsidRPr="00B67938">
              <w:rPr>
                <w:sz w:val="17"/>
                <w:szCs w:val="17"/>
              </w:rPr>
              <w:t xml:space="preserve">The amount in row 64 (expressed as a percentage of </w:t>
            </w:r>
            <w:r>
              <w:rPr>
                <w:sz w:val="17"/>
                <w:szCs w:val="17"/>
              </w:rPr>
              <w:t>RWA</w:t>
            </w:r>
            <w:r w:rsidRPr="00B67938">
              <w:rPr>
                <w:sz w:val="17"/>
                <w:szCs w:val="17"/>
              </w:rPr>
              <w:t xml:space="preserve">) relates to any </w:t>
            </w:r>
            <w:r>
              <w:rPr>
                <w:sz w:val="17"/>
                <w:szCs w:val="17"/>
              </w:rPr>
              <w:t>HLA</w:t>
            </w:r>
            <w:r w:rsidRPr="00B67938">
              <w:rPr>
                <w:sz w:val="17"/>
                <w:szCs w:val="17"/>
              </w:rPr>
              <w:t xml:space="preserve"> requirements</w:t>
            </w:r>
            <w:r>
              <w:rPr>
                <w:sz w:val="17"/>
                <w:szCs w:val="17"/>
              </w:rPr>
              <w:t>, if</w:t>
            </w:r>
            <w:r w:rsidRPr="00B67938">
              <w:rPr>
                <w:sz w:val="17"/>
                <w:szCs w:val="17"/>
              </w:rPr>
              <w:t xml:space="preserve"> applicable.</w:t>
            </w:r>
            <w:r>
              <w:rPr>
                <w:sz w:val="17"/>
                <w:szCs w:val="17"/>
              </w:rPr>
              <w:t xml:space="preserve">  An AI should report the HLA requirement applicable to it as a G-SIB</w:t>
            </w:r>
            <w:r w:rsidRPr="002A5583">
              <w:rPr>
                <w:sz w:val="17"/>
                <w:szCs w:val="17"/>
              </w:rPr>
              <w:t xml:space="preserve"> or a D-SIB, whichever is higher</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68</w:t>
            </w:r>
          </w:p>
        </w:tc>
        <w:tc>
          <w:tcPr>
            <w:tcW w:w="8647" w:type="dxa"/>
          </w:tcPr>
          <w:p w:rsidR="00545554" w:rsidRDefault="00545554" w:rsidP="003F5295">
            <w:pPr>
              <w:pStyle w:val="TableNote"/>
              <w:spacing w:before="40" w:after="40"/>
              <w:rPr>
                <w:sz w:val="17"/>
                <w:szCs w:val="17"/>
              </w:rPr>
            </w:pPr>
            <w:r w:rsidRPr="000D6AF7">
              <w:rPr>
                <w:sz w:val="17"/>
                <w:szCs w:val="17"/>
              </w:rPr>
              <w:t xml:space="preserve">CET1 (as a percentage of risk-weighted assets) available after meeting the </w:t>
            </w:r>
            <w:r>
              <w:rPr>
                <w:sz w:val="17"/>
                <w:szCs w:val="17"/>
              </w:rPr>
              <w:t>AI</w:t>
            </w:r>
            <w:r w:rsidRPr="000D6AF7">
              <w:rPr>
                <w:sz w:val="17"/>
                <w:szCs w:val="17"/>
              </w:rPr>
              <w:t>’s minimum capital requirements</w:t>
            </w:r>
            <w:r>
              <w:rPr>
                <w:sz w:val="17"/>
                <w:szCs w:val="17"/>
              </w:rPr>
              <w:t>,</w:t>
            </w:r>
            <w:r w:rsidRPr="000D6AF7">
              <w:rPr>
                <w:sz w:val="17"/>
                <w:szCs w:val="17"/>
              </w:rPr>
              <w:t xml:space="preserve"> calculated as the CET1 </w:t>
            </w:r>
            <w:r>
              <w:rPr>
                <w:sz w:val="17"/>
                <w:szCs w:val="17"/>
              </w:rPr>
              <w:t xml:space="preserve">capital ratio </w:t>
            </w:r>
            <w:r w:rsidRPr="000D6AF7">
              <w:rPr>
                <w:sz w:val="17"/>
                <w:szCs w:val="17"/>
              </w:rPr>
              <w:t xml:space="preserve">(row 61) less </w:t>
            </w:r>
            <w:r>
              <w:rPr>
                <w:sz w:val="17"/>
                <w:szCs w:val="17"/>
              </w:rPr>
              <w:t>the sum of ratios of</w:t>
            </w:r>
            <w:r w:rsidRPr="00B67938">
              <w:rPr>
                <w:sz w:val="17"/>
                <w:szCs w:val="17"/>
              </w:rPr>
              <w:t xml:space="preserve"> (i) the 4.5% minimum CET1 requirement under </w:t>
            </w:r>
            <w:r w:rsidRPr="00703BC0">
              <w:rPr>
                <w:sz w:val="17"/>
                <w:szCs w:val="17"/>
              </w:rPr>
              <w:t xml:space="preserve">BCR </w:t>
            </w:r>
            <w:r w:rsidRPr="00A8109E">
              <w:rPr>
                <w:sz w:val="17"/>
                <w:szCs w:val="17"/>
              </w:rPr>
              <w:t>§</w:t>
            </w:r>
            <w:r w:rsidRPr="00B67938">
              <w:rPr>
                <w:sz w:val="17"/>
                <w:szCs w:val="17"/>
              </w:rPr>
              <w:t xml:space="preserve">3B; and (ii) any other CET1 capital required to meet the minimum Tier 1 and Total capital requirements under </w:t>
            </w:r>
            <w:r w:rsidRPr="00703BC0">
              <w:rPr>
                <w:sz w:val="17"/>
                <w:szCs w:val="17"/>
              </w:rPr>
              <w:t xml:space="preserve">BCR </w:t>
            </w:r>
            <w:r w:rsidRPr="00A8109E">
              <w:rPr>
                <w:sz w:val="17"/>
                <w:szCs w:val="17"/>
              </w:rPr>
              <w:t>§</w:t>
            </w:r>
            <w:r w:rsidRPr="00B67938">
              <w:rPr>
                <w:sz w:val="17"/>
                <w:szCs w:val="17"/>
              </w:rPr>
              <w:t xml:space="preserve">43(1)(r) and </w:t>
            </w:r>
            <w:r w:rsidR="00B55F7D" w:rsidRPr="00A8109E">
              <w:rPr>
                <w:sz w:val="17"/>
                <w:szCs w:val="17"/>
              </w:rPr>
              <w:t>§</w:t>
            </w:r>
            <w:r w:rsidRPr="00B67938">
              <w:rPr>
                <w:sz w:val="17"/>
                <w:szCs w:val="17"/>
              </w:rPr>
              <w:t>47(1)(g).</w:t>
            </w:r>
          </w:p>
          <w:p w:rsidR="00545554" w:rsidRPr="00A53B22" w:rsidRDefault="00545554" w:rsidP="003F5295">
            <w:pPr>
              <w:pStyle w:val="TableNote"/>
              <w:spacing w:before="40" w:after="40"/>
              <w:rPr>
                <w:sz w:val="17"/>
                <w:szCs w:val="17"/>
              </w:rPr>
            </w:pPr>
            <w:r w:rsidRPr="000D6AF7">
              <w:rPr>
                <w:sz w:val="17"/>
                <w:szCs w:val="17"/>
              </w:rPr>
              <w:t>For example, suppose a</w:t>
            </w:r>
            <w:r>
              <w:rPr>
                <w:sz w:val="17"/>
                <w:szCs w:val="17"/>
              </w:rPr>
              <w:t>n AI</w:t>
            </w:r>
            <w:r w:rsidRPr="000D6AF7">
              <w:rPr>
                <w:sz w:val="17"/>
                <w:szCs w:val="17"/>
              </w:rPr>
              <w:t xml:space="preserve"> has 100 RWA, 10 CET1 capital, 1.5 </w:t>
            </w:r>
            <w:r>
              <w:rPr>
                <w:sz w:val="17"/>
                <w:szCs w:val="17"/>
              </w:rPr>
              <w:t>AT</w:t>
            </w:r>
            <w:r w:rsidRPr="000D6AF7">
              <w:rPr>
                <w:sz w:val="17"/>
                <w:szCs w:val="17"/>
              </w:rPr>
              <w:t xml:space="preserve">1 capital and no Tier 2 capital. Since it does not have any Tier 2 capital, it will have to earmark its CET1 capital to meet the 8% minimum capital requirement. </w:t>
            </w:r>
            <w:r>
              <w:rPr>
                <w:sz w:val="17"/>
                <w:szCs w:val="17"/>
              </w:rPr>
              <w:t xml:space="preserve"> </w:t>
            </w:r>
            <w:r w:rsidRPr="000D6AF7">
              <w:rPr>
                <w:sz w:val="17"/>
                <w:szCs w:val="17"/>
              </w:rPr>
              <w:t xml:space="preserve">The net CET1 capital left to meet other requirements (which could include Pillar 2 </w:t>
            </w:r>
            <w:r>
              <w:rPr>
                <w:sz w:val="17"/>
                <w:szCs w:val="17"/>
              </w:rPr>
              <w:t xml:space="preserve">or </w:t>
            </w:r>
            <w:r w:rsidRPr="000D6AF7">
              <w:rPr>
                <w:sz w:val="17"/>
                <w:szCs w:val="17"/>
              </w:rPr>
              <w:t>buffers requirements) will be 10 – 4.5 – 2 = 3.5.</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69</w:t>
            </w:r>
          </w:p>
        </w:tc>
        <w:tc>
          <w:tcPr>
            <w:tcW w:w="8647" w:type="dxa"/>
            <w:shd w:val="clear" w:color="auto" w:fill="FFFF00"/>
          </w:tcPr>
          <w:p w:rsidR="00545554" w:rsidRPr="00A53B22" w:rsidRDefault="00545554" w:rsidP="003F5295">
            <w:pPr>
              <w:pStyle w:val="TableNote"/>
              <w:spacing w:before="40" w:after="40"/>
              <w:rPr>
                <w:sz w:val="17"/>
                <w:szCs w:val="17"/>
              </w:rPr>
            </w:pPr>
            <w:r w:rsidRPr="000F2F8D">
              <w:rPr>
                <w:sz w:val="17"/>
                <w:szCs w:val="17"/>
              </w:rPr>
              <w:t>This row is not applicable in the case of Hong Kong where the CET1 capital ratio is as defined under Basel III.</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70</w:t>
            </w:r>
          </w:p>
        </w:tc>
        <w:tc>
          <w:tcPr>
            <w:tcW w:w="8647" w:type="dxa"/>
            <w:shd w:val="clear" w:color="auto" w:fill="FFFF00"/>
          </w:tcPr>
          <w:p w:rsidR="00545554" w:rsidRPr="00A53B22" w:rsidRDefault="00545554" w:rsidP="003F5295">
            <w:pPr>
              <w:pStyle w:val="TableNote"/>
              <w:spacing w:before="40" w:after="40"/>
              <w:rPr>
                <w:sz w:val="17"/>
                <w:szCs w:val="17"/>
              </w:rPr>
            </w:pPr>
            <w:r w:rsidRPr="000F2F8D">
              <w:rPr>
                <w:sz w:val="17"/>
                <w:szCs w:val="17"/>
              </w:rPr>
              <w:t>This row is not applicable in the case of Hong Kong where the Tier 1 capital ratio is as defined under Basel III.</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71</w:t>
            </w:r>
          </w:p>
        </w:tc>
        <w:tc>
          <w:tcPr>
            <w:tcW w:w="8647" w:type="dxa"/>
            <w:shd w:val="clear" w:color="auto" w:fill="FFFF00"/>
          </w:tcPr>
          <w:p w:rsidR="00545554" w:rsidRPr="00A53B22" w:rsidRDefault="00545554" w:rsidP="003F5295">
            <w:pPr>
              <w:pStyle w:val="TableNote"/>
              <w:spacing w:before="40" w:after="40"/>
              <w:rPr>
                <w:sz w:val="17"/>
                <w:szCs w:val="17"/>
              </w:rPr>
            </w:pPr>
            <w:r w:rsidRPr="000F2F8D">
              <w:rPr>
                <w:sz w:val="17"/>
                <w:szCs w:val="17"/>
              </w:rPr>
              <w:t>This row is not applicable in the case of Hong Kong where the Total capital ratio is as defined under Basel III.</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72</w:t>
            </w:r>
          </w:p>
        </w:tc>
        <w:tc>
          <w:tcPr>
            <w:tcW w:w="8647" w:type="dxa"/>
          </w:tcPr>
          <w:p w:rsidR="00545554" w:rsidRPr="00A53B22" w:rsidRDefault="00545554" w:rsidP="00D013D3">
            <w:pPr>
              <w:pStyle w:val="TableNote"/>
              <w:spacing w:before="40" w:after="40"/>
              <w:rPr>
                <w:sz w:val="17"/>
                <w:szCs w:val="17"/>
              </w:rPr>
            </w:pPr>
            <w:r w:rsidRPr="000F2F8D">
              <w:rPr>
                <w:sz w:val="17"/>
                <w:szCs w:val="17"/>
              </w:rPr>
              <w:t xml:space="preserve">Insignificant </w:t>
            </w:r>
            <w:r w:rsidR="00D013D3">
              <w:rPr>
                <w:sz w:val="17"/>
                <w:szCs w:val="17"/>
              </w:rPr>
              <w:t xml:space="preserve">LAC </w:t>
            </w:r>
            <w:r w:rsidRPr="000F2F8D">
              <w:rPr>
                <w:sz w:val="17"/>
                <w:szCs w:val="17"/>
              </w:rPr>
              <w:t>investments in CET1, AT1</w:t>
            </w:r>
            <w:r w:rsidR="00D013D3">
              <w:rPr>
                <w:sz w:val="17"/>
                <w:szCs w:val="17"/>
              </w:rPr>
              <w:t>,</w:t>
            </w:r>
            <w:r w:rsidRPr="000F2F8D">
              <w:rPr>
                <w:sz w:val="17"/>
                <w:szCs w:val="17"/>
              </w:rPr>
              <w:t xml:space="preserve"> Tier 2 capital instruments issued by</w:t>
            </w:r>
            <w:r w:rsidR="00D013D3">
              <w:rPr>
                <w:sz w:val="17"/>
                <w:szCs w:val="17"/>
              </w:rPr>
              <w:t>, and non-capital LAC liabilities of,</w:t>
            </w:r>
            <w:r w:rsidRPr="000F2F8D">
              <w:rPr>
                <w:sz w:val="17"/>
                <w:szCs w:val="17"/>
              </w:rPr>
              <w:t xml:space="preserve"> financial sector entities outside the regulatory scope of consolidation, to the extent that such holdings are not </w:t>
            </w:r>
            <w:r w:rsidRPr="000F2F8D">
              <w:rPr>
                <w:sz w:val="17"/>
                <w:szCs w:val="17"/>
              </w:rPr>
              <w:lastRenderedPageBreak/>
              <w:t xml:space="preserve">reported in row 18, row 39 </w:t>
            </w:r>
            <w:r>
              <w:rPr>
                <w:sz w:val="17"/>
                <w:szCs w:val="17"/>
              </w:rPr>
              <w:t xml:space="preserve">and </w:t>
            </w:r>
            <w:r w:rsidRPr="000F2F8D">
              <w:rPr>
                <w:sz w:val="17"/>
                <w:szCs w:val="17"/>
              </w:rPr>
              <w:t>row 54.</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73</w:t>
            </w:r>
          </w:p>
        </w:tc>
        <w:tc>
          <w:tcPr>
            <w:tcW w:w="8647" w:type="dxa"/>
          </w:tcPr>
          <w:p w:rsidR="00545554" w:rsidRPr="00A53B22" w:rsidRDefault="00545554" w:rsidP="00D013D3">
            <w:pPr>
              <w:pStyle w:val="TableNote"/>
              <w:spacing w:before="40" w:after="40"/>
              <w:rPr>
                <w:sz w:val="17"/>
                <w:szCs w:val="17"/>
              </w:rPr>
            </w:pPr>
            <w:r w:rsidRPr="000F2F8D">
              <w:rPr>
                <w:sz w:val="17"/>
                <w:szCs w:val="17"/>
              </w:rPr>
              <w:t xml:space="preserve">Significant </w:t>
            </w:r>
            <w:r w:rsidR="00D013D3">
              <w:rPr>
                <w:sz w:val="17"/>
                <w:szCs w:val="17"/>
              </w:rPr>
              <w:t xml:space="preserve">LAC </w:t>
            </w:r>
            <w:r w:rsidRPr="000F2F8D">
              <w:rPr>
                <w:sz w:val="17"/>
                <w:szCs w:val="17"/>
              </w:rPr>
              <w:t>investments in CET1 capital instruments issued by financial sector entities that are outside the regulatory scope of consolidation, to the extent that such holdings are not reported in row 19</w:t>
            </w:r>
            <w:r>
              <w:rPr>
                <w:sz w:val="17"/>
                <w:szCs w:val="17"/>
              </w:rPr>
              <w:t xml:space="preserve"> and row 23</w:t>
            </w:r>
            <w:r w:rsidRPr="000F2F8D">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74</w:t>
            </w:r>
          </w:p>
        </w:tc>
        <w:tc>
          <w:tcPr>
            <w:tcW w:w="8647" w:type="dxa"/>
            <w:shd w:val="clear" w:color="auto" w:fill="FFFF00"/>
          </w:tcPr>
          <w:p w:rsidR="00545554" w:rsidRPr="00A53B22" w:rsidRDefault="00545554" w:rsidP="003F5295">
            <w:pPr>
              <w:pStyle w:val="TableNote"/>
              <w:spacing w:before="40" w:after="40"/>
              <w:rPr>
                <w:sz w:val="17"/>
                <w:szCs w:val="17"/>
              </w:rPr>
            </w:pPr>
            <w:r w:rsidRPr="000F2F8D">
              <w:rPr>
                <w:sz w:val="17"/>
                <w:szCs w:val="17"/>
              </w:rPr>
              <w:t>This row is not applicable in the case of Hong Kong</w:t>
            </w:r>
            <w:r>
              <w:rPr>
                <w:sz w:val="17"/>
                <w:szCs w:val="17"/>
              </w:rPr>
              <w:t>, as MSRs are fully deducted</w:t>
            </w:r>
            <w:r w:rsidRPr="000F2F8D">
              <w:rPr>
                <w:sz w:val="17"/>
                <w:szCs w:val="17"/>
              </w:rPr>
              <w:t xml:space="preserve">. </w:t>
            </w:r>
            <w:r>
              <w:rPr>
                <w:sz w:val="17"/>
                <w:szCs w:val="17"/>
              </w:rPr>
              <w:t xml:space="preserve"> </w:t>
            </w:r>
            <w:r w:rsidRPr="000F2F8D">
              <w:rPr>
                <w:sz w:val="17"/>
                <w:szCs w:val="17"/>
              </w:rPr>
              <w:t>Please refer to row 20.</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75</w:t>
            </w:r>
          </w:p>
        </w:tc>
        <w:tc>
          <w:tcPr>
            <w:tcW w:w="8647" w:type="dxa"/>
            <w:shd w:val="clear" w:color="auto" w:fill="FFFF00"/>
          </w:tcPr>
          <w:p w:rsidR="00545554" w:rsidRPr="00A53B22" w:rsidRDefault="00545554" w:rsidP="003F5295">
            <w:pPr>
              <w:pStyle w:val="TableNote"/>
              <w:spacing w:before="40" w:after="40"/>
              <w:rPr>
                <w:sz w:val="17"/>
                <w:szCs w:val="17"/>
              </w:rPr>
            </w:pPr>
            <w:r w:rsidRPr="000F2F8D">
              <w:rPr>
                <w:sz w:val="17"/>
                <w:szCs w:val="17"/>
              </w:rPr>
              <w:t>This row is not applicable in the case of Hong Kong</w:t>
            </w:r>
            <w:r>
              <w:rPr>
                <w:sz w:val="17"/>
                <w:szCs w:val="17"/>
              </w:rPr>
              <w:t>, as DTAs are fully deducted</w:t>
            </w:r>
            <w:r w:rsidRPr="000F2F8D">
              <w:rPr>
                <w:sz w:val="17"/>
                <w:szCs w:val="17"/>
              </w:rPr>
              <w:t xml:space="preserve">. </w:t>
            </w:r>
            <w:r>
              <w:rPr>
                <w:sz w:val="17"/>
                <w:szCs w:val="17"/>
              </w:rPr>
              <w:t xml:space="preserve"> </w:t>
            </w:r>
            <w:r w:rsidRPr="000F2F8D">
              <w:rPr>
                <w:sz w:val="17"/>
                <w:szCs w:val="17"/>
              </w:rPr>
              <w:t>Please refer to row 21.</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76</w:t>
            </w:r>
          </w:p>
        </w:tc>
        <w:tc>
          <w:tcPr>
            <w:tcW w:w="8647" w:type="dxa"/>
          </w:tcPr>
          <w:p w:rsidR="00545554" w:rsidRPr="007F7CA2" w:rsidRDefault="00545554">
            <w:pPr>
              <w:pStyle w:val="TableNote"/>
              <w:spacing w:before="40" w:after="40"/>
              <w:rPr>
                <w:sz w:val="17"/>
                <w:szCs w:val="17"/>
              </w:rPr>
            </w:pPr>
            <w:r w:rsidRPr="007F7CA2">
              <w:rPr>
                <w:sz w:val="17"/>
                <w:szCs w:val="17"/>
              </w:rPr>
              <w:t>Amount of an AI’s regulatory reserve for general banking risks and provisions for Stages 1 and 2 of credit impairment related to the BSC approach</w:t>
            </w:r>
            <w:r w:rsidR="00DF3F77">
              <w:rPr>
                <w:sz w:val="17"/>
                <w:szCs w:val="17"/>
              </w:rPr>
              <w:t>,</w:t>
            </w:r>
            <w:r w:rsidRPr="007F7CA2">
              <w:rPr>
                <w:sz w:val="17"/>
                <w:szCs w:val="17"/>
              </w:rPr>
              <w:t xml:space="preserve"> the STC approach and </w:t>
            </w:r>
            <w:r w:rsidRPr="00DF54A6">
              <w:rPr>
                <w:sz w:val="17"/>
                <w:szCs w:val="17"/>
              </w:rPr>
              <w:t>SEC-ERBA, SEC-SA and SEC-</w:t>
            </w:r>
            <w:r>
              <w:rPr>
                <w:sz w:val="17"/>
                <w:szCs w:val="17"/>
              </w:rPr>
              <w:t>FBA</w:t>
            </w:r>
            <w:r w:rsidRPr="007F7CA2">
              <w:rPr>
                <w:sz w:val="17"/>
                <w:szCs w:val="17"/>
              </w:rPr>
              <w:t xml:space="preserve"> eligible for inclusion in Tier 2 capital, calculated in accordance with BCR §42(1) or </w:t>
            </w:r>
            <w:r w:rsidR="00B84F1C" w:rsidRPr="00A8109E">
              <w:rPr>
                <w:sz w:val="17"/>
                <w:szCs w:val="17"/>
              </w:rPr>
              <w:t>§</w:t>
            </w:r>
            <w:r w:rsidRPr="007F7CA2">
              <w:rPr>
                <w:sz w:val="17"/>
                <w:szCs w:val="17"/>
              </w:rPr>
              <w:t>42(2), where applicable, prior to the application of the cap.</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77</w:t>
            </w:r>
          </w:p>
        </w:tc>
        <w:tc>
          <w:tcPr>
            <w:tcW w:w="8647" w:type="dxa"/>
          </w:tcPr>
          <w:p w:rsidR="00545554" w:rsidRPr="007F7CA2" w:rsidRDefault="00545554">
            <w:pPr>
              <w:pStyle w:val="TableNote"/>
              <w:spacing w:before="40" w:after="40"/>
              <w:rPr>
                <w:sz w:val="17"/>
                <w:szCs w:val="17"/>
              </w:rPr>
            </w:pPr>
            <w:r w:rsidRPr="007F7CA2">
              <w:rPr>
                <w:sz w:val="17"/>
                <w:szCs w:val="17"/>
              </w:rPr>
              <w:t>Cap for inclusion of regulatory reserve for general banking risks and provisions for Stages 1 and 2 of credit impairment related to the BSC approach</w:t>
            </w:r>
            <w:r w:rsidR="00DF3F77">
              <w:rPr>
                <w:sz w:val="17"/>
                <w:szCs w:val="17"/>
              </w:rPr>
              <w:t>,</w:t>
            </w:r>
            <w:r w:rsidRPr="007F7CA2">
              <w:rPr>
                <w:sz w:val="17"/>
                <w:szCs w:val="17"/>
              </w:rPr>
              <w:t xml:space="preserve"> the STC approach and the </w:t>
            </w:r>
            <w:r w:rsidR="00DF3F77">
              <w:rPr>
                <w:sz w:val="17"/>
                <w:szCs w:val="17"/>
              </w:rPr>
              <w:t>SEC-ERBA, SEC-SA and SEC-FBA</w:t>
            </w:r>
            <w:r w:rsidRPr="007F7CA2">
              <w:rPr>
                <w:sz w:val="17"/>
                <w:szCs w:val="17"/>
              </w:rPr>
              <w:t xml:space="preserve"> in Tier 2 capital, calculated in accordance with BCR §42(1) or </w:t>
            </w:r>
            <w:r w:rsidR="00B84F1C" w:rsidRPr="00A8109E">
              <w:rPr>
                <w:sz w:val="17"/>
                <w:szCs w:val="17"/>
              </w:rPr>
              <w:t>§</w:t>
            </w:r>
            <w:r w:rsidRPr="007F7CA2">
              <w:rPr>
                <w:sz w:val="17"/>
                <w:szCs w:val="17"/>
              </w:rPr>
              <w:t>42(2), where applicable.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78</w:t>
            </w:r>
          </w:p>
        </w:tc>
        <w:tc>
          <w:tcPr>
            <w:tcW w:w="8647" w:type="dxa"/>
          </w:tcPr>
          <w:p w:rsidR="00545554" w:rsidRPr="007F7CA2" w:rsidRDefault="00545554" w:rsidP="003F5295">
            <w:pPr>
              <w:pStyle w:val="TableNote"/>
              <w:spacing w:before="40" w:after="40"/>
              <w:rPr>
                <w:sz w:val="17"/>
                <w:szCs w:val="17"/>
              </w:rPr>
            </w:pPr>
            <w:r w:rsidRPr="007F7CA2">
              <w:rPr>
                <w:sz w:val="17"/>
                <w:szCs w:val="17"/>
              </w:rPr>
              <w:t xml:space="preserve">The sum of surplus provisions for exposures calculated using the IRB approach and the portion of an AI’s total regulatory reserve for general banking risks and provisions for Stages 1 and 2 of credit impairment that is apportioned to the </w:t>
            </w:r>
            <w:r>
              <w:rPr>
                <w:sz w:val="17"/>
                <w:szCs w:val="17"/>
              </w:rPr>
              <w:t>SEC-</w:t>
            </w:r>
            <w:r w:rsidRPr="007F7CA2">
              <w:rPr>
                <w:sz w:val="17"/>
                <w:szCs w:val="17"/>
              </w:rPr>
              <w:t>IRB</w:t>
            </w:r>
            <w:r>
              <w:rPr>
                <w:sz w:val="17"/>
                <w:szCs w:val="17"/>
              </w:rPr>
              <w:t>A</w:t>
            </w:r>
            <w:r w:rsidRPr="007F7CA2">
              <w:rPr>
                <w:sz w:val="17"/>
                <w:szCs w:val="17"/>
              </w:rPr>
              <w:t xml:space="preserve"> in Tier 2 capital, calculated in accordance with BCR §42(2), (3) and (4), prior to the application of the cap.</w:t>
            </w:r>
          </w:p>
        </w:tc>
      </w:tr>
      <w:tr w:rsidR="00545554" w:rsidRPr="008729B1"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79</w:t>
            </w:r>
          </w:p>
        </w:tc>
        <w:tc>
          <w:tcPr>
            <w:tcW w:w="8647" w:type="dxa"/>
          </w:tcPr>
          <w:p w:rsidR="00545554" w:rsidRPr="007F7CA2" w:rsidRDefault="00545554" w:rsidP="003F5295">
            <w:pPr>
              <w:pStyle w:val="TableNote"/>
              <w:spacing w:before="40" w:after="40"/>
              <w:rPr>
                <w:sz w:val="17"/>
                <w:szCs w:val="17"/>
              </w:rPr>
            </w:pPr>
            <w:r w:rsidRPr="007F7CA2">
              <w:rPr>
                <w:sz w:val="17"/>
                <w:szCs w:val="17"/>
              </w:rPr>
              <w:t xml:space="preserve">Cap for inclusion of surplus provisions for exposures calculated using the IRB approach and the portion of an AI’s total regulatory reserve for general banking risks and provisions for Stages 1 and 2 of credit impairment that is apportioned to the </w:t>
            </w:r>
            <w:r>
              <w:rPr>
                <w:sz w:val="17"/>
                <w:szCs w:val="17"/>
              </w:rPr>
              <w:t>SEC-</w:t>
            </w:r>
            <w:r w:rsidRPr="007F7CA2">
              <w:rPr>
                <w:sz w:val="17"/>
                <w:szCs w:val="17"/>
              </w:rPr>
              <w:t>IRB</w:t>
            </w:r>
            <w:r>
              <w:rPr>
                <w:sz w:val="17"/>
                <w:szCs w:val="17"/>
              </w:rPr>
              <w:t xml:space="preserve">A </w:t>
            </w:r>
            <w:r w:rsidRPr="007F7CA2">
              <w:rPr>
                <w:sz w:val="17"/>
                <w:szCs w:val="17"/>
              </w:rPr>
              <w:t>in Tier 2 capital, calculated in accordance with BCR §42(2), (3) and (4).</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80</w:t>
            </w:r>
          </w:p>
        </w:tc>
        <w:tc>
          <w:tcPr>
            <w:tcW w:w="8647" w:type="dxa"/>
            <w:shd w:val="clear" w:color="auto" w:fill="FFFF00"/>
          </w:tcPr>
          <w:p w:rsidR="00545554" w:rsidRPr="000F2F8D" w:rsidRDefault="00545554" w:rsidP="003F5295">
            <w:pPr>
              <w:pStyle w:val="TableNote"/>
              <w:spacing w:before="40" w:after="40"/>
              <w:rPr>
                <w:i/>
                <w:sz w:val="17"/>
                <w:szCs w:val="17"/>
              </w:rPr>
            </w:pPr>
            <w:r w:rsidRPr="000F2F8D">
              <w:rPr>
                <w:i/>
                <w:sz w:val="17"/>
                <w:szCs w:val="17"/>
              </w:rPr>
              <w:t>This row is only applicable to non-joint stock companies which are not relevant in the case of Hong Kong.</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81</w:t>
            </w:r>
          </w:p>
        </w:tc>
        <w:tc>
          <w:tcPr>
            <w:tcW w:w="8647" w:type="dxa"/>
            <w:shd w:val="clear" w:color="auto" w:fill="FFFF00"/>
          </w:tcPr>
          <w:p w:rsidR="00545554" w:rsidRPr="000F2F8D" w:rsidRDefault="00545554" w:rsidP="003F5295">
            <w:pPr>
              <w:pStyle w:val="TableNote"/>
              <w:spacing w:before="40" w:after="40"/>
              <w:rPr>
                <w:i/>
                <w:sz w:val="17"/>
                <w:szCs w:val="17"/>
              </w:rPr>
            </w:pPr>
            <w:r w:rsidRPr="000F2F8D">
              <w:rPr>
                <w:i/>
                <w:sz w:val="17"/>
                <w:szCs w:val="17"/>
              </w:rPr>
              <w:t>This row is only applicable to non-joint stock companies which are not relevant in the case of Hong Kong.</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82</w:t>
            </w:r>
          </w:p>
        </w:tc>
        <w:tc>
          <w:tcPr>
            <w:tcW w:w="8647" w:type="dxa"/>
          </w:tcPr>
          <w:p w:rsidR="00545554" w:rsidRPr="000F2F8D" w:rsidRDefault="00545554" w:rsidP="003F5295">
            <w:pPr>
              <w:pStyle w:val="TableNote"/>
              <w:spacing w:before="40" w:after="40"/>
              <w:rPr>
                <w:i/>
                <w:sz w:val="17"/>
                <w:szCs w:val="17"/>
              </w:rPr>
            </w:pPr>
            <w:r w:rsidRPr="000F2F8D">
              <w:rPr>
                <w:i/>
                <w:sz w:val="17"/>
                <w:szCs w:val="17"/>
              </w:rPr>
              <w:t xml:space="preserve">Current cap on AT1 capital instruments subject to phase-out arrangements, calculated according to BCR </w:t>
            </w:r>
            <w:r>
              <w:rPr>
                <w:i/>
                <w:sz w:val="17"/>
                <w:szCs w:val="17"/>
              </w:rPr>
              <w:t>Schedule 4H</w:t>
            </w:r>
            <w:r w:rsidRPr="000F2F8D">
              <w:rPr>
                <w:i/>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83</w:t>
            </w:r>
          </w:p>
        </w:tc>
        <w:tc>
          <w:tcPr>
            <w:tcW w:w="8647" w:type="dxa"/>
          </w:tcPr>
          <w:p w:rsidR="00545554" w:rsidRPr="000F2F8D" w:rsidRDefault="00545554" w:rsidP="003F5295">
            <w:pPr>
              <w:pStyle w:val="TableNote"/>
              <w:spacing w:before="40" w:after="40"/>
              <w:rPr>
                <w:i/>
                <w:sz w:val="17"/>
                <w:szCs w:val="17"/>
              </w:rPr>
            </w:pPr>
            <w:r w:rsidRPr="000F2F8D">
              <w:rPr>
                <w:i/>
                <w:sz w:val="17"/>
                <w:szCs w:val="17"/>
              </w:rPr>
              <w:t>Amount excluded from AT1 capital due to cap (excess over cap after redemptions and maturities).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84</w:t>
            </w:r>
          </w:p>
        </w:tc>
        <w:tc>
          <w:tcPr>
            <w:tcW w:w="8647" w:type="dxa"/>
          </w:tcPr>
          <w:p w:rsidR="00545554" w:rsidRPr="000F2F8D" w:rsidRDefault="00545554" w:rsidP="003F5295">
            <w:pPr>
              <w:pStyle w:val="TableNote"/>
              <w:spacing w:before="40" w:after="40"/>
              <w:rPr>
                <w:i/>
                <w:sz w:val="17"/>
                <w:szCs w:val="17"/>
              </w:rPr>
            </w:pPr>
            <w:r w:rsidRPr="000F2F8D">
              <w:rPr>
                <w:i/>
                <w:sz w:val="17"/>
                <w:szCs w:val="17"/>
              </w:rPr>
              <w:t xml:space="preserve">Current cap on Tier 2 capital instruments subject to phase-out arrangements, calculated according to BCR Schedule </w:t>
            </w:r>
            <w:r>
              <w:rPr>
                <w:i/>
                <w:sz w:val="17"/>
                <w:szCs w:val="17"/>
              </w:rPr>
              <w:t>4H</w:t>
            </w:r>
            <w:r w:rsidRPr="000F2F8D">
              <w:rPr>
                <w:i/>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85</w:t>
            </w:r>
          </w:p>
        </w:tc>
        <w:tc>
          <w:tcPr>
            <w:tcW w:w="8647" w:type="dxa"/>
          </w:tcPr>
          <w:p w:rsidR="00545554" w:rsidRPr="000F2F8D" w:rsidRDefault="00545554" w:rsidP="003F5295">
            <w:pPr>
              <w:pStyle w:val="TableNote"/>
              <w:spacing w:before="40" w:after="40"/>
              <w:rPr>
                <w:i/>
                <w:sz w:val="17"/>
                <w:szCs w:val="17"/>
              </w:rPr>
            </w:pPr>
            <w:r w:rsidRPr="000F2F8D">
              <w:rPr>
                <w:i/>
                <w:sz w:val="17"/>
                <w:szCs w:val="17"/>
              </w:rPr>
              <w:t>Amount excluded from Tier 2 capital due to cap (excess over cap after redemptions and maturities).</w:t>
            </w:r>
          </w:p>
        </w:tc>
      </w:tr>
    </w:tbl>
    <w:p w:rsidR="00545554" w:rsidRDefault="00545554" w:rsidP="003F0A7B">
      <w:pPr>
        <w:pStyle w:val="Heading1"/>
        <w:tabs>
          <w:tab w:val="clear" w:pos="794"/>
          <w:tab w:val="left" w:pos="426"/>
        </w:tabs>
        <w:spacing w:before="0"/>
        <w:ind w:leftChars="-283" w:left="-566"/>
        <w:sectPr w:rsidR="0054555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CC2</w:t>
            </w:r>
            <w:r w:rsidRPr="0023654F">
              <w:rPr>
                <w:sz w:val="22"/>
              </w:rPr>
              <w:t xml:space="preserve">: </w:t>
            </w:r>
            <w:r>
              <w:rPr>
                <w:sz w:val="22"/>
              </w:rPr>
              <w:t>Reconciliation of regulatory capital to balance sheet</w:t>
            </w:r>
          </w:p>
        </w:tc>
      </w:tr>
      <w:tr w:rsidR="00545554" w:rsidRPr="0046600C"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23654F" w:rsidRDefault="00545554" w:rsidP="00545554">
            <w:pPr>
              <w:pStyle w:val="TableText"/>
              <w:jc w:val="both"/>
              <w:rPr>
                <w:lang w:eastAsia="en-GB"/>
              </w:rPr>
            </w:pPr>
            <w:r>
              <w:rPr>
                <w:lang w:eastAsia="en-GB"/>
              </w:rPr>
              <w:t>To e</w:t>
            </w:r>
            <w:r w:rsidRPr="00512189">
              <w:rPr>
                <w:lang w:eastAsia="en-GB"/>
              </w:rPr>
              <w:t xml:space="preserve">nable </w:t>
            </w:r>
            <w:r>
              <w:rPr>
                <w:lang w:eastAsia="en-GB"/>
              </w:rPr>
              <w:t xml:space="preserve">Pillar 3 data </w:t>
            </w:r>
            <w:r w:rsidRPr="00512189">
              <w:rPr>
                <w:lang w:eastAsia="en-GB"/>
              </w:rPr>
              <w:t>users to identify the differences between the scope of accounting consolidation and the scope of regulatory consolidation, and to show the link between a</w:t>
            </w:r>
            <w:r>
              <w:rPr>
                <w:lang w:eastAsia="en-GB"/>
              </w:rPr>
              <w:t>n AI</w:t>
            </w:r>
            <w:r w:rsidRPr="00512189">
              <w:rPr>
                <w:lang w:eastAsia="en-GB"/>
              </w:rPr>
              <w:t xml:space="preserve">’s balance sheet in its published financial statements and the numbers that are used in the composition of </w:t>
            </w:r>
            <w:r>
              <w:rPr>
                <w:lang w:eastAsia="en-GB"/>
              </w:rPr>
              <w:t xml:space="preserve">regulatory </w:t>
            </w:r>
            <w:r w:rsidRPr="00512189">
              <w:rPr>
                <w:lang w:eastAsia="en-GB"/>
              </w:rPr>
              <w:t>capital disclosure template set out in Template CC1.</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512189" w:rsidRDefault="00545554" w:rsidP="00545554">
            <w:pPr>
              <w:pStyle w:val="TableText"/>
              <w:jc w:val="both"/>
              <w:rPr>
                <w:lang w:eastAsia="en-GB"/>
              </w:rPr>
            </w:pPr>
            <w:r w:rsidRPr="00512189">
              <w:rPr>
                <w:lang w:eastAsia="en-GB"/>
              </w:rPr>
              <w:t xml:space="preserve">The template is mandatory for all </w:t>
            </w:r>
            <w:r>
              <w:rPr>
                <w:lang w:eastAsia="en-GB"/>
              </w:rPr>
              <w:t>locally incorporated AI</w:t>
            </w:r>
            <w:r w:rsidRPr="00512189">
              <w:rPr>
                <w:lang w:eastAsia="en-GB"/>
              </w:rPr>
              <w:t>s.</w:t>
            </w:r>
          </w:p>
        </w:tc>
      </w:tr>
      <w:tr w:rsidR="00545554" w:rsidRPr="004B58B9"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673F0D" w:rsidRDefault="00545554" w:rsidP="00545554">
            <w:pPr>
              <w:pStyle w:val="TableText"/>
              <w:jc w:val="both"/>
              <w:rPr>
                <w:szCs w:val="17"/>
              </w:rPr>
            </w:pPr>
            <w:r w:rsidRPr="004878F3">
              <w:rPr>
                <w:lang w:eastAsia="en-GB"/>
              </w:rPr>
              <w:t>Carrying values (corresponding to the values reported in financial statements).</w:t>
            </w:r>
            <w:r>
              <w:rPr>
                <w:szCs w:val="17"/>
              </w:rPr>
              <w:t xml:space="preserve">  </w:t>
            </w:r>
            <w:r w:rsidRPr="00371940">
              <w:rPr>
                <w:szCs w:val="17"/>
              </w:rPr>
              <w:t>Where an AI has a reporting date for disclosure (e.g. end-April, end-October) that does not fall on the same position date for the Return on Capital Adequacy Ratio (MA(BS)3)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pStyle w:val="TableText"/>
              <w:jc w:val="both"/>
              <w:rPr>
                <w:lang w:eastAsia="en-GB"/>
              </w:rPr>
            </w:pPr>
            <w:r w:rsidRPr="004878F3">
              <w:rPr>
                <w:lang w:eastAsia="en-GB"/>
              </w:rPr>
              <w:t>Semi</w:t>
            </w:r>
            <w:r>
              <w:rPr>
                <w:lang w:eastAsia="en-GB"/>
              </w:rPr>
              <w:t>-</w:t>
            </w:r>
            <w:r w:rsidRPr="004878F3">
              <w:rPr>
                <w:lang w:eastAsia="en-GB"/>
              </w:rPr>
              <w:t>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sidRPr="004878F3">
              <w:rPr>
                <w:lang w:eastAsia="en-GB"/>
              </w:rPr>
              <w:t xml:space="preserve">Flexible (but the rows </w:t>
            </w:r>
            <w:r>
              <w:rPr>
                <w:lang w:eastAsia="en-GB"/>
              </w:rPr>
              <w:t>should</w:t>
            </w:r>
            <w:r w:rsidRPr="004878F3">
              <w:rPr>
                <w:lang w:eastAsia="en-GB"/>
              </w:rPr>
              <w:t xml:space="preserve"> align with the </w:t>
            </w:r>
            <w:r>
              <w:rPr>
                <w:lang w:eastAsia="en-GB"/>
              </w:rPr>
              <w:t xml:space="preserve">balance sheet </w:t>
            </w:r>
            <w:r w:rsidRPr="004878F3">
              <w:rPr>
                <w:lang w:eastAsia="en-GB"/>
              </w:rPr>
              <w:t>presentation).</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512189" w:rsidRDefault="00545554" w:rsidP="00545554">
            <w:pPr>
              <w:pStyle w:val="TableText"/>
              <w:jc w:val="both"/>
              <w:rPr>
                <w:lang w:eastAsia="en-GB"/>
              </w:rPr>
            </w:pPr>
            <w:r>
              <w:rPr>
                <w:lang w:eastAsia="en-GB"/>
              </w:rPr>
              <w:t>An AI</w:t>
            </w:r>
            <w:r w:rsidRPr="004878F3">
              <w:rPr>
                <w:lang w:eastAsia="en-GB"/>
              </w:rPr>
              <w:t xml:space="preserve"> </w:t>
            </w:r>
            <w:r>
              <w:rPr>
                <w:lang w:eastAsia="en-GB"/>
              </w:rPr>
              <w:t>should</w:t>
            </w:r>
            <w:r w:rsidRPr="004878F3">
              <w:rPr>
                <w:lang w:eastAsia="en-GB"/>
              </w:rPr>
              <w:t xml:space="preserve"> supplement the template with a narrative commentary to explain any significant changes in the expanded balance sheet items over the reporting period and the key drivers of such change. </w:t>
            </w:r>
            <w:r>
              <w:rPr>
                <w:lang w:eastAsia="en-GB"/>
              </w:rPr>
              <w:t xml:space="preserve"> </w:t>
            </w:r>
            <w:r w:rsidRPr="004878F3">
              <w:rPr>
                <w:lang w:eastAsia="en-GB"/>
              </w:rPr>
              <w:t>Narrative commentary to significant changes in other balance sheet items could be found in Table LIA.</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Pr="00AC37F2" w:rsidRDefault="00545554" w:rsidP="00545554">
            <w:pPr>
              <w:pStyle w:val="TableText"/>
              <w:jc w:val="both"/>
              <w:rPr>
                <w:szCs w:val="17"/>
                <w:lang w:eastAsia="en-GB"/>
              </w:rPr>
            </w:pPr>
            <w:r w:rsidRPr="001B530B">
              <w:rPr>
                <w:szCs w:val="17"/>
                <w:lang w:eastAsia="en-GB"/>
              </w:rPr>
              <w:t>16FC</w:t>
            </w:r>
          </w:p>
        </w:tc>
      </w:tr>
    </w:tbl>
    <w:p w:rsidR="00545554" w:rsidRDefault="00545554" w:rsidP="00545554">
      <w:pPr>
        <w:rPr>
          <w:sz w:val="22"/>
        </w:rPr>
      </w:pP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4820"/>
        <w:gridCol w:w="1701"/>
        <w:gridCol w:w="1701"/>
        <w:gridCol w:w="992"/>
      </w:tblGrid>
      <w:tr w:rsidR="00545554" w:rsidRPr="0023654F" w:rsidTr="00545554">
        <w:trPr>
          <w:trHeight w:val="48"/>
          <w:tblHeader/>
        </w:trPr>
        <w:tc>
          <w:tcPr>
            <w:tcW w:w="4820" w:type="dxa"/>
            <w:tcBorders>
              <w:top w:val="nil"/>
              <w:left w:val="nil"/>
              <w:bottom w:val="nil"/>
              <w:right w:val="single" w:sz="4" w:space="0" w:color="auto"/>
            </w:tcBorders>
            <w:vAlign w:val="center"/>
          </w:tcPr>
          <w:p w:rsidR="00545554" w:rsidRDefault="00545554" w:rsidP="00545554">
            <w:pPr>
              <w:pStyle w:val="Default"/>
              <w:rPr>
                <w:b/>
                <w:bCs/>
                <w:sz w:val="20"/>
                <w:szCs w:val="20"/>
              </w:rPr>
            </w:pPr>
          </w:p>
        </w:tc>
        <w:tc>
          <w:tcPr>
            <w:tcW w:w="1701" w:type="dxa"/>
            <w:tcBorders>
              <w:top w:val="single" w:sz="4" w:space="0" w:color="auto"/>
              <w:left w:val="nil"/>
              <w:bottom w:val="single" w:sz="4" w:space="0" w:color="auto"/>
              <w:right w:val="single" w:sz="4" w:space="0" w:color="auto"/>
            </w:tcBorders>
            <w:vAlign w:val="center"/>
          </w:tcPr>
          <w:p w:rsidR="00545554" w:rsidRPr="00A50DB0" w:rsidRDefault="00545554" w:rsidP="00545554">
            <w:pPr>
              <w:pStyle w:val="TableText"/>
              <w:snapToGrid w:val="0"/>
              <w:jc w:val="center"/>
              <w:rPr>
                <w:bCs/>
                <w:lang w:eastAsia="it-IT"/>
              </w:rPr>
            </w:pPr>
            <w:r>
              <w:rPr>
                <w:bCs/>
                <w:lang w:eastAsia="it-IT"/>
              </w:rPr>
              <w:t>(</w:t>
            </w:r>
            <w:r w:rsidRPr="0023654F">
              <w:rPr>
                <w:bCs/>
                <w:lang w:eastAsia="it-IT"/>
              </w:rPr>
              <w:t>a</w:t>
            </w:r>
            <w:r>
              <w:rPr>
                <w:bCs/>
                <w:lang w:eastAsia="it-IT"/>
              </w:rPr>
              <w:t>)</w:t>
            </w:r>
          </w:p>
        </w:tc>
        <w:tc>
          <w:tcPr>
            <w:tcW w:w="1701" w:type="dxa"/>
            <w:tcBorders>
              <w:top w:val="single" w:sz="6" w:space="0" w:color="auto"/>
              <w:left w:val="single" w:sz="6" w:space="0" w:color="auto"/>
              <w:bottom w:val="single" w:sz="6" w:space="0" w:color="auto"/>
              <w:right w:val="single" w:sz="6" w:space="0" w:color="auto"/>
            </w:tcBorders>
            <w:vAlign w:val="center"/>
          </w:tcPr>
          <w:p w:rsidR="00545554" w:rsidRPr="0023654F" w:rsidRDefault="00545554" w:rsidP="00545554">
            <w:pPr>
              <w:pStyle w:val="TableText"/>
              <w:snapToGrid w:val="0"/>
              <w:jc w:val="center"/>
              <w:rPr>
                <w:bCs/>
                <w:lang w:eastAsia="it-IT"/>
              </w:rPr>
            </w:pPr>
            <w:r>
              <w:rPr>
                <w:bCs/>
                <w:lang w:eastAsia="it-IT"/>
              </w:rPr>
              <w:t>(b)</w:t>
            </w:r>
          </w:p>
        </w:tc>
        <w:tc>
          <w:tcPr>
            <w:tcW w:w="992" w:type="dxa"/>
            <w:tcBorders>
              <w:top w:val="single" w:sz="6" w:space="0" w:color="auto"/>
              <w:left w:val="single" w:sz="6" w:space="0" w:color="auto"/>
              <w:bottom w:val="single" w:sz="6" w:space="0" w:color="auto"/>
              <w:right w:val="single" w:sz="4" w:space="0" w:color="auto"/>
            </w:tcBorders>
            <w:vAlign w:val="center"/>
          </w:tcPr>
          <w:p w:rsidR="00545554" w:rsidRPr="0023654F" w:rsidRDefault="00545554" w:rsidP="00545554">
            <w:pPr>
              <w:pStyle w:val="TableText"/>
              <w:snapToGrid w:val="0"/>
              <w:jc w:val="center"/>
              <w:rPr>
                <w:bCs/>
                <w:lang w:eastAsia="it-IT"/>
              </w:rPr>
            </w:pPr>
            <w:r>
              <w:rPr>
                <w:bCs/>
                <w:lang w:eastAsia="it-IT"/>
              </w:rPr>
              <w:t>(c)</w:t>
            </w:r>
          </w:p>
        </w:tc>
      </w:tr>
      <w:tr w:rsidR="00545554" w:rsidRPr="0023654F" w:rsidTr="00545554">
        <w:trPr>
          <w:trHeight w:val="528"/>
          <w:tblHeader/>
        </w:trPr>
        <w:tc>
          <w:tcPr>
            <w:tcW w:w="4820" w:type="dxa"/>
            <w:tcBorders>
              <w:top w:val="nil"/>
              <w:left w:val="nil"/>
              <w:bottom w:val="single" w:sz="6" w:space="0" w:color="auto"/>
              <w:right w:val="single" w:sz="4" w:space="0" w:color="auto"/>
            </w:tcBorders>
            <w:vAlign w:val="center"/>
          </w:tcPr>
          <w:p w:rsidR="00545554" w:rsidRPr="00E960C4" w:rsidRDefault="00545554" w:rsidP="00545554">
            <w:pPr>
              <w:pStyle w:val="TableText"/>
              <w:snapToGrid w:val="0"/>
              <w:rPr>
                <w:lang w:val="en-US" w:eastAsia="it-IT"/>
              </w:rPr>
            </w:pPr>
          </w:p>
        </w:tc>
        <w:tc>
          <w:tcPr>
            <w:tcW w:w="1701" w:type="dxa"/>
            <w:tcBorders>
              <w:top w:val="single" w:sz="4" w:space="0" w:color="auto"/>
              <w:left w:val="single" w:sz="4" w:space="0" w:color="auto"/>
              <w:bottom w:val="single" w:sz="6" w:space="0" w:color="auto"/>
              <w:right w:val="single" w:sz="6" w:space="0" w:color="auto"/>
            </w:tcBorders>
            <w:vAlign w:val="center"/>
          </w:tcPr>
          <w:p w:rsidR="00545554" w:rsidRDefault="00545554" w:rsidP="00545554">
            <w:pPr>
              <w:pStyle w:val="TableText"/>
              <w:snapToGrid w:val="0"/>
              <w:ind w:left="57"/>
              <w:jc w:val="center"/>
              <w:rPr>
                <w:b/>
                <w:lang w:eastAsia="it-IT"/>
              </w:rPr>
            </w:pPr>
            <w:r>
              <w:rPr>
                <w:b/>
                <w:lang w:eastAsia="it-IT"/>
              </w:rPr>
              <w:t>Balance sheet as in published financial statements</w:t>
            </w:r>
          </w:p>
          <w:p w:rsidR="00545554" w:rsidRPr="007765D1" w:rsidRDefault="00545554" w:rsidP="00545554">
            <w:pPr>
              <w:pStyle w:val="TableText"/>
              <w:snapToGrid w:val="0"/>
              <w:ind w:left="57"/>
              <w:jc w:val="center"/>
              <w:rPr>
                <w:lang w:eastAsia="it-IT"/>
              </w:rPr>
            </w:pPr>
            <w:r w:rsidRPr="007765D1">
              <w:rPr>
                <w:lang w:eastAsia="it-IT"/>
              </w:rPr>
              <w:t>(as at period-end)</w:t>
            </w:r>
          </w:p>
        </w:tc>
        <w:tc>
          <w:tcPr>
            <w:tcW w:w="1701" w:type="dxa"/>
            <w:tcBorders>
              <w:top w:val="single" w:sz="6" w:space="0" w:color="auto"/>
              <w:left w:val="single" w:sz="6" w:space="0" w:color="auto"/>
              <w:bottom w:val="single" w:sz="6" w:space="0" w:color="auto"/>
              <w:right w:val="single" w:sz="6" w:space="0" w:color="auto"/>
            </w:tcBorders>
            <w:vAlign w:val="center"/>
          </w:tcPr>
          <w:p w:rsidR="00545554" w:rsidRDefault="00545554" w:rsidP="00545554">
            <w:pPr>
              <w:pStyle w:val="TableText"/>
              <w:snapToGrid w:val="0"/>
              <w:ind w:left="57"/>
              <w:jc w:val="center"/>
              <w:rPr>
                <w:b/>
                <w:lang w:eastAsia="it-IT"/>
              </w:rPr>
            </w:pPr>
            <w:r>
              <w:rPr>
                <w:b/>
                <w:lang w:eastAsia="it-IT"/>
              </w:rPr>
              <w:t>Under regulatory scope of consolidation</w:t>
            </w:r>
          </w:p>
          <w:p w:rsidR="00545554" w:rsidRPr="007765D1" w:rsidRDefault="00545554" w:rsidP="00545554">
            <w:pPr>
              <w:pStyle w:val="TableText"/>
              <w:snapToGrid w:val="0"/>
              <w:ind w:left="57"/>
              <w:jc w:val="center"/>
              <w:rPr>
                <w:lang w:eastAsia="it-IT"/>
              </w:rPr>
            </w:pPr>
            <w:r w:rsidRPr="007765D1">
              <w:rPr>
                <w:lang w:eastAsia="it-IT"/>
              </w:rPr>
              <w:t>(as at period-end)</w:t>
            </w:r>
          </w:p>
        </w:tc>
        <w:tc>
          <w:tcPr>
            <w:tcW w:w="992" w:type="dxa"/>
            <w:tcBorders>
              <w:top w:val="single" w:sz="6" w:space="0" w:color="auto"/>
              <w:left w:val="single" w:sz="6" w:space="0" w:color="auto"/>
              <w:bottom w:val="single" w:sz="6" w:space="0" w:color="auto"/>
              <w:right w:val="single" w:sz="4" w:space="0" w:color="auto"/>
            </w:tcBorders>
            <w:vAlign w:val="center"/>
          </w:tcPr>
          <w:p w:rsidR="00545554" w:rsidRPr="000513EC" w:rsidRDefault="00545554" w:rsidP="00545554">
            <w:pPr>
              <w:pStyle w:val="TableText"/>
              <w:snapToGrid w:val="0"/>
              <w:ind w:left="57"/>
              <w:jc w:val="center"/>
              <w:rPr>
                <w:b/>
                <w:lang w:eastAsia="it-IT"/>
              </w:rPr>
            </w:pPr>
            <w:r>
              <w:rPr>
                <w:b/>
                <w:lang w:eastAsia="it-IT"/>
              </w:rPr>
              <w:t>Reference</w:t>
            </w:r>
          </w:p>
        </w:tc>
      </w:tr>
      <w:tr w:rsidR="00545554" w:rsidRPr="0023654F" w:rsidTr="00545554">
        <w:trPr>
          <w:cantSplit/>
          <w:trHeight w:val="285"/>
        </w:trPr>
        <w:tc>
          <w:tcPr>
            <w:tcW w:w="4820" w:type="dxa"/>
            <w:tcBorders>
              <w:top w:val="single" w:sz="6" w:space="0" w:color="auto"/>
              <w:left w:val="nil"/>
              <w:bottom w:val="single" w:sz="6" w:space="0" w:color="BCBDBC"/>
              <w:right w:val="nil"/>
            </w:tcBorders>
            <w:shd w:val="clear" w:color="auto" w:fill="A6A6A6" w:themeFill="background1" w:themeFillShade="A6"/>
          </w:tcPr>
          <w:p w:rsidR="00545554" w:rsidRPr="00445B4A" w:rsidRDefault="00545554" w:rsidP="00545554">
            <w:pPr>
              <w:pStyle w:val="TableText"/>
              <w:snapToGrid w:val="0"/>
              <w:ind w:left="57"/>
              <w:rPr>
                <w:b/>
                <w:lang w:eastAsia="it-IT"/>
              </w:rPr>
            </w:pPr>
            <w:r>
              <w:rPr>
                <w:b/>
                <w:lang w:eastAsia="it-IT"/>
              </w:rPr>
              <w:t>Assets</w:t>
            </w:r>
          </w:p>
        </w:tc>
        <w:tc>
          <w:tcPr>
            <w:tcW w:w="1701" w:type="dxa"/>
            <w:tcBorders>
              <w:top w:val="single" w:sz="6" w:space="0" w:color="auto"/>
              <w:left w:val="nil"/>
              <w:bottom w:val="single" w:sz="6" w:space="0" w:color="BCBDBC"/>
              <w:right w:val="nil"/>
            </w:tcBorders>
            <w:shd w:val="clear" w:color="auto" w:fill="A6A6A6" w:themeFill="background1" w:themeFillShade="A6"/>
          </w:tcPr>
          <w:p w:rsidR="00545554" w:rsidRPr="00445B4A" w:rsidRDefault="00545554" w:rsidP="00545554">
            <w:pPr>
              <w:pStyle w:val="TableText"/>
              <w:snapToGrid w:val="0"/>
              <w:ind w:left="57" w:rightChars="71" w:right="142"/>
              <w:rPr>
                <w:b/>
                <w:lang w:eastAsia="it-IT"/>
              </w:rPr>
            </w:pPr>
          </w:p>
        </w:tc>
        <w:tc>
          <w:tcPr>
            <w:tcW w:w="1701" w:type="dxa"/>
            <w:tcBorders>
              <w:top w:val="single" w:sz="6" w:space="0" w:color="auto"/>
              <w:left w:val="nil"/>
              <w:bottom w:val="single" w:sz="6" w:space="0" w:color="BCBDBC"/>
              <w:right w:val="nil"/>
            </w:tcBorders>
            <w:shd w:val="clear" w:color="auto" w:fill="A6A6A6" w:themeFill="background1" w:themeFillShade="A6"/>
          </w:tcPr>
          <w:p w:rsidR="00545554" w:rsidRPr="0023654F" w:rsidRDefault="00545554" w:rsidP="00545554">
            <w:pPr>
              <w:pStyle w:val="TableText"/>
              <w:snapToGrid w:val="0"/>
              <w:rPr>
                <w:lang w:eastAsia="it-IT"/>
              </w:rPr>
            </w:pPr>
          </w:p>
        </w:tc>
        <w:tc>
          <w:tcPr>
            <w:tcW w:w="992" w:type="dxa"/>
            <w:tcBorders>
              <w:top w:val="single" w:sz="6" w:space="0" w:color="auto"/>
              <w:left w:val="nil"/>
              <w:bottom w:val="single" w:sz="6" w:space="0" w:color="BCBDBC"/>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Cash and balances at central banks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val="en-US"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Items in the course of collection from other banks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Trading portfolio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Financial assets designated at fair value</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Derivative financial instruments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Loans and advances to banks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Loans and advances to customers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Reverse repurchase agreements and other similar secured lending</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Pr>
                <w:szCs w:val="17"/>
                <w:lang w:eastAsia="en-GB"/>
              </w:rPr>
              <w:t>F</w:t>
            </w:r>
            <w:r w:rsidRPr="00FB79AF">
              <w:rPr>
                <w:szCs w:val="17"/>
                <w:lang w:eastAsia="en-GB"/>
              </w:rPr>
              <w:t>inancial investments</w:t>
            </w:r>
            <w:r>
              <w:rPr>
                <w:szCs w:val="17"/>
                <w:lang w:eastAsia="en-GB"/>
              </w:rPr>
              <w:t xml:space="preserve"> measured at fair value through other comprehensive income</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1300F1"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Current and deferred tax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lastRenderedPageBreak/>
              <w:t>Prepayments, accrued income and other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Investments in associates and joint ventures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Goodwill and intangible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Of which: goodwill</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r>
              <w:rPr>
                <w:lang w:eastAsia="it-IT"/>
              </w:rPr>
              <w:t>[</w:t>
            </w:r>
            <w:r w:rsidRPr="00FB79AF">
              <w:rPr>
                <w:lang w:eastAsia="it-IT"/>
              </w:rPr>
              <w:t>a</w:t>
            </w:r>
            <w:r>
              <w:rPr>
                <w:lang w:eastAsia="it-IT"/>
              </w:rPr>
              <w:t>]</w:t>
            </w: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Of which: other intangibles</w:t>
            </w:r>
            <w:r>
              <w:rPr>
                <w:szCs w:val="17"/>
                <w:lang w:eastAsia="en-GB"/>
              </w:rPr>
              <w:t xml:space="preserve">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r>
              <w:rPr>
                <w:lang w:eastAsia="it-IT"/>
              </w:rPr>
              <w:t>[</w:t>
            </w:r>
            <w:r w:rsidRPr="00FB79AF">
              <w:rPr>
                <w:lang w:eastAsia="it-IT"/>
              </w:rPr>
              <w:t>b</w:t>
            </w:r>
            <w:r>
              <w:rPr>
                <w:lang w:eastAsia="it-IT"/>
              </w:rPr>
              <w:t>]</w:t>
            </w: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Property, plant and equipment</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6" w:space="0" w:color="auto"/>
              <w:right w:val="single" w:sz="4" w:space="0" w:color="auto"/>
            </w:tcBorders>
            <w:shd w:val="clear" w:color="auto" w:fill="auto"/>
          </w:tcPr>
          <w:p w:rsidR="00545554" w:rsidRPr="00FB79AF" w:rsidRDefault="00545554" w:rsidP="00545554">
            <w:pPr>
              <w:pStyle w:val="TableText"/>
              <w:snapToGrid w:val="0"/>
              <w:ind w:left="57"/>
              <w:rPr>
                <w:b/>
                <w:szCs w:val="17"/>
                <w:lang w:eastAsia="en-GB"/>
              </w:rPr>
            </w:pPr>
            <w:r w:rsidRPr="00FB79AF">
              <w:rPr>
                <w:b/>
                <w:szCs w:val="17"/>
                <w:lang w:eastAsia="en-GB"/>
              </w:rPr>
              <w:t>Total assets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E960C4" w:rsidRDefault="00545554" w:rsidP="00545554">
            <w:pPr>
              <w:pStyle w:val="TableText"/>
              <w:snapToGrid w:val="0"/>
              <w:ind w:left="57" w:rightChars="71" w:right="142"/>
              <w:rPr>
                <w:lang w:eastAsia="it-IT"/>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85"/>
        </w:trPr>
        <w:tc>
          <w:tcPr>
            <w:tcW w:w="4820" w:type="dxa"/>
            <w:tcBorders>
              <w:top w:val="single" w:sz="6" w:space="0" w:color="auto"/>
              <w:left w:val="nil"/>
              <w:bottom w:val="single" w:sz="4" w:space="0" w:color="auto"/>
              <w:right w:val="nil"/>
            </w:tcBorders>
            <w:shd w:val="clear" w:color="auto" w:fill="A6A6A6" w:themeFill="background1" w:themeFillShade="A6"/>
          </w:tcPr>
          <w:p w:rsidR="00545554" w:rsidRPr="008B2E9C" w:rsidRDefault="00545554" w:rsidP="00545554">
            <w:pPr>
              <w:pStyle w:val="TableText"/>
              <w:snapToGrid w:val="0"/>
              <w:ind w:left="57"/>
              <w:rPr>
                <w:b/>
                <w:szCs w:val="17"/>
                <w:lang w:eastAsia="it-IT"/>
              </w:rPr>
            </w:pPr>
            <w:r>
              <w:rPr>
                <w:b/>
                <w:lang w:eastAsia="it-IT"/>
              </w:rPr>
              <w:t>Liabilities</w:t>
            </w:r>
          </w:p>
        </w:tc>
        <w:tc>
          <w:tcPr>
            <w:tcW w:w="1701" w:type="dxa"/>
            <w:tcBorders>
              <w:top w:val="single" w:sz="6" w:space="0" w:color="auto"/>
              <w:left w:val="nil"/>
              <w:bottom w:val="single" w:sz="4" w:space="0" w:color="auto"/>
              <w:right w:val="nil"/>
            </w:tcBorders>
            <w:shd w:val="clear" w:color="auto" w:fill="A6A6A6" w:themeFill="background1" w:themeFillShade="A6"/>
          </w:tcPr>
          <w:p w:rsidR="00545554" w:rsidRPr="008B2E9C" w:rsidRDefault="00545554" w:rsidP="00545554">
            <w:pPr>
              <w:pStyle w:val="TableText"/>
              <w:snapToGrid w:val="0"/>
              <w:ind w:left="57" w:rightChars="71" w:right="142"/>
              <w:rPr>
                <w:b/>
                <w:szCs w:val="17"/>
                <w:lang w:eastAsia="it-IT"/>
              </w:rPr>
            </w:pPr>
          </w:p>
        </w:tc>
        <w:tc>
          <w:tcPr>
            <w:tcW w:w="1701" w:type="dxa"/>
            <w:tcBorders>
              <w:top w:val="single" w:sz="6" w:space="0" w:color="auto"/>
              <w:left w:val="nil"/>
              <w:bottom w:val="single" w:sz="4" w:space="0" w:color="auto"/>
              <w:right w:val="nil"/>
            </w:tcBorders>
            <w:shd w:val="clear" w:color="auto" w:fill="A6A6A6" w:themeFill="background1" w:themeFillShade="A6"/>
          </w:tcPr>
          <w:p w:rsidR="00545554" w:rsidRPr="0023654F" w:rsidRDefault="00545554" w:rsidP="00545554">
            <w:pPr>
              <w:pStyle w:val="TableText"/>
              <w:snapToGrid w:val="0"/>
              <w:jc w:val="center"/>
              <w:rPr>
                <w:lang w:eastAsia="it-IT"/>
              </w:rPr>
            </w:pPr>
          </w:p>
        </w:tc>
        <w:tc>
          <w:tcPr>
            <w:tcW w:w="992" w:type="dxa"/>
            <w:tcBorders>
              <w:top w:val="single" w:sz="6" w:space="0" w:color="auto"/>
              <w:left w:val="nil"/>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Deposits from banks</w:t>
            </w:r>
          </w:p>
        </w:tc>
        <w:tc>
          <w:tcPr>
            <w:tcW w:w="1701" w:type="dxa"/>
            <w:tcBorders>
              <w:top w:val="single" w:sz="6" w:space="0" w:color="auto"/>
              <w:left w:val="single" w:sz="4" w:space="0" w:color="auto"/>
              <w:bottom w:val="single" w:sz="6" w:space="0" w:color="auto"/>
              <w:right w:val="single" w:sz="6" w:space="0" w:color="auto"/>
            </w:tcBorders>
            <w:shd w:val="clear" w:color="auto" w:fill="auto"/>
          </w:tcPr>
          <w:p w:rsidR="00545554" w:rsidRPr="00A3109D" w:rsidRDefault="00545554" w:rsidP="00545554">
            <w:pPr>
              <w:pStyle w:val="TableText"/>
              <w:snapToGrid w:val="0"/>
              <w:ind w:left="57" w:rightChars="71" w:right="142"/>
              <w:rPr>
                <w:lang w:eastAsia="it-IT"/>
              </w:rPr>
            </w:pPr>
          </w:p>
        </w:tc>
        <w:tc>
          <w:tcPr>
            <w:tcW w:w="1701" w:type="dxa"/>
            <w:tcBorders>
              <w:top w:val="single" w:sz="4"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Items in the course of collection due to other banks</w:t>
            </w:r>
          </w:p>
        </w:tc>
        <w:tc>
          <w:tcPr>
            <w:tcW w:w="1701" w:type="dxa"/>
            <w:tcBorders>
              <w:top w:val="single" w:sz="6" w:space="0" w:color="auto"/>
              <w:left w:val="single" w:sz="4" w:space="0" w:color="auto"/>
              <w:bottom w:val="single" w:sz="4" w:space="0" w:color="auto"/>
              <w:right w:val="single" w:sz="6" w:space="0" w:color="auto"/>
            </w:tcBorders>
            <w:shd w:val="clear" w:color="auto" w:fill="auto"/>
          </w:tcPr>
          <w:p w:rsidR="00545554" w:rsidRPr="00B62B9C" w:rsidRDefault="00545554" w:rsidP="00545554">
            <w:pPr>
              <w:pStyle w:val="TableText"/>
              <w:snapToGrid w:val="0"/>
              <w:ind w:left="57" w:rightChars="71" w:right="142"/>
              <w:rPr>
                <w:lang w:val="en-US" w:eastAsia="it-IT"/>
              </w:rPr>
            </w:pPr>
          </w:p>
        </w:tc>
        <w:tc>
          <w:tcPr>
            <w:tcW w:w="1701" w:type="dxa"/>
            <w:tcBorders>
              <w:top w:val="single" w:sz="6"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Customer accounts</w:t>
            </w:r>
          </w:p>
        </w:tc>
        <w:tc>
          <w:tcPr>
            <w:tcW w:w="1701" w:type="dxa"/>
            <w:tcBorders>
              <w:top w:val="single" w:sz="4" w:space="0" w:color="auto"/>
              <w:left w:val="single" w:sz="4" w:space="0" w:color="auto"/>
              <w:bottom w:val="single" w:sz="4" w:space="0" w:color="auto"/>
              <w:right w:val="single" w:sz="6" w:space="0" w:color="auto"/>
            </w:tcBorders>
            <w:shd w:val="clear" w:color="auto" w:fill="auto"/>
          </w:tcPr>
          <w:p w:rsidR="00545554" w:rsidRPr="00C50113" w:rsidRDefault="00545554" w:rsidP="00545554">
            <w:pPr>
              <w:pStyle w:val="TableText"/>
              <w:snapToGrid w:val="0"/>
              <w:ind w:left="57" w:rightChars="71" w:right="142"/>
              <w:rPr>
                <w:lang w:eastAsia="it-IT"/>
              </w:rPr>
            </w:pPr>
          </w:p>
        </w:tc>
        <w:tc>
          <w:tcPr>
            <w:tcW w:w="1701" w:type="dxa"/>
            <w:tcBorders>
              <w:top w:val="single" w:sz="4"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Repurchase agreements and other similar secured borrowing</w:t>
            </w:r>
          </w:p>
        </w:tc>
        <w:tc>
          <w:tcPr>
            <w:tcW w:w="1701" w:type="dxa"/>
            <w:tcBorders>
              <w:top w:val="single" w:sz="4" w:space="0" w:color="auto"/>
              <w:left w:val="single" w:sz="4" w:space="0" w:color="auto"/>
              <w:bottom w:val="single" w:sz="6" w:space="0" w:color="auto"/>
              <w:right w:val="single" w:sz="6" w:space="0" w:color="auto"/>
            </w:tcBorders>
            <w:shd w:val="clear" w:color="auto" w:fill="auto"/>
          </w:tcPr>
          <w:p w:rsidR="00545554" w:rsidRPr="00C50113" w:rsidRDefault="00545554" w:rsidP="00545554">
            <w:pPr>
              <w:pStyle w:val="TableText"/>
              <w:snapToGrid w:val="0"/>
              <w:ind w:left="57" w:rightChars="71" w:right="142"/>
              <w:rPr>
                <w:lang w:eastAsia="it-IT"/>
              </w:rPr>
            </w:pPr>
          </w:p>
        </w:tc>
        <w:tc>
          <w:tcPr>
            <w:tcW w:w="1701" w:type="dxa"/>
            <w:tcBorders>
              <w:top w:val="single" w:sz="4"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Trading portfolio liabilities</w:t>
            </w:r>
          </w:p>
        </w:tc>
        <w:tc>
          <w:tcPr>
            <w:tcW w:w="1701" w:type="dxa"/>
            <w:tcBorders>
              <w:top w:val="single" w:sz="6" w:space="0" w:color="auto"/>
              <w:left w:val="single" w:sz="4" w:space="0" w:color="auto"/>
              <w:bottom w:val="single" w:sz="4" w:space="0" w:color="auto"/>
              <w:right w:val="single" w:sz="6" w:space="0" w:color="auto"/>
            </w:tcBorders>
            <w:shd w:val="clear" w:color="auto" w:fill="auto"/>
          </w:tcPr>
          <w:p w:rsidR="00545554" w:rsidRPr="00267664" w:rsidRDefault="00545554" w:rsidP="00545554">
            <w:pPr>
              <w:pStyle w:val="TableText"/>
              <w:snapToGrid w:val="0"/>
              <w:ind w:left="57" w:rightChars="71" w:right="142"/>
              <w:rPr>
                <w:lang w:val="en-US" w:eastAsia="it-IT"/>
              </w:rPr>
            </w:pPr>
          </w:p>
        </w:tc>
        <w:tc>
          <w:tcPr>
            <w:tcW w:w="1701" w:type="dxa"/>
            <w:tcBorders>
              <w:top w:val="single" w:sz="6"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6"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340"/>
        </w:trPr>
        <w:tc>
          <w:tcPr>
            <w:tcW w:w="4820" w:type="dxa"/>
            <w:tcBorders>
              <w:top w:val="single" w:sz="4" w:space="0" w:color="auto"/>
              <w:left w:val="nil"/>
              <w:bottom w:val="single" w:sz="4" w:space="0" w:color="auto"/>
              <w:right w:val="single" w:sz="6" w:space="0" w:color="auto"/>
            </w:tcBorders>
          </w:tcPr>
          <w:p w:rsidR="00545554" w:rsidRPr="008B2E9C" w:rsidRDefault="00545554" w:rsidP="00545554">
            <w:pPr>
              <w:pStyle w:val="TableText"/>
              <w:snapToGrid w:val="0"/>
              <w:ind w:left="57"/>
              <w:rPr>
                <w:szCs w:val="17"/>
                <w:lang w:eastAsia="en-GB"/>
              </w:rPr>
            </w:pPr>
            <w:r w:rsidRPr="00FB79AF">
              <w:rPr>
                <w:szCs w:val="17"/>
                <w:lang w:eastAsia="en-GB"/>
              </w:rPr>
              <w:t>Financial liabi</w:t>
            </w:r>
            <w:r>
              <w:rPr>
                <w:szCs w:val="17"/>
                <w:lang w:eastAsia="en-GB"/>
              </w:rPr>
              <w:t>lities designated at fair value</w:t>
            </w:r>
          </w:p>
        </w:tc>
        <w:tc>
          <w:tcPr>
            <w:tcW w:w="1701" w:type="dxa"/>
            <w:tcBorders>
              <w:top w:val="single" w:sz="4" w:space="0" w:color="auto"/>
              <w:left w:val="single" w:sz="6" w:space="0" w:color="auto"/>
              <w:bottom w:val="single" w:sz="4" w:space="0" w:color="auto"/>
              <w:right w:val="single" w:sz="6" w:space="0" w:color="auto"/>
            </w:tcBorders>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6" w:space="0" w:color="auto"/>
              <w:bottom w:val="single" w:sz="4" w:space="0" w:color="auto"/>
              <w:right w:val="single" w:sz="6" w:space="0" w:color="auto"/>
            </w:tcBorders>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6" w:space="0" w:color="auto"/>
              <w:bottom w:val="single" w:sz="4" w:space="0" w:color="auto"/>
              <w:right w:val="single" w:sz="4" w:space="0" w:color="auto"/>
            </w:tcBorders>
          </w:tcPr>
          <w:p w:rsidR="00545554" w:rsidRPr="0023654F" w:rsidRDefault="00545554" w:rsidP="00545554">
            <w:pPr>
              <w:pStyle w:val="TableText"/>
              <w:snapToGrid w:val="0"/>
              <w:jc w:val="center"/>
              <w:rPr>
                <w:lang w:eastAsia="it-IT"/>
              </w:rPr>
            </w:pPr>
          </w:p>
        </w:tc>
      </w:tr>
      <w:tr w:rsidR="00545554" w:rsidRPr="0023654F" w:rsidTr="00545554">
        <w:trPr>
          <w:cantSplit/>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Derivative financial instruments</w:t>
            </w:r>
          </w:p>
        </w:tc>
        <w:tc>
          <w:tcPr>
            <w:tcW w:w="1701" w:type="dxa"/>
            <w:tcBorders>
              <w:top w:val="single" w:sz="4" w:space="0" w:color="auto"/>
              <w:left w:val="single" w:sz="4" w:space="0" w:color="auto"/>
              <w:bottom w:val="single" w:sz="4" w:space="0" w:color="auto"/>
              <w:right w:val="single" w:sz="4" w:space="0" w:color="auto"/>
            </w:tcBorders>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Debt securities in issue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Accruals, deferred income and other liabilities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Current and deferred tax liabilities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Of which: DTLs related to goodwill</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FB79AF" w:rsidRDefault="00545554" w:rsidP="00545554">
            <w:pPr>
              <w:pStyle w:val="TableText"/>
              <w:snapToGrid w:val="0"/>
              <w:jc w:val="center"/>
              <w:rPr>
                <w:szCs w:val="17"/>
                <w:lang w:eastAsia="en-GB"/>
              </w:rPr>
            </w:pPr>
            <w:r>
              <w:rPr>
                <w:szCs w:val="17"/>
                <w:lang w:eastAsia="en-GB"/>
              </w:rPr>
              <w:t>[c]</w:t>
            </w: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 xml:space="preserve">Of which: DTLs related to intangible assets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FB79AF" w:rsidRDefault="00545554" w:rsidP="00545554">
            <w:pPr>
              <w:pStyle w:val="TableText"/>
              <w:snapToGrid w:val="0"/>
              <w:jc w:val="center"/>
              <w:rPr>
                <w:szCs w:val="17"/>
                <w:lang w:eastAsia="en-GB"/>
              </w:rPr>
            </w:pPr>
            <w:r>
              <w:rPr>
                <w:szCs w:val="17"/>
                <w:lang w:eastAsia="en-GB"/>
              </w:rPr>
              <w:t>[d]</w:t>
            </w: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Subordinated liabilities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Del="001C71B9"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Provisions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Retirement benefit liabilities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FB79AF" w:rsidRDefault="00545554" w:rsidP="00545554">
            <w:pPr>
              <w:pStyle w:val="TableText"/>
              <w:snapToGrid w:val="0"/>
              <w:ind w:left="57"/>
              <w:rPr>
                <w:b/>
                <w:szCs w:val="17"/>
                <w:lang w:eastAsia="en-GB"/>
              </w:rPr>
            </w:pPr>
            <w:r w:rsidRPr="00FB79AF">
              <w:rPr>
                <w:b/>
                <w:szCs w:val="17"/>
                <w:lang w:eastAsia="en-GB"/>
              </w:rPr>
              <w:t>Total liabilities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267664"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nil"/>
            </w:tcBorders>
            <w:shd w:val="clear" w:color="auto" w:fill="A6A6A6" w:themeFill="background1" w:themeFillShade="A6"/>
          </w:tcPr>
          <w:p w:rsidR="00545554" w:rsidRPr="008B5525" w:rsidRDefault="00545554" w:rsidP="00545554">
            <w:pPr>
              <w:pStyle w:val="TableText"/>
              <w:snapToGrid w:val="0"/>
              <w:ind w:left="57"/>
              <w:rPr>
                <w:b/>
                <w:szCs w:val="17"/>
                <w:lang w:eastAsia="en-GB"/>
              </w:rPr>
            </w:pPr>
            <w:r w:rsidRPr="008B5525">
              <w:rPr>
                <w:b/>
                <w:szCs w:val="17"/>
                <w:lang w:eastAsia="en-GB"/>
              </w:rPr>
              <w:t>Shareholders’ equity</w:t>
            </w:r>
          </w:p>
        </w:tc>
        <w:tc>
          <w:tcPr>
            <w:tcW w:w="1701" w:type="dxa"/>
            <w:tcBorders>
              <w:top w:val="single" w:sz="4" w:space="0" w:color="auto"/>
              <w:left w:val="nil"/>
              <w:bottom w:val="single" w:sz="4" w:space="0" w:color="auto"/>
              <w:right w:val="nil"/>
            </w:tcBorders>
            <w:shd w:val="clear" w:color="auto" w:fill="A6A6A6" w:themeFill="background1" w:themeFillShade="A6"/>
          </w:tcPr>
          <w:p w:rsidR="00545554" w:rsidRPr="00445B4A" w:rsidRDefault="00545554" w:rsidP="00545554">
            <w:pPr>
              <w:pStyle w:val="TableText"/>
              <w:snapToGrid w:val="0"/>
              <w:ind w:left="57" w:rightChars="71" w:right="142"/>
              <w:rPr>
                <w:b/>
                <w:lang w:eastAsia="it-IT"/>
              </w:rPr>
            </w:pPr>
          </w:p>
        </w:tc>
        <w:tc>
          <w:tcPr>
            <w:tcW w:w="1701" w:type="dxa"/>
            <w:tcBorders>
              <w:top w:val="single" w:sz="4" w:space="0" w:color="auto"/>
              <w:left w:val="nil"/>
              <w:bottom w:val="single" w:sz="4" w:space="0" w:color="auto"/>
              <w:right w:val="nil"/>
            </w:tcBorders>
            <w:shd w:val="clear" w:color="auto" w:fill="A6A6A6" w:themeFill="background1" w:themeFillShade="A6"/>
          </w:tcPr>
          <w:p w:rsidR="00545554" w:rsidRPr="0023654F" w:rsidRDefault="00545554" w:rsidP="00545554">
            <w:pPr>
              <w:pStyle w:val="TableText"/>
              <w:snapToGrid w:val="0"/>
              <w:jc w:val="center"/>
              <w:rPr>
                <w:lang w:eastAsia="it-IT"/>
              </w:rPr>
            </w:pPr>
          </w:p>
        </w:tc>
        <w:tc>
          <w:tcPr>
            <w:tcW w:w="992" w:type="dxa"/>
            <w:tcBorders>
              <w:top w:val="single" w:sz="4" w:space="0" w:color="auto"/>
              <w:left w:val="nil"/>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57"/>
              <w:rPr>
                <w:szCs w:val="17"/>
                <w:lang w:eastAsia="en-GB"/>
              </w:rPr>
            </w:pPr>
            <w:r w:rsidRPr="00FB79AF">
              <w:rPr>
                <w:szCs w:val="17"/>
                <w:lang w:eastAsia="en-GB"/>
              </w:rPr>
              <w:t>Paid-in share capital</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Of which: amount eligible for CET1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r>
              <w:rPr>
                <w:lang w:eastAsia="it-IT"/>
              </w:rPr>
              <w:t>[e]</w:t>
            </w: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Pr="008B2E9C" w:rsidRDefault="00545554" w:rsidP="00545554">
            <w:pPr>
              <w:pStyle w:val="TableText"/>
              <w:snapToGrid w:val="0"/>
              <w:ind w:leftChars="29" w:left="425" w:hangingChars="216" w:hanging="367"/>
              <w:rPr>
                <w:szCs w:val="17"/>
                <w:lang w:eastAsia="en-GB"/>
              </w:rPr>
            </w:pPr>
            <w:r>
              <w:rPr>
                <w:szCs w:val="17"/>
                <w:lang w:eastAsia="en-GB"/>
              </w:rPr>
              <w:tab/>
            </w:r>
            <w:r w:rsidRPr="00FB79AF">
              <w:rPr>
                <w:szCs w:val="17"/>
                <w:lang w:eastAsia="en-GB"/>
              </w:rPr>
              <w:t>Of which: amount eligible for AT1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r>
              <w:rPr>
                <w:lang w:eastAsia="it-IT"/>
              </w:rPr>
              <w:t>[f]</w:t>
            </w: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sidRPr="00FB79AF">
              <w:rPr>
                <w:szCs w:val="17"/>
                <w:lang w:eastAsia="en-GB"/>
              </w:rPr>
              <w:t>Retained earnings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8B5525"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ind w:left="57"/>
              <w:rPr>
                <w:szCs w:val="17"/>
                <w:lang w:eastAsia="en-GB"/>
              </w:rPr>
            </w:pPr>
            <w:r w:rsidRPr="00FB79AF">
              <w:rPr>
                <w:szCs w:val="17"/>
                <w:lang w:eastAsia="en-GB"/>
              </w:rPr>
              <w:t>Accumulated other comprehensive income</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372905" w:rsidRDefault="00545554" w:rsidP="00545554">
            <w:pPr>
              <w:pStyle w:val="TableText"/>
              <w:snapToGrid w:val="0"/>
              <w:ind w:left="57" w:rightChars="71" w:right="142"/>
              <w:rPr>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jc w:val="center"/>
              <w:rPr>
                <w:lang w:eastAsia="it-IT"/>
              </w:rPr>
            </w:pPr>
          </w:p>
        </w:tc>
      </w:tr>
      <w:tr w:rsidR="00545554" w:rsidRPr="0023654F" w:rsidTr="00545554">
        <w:trPr>
          <w:cantSplit/>
          <w:trHeight w:val="270"/>
        </w:trPr>
        <w:tc>
          <w:tcPr>
            <w:tcW w:w="4820" w:type="dxa"/>
            <w:tcBorders>
              <w:top w:val="single" w:sz="6" w:space="0" w:color="auto"/>
              <w:left w:val="nil"/>
              <w:bottom w:val="single" w:sz="6" w:space="0" w:color="auto"/>
              <w:right w:val="single" w:sz="4" w:space="0" w:color="auto"/>
            </w:tcBorders>
            <w:shd w:val="clear" w:color="auto" w:fill="auto"/>
          </w:tcPr>
          <w:p w:rsidR="00545554" w:rsidRPr="00FB79AF" w:rsidRDefault="00545554" w:rsidP="00545554">
            <w:pPr>
              <w:pStyle w:val="TableText"/>
              <w:snapToGrid w:val="0"/>
              <w:ind w:left="57"/>
              <w:rPr>
                <w:b/>
                <w:szCs w:val="17"/>
                <w:lang w:eastAsia="it-IT"/>
              </w:rPr>
            </w:pPr>
            <w:r w:rsidRPr="00FB79AF">
              <w:rPr>
                <w:b/>
                <w:szCs w:val="17"/>
                <w:lang w:eastAsia="it-IT"/>
              </w:rPr>
              <w:t>Total shareholders’ equity</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E219E7" w:rsidRDefault="00545554" w:rsidP="00545554">
            <w:pPr>
              <w:pStyle w:val="TableText"/>
              <w:snapToGrid w:val="0"/>
              <w:ind w:left="57" w:rightChars="71" w:right="142"/>
              <w:rPr>
                <w:szCs w:val="17"/>
                <w:lang w:eastAsia="it-IT"/>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jc w:val="center"/>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jc w:val="center"/>
              <w:rPr>
                <w:lang w:eastAsia="it-IT"/>
              </w:rPr>
            </w:pP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709"/>
        <w:gridCol w:w="8505"/>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153"/>
        </w:trPr>
        <w:tc>
          <w:tcPr>
            <w:tcW w:w="9214" w:type="dxa"/>
            <w:gridSpan w:val="2"/>
            <w:shd w:val="clear" w:color="auto" w:fill="F2F2F2" w:themeFill="background1" w:themeFillShade="F2"/>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545554" w:rsidRPr="00280717" w:rsidTr="00545554">
        <w:tc>
          <w:tcPr>
            <w:tcW w:w="709" w:type="dxa"/>
          </w:tcPr>
          <w:p w:rsidR="00545554" w:rsidRPr="00F171BA" w:rsidRDefault="00545554" w:rsidP="00545554">
            <w:pPr>
              <w:keepLines/>
              <w:widowControl w:val="0"/>
              <w:tabs>
                <w:tab w:val="left" w:pos="1191"/>
              </w:tabs>
              <w:spacing w:before="40" w:after="40"/>
              <w:ind w:rightChars="-54" w:right="-108"/>
              <w:rPr>
                <w:rFonts w:cs="Segoe UI"/>
                <w:sz w:val="17"/>
                <w:szCs w:val="17"/>
                <w:lang w:eastAsia="en-GB"/>
              </w:rPr>
            </w:pPr>
            <w:r>
              <w:rPr>
                <w:rFonts w:cs="Segoe UI"/>
                <w:sz w:val="17"/>
                <w:szCs w:val="17"/>
                <w:lang w:eastAsia="en-GB"/>
              </w:rPr>
              <w:t>(a) and (b)</w:t>
            </w:r>
          </w:p>
        </w:tc>
        <w:tc>
          <w:tcPr>
            <w:tcW w:w="8505" w:type="dxa"/>
          </w:tcPr>
          <w:p w:rsidR="00545554" w:rsidRPr="00EC1C29" w:rsidRDefault="00545554" w:rsidP="00545554">
            <w:pPr>
              <w:pStyle w:val="TableText"/>
              <w:keepNext/>
              <w:jc w:val="both"/>
              <w:rPr>
                <w:szCs w:val="17"/>
              </w:rPr>
            </w:pPr>
            <w:r>
              <w:rPr>
                <w:szCs w:val="17"/>
              </w:rPr>
              <w:t>An AI</w:t>
            </w:r>
            <w:r w:rsidRPr="00EC1C29">
              <w:rPr>
                <w:szCs w:val="17"/>
              </w:rPr>
              <w:t xml:space="preserve"> </w:t>
            </w:r>
            <w:r>
              <w:rPr>
                <w:szCs w:val="17"/>
              </w:rPr>
              <w:t>should</w:t>
            </w:r>
            <w:r w:rsidRPr="00EC1C29">
              <w:rPr>
                <w:szCs w:val="17"/>
              </w:rPr>
              <w:t xml:space="preserve"> take </w:t>
            </w:r>
            <w:r>
              <w:rPr>
                <w:szCs w:val="17"/>
              </w:rPr>
              <w:t>the</w:t>
            </w:r>
            <w:r w:rsidRPr="00EC1C29">
              <w:rPr>
                <w:szCs w:val="17"/>
              </w:rPr>
              <w:t xml:space="preserve"> balance sheet </w:t>
            </w:r>
            <w:r>
              <w:rPr>
                <w:szCs w:val="17"/>
              </w:rPr>
              <w:t xml:space="preserve">numbers </w:t>
            </w:r>
            <w:r w:rsidRPr="00EC1C29">
              <w:rPr>
                <w:szCs w:val="17"/>
              </w:rPr>
              <w:t xml:space="preserve">in </w:t>
            </w:r>
            <w:r>
              <w:rPr>
                <w:szCs w:val="17"/>
              </w:rPr>
              <w:t>its</w:t>
            </w:r>
            <w:r w:rsidRPr="00EC1C29">
              <w:rPr>
                <w:szCs w:val="17"/>
              </w:rPr>
              <w:t xml:space="preserve"> published financial statements (</w:t>
            </w:r>
            <w:r>
              <w:rPr>
                <w:szCs w:val="17"/>
              </w:rPr>
              <w:t>reported in column (a)</w:t>
            </w:r>
            <w:r w:rsidRPr="00EC1C29">
              <w:rPr>
                <w:szCs w:val="17"/>
              </w:rPr>
              <w:t>)</w:t>
            </w:r>
            <w:r>
              <w:rPr>
                <w:szCs w:val="17"/>
              </w:rPr>
              <w:t>,</w:t>
            </w:r>
            <w:r w:rsidRPr="00EC1C29">
              <w:rPr>
                <w:szCs w:val="17"/>
              </w:rPr>
              <w:t xml:space="preserve"> and report the numbers when the regulatory scope of consolidation is applied (</w:t>
            </w:r>
            <w:r>
              <w:rPr>
                <w:szCs w:val="17"/>
              </w:rPr>
              <w:t>reported in column (b)</w:t>
            </w:r>
            <w:r w:rsidRPr="00EC1C29">
              <w:rPr>
                <w:szCs w:val="17"/>
              </w:rPr>
              <w:t xml:space="preserve">). </w:t>
            </w:r>
            <w:r>
              <w:rPr>
                <w:szCs w:val="17"/>
              </w:rPr>
              <w:t xml:space="preserve"> </w:t>
            </w:r>
            <w:r w:rsidRPr="00EC1C29">
              <w:rPr>
                <w:szCs w:val="17"/>
              </w:rPr>
              <w:t xml:space="preserve">This </w:t>
            </w:r>
            <w:r w:rsidRPr="00EC1C29">
              <w:rPr>
                <w:szCs w:val="17"/>
              </w:rPr>
              <w:lastRenderedPageBreak/>
              <w:t xml:space="preserve">is referred to as Step 1 under the three-step approach to reconciliation, as explained and illustrated in paragraphs 14–16 and 42 (Annex 2) of </w:t>
            </w:r>
            <w:r>
              <w:rPr>
                <w:szCs w:val="17"/>
              </w:rPr>
              <w:t xml:space="preserve">BCBS’s document </w:t>
            </w:r>
            <w:r w:rsidRPr="00BA3470">
              <w:rPr>
                <w:i/>
                <w:szCs w:val="17"/>
              </w:rPr>
              <w:t>Composition of capital disclosure requirements</w:t>
            </w:r>
            <w:r w:rsidRPr="00EC1C29">
              <w:rPr>
                <w:szCs w:val="17"/>
              </w:rPr>
              <w:t xml:space="preserve"> </w:t>
            </w:r>
            <w:r>
              <w:rPr>
                <w:szCs w:val="17"/>
              </w:rPr>
              <w:t xml:space="preserve">dated </w:t>
            </w:r>
            <w:r w:rsidRPr="00EC1C29">
              <w:rPr>
                <w:szCs w:val="17"/>
              </w:rPr>
              <w:t>June 2012.</w:t>
            </w:r>
          </w:p>
          <w:p w:rsidR="00545554" w:rsidRPr="00EC1C29" w:rsidRDefault="00545554" w:rsidP="00545554">
            <w:pPr>
              <w:pStyle w:val="TableText"/>
              <w:keepNext/>
              <w:jc w:val="both"/>
              <w:rPr>
                <w:szCs w:val="17"/>
              </w:rPr>
            </w:pPr>
            <w:r w:rsidRPr="00EC1C29">
              <w:rPr>
                <w:szCs w:val="17"/>
              </w:rPr>
              <w:t xml:space="preserve">If there are rows in the balance sheet under the regulatory scope of consolidation that are not present in the published financial statements, </w:t>
            </w:r>
            <w:r>
              <w:rPr>
                <w:szCs w:val="17"/>
              </w:rPr>
              <w:t>the AI should</w:t>
            </w:r>
            <w:r w:rsidRPr="00EC1C29">
              <w:rPr>
                <w:szCs w:val="17"/>
              </w:rPr>
              <w:t xml:space="preserve"> add these </w:t>
            </w:r>
            <w:r>
              <w:rPr>
                <w:szCs w:val="17"/>
              </w:rPr>
              <w:t xml:space="preserve">rows </w:t>
            </w:r>
            <w:r w:rsidRPr="00EC1C29">
              <w:rPr>
                <w:szCs w:val="17"/>
              </w:rPr>
              <w:t>and give a value of zero in column (a).</w:t>
            </w:r>
          </w:p>
          <w:p w:rsidR="00545554" w:rsidRDefault="00545554" w:rsidP="00545554">
            <w:pPr>
              <w:pStyle w:val="TableText"/>
              <w:keepNext/>
              <w:jc w:val="both"/>
              <w:rPr>
                <w:szCs w:val="17"/>
              </w:rPr>
            </w:pPr>
            <w:r w:rsidRPr="00EC1C29">
              <w:rPr>
                <w:szCs w:val="17"/>
              </w:rPr>
              <w:t>If a</w:t>
            </w:r>
            <w:r>
              <w:rPr>
                <w:szCs w:val="17"/>
              </w:rPr>
              <w:t>n AI</w:t>
            </w:r>
            <w:r w:rsidRPr="00EC1C29">
              <w:rPr>
                <w:szCs w:val="17"/>
              </w:rPr>
              <w:t>’s scope of accounting consolidation and scope of regulatory consolidation are exactly the same, columns (a) and (b) should be merged and this fact should be clearly disclosed.</w:t>
            </w:r>
          </w:p>
          <w:p w:rsidR="00545554" w:rsidRPr="00F171BA" w:rsidRDefault="00545554" w:rsidP="00545554">
            <w:pPr>
              <w:pStyle w:val="TableNote"/>
              <w:spacing w:before="40" w:after="40"/>
              <w:rPr>
                <w:sz w:val="17"/>
                <w:szCs w:val="17"/>
              </w:rPr>
            </w:pPr>
            <w:r>
              <w:rPr>
                <w:sz w:val="17"/>
                <w:szCs w:val="17"/>
              </w:rPr>
              <w:t>T</w:t>
            </w:r>
            <w:r w:rsidRPr="00EC1C29">
              <w:rPr>
                <w:sz w:val="17"/>
                <w:szCs w:val="17"/>
              </w:rPr>
              <w:t xml:space="preserve">he amounts in columns (a) and (b) in </w:t>
            </w:r>
            <w:r>
              <w:rPr>
                <w:sz w:val="17"/>
                <w:szCs w:val="17"/>
              </w:rPr>
              <w:t>this t</w:t>
            </w:r>
            <w:r w:rsidRPr="00EC1C29">
              <w:rPr>
                <w:sz w:val="17"/>
                <w:szCs w:val="17"/>
              </w:rPr>
              <w:t>emplate before balance sheet expansion (i</w:t>
            </w:r>
            <w:r>
              <w:rPr>
                <w:sz w:val="17"/>
                <w:szCs w:val="17"/>
              </w:rPr>
              <w:t>.</w:t>
            </w:r>
            <w:r w:rsidRPr="00EC1C29">
              <w:rPr>
                <w:sz w:val="17"/>
                <w:szCs w:val="17"/>
              </w:rPr>
              <w:t>e</w:t>
            </w:r>
            <w:r>
              <w:rPr>
                <w:sz w:val="17"/>
                <w:szCs w:val="17"/>
              </w:rPr>
              <w:t>.</w:t>
            </w:r>
            <w:r w:rsidRPr="00EC1C29">
              <w:rPr>
                <w:sz w:val="17"/>
                <w:szCs w:val="17"/>
              </w:rPr>
              <w:t xml:space="preserve"> before Step 2</w:t>
            </w:r>
            <w:r>
              <w:rPr>
                <w:sz w:val="17"/>
                <w:szCs w:val="17"/>
              </w:rPr>
              <w:t xml:space="preserve"> under the three-step approach</w:t>
            </w:r>
            <w:r w:rsidRPr="00EC1C29">
              <w:rPr>
                <w:sz w:val="17"/>
                <w:szCs w:val="17"/>
              </w:rPr>
              <w:t>) should be identical to columns (a) and (b) in Template LI1.</w:t>
            </w:r>
          </w:p>
        </w:tc>
      </w:tr>
      <w:tr w:rsidR="00545554" w:rsidRPr="00280717" w:rsidTr="00545554">
        <w:tc>
          <w:tcPr>
            <w:tcW w:w="709" w:type="dxa"/>
          </w:tcPr>
          <w:p w:rsidR="00545554" w:rsidRDefault="00545554" w:rsidP="00545554">
            <w:pPr>
              <w:keepLines/>
              <w:widowControl w:val="0"/>
              <w:tabs>
                <w:tab w:val="left" w:pos="1191"/>
              </w:tabs>
              <w:spacing w:before="40" w:after="40"/>
              <w:ind w:rightChars="-54" w:right="-108"/>
              <w:rPr>
                <w:rFonts w:cs="Segoe UI"/>
                <w:sz w:val="17"/>
                <w:szCs w:val="17"/>
                <w:lang w:eastAsia="en-GB"/>
              </w:rPr>
            </w:pPr>
            <w:r>
              <w:rPr>
                <w:rFonts w:cs="Segoe UI"/>
                <w:sz w:val="17"/>
                <w:szCs w:val="17"/>
                <w:lang w:eastAsia="en-GB"/>
              </w:rPr>
              <w:lastRenderedPageBreak/>
              <w:t>(c)</w:t>
            </w:r>
          </w:p>
        </w:tc>
        <w:tc>
          <w:tcPr>
            <w:tcW w:w="8505" w:type="dxa"/>
          </w:tcPr>
          <w:p w:rsidR="00545554" w:rsidRDefault="00545554" w:rsidP="00545554">
            <w:pPr>
              <w:pStyle w:val="TableText"/>
              <w:keepNext/>
              <w:jc w:val="both"/>
              <w:rPr>
                <w:szCs w:val="17"/>
              </w:rPr>
            </w:pPr>
            <w:r>
              <w:rPr>
                <w:szCs w:val="17"/>
              </w:rPr>
              <w:t>An AI should, using a</w:t>
            </w:r>
            <w:r w:rsidRPr="00EC1C29">
              <w:rPr>
                <w:szCs w:val="17"/>
              </w:rPr>
              <w:t xml:space="preserve"> reference number/letter</w:t>
            </w:r>
            <w:r>
              <w:rPr>
                <w:szCs w:val="17"/>
              </w:rPr>
              <w:t xml:space="preserve"> input in this column, cross-reference the figures of the expanded </w:t>
            </w:r>
            <w:r w:rsidRPr="004878F3">
              <w:rPr>
                <w:lang w:eastAsia="en-GB"/>
              </w:rPr>
              <w:t xml:space="preserve">balance sheet </w:t>
            </w:r>
            <w:r>
              <w:rPr>
                <w:szCs w:val="17"/>
              </w:rPr>
              <w:t>items to the corresponding i</w:t>
            </w:r>
            <w:r w:rsidRPr="00EC1C29">
              <w:rPr>
                <w:szCs w:val="17"/>
              </w:rPr>
              <w:t>tems</w:t>
            </w:r>
            <w:r>
              <w:rPr>
                <w:szCs w:val="17"/>
              </w:rPr>
              <w:t xml:space="preserve"> in</w:t>
            </w:r>
            <w:r w:rsidRPr="00EC1C29">
              <w:rPr>
                <w:szCs w:val="17"/>
              </w:rPr>
              <w:t xml:space="preserve"> column (b) of Template CC1</w:t>
            </w:r>
            <w:r>
              <w:rPr>
                <w:szCs w:val="17"/>
              </w:rPr>
              <w:t xml:space="preserve"> in accordance with </w:t>
            </w:r>
            <w:r w:rsidRPr="00EC1C29">
              <w:rPr>
                <w:szCs w:val="17"/>
              </w:rPr>
              <w:t xml:space="preserve">Step </w:t>
            </w:r>
            <w:r>
              <w:rPr>
                <w:szCs w:val="17"/>
              </w:rPr>
              <w:t>3</w:t>
            </w:r>
            <w:r w:rsidRPr="00EC1C29">
              <w:rPr>
                <w:szCs w:val="17"/>
              </w:rPr>
              <w:t xml:space="preserve"> under the three-step approach to reconciliation as explained and illustrated in paragraphs </w:t>
            </w:r>
            <w:r>
              <w:rPr>
                <w:szCs w:val="17"/>
              </w:rPr>
              <w:t>23</w:t>
            </w:r>
            <w:r w:rsidRPr="00EC1C29">
              <w:rPr>
                <w:szCs w:val="17"/>
              </w:rPr>
              <w:t>–2</w:t>
            </w:r>
            <w:r>
              <w:rPr>
                <w:szCs w:val="17"/>
              </w:rPr>
              <w:t>4</w:t>
            </w:r>
            <w:r w:rsidRPr="00EC1C29">
              <w:rPr>
                <w:szCs w:val="17"/>
              </w:rPr>
              <w:t xml:space="preserve"> and 4</w:t>
            </w:r>
            <w:r>
              <w:rPr>
                <w:szCs w:val="17"/>
              </w:rPr>
              <w:t>4-45</w:t>
            </w:r>
            <w:r w:rsidRPr="00EC1C29">
              <w:rPr>
                <w:szCs w:val="17"/>
              </w:rPr>
              <w:t xml:space="preserve"> (Annex 2) of </w:t>
            </w:r>
            <w:r>
              <w:rPr>
                <w:szCs w:val="17"/>
              </w:rPr>
              <w:t xml:space="preserve">BCBS’s document </w:t>
            </w:r>
            <w:r w:rsidRPr="00BA3470">
              <w:rPr>
                <w:i/>
                <w:szCs w:val="17"/>
              </w:rPr>
              <w:t>Composition of capital disclosure requirements</w:t>
            </w:r>
            <w:r w:rsidRPr="00EC1C29">
              <w:rPr>
                <w:szCs w:val="17"/>
              </w:rPr>
              <w:t xml:space="preserve"> </w:t>
            </w:r>
            <w:r>
              <w:rPr>
                <w:szCs w:val="17"/>
              </w:rPr>
              <w:t xml:space="preserve">dated </w:t>
            </w:r>
            <w:r w:rsidRPr="00EC1C29">
              <w:rPr>
                <w:szCs w:val="17"/>
              </w:rPr>
              <w:t>June 2012.</w:t>
            </w:r>
          </w:p>
        </w:tc>
      </w:tr>
      <w:tr w:rsidR="00545554" w:rsidRPr="00280717" w:rsidTr="00545554">
        <w:trPr>
          <w:trHeight w:val="373"/>
        </w:trPr>
        <w:tc>
          <w:tcPr>
            <w:tcW w:w="9214" w:type="dxa"/>
            <w:gridSpan w:val="2"/>
            <w:shd w:val="clear" w:color="auto" w:fill="F2F2F2" w:themeFill="background1" w:themeFillShade="F2"/>
          </w:tcPr>
          <w:p w:rsidR="00545554" w:rsidRPr="00A539ED" w:rsidRDefault="00545554" w:rsidP="00545554">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545554" w:rsidRPr="00280717" w:rsidTr="00545554">
        <w:trPr>
          <w:trHeight w:val="373"/>
        </w:trPr>
        <w:tc>
          <w:tcPr>
            <w:tcW w:w="709" w:type="dxa"/>
          </w:tcPr>
          <w:p w:rsidR="00545554" w:rsidRPr="00280717" w:rsidRDefault="00545554" w:rsidP="00545554">
            <w:pPr>
              <w:keepLines/>
              <w:widowControl w:val="0"/>
              <w:tabs>
                <w:tab w:val="left" w:pos="1191"/>
              </w:tabs>
              <w:spacing w:before="40" w:after="40"/>
              <w:ind w:rightChars="-54" w:right="-108"/>
              <w:rPr>
                <w:rFonts w:cs="Segoe UI"/>
                <w:sz w:val="17"/>
                <w:szCs w:val="17"/>
                <w:lang w:eastAsia="en-GB"/>
              </w:rPr>
            </w:pPr>
            <w:r>
              <w:rPr>
                <w:rFonts w:cs="Segoe UI"/>
                <w:sz w:val="17"/>
                <w:szCs w:val="17"/>
                <w:lang w:eastAsia="en-GB"/>
              </w:rPr>
              <w:t>All</w:t>
            </w:r>
          </w:p>
        </w:tc>
        <w:tc>
          <w:tcPr>
            <w:tcW w:w="8505" w:type="dxa"/>
          </w:tcPr>
          <w:p w:rsidR="00545554" w:rsidRPr="00805D2E" w:rsidRDefault="00545554" w:rsidP="00BA1DAA">
            <w:pPr>
              <w:pStyle w:val="TableText"/>
              <w:keepNext/>
              <w:jc w:val="both"/>
              <w:rPr>
                <w:szCs w:val="17"/>
              </w:rPr>
            </w:pPr>
            <w:r>
              <w:rPr>
                <w:szCs w:val="17"/>
              </w:rPr>
              <w:t>R</w:t>
            </w:r>
            <w:r w:rsidRPr="00EC1C29">
              <w:rPr>
                <w:szCs w:val="17"/>
              </w:rPr>
              <w:t xml:space="preserve">ows in the template should follow the balance sheet presentation used by </w:t>
            </w:r>
            <w:r>
              <w:rPr>
                <w:szCs w:val="17"/>
              </w:rPr>
              <w:t>an AI</w:t>
            </w:r>
            <w:r w:rsidRPr="00EC1C29">
              <w:rPr>
                <w:szCs w:val="17"/>
              </w:rPr>
              <w:t xml:space="preserve"> in its financial statements, on which basis the </w:t>
            </w:r>
            <w:r>
              <w:rPr>
                <w:szCs w:val="17"/>
              </w:rPr>
              <w:t>AI</w:t>
            </w:r>
            <w:r w:rsidRPr="00EC1C29">
              <w:rPr>
                <w:szCs w:val="17"/>
              </w:rPr>
              <w:t xml:space="preserve"> is required to expand the balance sheet to identify all the items that are disclosed in Template CC1 (referred to as Step 2 under the three-step approach to reconciliation, as explained and illustrated in paragraphs 17–22 and 43 (Annex 2) of </w:t>
            </w:r>
            <w:r>
              <w:rPr>
                <w:szCs w:val="17"/>
              </w:rPr>
              <w:t xml:space="preserve">BCBS’s document </w:t>
            </w:r>
            <w:r w:rsidRPr="00BA3470">
              <w:rPr>
                <w:i/>
                <w:szCs w:val="17"/>
              </w:rPr>
              <w:t>Composition of capital disclosure requirements</w:t>
            </w:r>
            <w:r w:rsidRPr="00EC1C29">
              <w:rPr>
                <w:szCs w:val="17"/>
              </w:rPr>
              <w:t xml:space="preserve"> </w:t>
            </w:r>
            <w:r>
              <w:rPr>
                <w:szCs w:val="17"/>
              </w:rPr>
              <w:t xml:space="preserve">dated </w:t>
            </w:r>
            <w:r w:rsidRPr="00EC1C29">
              <w:rPr>
                <w:szCs w:val="17"/>
              </w:rPr>
              <w:t xml:space="preserve">June 2012). </w:t>
            </w:r>
            <w:r>
              <w:rPr>
                <w:szCs w:val="17"/>
              </w:rPr>
              <w:t xml:space="preserve"> </w:t>
            </w:r>
            <w:r w:rsidRPr="00EC1C29">
              <w:rPr>
                <w:szCs w:val="17"/>
              </w:rPr>
              <w:t>Set out above (i</w:t>
            </w:r>
            <w:r>
              <w:rPr>
                <w:szCs w:val="17"/>
              </w:rPr>
              <w:t>.</w:t>
            </w:r>
            <w:r w:rsidRPr="00EC1C29">
              <w:rPr>
                <w:szCs w:val="17"/>
              </w:rPr>
              <w:t>e</w:t>
            </w:r>
            <w:r>
              <w:rPr>
                <w:szCs w:val="17"/>
              </w:rPr>
              <w:t>. items [</w:t>
            </w:r>
            <w:r w:rsidRPr="00EC1C29">
              <w:rPr>
                <w:szCs w:val="17"/>
              </w:rPr>
              <w:t>a</w:t>
            </w:r>
            <w:r>
              <w:rPr>
                <w:szCs w:val="17"/>
              </w:rPr>
              <w:t>]</w:t>
            </w:r>
            <w:r w:rsidRPr="00EC1C29">
              <w:rPr>
                <w:szCs w:val="17"/>
              </w:rPr>
              <w:t xml:space="preserve"> to </w:t>
            </w:r>
            <w:r>
              <w:rPr>
                <w:szCs w:val="17"/>
              </w:rPr>
              <w:t>[</w:t>
            </w:r>
            <w:r w:rsidR="00BA1DAA">
              <w:rPr>
                <w:szCs w:val="17"/>
              </w:rPr>
              <w:t>f</w:t>
            </w:r>
            <w:r>
              <w:rPr>
                <w:szCs w:val="17"/>
              </w:rPr>
              <w:t>]</w:t>
            </w:r>
            <w:r w:rsidRPr="00EC1C29">
              <w:rPr>
                <w:szCs w:val="17"/>
              </w:rPr>
              <w:t xml:space="preserve">) are some examples of items that may need to be expanded for a particular banking group. </w:t>
            </w:r>
            <w:r>
              <w:rPr>
                <w:szCs w:val="17"/>
              </w:rPr>
              <w:t xml:space="preserve"> </w:t>
            </w:r>
            <w:r w:rsidRPr="00EC1C29">
              <w:rPr>
                <w:szCs w:val="17"/>
              </w:rPr>
              <w:t xml:space="preserve">Disclosure should be proportionate to the complexity of the </w:t>
            </w:r>
            <w:r>
              <w:rPr>
                <w:szCs w:val="17"/>
              </w:rPr>
              <w:t>AI</w:t>
            </w:r>
            <w:r w:rsidRPr="00EC1C29">
              <w:rPr>
                <w:szCs w:val="17"/>
              </w:rPr>
              <w:t xml:space="preserve">’s balance sheet. </w:t>
            </w:r>
            <w:r>
              <w:rPr>
                <w:szCs w:val="17"/>
              </w:rPr>
              <w:t xml:space="preserve"> </w:t>
            </w:r>
            <w:r w:rsidRPr="00EC1C29">
              <w:rPr>
                <w:szCs w:val="17"/>
              </w:rPr>
              <w:t xml:space="preserve">Each item </w:t>
            </w:r>
            <w:r>
              <w:rPr>
                <w:szCs w:val="17"/>
              </w:rPr>
              <w:t>should</w:t>
            </w:r>
            <w:r w:rsidRPr="00EC1C29">
              <w:rPr>
                <w:szCs w:val="17"/>
              </w:rPr>
              <w:t xml:space="preserve"> be given a reference number/letter in column (c) that is used as cross-reference to the corresponding items</w:t>
            </w:r>
            <w:r>
              <w:rPr>
                <w:szCs w:val="17"/>
              </w:rPr>
              <w:t xml:space="preserve"> in</w:t>
            </w:r>
            <w:r w:rsidRPr="00EC1C29">
              <w:rPr>
                <w:szCs w:val="17"/>
              </w:rPr>
              <w:t xml:space="preserve"> column (b) of Template CC1.</w:t>
            </w:r>
          </w:p>
        </w:tc>
      </w:tr>
    </w:tbl>
    <w:p w:rsidR="00545554" w:rsidRDefault="00545554" w:rsidP="00545554">
      <w:pPr>
        <w:spacing w:before="120" w:after="120"/>
        <w:rPr>
          <w:sz w:val="22"/>
        </w:rPr>
      </w:pPr>
    </w:p>
    <w:p w:rsidR="00545554" w:rsidRDefault="00545554" w:rsidP="003F0A7B">
      <w:pPr>
        <w:pStyle w:val="Heading1"/>
        <w:tabs>
          <w:tab w:val="clear" w:pos="794"/>
          <w:tab w:val="left" w:pos="426"/>
        </w:tabs>
        <w:spacing w:before="0"/>
        <w:ind w:leftChars="-283" w:left="-566"/>
        <w:sectPr w:rsidR="00545554">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F914B1" w:rsidTr="00545554">
        <w:tc>
          <w:tcPr>
            <w:tcW w:w="9242" w:type="dxa"/>
            <w:gridSpan w:val="2"/>
            <w:tcBorders>
              <w:top w:val="nil"/>
            </w:tcBorders>
          </w:tcPr>
          <w:p w:rsidR="00545554" w:rsidRPr="00F914B1" w:rsidRDefault="00545554" w:rsidP="00545554">
            <w:pPr>
              <w:spacing w:before="40" w:after="40"/>
              <w:jc w:val="both"/>
              <w:rPr>
                <w:noProof/>
                <w:sz w:val="17"/>
                <w:lang w:eastAsia="en-GB"/>
              </w:rPr>
            </w:pPr>
            <w:r w:rsidRPr="00F914B1">
              <w:lastRenderedPageBreak/>
              <w:br w:type="page"/>
            </w:r>
            <w:r w:rsidRPr="0087675E">
              <w:rPr>
                <w:sz w:val="22"/>
              </w:rPr>
              <w:t>Table CCA: Main features of regulatory capital instruments</w:t>
            </w:r>
          </w:p>
        </w:tc>
      </w:tr>
      <w:tr w:rsidR="00545554" w:rsidRPr="00F914B1" w:rsidTr="00545554">
        <w:tc>
          <w:tcPr>
            <w:tcW w:w="2008" w:type="dxa"/>
          </w:tcPr>
          <w:p w:rsidR="00545554" w:rsidRPr="00F914B1" w:rsidRDefault="00545554" w:rsidP="00545554">
            <w:pPr>
              <w:spacing w:before="40" w:after="40"/>
              <w:rPr>
                <w:noProof/>
                <w:sz w:val="17"/>
                <w:lang w:eastAsia="en-GB"/>
              </w:rPr>
            </w:pPr>
            <w:r w:rsidRPr="00F914B1">
              <w:rPr>
                <w:b/>
                <w:sz w:val="17"/>
                <w:lang w:eastAsia="en-GB"/>
              </w:rPr>
              <w:t>Purpose:</w:t>
            </w:r>
          </w:p>
        </w:tc>
        <w:tc>
          <w:tcPr>
            <w:tcW w:w="7234" w:type="dxa"/>
          </w:tcPr>
          <w:p w:rsidR="00545554" w:rsidRPr="00F914B1" w:rsidRDefault="00545554" w:rsidP="00545554">
            <w:pPr>
              <w:pStyle w:val="TableText"/>
              <w:jc w:val="both"/>
              <w:rPr>
                <w:lang w:eastAsia="en-GB"/>
              </w:rPr>
            </w:pPr>
            <w:r>
              <w:rPr>
                <w:szCs w:val="17"/>
              </w:rPr>
              <w:t>To provide a description on the main features of the CET1, Additional Tier 1 and Tier 2 capital instruments, as applicable, that are included in an AI’s regulatory capital.</w:t>
            </w:r>
          </w:p>
        </w:tc>
      </w:tr>
      <w:tr w:rsidR="00545554" w:rsidRPr="00F914B1" w:rsidTr="00545554">
        <w:tc>
          <w:tcPr>
            <w:tcW w:w="2008" w:type="dxa"/>
          </w:tcPr>
          <w:p w:rsidR="00545554" w:rsidRPr="00F914B1" w:rsidRDefault="00545554" w:rsidP="00545554">
            <w:pPr>
              <w:spacing w:before="40" w:after="40"/>
              <w:rPr>
                <w:b/>
                <w:sz w:val="17"/>
                <w:lang w:eastAsia="en-GB"/>
              </w:rPr>
            </w:pPr>
            <w:r w:rsidRPr="00F914B1">
              <w:rPr>
                <w:b/>
                <w:sz w:val="17"/>
                <w:lang w:eastAsia="en-GB"/>
              </w:rPr>
              <w:t>Scope of application:</w:t>
            </w:r>
          </w:p>
        </w:tc>
        <w:tc>
          <w:tcPr>
            <w:tcW w:w="7234" w:type="dxa"/>
          </w:tcPr>
          <w:p w:rsidR="00545554" w:rsidRPr="00CA2B87" w:rsidRDefault="00545554" w:rsidP="00545554">
            <w:pPr>
              <w:pStyle w:val="TableText"/>
              <w:jc w:val="both"/>
              <w:rPr>
                <w:szCs w:val="17"/>
              </w:rPr>
            </w:pPr>
            <w:r w:rsidRPr="00984199">
              <w:rPr>
                <w:rFonts w:eastAsia="新細明體"/>
                <w:lang w:eastAsia="en-GB"/>
              </w:rPr>
              <w:t xml:space="preserve">The </w:t>
            </w:r>
            <w:r>
              <w:rPr>
                <w:rFonts w:eastAsia="新細明體"/>
                <w:lang w:eastAsia="en-GB"/>
              </w:rPr>
              <w:t>table</w:t>
            </w:r>
            <w:r w:rsidRPr="00984199">
              <w:rPr>
                <w:rFonts w:eastAsia="新細明體"/>
                <w:lang w:eastAsia="en-GB"/>
              </w:rPr>
              <w:t xml:space="preserve"> is mandatory for all AIs</w:t>
            </w:r>
            <w:r>
              <w:t xml:space="preserve"> </w:t>
            </w:r>
            <w:r w:rsidRPr="00984199">
              <w:rPr>
                <w:rFonts w:eastAsia="新細明體"/>
                <w:lang w:eastAsia="en-GB"/>
              </w:rPr>
              <w:t>incorporated in Hong Kong</w:t>
            </w:r>
            <w:r>
              <w:rPr>
                <w:rFonts w:eastAsia="新細明體"/>
                <w:lang w:eastAsia="en-GB"/>
              </w:rPr>
              <w:t>.</w:t>
            </w:r>
          </w:p>
        </w:tc>
      </w:tr>
      <w:tr w:rsidR="00545554" w:rsidRPr="00F914B1" w:rsidTr="00545554">
        <w:tc>
          <w:tcPr>
            <w:tcW w:w="2008" w:type="dxa"/>
          </w:tcPr>
          <w:p w:rsidR="00545554" w:rsidRPr="00F914B1" w:rsidRDefault="00545554" w:rsidP="00545554">
            <w:pPr>
              <w:spacing w:before="40" w:after="40"/>
              <w:rPr>
                <w:b/>
                <w:sz w:val="17"/>
                <w:lang w:eastAsia="en-GB"/>
              </w:rPr>
            </w:pPr>
            <w:r w:rsidRPr="00F914B1">
              <w:rPr>
                <w:b/>
                <w:sz w:val="17"/>
                <w:lang w:eastAsia="en-GB"/>
              </w:rPr>
              <w:t>Content:</w:t>
            </w:r>
          </w:p>
        </w:tc>
        <w:tc>
          <w:tcPr>
            <w:tcW w:w="7234" w:type="dxa"/>
          </w:tcPr>
          <w:p w:rsidR="00545554" w:rsidRPr="00A31411" w:rsidRDefault="00545554" w:rsidP="00545554">
            <w:pPr>
              <w:pStyle w:val="TableText"/>
              <w:jc w:val="both"/>
              <w:rPr>
                <w:lang w:eastAsia="en-GB"/>
              </w:rPr>
            </w:pPr>
            <w:r w:rsidRPr="00F914B1">
              <w:rPr>
                <w:lang w:eastAsia="en-GB"/>
              </w:rPr>
              <w:t>Qualitative and quantitative information</w:t>
            </w:r>
            <w:r>
              <w:rPr>
                <w:lang w:eastAsia="en-GB"/>
              </w:rPr>
              <w:t>.</w:t>
            </w:r>
          </w:p>
        </w:tc>
      </w:tr>
      <w:tr w:rsidR="00545554" w:rsidRPr="00F914B1" w:rsidTr="00545554">
        <w:tc>
          <w:tcPr>
            <w:tcW w:w="2008" w:type="dxa"/>
          </w:tcPr>
          <w:p w:rsidR="00545554" w:rsidRPr="00F914B1" w:rsidRDefault="00545554" w:rsidP="00545554">
            <w:pPr>
              <w:spacing w:before="40" w:after="40"/>
              <w:rPr>
                <w:sz w:val="17"/>
                <w:lang w:eastAsia="en-GB"/>
              </w:rPr>
            </w:pPr>
            <w:r w:rsidRPr="00F914B1">
              <w:rPr>
                <w:b/>
                <w:sz w:val="17"/>
                <w:lang w:eastAsia="en-GB"/>
              </w:rPr>
              <w:t>Frequency:</w:t>
            </w:r>
          </w:p>
        </w:tc>
        <w:tc>
          <w:tcPr>
            <w:tcW w:w="7234" w:type="dxa"/>
          </w:tcPr>
          <w:p w:rsidR="00545554" w:rsidRPr="004A2776" w:rsidRDefault="00545554" w:rsidP="00545554">
            <w:pPr>
              <w:pStyle w:val="TableText"/>
              <w:jc w:val="both"/>
              <w:rPr>
                <w:lang w:eastAsia="en-GB"/>
              </w:rPr>
            </w:pPr>
            <w:r w:rsidRPr="004A2776">
              <w:rPr>
                <w:lang w:eastAsia="en-GB"/>
              </w:rPr>
              <w:t xml:space="preserve">Semi-annual.  This table should be posted on the AI’s </w:t>
            </w:r>
            <w:r>
              <w:rPr>
                <w:lang w:eastAsia="en-GB"/>
              </w:rPr>
              <w:t xml:space="preserve">internet </w:t>
            </w:r>
            <w:r w:rsidRPr="004A2776">
              <w:rPr>
                <w:lang w:eastAsia="en-GB"/>
              </w:rPr>
              <w:t>website</w:t>
            </w:r>
            <w:r>
              <w:rPr>
                <w:lang w:eastAsia="en-GB"/>
              </w:rPr>
              <w:t xml:space="preserve"> (or if permitted by the MA, the internet website of its parent bank)</w:t>
            </w:r>
            <w:r w:rsidRPr="004A2776">
              <w:rPr>
                <w:lang w:eastAsia="en-GB"/>
              </w:rPr>
              <w:t>.  It should be updated whenever a capital instrument is issued</w:t>
            </w:r>
            <w:r>
              <w:rPr>
                <w:lang w:eastAsia="en-GB"/>
              </w:rPr>
              <w:t xml:space="preserve">, </w:t>
            </w:r>
            <w:r w:rsidRPr="004A2776">
              <w:rPr>
                <w:lang w:eastAsia="en-GB"/>
              </w:rPr>
              <w:t>repaid</w:t>
            </w:r>
            <w:r>
              <w:rPr>
                <w:lang w:eastAsia="en-GB"/>
              </w:rPr>
              <w:t>, included in or excluded from</w:t>
            </w:r>
            <w:r w:rsidRPr="004A2776">
              <w:rPr>
                <w:lang w:eastAsia="en-GB"/>
              </w:rPr>
              <w:t xml:space="preserve"> </w:t>
            </w:r>
            <w:r>
              <w:rPr>
                <w:lang w:eastAsia="en-GB"/>
              </w:rPr>
              <w:t xml:space="preserve">the capital base </w:t>
            </w:r>
            <w:r w:rsidRPr="004A2776">
              <w:rPr>
                <w:lang w:eastAsia="en-GB"/>
              </w:rPr>
              <w:t xml:space="preserve">by </w:t>
            </w:r>
            <w:r>
              <w:rPr>
                <w:lang w:eastAsia="en-GB"/>
              </w:rPr>
              <w:t>an</w:t>
            </w:r>
            <w:r w:rsidRPr="004A2776">
              <w:rPr>
                <w:lang w:eastAsia="en-GB"/>
              </w:rPr>
              <w:t xml:space="preserve"> AI, and whenever there is </w:t>
            </w:r>
            <w:r>
              <w:rPr>
                <w:lang w:eastAsia="en-GB"/>
              </w:rPr>
              <w:t xml:space="preserve">a </w:t>
            </w:r>
            <w:r w:rsidRPr="004A2776">
              <w:rPr>
                <w:lang w:eastAsia="en-GB"/>
              </w:rPr>
              <w:t xml:space="preserve">redemption, conversion / write-down, or </w:t>
            </w:r>
            <w:r>
              <w:rPr>
                <w:lang w:eastAsia="en-GB"/>
              </w:rPr>
              <w:t xml:space="preserve">any other </w:t>
            </w:r>
            <w:r w:rsidRPr="004A2776">
              <w:rPr>
                <w:lang w:eastAsia="en-GB"/>
              </w:rPr>
              <w:t xml:space="preserve">material change in the nature of </w:t>
            </w:r>
            <w:r>
              <w:rPr>
                <w:lang w:eastAsia="en-GB"/>
              </w:rPr>
              <w:t>the relevant</w:t>
            </w:r>
            <w:r w:rsidRPr="004A2776">
              <w:rPr>
                <w:lang w:eastAsia="en-GB"/>
              </w:rPr>
              <w:t xml:space="preserve"> instrument.  </w:t>
            </w:r>
            <w:r>
              <w:rPr>
                <w:lang w:eastAsia="en-GB"/>
              </w:rPr>
              <w:t xml:space="preserve">The </w:t>
            </w:r>
            <w:r w:rsidRPr="004A2776">
              <w:rPr>
                <w:lang w:eastAsia="en-GB"/>
              </w:rPr>
              <w:t xml:space="preserve">AI should include the web link to the issuances made over the previous period in each </w:t>
            </w:r>
            <w:r>
              <w:rPr>
                <w:lang w:eastAsia="en-GB"/>
              </w:rPr>
              <w:t>disclosure statement</w:t>
            </w:r>
            <w:r w:rsidRPr="004A2776">
              <w:rPr>
                <w:lang w:eastAsia="en-GB"/>
              </w:rPr>
              <w:t>.</w:t>
            </w:r>
          </w:p>
        </w:tc>
      </w:tr>
      <w:tr w:rsidR="00545554" w:rsidRPr="00F914B1" w:rsidTr="00545554">
        <w:tc>
          <w:tcPr>
            <w:tcW w:w="2008" w:type="dxa"/>
          </w:tcPr>
          <w:p w:rsidR="00545554" w:rsidRPr="00F914B1" w:rsidRDefault="00545554" w:rsidP="00545554">
            <w:pPr>
              <w:spacing w:before="40" w:after="40"/>
              <w:rPr>
                <w:sz w:val="17"/>
                <w:lang w:eastAsia="en-GB"/>
              </w:rPr>
            </w:pPr>
            <w:r w:rsidRPr="00F914B1">
              <w:rPr>
                <w:b/>
                <w:sz w:val="17"/>
                <w:lang w:eastAsia="en-GB"/>
              </w:rPr>
              <w:t>Format:</w:t>
            </w:r>
          </w:p>
        </w:tc>
        <w:tc>
          <w:tcPr>
            <w:tcW w:w="7234" w:type="dxa"/>
          </w:tcPr>
          <w:p w:rsidR="00545554" w:rsidRPr="00F914B1" w:rsidRDefault="00545554" w:rsidP="00545554">
            <w:pPr>
              <w:pStyle w:val="TableText"/>
              <w:jc w:val="both"/>
              <w:rPr>
                <w:lang w:eastAsia="en-GB"/>
              </w:rPr>
            </w:pPr>
            <w:r w:rsidRPr="00F914B1">
              <w:rPr>
                <w:lang w:eastAsia="en-GB"/>
              </w:rPr>
              <w:t>Flexible.</w:t>
            </w:r>
          </w:p>
        </w:tc>
      </w:tr>
      <w:tr w:rsidR="00545554" w:rsidRPr="00F914B1" w:rsidTr="00545554">
        <w:tc>
          <w:tcPr>
            <w:tcW w:w="2008" w:type="dxa"/>
          </w:tcPr>
          <w:p w:rsidR="00545554" w:rsidRPr="0087675E" w:rsidRDefault="00545554" w:rsidP="00545554">
            <w:pPr>
              <w:spacing w:before="40" w:after="40"/>
              <w:rPr>
                <w:szCs w:val="17"/>
              </w:rPr>
            </w:pPr>
            <w:r w:rsidRPr="004A2776">
              <w:rPr>
                <w:b/>
                <w:sz w:val="17"/>
                <w:lang w:eastAsia="en-GB"/>
              </w:rPr>
              <w:t>Accompanying</w:t>
            </w:r>
            <w:r w:rsidRPr="00531531">
              <w:rPr>
                <w:b/>
                <w:bCs/>
                <w:sz w:val="17"/>
                <w:szCs w:val="17"/>
              </w:rPr>
              <w:t xml:space="preserve"> information: </w:t>
            </w:r>
          </w:p>
        </w:tc>
        <w:tc>
          <w:tcPr>
            <w:tcW w:w="7234" w:type="dxa"/>
          </w:tcPr>
          <w:p w:rsidR="00545554" w:rsidRPr="004A2776" w:rsidRDefault="00545554" w:rsidP="00545554">
            <w:pPr>
              <w:pStyle w:val="TableText"/>
              <w:jc w:val="both"/>
              <w:rPr>
                <w:lang w:eastAsia="en-GB"/>
              </w:rPr>
            </w:pPr>
            <w:r w:rsidRPr="004A2776">
              <w:rPr>
                <w:lang w:eastAsia="en-GB"/>
              </w:rPr>
              <w:t xml:space="preserve">The full terms and conditions of all instruments included in </w:t>
            </w:r>
            <w:r>
              <w:rPr>
                <w:lang w:eastAsia="en-GB"/>
              </w:rPr>
              <w:t xml:space="preserve">an AI’s </w:t>
            </w:r>
            <w:r w:rsidRPr="004A2776">
              <w:rPr>
                <w:lang w:eastAsia="en-GB"/>
              </w:rPr>
              <w:t xml:space="preserve">regulatory capital should be made available on </w:t>
            </w:r>
            <w:r>
              <w:rPr>
                <w:lang w:eastAsia="en-GB"/>
              </w:rPr>
              <w:t xml:space="preserve">its internet </w:t>
            </w:r>
            <w:r w:rsidRPr="004A2776">
              <w:rPr>
                <w:lang w:eastAsia="en-GB"/>
              </w:rPr>
              <w:t>website.</w:t>
            </w:r>
          </w:p>
        </w:tc>
      </w:tr>
      <w:tr w:rsidR="00545554" w:rsidRPr="00F914B1" w:rsidTr="00545554">
        <w:tc>
          <w:tcPr>
            <w:tcW w:w="2008" w:type="dxa"/>
          </w:tcPr>
          <w:p w:rsidR="00545554" w:rsidRPr="00F914B1" w:rsidRDefault="00545554" w:rsidP="00545554">
            <w:pPr>
              <w:spacing w:before="40" w:after="40"/>
              <w:rPr>
                <w:b/>
                <w:sz w:val="17"/>
                <w:lang w:eastAsia="en-GB"/>
              </w:rPr>
            </w:pPr>
            <w:r w:rsidRPr="00F914B1">
              <w:rPr>
                <w:b/>
                <w:sz w:val="17"/>
                <w:lang w:eastAsia="en-GB"/>
              </w:rPr>
              <w:t>Correspondin</w:t>
            </w:r>
            <w:r w:rsidRPr="008337A1">
              <w:rPr>
                <w:b/>
                <w:sz w:val="17"/>
                <w:lang w:eastAsia="en-GB"/>
              </w:rPr>
              <w:t>g BDR section:</w:t>
            </w:r>
          </w:p>
        </w:tc>
        <w:tc>
          <w:tcPr>
            <w:tcW w:w="7234" w:type="dxa"/>
          </w:tcPr>
          <w:p w:rsidR="00545554" w:rsidRPr="00F914B1" w:rsidRDefault="00545554" w:rsidP="00B91458">
            <w:pPr>
              <w:pStyle w:val="TableText"/>
              <w:jc w:val="both"/>
              <w:rPr>
                <w:lang w:eastAsia="en-GB"/>
              </w:rPr>
            </w:pPr>
            <w:r w:rsidRPr="001B530B">
              <w:rPr>
                <w:lang w:eastAsia="en-GB"/>
              </w:rPr>
              <w:t>16FE</w:t>
            </w:r>
          </w:p>
        </w:tc>
      </w:tr>
    </w:tbl>
    <w:p w:rsidR="00545554" w:rsidRDefault="00545554" w:rsidP="000D4EB4">
      <w:pPr>
        <w:spacing w:before="120" w:after="120"/>
      </w:pPr>
    </w:p>
    <w:tbl>
      <w:tblPr>
        <w:tblStyle w:val="TableGrid"/>
        <w:tblW w:w="9214" w:type="dxa"/>
        <w:tblInd w:w="-459" w:type="dxa"/>
        <w:tblBorders>
          <w:left w:val="none" w:sz="0" w:space="0" w:color="auto"/>
          <w:right w:val="none" w:sz="0" w:space="0" w:color="auto"/>
        </w:tblBorders>
        <w:tblLook w:val="04A0" w:firstRow="1" w:lastRow="0" w:firstColumn="1" w:lastColumn="0" w:noHBand="0" w:noVBand="1"/>
      </w:tblPr>
      <w:tblGrid>
        <w:gridCol w:w="486"/>
        <w:gridCol w:w="6471"/>
        <w:gridCol w:w="2257"/>
      </w:tblGrid>
      <w:tr w:rsidR="00545554" w:rsidRPr="00813FAB" w:rsidTr="00545554">
        <w:trPr>
          <w:trHeight w:val="203"/>
          <w:tblHeader/>
        </w:trPr>
        <w:tc>
          <w:tcPr>
            <w:tcW w:w="486" w:type="dxa"/>
            <w:tcBorders>
              <w:top w:val="nil"/>
              <w:bottom w:val="nil"/>
              <w:right w:val="nil"/>
            </w:tcBorders>
          </w:tcPr>
          <w:p w:rsidR="00545554" w:rsidRPr="00813FAB" w:rsidRDefault="00545554" w:rsidP="009D7822">
            <w:pPr>
              <w:spacing w:before="20" w:after="20" w:line="240" w:lineRule="exact"/>
              <w:rPr>
                <w:rFonts w:cs="Segoe UI"/>
                <w:sz w:val="17"/>
                <w:szCs w:val="17"/>
              </w:rPr>
            </w:pPr>
          </w:p>
        </w:tc>
        <w:tc>
          <w:tcPr>
            <w:tcW w:w="6471" w:type="dxa"/>
            <w:tcBorders>
              <w:top w:val="nil"/>
              <w:left w:val="nil"/>
              <w:bottom w:val="nil"/>
            </w:tcBorders>
          </w:tcPr>
          <w:p w:rsidR="00545554" w:rsidRPr="00813FAB" w:rsidRDefault="00545554" w:rsidP="009D7822">
            <w:pPr>
              <w:spacing w:before="20" w:after="20" w:line="240" w:lineRule="exact"/>
              <w:rPr>
                <w:rFonts w:cs="Segoe UI"/>
                <w:sz w:val="17"/>
                <w:szCs w:val="17"/>
              </w:rPr>
            </w:pPr>
          </w:p>
        </w:tc>
        <w:tc>
          <w:tcPr>
            <w:tcW w:w="2257" w:type="dxa"/>
            <w:tcBorders>
              <w:top w:val="single" w:sz="4" w:space="0" w:color="auto"/>
              <w:right w:val="single" w:sz="4" w:space="0" w:color="auto"/>
            </w:tcBorders>
            <w:vAlign w:val="center"/>
          </w:tcPr>
          <w:p w:rsidR="00545554" w:rsidRPr="00813FAB" w:rsidRDefault="00545554" w:rsidP="009D7822">
            <w:pPr>
              <w:pStyle w:val="TableText"/>
              <w:snapToGrid w:val="0"/>
              <w:spacing w:before="20" w:after="20" w:line="240" w:lineRule="exact"/>
              <w:jc w:val="center"/>
              <w:rPr>
                <w:rFonts w:cs="Segoe UI"/>
                <w:szCs w:val="17"/>
              </w:rPr>
            </w:pPr>
            <w:r>
              <w:rPr>
                <w:rFonts w:cs="Segoe UI"/>
                <w:szCs w:val="17"/>
              </w:rPr>
              <w:t>(</w:t>
            </w:r>
            <w:r w:rsidRPr="00813FAB">
              <w:rPr>
                <w:rFonts w:cs="Segoe UI"/>
                <w:szCs w:val="17"/>
              </w:rPr>
              <w:t>a</w:t>
            </w:r>
            <w:r>
              <w:rPr>
                <w:rFonts w:cs="Segoe UI"/>
                <w:szCs w:val="17"/>
              </w:rPr>
              <w:t>)</w:t>
            </w:r>
          </w:p>
        </w:tc>
      </w:tr>
      <w:tr w:rsidR="00545554" w:rsidRPr="00813FAB" w:rsidTr="00545554">
        <w:trPr>
          <w:tblHeader/>
        </w:trPr>
        <w:tc>
          <w:tcPr>
            <w:tcW w:w="486" w:type="dxa"/>
            <w:tcBorders>
              <w:top w:val="nil"/>
              <w:right w:val="nil"/>
            </w:tcBorders>
          </w:tcPr>
          <w:p w:rsidR="00545554" w:rsidRPr="00813FAB" w:rsidRDefault="00545554" w:rsidP="009D7822">
            <w:pPr>
              <w:spacing w:before="20" w:after="20" w:line="240" w:lineRule="exact"/>
              <w:rPr>
                <w:rFonts w:cs="Segoe UI"/>
                <w:sz w:val="17"/>
                <w:szCs w:val="17"/>
              </w:rPr>
            </w:pPr>
          </w:p>
        </w:tc>
        <w:tc>
          <w:tcPr>
            <w:tcW w:w="6471" w:type="dxa"/>
            <w:tcBorders>
              <w:top w:val="nil"/>
              <w:left w:val="nil"/>
            </w:tcBorders>
          </w:tcPr>
          <w:p w:rsidR="00545554" w:rsidRPr="00813FAB" w:rsidRDefault="00545554" w:rsidP="009D7822">
            <w:pPr>
              <w:spacing w:before="20" w:after="20" w:line="240" w:lineRule="exact"/>
              <w:rPr>
                <w:rFonts w:cs="Segoe UI"/>
                <w:sz w:val="17"/>
                <w:szCs w:val="17"/>
              </w:rPr>
            </w:pPr>
          </w:p>
        </w:tc>
        <w:tc>
          <w:tcPr>
            <w:tcW w:w="2257" w:type="dxa"/>
            <w:tcBorders>
              <w:right w:val="single" w:sz="4" w:space="0" w:color="auto"/>
            </w:tcBorders>
          </w:tcPr>
          <w:p w:rsidR="00545554" w:rsidRPr="00813FAB" w:rsidRDefault="00545554" w:rsidP="009D7822">
            <w:pPr>
              <w:pStyle w:val="TableText"/>
              <w:snapToGrid w:val="0"/>
              <w:spacing w:before="20" w:after="20" w:line="240" w:lineRule="exact"/>
              <w:jc w:val="center"/>
              <w:rPr>
                <w:rFonts w:cs="Segoe UI"/>
                <w:b/>
                <w:szCs w:val="17"/>
              </w:rPr>
            </w:pPr>
            <w:r w:rsidRPr="00813FAB">
              <w:rPr>
                <w:rFonts w:cs="Segoe UI"/>
                <w:b/>
                <w:szCs w:val="17"/>
              </w:rPr>
              <w:t>Quantitative / qualitative information</w:t>
            </w: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Issuer</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w:t>
            </w:r>
          </w:p>
        </w:tc>
        <w:tc>
          <w:tcPr>
            <w:tcW w:w="6471" w:type="dxa"/>
          </w:tcPr>
          <w:p w:rsidR="00545554" w:rsidRPr="00813FAB" w:rsidRDefault="00545554" w:rsidP="009D7822">
            <w:pPr>
              <w:spacing w:before="20" w:after="20" w:line="240" w:lineRule="exact"/>
              <w:rPr>
                <w:rFonts w:cs="Segoe UI"/>
                <w:sz w:val="17"/>
                <w:szCs w:val="17"/>
              </w:rPr>
            </w:pPr>
            <w:r>
              <w:rPr>
                <w:rFonts w:cs="Segoe UI"/>
                <w:sz w:val="17"/>
                <w:szCs w:val="17"/>
              </w:rPr>
              <w:t>Unique identifier (</w:t>
            </w:r>
            <w:r w:rsidRPr="001950B5">
              <w:rPr>
                <w:rFonts w:cs="Segoe UI"/>
                <w:sz w:val="17"/>
                <w:szCs w:val="17"/>
              </w:rPr>
              <w:t>e.g</w:t>
            </w:r>
            <w:r>
              <w:rPr>
                <w:rFonts w:cs="Segoe UI"/>
                <w:sz w:val="17"/>
                <w:szCs w:val="17"/>
              </w:rPr>
              <w:t xml:space="preserve">. </w:t>
            </w:r>
            <w:r w:rsidRPr="00813FAB">
              <w:rPr>
                <w:rFonts w:cs="Segoe UI"/>
                <w:sz w:val="17"/>
                <w:szCs w:val="17"/>
              </w:rPr>
              <w:t>CUSIP, ISIN or Bloomberg identifier for private placement)</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Governing law(s) of the instrument</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shd w:val="clear" w:color="auto" w:fill="auto"/>
          </w:tcPr>
          <w:p w:rsidR="00545554" w:rsidRPr="00813FAB" w:rsidRDefault="00545554" w:rsidP="009D7822">
            <w:pPr>
              <w:spacing w:before="20" w:after="20" w:line="240" w:lineRule="exact"/>
              <w:rPr>
                <w:rFonts w:cs="Segoe UI"/>
                <w:sz w:val="17"/>
                <w:szCs w:val="17"/>
              </w:rPr>
            </w:pPr>
          </w:p>
        </w:tc>
        <w:tc>
          <w:tcPr>
            <w:tcW w:w="6471" w:type="dxa"/>
            <w:shd w:val="clear" w:color="auto" w:fill="auto"/>
          </w:tcPr>
          <w:p w:rsidR="00545554" w:rsidRPr="00690CBD" w:rsidRDefault="00545554" w:rsidP="009D7822">
            <w:pPr>
              <w:spacing w:before="20" w:after="20" w:line="240" w:lineRule="exact"/>
              <w:rPr>
                <w:rFonts w:cs="Segoe UI"/>
                <w:i/>
                <w:sz w:val="17"/>
                <w:szCs w:val="17"/>
              </w:rPr>
            </w:pPr>
            <w:r>
              <w:rPr>
                <w:rFonts w:cs="Segoe UI"/>
                <w:i/>
                <w:sz w:val="17"/>
                <w:szCs w:val="17"/>
              </w:rPr>
              <w:t>Regulatory treatment</w:t>
            </w:r>
          </w:p>
        </w:tc>
        <w:tc>
          <w:tcPr>
            <w:tcW w:w="2257" w:type="dxa"/>
            <w:tcBorders>
              <w:right w:val="single" w:sz="4" w:space="0" w:color="auto"/>
            </w:tcBorders>
            <w:shd w:val="clear" w:color="auto" w:fill="auto"/>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4</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Transitional Basel III rules</w:t>
            </w:r>
            <w:r>
              <w:rPr>
                <w:rStyle w:val="FootnoteReference"/>
                <w:rFonts w:cs="Segoe UI"/>
                <w:sz w:val="17"/>
                <w:szCs w:val="17"/>
              </w:rPr>
              <w:footnoteReference w:id="1"/>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5</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Post-transitional Basel III rules</w:t>
            </w:r>
            <w:r>
              <w:rPr>
                <w:rStyle w:val="FootnoteReference"/>
                <w:rFonts w:cs="Segoe UI"/>
                <w:sz w:val="17"/>
                <w:szCs w:val="17"/>
              </w:rPr>
              <w:footnoteReference w:id="2"/>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6</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Eligible at solo</w:t>
            </w:r>
            <w:r>
              <w:rPr>
                <w:rFonts w:cs="Segoe UI"/>
                <w:sz w:val="17"/>
                <w:szCs w:val="17"/>
              </w:rPr>
              <w:t xml:space="preserve"> </w:t>
            </w:r>
            <w:r w:rsidRPr="00813FAB">
              <w:rPr>
                <w:rFonts w:cs="Segoe UI"/>
                <w:sz w:val="17"/>
                <w:szCs w:val="17"/>
              </w:rPr>
              <w:t>/</w:t>
            </w:r>
            <w:r>
              <w:rPr>
                <w:rFonts w:cs="Segoe UI"/>
                <w:sz w:val="17"/>
                <w:szCs w:val="17"/>
              </w:rPr>
              <w:t xml:space="preserve"> </w:t>
            </w:r>
            <w:r w:rsidRPr="00813FAB">
              <w:rPr>
                <w:rFonts w:cs="Segoe UI"/>
                <w:sz w:val="17"/>
                <w:szCs w:val="17"/>
              </w:rPr>
              <w:t>group</w:t>
            </w:r>
            <w:r>
              <w:rPr>
                <w:rFonts w:cs="Segoe UI"/>
                <w:sz w:val="17"/>
                <w:szCs w:val="17"/>
              </w:rPr>
              <w:t xml:space="preserve"> </w:t>
            </w:r>
            <w:r w:rsidRPr="00813FAB">
              <w:rPr>
                <w:rFonts w:cs="Segoe UI"/>
                <w:sz w:val="17"/>
                <w:szCs w:val="17"/>
              </w:rPr>
              <w:t>/</w:t>
            </w:r>
            <w:r>
              <w:rPr>
                <w:rFonts w:cs="Segoe UI"/>
                <w:sz w:val="17"/>
                <w:szCs w:val="17"/>
              </w:rPr>
              <w:t xml:space="preserve"> </w:t>
            </w:r>
            <w:r w:rsidRPr="00813FAB">
              <w:rPr>
                <w:rFonts w:cs="Segoe UI"/>
                <w:sz w:val="17"/>
                <w:szCs w:val="17"/>
              </w:rPr>
              <w:t>solo and group</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7</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Instrument type (types to be specified by each jurisdiction)</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8</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 xml:space="preserve">Amount </w:t>
            </w:r>
            <w:r w:rsidRPr="00690CBD">
              <w:rPr>
                <w:rFonts w:cs="Segoe UI"/>
                <w:sz w:val="17"/>
                <w:szCs w:val="17"/>
              </w:rPr>
              <w:t>recognised</w:t>
            </w:r>
            <w:r w:rsidRPr="00813FAB">
              <w:rPr>
                <w:rFonts w:cs="Segoe UI"/>
                <w:sz w:val="17"/>
                <w:szCs w:val="17"/>
              </w:rPr>
              <w:t xml:space="preserve"> in regulatory capital (currency in millions, as of most recent reporting date)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rPr>
          <w:trHeight w:val="205"/>
        </w:trPr>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9</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Par value of instrument</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10</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Accounting classification</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11</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Original date of issuance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12</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Perpetual or dated</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13</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Original maturity date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14</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Issuer call subject to prior supervisory approval</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15</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Optional call date, contingent call dates and redemption amount</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lastRenderedPageBreak/>
              <w:t>16</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Subsequent call dates, if applicable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shd w:val="clear" w:color="auto" w:fill="auto"/>
          </w:tcPr>
          <w:p w:rsidR="00545554" w:rsidRPr="00813FAB" w:rsidRDefault="00545554" w:rsidP="009D7822">
            <w:pPr>
              <w:spacing w:before="20" w:after="20" w:line="240" w:lineRule="exact"/>
              <w:rPr>
                <w:rFonts w:cs="Segoe UI"/>
                <w:sz w:val="17"/>
                <w:szCs w:val="17"/>
              </w:rPr>
            </w:pPr>
          </w:p>
        </w:tc>
        <w:tc>
          <w:tcPr>
            <w:tcW w:w="6471" w:type="dxa"/>
            <w:shd w:val="clear" w:color="auto" w:fill="auto"/>
          </w:tcPr>
          <w:p w:rsidR="00545554" w:rsidRPr="00813FAB" w:rsidRDefault="00545554" w:rsidP="009D7822">
            <w:pPr>
              <w:spacing w:before="20" w:after="20" w:line="240" w:lineRule="exact"/>
              <w:rPr>
                <w:rFonts w:cs="Segoe UI"/>
                <w:i/>
                <w:sz w:val="17"/>
                <w:szCs w:val="17"/>
              </w:rPr>
            </w:pPr>
            <w:r w:rsidRPr="00813FAB">
              <w:rPr>
                <w:rFonts w:cs="Segoe UI"/>
                <w:i/>
                <w:sz w:val="17"/>
                <w:szCs w:val="17"/>
              </w:rPr>
              <w:t>Coupons / dividends</w:t>
            </w:r>
          </w:p>
        </w:tc>
        <w:tc>
          <w:tcPr>
            <w:tcW w:w="2257" w:type="dxa"/>
            <w:tcBorders>
              <w:right w:val="single" w:sz="4" w:space="0" w:color="auto"/>
            </w:tcBorders>
            <w:shd w:val="clear" w:color="auto" w:fill="auto"/>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17</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Fixed or floating dividend</w:t>
            </w:r>
            <w:r>
              <w:rPr>
                <w:rFonts w:cs="Segoe UI"/>
                <w:sz w:val="17"/>
                <w:szCs w:val="17"/>
              </w:rPr>
              <w:t xml:space="preserve"> </w:t>
            </w:r>
            <w:r w:rsidRPr="00813FAB">
              <w:rPr>
                <w:rFonts w:cs="Segoe UI"/>
                <w:sz w:val="17"/>
                <w:szCs w:val="17"/>
              </w:rPr>
              <w:t>/</w:t>
            </w:r>
            <w:r>
              <w:rPr>
                <w:rFonts w:cs="Segoe UI"/>
                <w:sz w:val="17"/>
                <w:szCs w:val="17"/>
              </w:rPr>
              <w:t xml:space="preserve"> </w:t>
            </w:r>
            <w:r w:rsidRPr="00813FAB">
              <w:rPr>
                <w:rFonts w:cs="Segoe UI"/>
                <w:sz w:val="17"/>
                <w:szCs w:val="17"/>
              </w:rPr>
              <w:t>coupon</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18</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Coupon rate and any related index</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19</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Existence of a dividend stopper</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20</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Fully discretionary, partially discretionary or mandatory</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21</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Existence of step-up or other incentive to redeem</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22</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Non-cumulative or cumulative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23</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Convertible or non-convertible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24</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conversion trigger(s)</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25</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fully or partially</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26</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conversion rate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27</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mandatory or optional conversion</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28</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specify instrument type convertible into</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29</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convertible, specify issuer of instrument it converts into</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30</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Write</w:t>
            </w:r>
            <w:r>
              <w:rPr>
                <w:rFonts w:cs="Segoe UI"/>
                <w:sz w:val="17"/>
                <w:szCs w:val="17"/>
              </w:rPr>
              <w:t>-</w:t>
            </w:r>
            <w:r w:rsidRPr="00813FAB">
              <w:rPr>
                <w:rFonts w:cs="Segoe UI"/>
                <w:sz w:val="17"/>
                <w:szCs w:val="17"/>
              </w:rPr>
              <w:t>down feature</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31</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write</w:t>
            </w:r>
            <w:r>
              <w:rPr>
                <w:rFonts w:cs="Segoe UI"/>
                <w:sz w:val="17"/>
                <w:szCs w:val="17"/>
              </w:rPr>
              <w:t>-</w:t>
            </w:r>
            <w:r w:rsidRPr="00813FAB">
              <w:rPr>
                <w:rFonts w:cs="Segoe UI"/>
                <w:sz w:val="17"/>
                <w:szCs w:val="17"/>
              </w:rPr>
              <w:t>down, write</w:t>
            </w:r>
            <w:r>
              <w:rPr>
                <w:rFonts w:cs="Segoe UI"/>
                <w:sz w:val="17"/>
                <w:szCs w:val="17"/>
              </w:rPr>
              <w:t>-</w:t>
            </w:r>
            <w:r w:rsidRPr="00813FAB">
              <w:rPr>
                <w:rFonts w:cs="Segoe UI"/>
                <w:sz w:val="17"/>
                <w:szCs w:val="17"/>
              </w:rPr>
              <w:t>down trigger(s)</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32</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write</w:t>
            </w:r>
            <w:r>
              <w:rPr>
                <w:rFonts w:cs="Segoe UI"/>
                <w:sz w:val="17"/>
                <w:szCs w:val="17"/>
              </w:rPr>
              <w:t>-</w:t>
            </w:r>
            <w:r w:rsidRPr="00813FAB">
              <w:rPr>
                <w:rFonts w:cs="Segoe UI"/>
                <w:sz w:val="17"/>
                <w:szCs w:val="17"/>
              </w:rPr>
              <w:t>down, full or partial</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33</w:t>
            </w:r>
          </w:p>
        </w:tc>
        <w:tc>
          <w:tcPr>
            <w:tcW w:w="6471" w:type="dxa"/>
          </w:tcPr>
          <w:p w:rsidR="00545554" w:rsidRPr="00813FAB" w:rsidRDefault="00545554" w:rsidP="009D7822">
            <w:pPr>
              <w:spacing w:before="20" w:after="20" w:line="240" w:lineRule="exact"/>
              <w:ind w:leftChars="165" w:left="330"/>
              <w:rPr>
                <w:rFonts w:cs="Segoe UI"/>
                <w:sz w:val="17"/>
                <w:szCs w:val="17"/>
              </w:rPr>
            </w:pPr>
            <w:r w:rsidRPr="00813FAB">
              <w:rPr>
                <w:rFonts w:cs="Segoe UI"/>
                <w:sz w:val="17"/>
                <w:szCs w:val="17"/>
              </w:rPr>
              <w:t>If write</w:t>
            </w:r>
            <w:r>
              <w:rPr>
                <w:rFonts w:cs="Segoe UI"/>
                <w:sz w:val="17"/>
                <w:szCs w:val="17"/>
              </w:rPr>
              <w:t>-</w:t>
            </w:r>
            <w:r w:rsidRPr="00813FAB">
              <w:rPr>
                <w:rFonts w:cs="Segoe UI"/>
                <w:sz w:val="17"/>
                <w:szCs w:val="17"/>
              </w:rPr>
              <w:t>down, permanent or temporary</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34</w:t>
            </w:r>
          </w:p>
        </w:tc>
        <w:tc>
          <w:tcPr>
            <w:tcW w:w="6471" w:type="dxa"/>
          </w:tcPr>
          <w:p w:rsidR="00545554" w:rsidRPr="00813FAB" w:rsidRDefault="00545554" w:rsidP="009D7822">
            <w:pPr>
              <w:spacing w:before="20" w:after="20" w:line="240" w:lineRule="exact"/>
              <w:ind w:leftChars="378" w:left="756"/>
              <w:rPr>
                <w:rFonts w:cs="Segoe UI"/>
                <w:sz w:val="17"/>
                <w:szCs w:val="17"/>
              </w:rPr>
            </w:pPr>
            <w:r w:rsidRPr="00813FAB">
              <w:rPr>
                <w:rFonts w:cs="Segoe UI"/>
                <w:sz w:val="17"/>
                <w:szCs w:val="17"/>
              </w:rPr>
              <w:t>If temporary write-</w:t>
            </w:r>
            <w:r>
              <w:rPr>
                <w:rFonts w:cs="Segoe UI"/>
                <w:sz w:val="17"/>
                <w:szCs w:val="17"/>
              </w:rPr>
              <w:t>d</w:t>
            </w:r>
            <w:r w:rsidRPr="00813FAB">
              <w:rPr>
                <w:rFonts w:cs="Segoe UI"/>
                <w:sz w:val="17"/>
                <w:szCs w:val="17"/>
              </w:rPr>
              <w:t>own, description of write</w:t>
            </w:r>
            <w:r>
              <w:rPr>
                <w:rFonts w:cs="Segoe UI"/>
                <w:sz w:val="17"/>
                <w:szCs w:val="17"/>
              </w:rPr>
              <w:t>-</w:t>
            </w:r>
            <w:r w:rsidRPr="00813FAB">
              <w:rPr>
                <w:rFonts w:cs="Segoe UI"/>
                <w:sz w:val="17"/>
                <w:szCs w:val="17"/>
              </w:rPr>
              <w:t>up mechanism</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35</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Position in subordination hierarchy in liquidation (specify instrument type immediately senior to instrument in the insolvency creditor hierarchy of the legal entity concerned).</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36</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Non-compliant transitioned features</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545554" w:rsidRPr="00813FAB" w:rsidTr="00545554">
        <w:tc>
          <w:tcPr>
            <w:tcW w:w="486"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37</w:t>
            </w:r>
          </w:p>
        </w:tc>
        <w:tc>
          <w:tcPr>
            <w:tcW w:w="6471" w:type="dxa"/>
          </w:tcPr>
          <w:p w:rsidR="00545554" w:rsidRPr="00813FAB" w:rsidRDefault="00545554" w:rsidP="009D7822">
            <w:pPr>
              <w:spacing w:before="20" w:after="20" w:line="240" w:lineRule="exact"/>
              <w:rPr>
                <w:rFonts w:cs="Segoe UI"/>
                <w:sz w:val="17"/>
                <w:szCs w:val="17"/>
              </w:rPr>
            </w:pPr>
            <w:r w:rsidRPr="00813FAB">
              <w:rPr>
                <w:rFonts w:cs="Segoe UI"/>
                <w:sz w:val="17"/>
                <w:szCs w:val="17"/>
              </w:rPr>
              <w:t>If yes, specify non-compliant features</w:t>
            </w:r>
          </w:p>
        </w:tc>
        <w:tc>
          <w:tcPr>
            <w:tcW w:w="2257" w:type="dxa"/>
            <w:tcBorders>
              <w:right w:val="single" w:sz="4" w:space="0" w:color="auto"/>
            </w:tcBorders>
          </w:tcPr>
          <w:p w:rsidR="00545554" w:rsidRPr="00813FAB" w:rsidRDefault="00545554" w:rsidP="009D7822">
            <w:pPr>
              <w:spacing w:before="20" w:after="20" w:line="240" w:lineRule="exact"/>
              <w:rPr>
                <w:rFonts w:cs="Segoe UI"/>
                <w:sz w:val="17"/>
                <w:szCs w:val="17"/>
              </w:rPr>
            </w:pPr>
          </w:p>
        </w:tc>
      </w:tr>
      <w:tr w:rsidR="000D4EB4" w:rsidTr="000D4EB4">
        <w:tblPrEx>
          <w:tblBorders>
            <w:left w:val="single" w:sz="4" w:space="0" w:color="auto"/>
            <w:right w:val="single" w:sz="4" w:space="0" w:color="auto"/>
          </w:tblBorders>
        </w:tblPrEx>
        <w:tc>
          <w:tcPr>
            <w:tcW w:w="9214" w:type="dxa"/>
            <w:gridSpan w:val="3"/>
            <w:tcBorders>
              <w:left w:val="nil"/>
            </w:tcBorders>
          </w:tcPr>
          <w:p w:rsidR="000D4EB4" w:rsidRPr="000D4EB4" w:rsidRDefault="000D4EB4" w:rsidP="000D4EB4">
            <w:pPr>
              <w:pStyle w:val="TableText"/>
              <w:snapToGrid w:val="0"/>
              <w:spacing w:line="240" w:lineRule="exact"/>
              <w:ind w:leftChars="-54" w:left="-108"/>
              <w:jc w:val="both"/>
              <w:rPr>
                <w:rFonts w:cs="Segoe UI"/>
                <w:i/>
                <w:szCs w:val="17"/>
                <w:lang w:eastAsia="it-IT"/>
              </w:rPr>
            </w:pPr>
            <w:r w:rsidRPr="000D4EB4">
              <w:rPr>
                <w:rFonts w:cs="Segoe UI"/>
                <w:i/>
                <w:szCs w:val="17"/>
                <w:lang w:eastAsia="it-IT"/>
              </w:rPr>
              <w:t>Points to note:</w:t>
            </w:r>
          </w:p>
          <w:p w:rsidR="000D4EB4" w:rsidRPr="000D4EB4" w:rsidRDefault="000D4EB4" w:rsidP="009D7822">
            <w:pPr>
              <w:pStyle w:val="ListParagraph"/>
              <w:widowControl/>
              <w:numPr>
                <w:ilvl w:val="0"/>
                <w:numId w:val="26"/>
              </w:numPr>
              <w:tabs>
                <w:tab w:val="left" w:pos="317"/>
              </w:tabs>
              <w:spacing w:after="60" w:line="240" w:lineRule="exact"/>
              <w:ind w:leftChars="0" w:left="317" w:hanging="425"/>
              <w:jc w:val="both"/>
              <w:rPr>
                <w:rFonts w:ascii="Segoe UI" w:hAnsi="Segoe UI" w:cs="Segoe UI"/>
                <w:i/>
                <w:sz w:val="17"/>
                <w:szCs w:val="17"/>
              </w:rPr>
            </w:pPr>
            <w:r w:rsidRPr="000D4EB4">
              <w:rPr>
                <w:rFonts w:ascii="Segoe UI" w:hAnsi="Segoe UI" w:cs="Segoe UI"/>
                <w:i/>
                <w:sz w:val="17"/>
                <w:szCs w:val="17"/>
              </w:rPr>
              <w:t>An AI should report the main features of each outstanding regulatory capital instrument.  For any item that is not applicable for a particular capital instrument, “NA” should be entered.</w:t>
            </w:r>
          </w:p>
          <w:p w:rsidR="000D4EB4" w:rsidRPr="000D4EB4" w:rsidRDefault="000D4EB4" w:rsidP="000D4EB4">
            <w:pPr>
              <w:pStyle w:val="ListParagraph"/>
              <w:widowControl/>
              <w:numPr>
                <w:ilvl w:val="0"/>
                <w:numId w:val="26"/>
              </w:numPr>
              <w:spacing w:after="60" w:line="240" w:lineRule="exact"/>
              <w:ind w:leftChars="0" w:left="317" w:hanging="425"/>
              <w:jc w:val="both"/>
              <w:rPr>
                <w:rFonts w:ascii="Segoe UI" w:hAnsi="Segoe UI" w:cs="Segoe UI"/>
                <w:i/>
                <w:sz w:val="17"/>
                <w:szCs w:val="17"/>
              </w:rPr>
            </w:pPr>
            <w:r w:rsidRPr="000D4EB4">
              <w:rPr>
                <w:rFonts w:ascii="Segoe UI" w:hAnsi="Segoe UI" w:cs="Segoe UI"/>
                <w:i/>
                <w:sz w:val="17"/>
                <w:szCs w:val="17"/>
              </w:rPr>
              <w:t>In order to provide a “main features report” that summarises all of the regulatory capital instruments of the banking group, an AI should report each instrument, including ordinary shares, in a separate column of this template (by adding column (b), column (c) and so on).</w:t>
            </w:r>
          </w:p>
          <w:p w:rsidR="000D4EB4" w:rsidRPr="000D4EB4" w:rsidRDefault="000D4EB4" w:rsidP="000D4EB4">
            <w:pPr>
              <w:pStyle w:val="ListParagraph"/>
              <w:widowControl/>
              <w:numPr>
                <w:ilvl w:val="0"/>
                <w:numId w:val="26"/>
              </w:numPr>
              <w:spacing w:after="60" w:line="240" w:lineRule="exact"/>
              <w:ind w:leftChars="0" w:left="317" w:hanging="425"/>
              <w:jc w:val="both"/>
              <w:rPr>
                <w:sz w:val="17"/>
                <w:szCs w:val="17"/>
              </w:rPr>
            </w:pPr>
            <w:r w:rsidRPr="000D4EB4">
              <w:rPr>
                <w:rFonts w:ascii="Segoe UI" w:hAnsi="Segoe UI" w:cs="Segoe UI"/>
                <w:i/>
                <w:sz w:val="17"/>
                <w:szCs w:val="17"/>
              </w:rPr>
              <w:t>An AI should select one of the standard options in the list as the input for a particular cell, where relevant.  The following table provides a more detailed explanation of reporting requirements for each of the cells, and, where relevant, the list of standard options from which the AI should select as the input for a particular cell.</w:t>
            </w:r>
          </w:p>
        </w:tc>
      </w:tr>
    </w:tbl>
    <w:p w:rsidR="000D4EB4" w:rsidRPr="00BB4B5D" w:rsidRDefault="000D4EB4" w:rsidP="00545554"/>
    <w:tbl>
      <w:tblPr>
        <w:tblStyle w:val="TableGrid"/>
        <w:tblW w:w="9214" w:type="dxa"/>
        <w:tblInd w:w="-459" w:type="dxa"/>
        <w:tblLook w:val="04A0" w:firstRow="1" w:lastRow="0" w:firstColumn="1" w:lastColumn="0" w:noHBand="0" w:noVBand="1"/>
      </w:tblPr>
      <w:tblGrid>
        <w:gridCol w:w="486"/>
        <w:gridCol w:w="8728"/>
      </w:tblGrid>
      <w:tr w:rsidR="00545554" w:rsidRPr="00813FAB" w:rsidTr="00545554">
        <w:tc>
          <w:tcPr>
            <w:tcW w:w="9214" w:type="dxa"/>
            <w:gridSpan w:val="2"/>
            <w:shd w:val="clear" w:color="auto" w:fill="BFBFBF" w:themeFill="background1" w:themeFillShade="BF"/>
          </w:tcPr>
          <w:p w:rsidR="00545554" w:rsidRPr="00710EA8" w:rsidRDefault="00545554" w:rsidP="00545554">
            <w:pPr>
              <w:pStyle w:val="TableNote"/>
              <w:keepNext/>
              <w:spacing w:before="40" w:after="40"/>
              <w:rPr>
                <w:rFonts w:eastAsia="新細明體"/>
                <w:b/>
                <w:sz w:val="17"/>
                <w:lang w:eastAsia="en-GB"/>
              </w:rPr>
            </w:pPr>
            <w:r w:rsidRPr="00984199">
              <w:rPr>
                <w:rFonts w:eastAsia="新細明體"/>
                <w:b/>
                <w:sz w:val="17"/>
                <w:lang w:eastAsia="en-GB"/>
              </w:rPr>
              <w:t>Explanatory Note</w:t>
            </w:r>
          </w:p>
        </w:tc>
      </w:tr>
      <w:tr w:rsidR="00545554" w:rsidRPr="00813FAB" w:rsidTr="00545554">
        <w:tc>
          <w:tcPr>
            <w:tcW w:w="9214" w:type="dxa"/>
            <w:gridSpan w:val="2"/>
            <w:shd w:val="clear" w:color="auto" w:fill="F2F2F2" w:themeFill="background1" w:themeFillShade="F2"/>
          </w:tcPr>
          <w:p w:rsidR="00545554" w:rsidRPr="00710EA8" w:rsidRDefault="00545554" w:rsidP="00545554">
            <w:pPr>
              <w:pStyle w:val="TableNote"/>
              <w:keepNext/>
              <w:spacing w:before="40" w:after="40"/>
              <w:rPr>
                <w:rFonts w:eastAsia="新細明體"/>
                <w:b/>
                <w:sz w:val="17"/>
                <w:lang w:eastAsia="en-GB"/>
              </w:rPr>
            </w:pPr>
            <w:r w:rsidRPr="00984199">
              <w:rPr>
                <w:rFonts w:eastAsia="新細明體"/>
                <w:b/>
                <w:sz w:val="17"/>
                <w:lang w:eastAsia="en-GB"/>
              </w:rPr>
              <w:t>Rows</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w:t>
            </w:r>
          </w:p>
        </w:tc>
        <w:tc>
          <w:tcPr>
            <w:tcW w:w="8728" w:type="dxa"/>
          </w:tcPr>
          <w:p w:rsidR="00545554" w:rsidRDefault="00545554" w:rsidP="00545554">
            <w:pPr>
              <w:jc w:val="both"/>
              <w:rPr>
                <w:rFonts w:cs="Segoe UI"/>
                <w:sz w:val="17"/>
                <w:lang w:eastAsia="en-GB"/>
              </w:rPr>
            </w:pPr>
            <w:r>
              <w:rPr>
                <w:rFonts w:cs="Segoe UI"/>
                <w:sz w:val="17"/>
                <w:lang w:eastAsia="en-GB"/>
              </w:rPr>
              <w:t>T</w:t>
            </w:r>
            <w:r w:rsidRPr="002B0828">
              <w:rPr>
                <w:rFonts w:cs="Segoe UI"/>
                <w:sz w:val="17"/>
                <w:lang w:eastAsia="en-GB"/>
              </w:rPr>
              <w:t xml:space="preserve">he legal entity which </w:t>
            </w:r>
            <w:r>
              <w:rPr>
                <w:rFonts w:cs="Segoe UI"/>
                <w:sz w:val="17"/>
                <w:lang w:eastAsia="en-GB"/>
              </w:rPr>
              <w:t>is the issuer of the instrument.</w:t>
            </w:r>
          </w:p>
          <w:p w:rsidR="00545554" w:rsidRPr="00813FAB" w:rsidRDefault="00545554" w:rsidP="00545554">
            <w:pPr>
              <w:jc w:val="both"/>
              <w:rPr>
                <w:rFonts w:cs="Segoe UI"/>
                <w:sz w:val="17"/>
                <w:szCs w:val="17"/>
              </w:rPr>
            </w:pPr>
            <w:r w:rsidRPr="002B0828">
              <w:rPr>
                <w:rFonts w:cs="Segoe UI"/>
                <w:i/>
                <w:sz w:val="17"/>
                <w:lang w:eastAsia="en-GB"/>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w:t>
            </w:r>
          </w:p>
        </w:tc>
        <w:tc>
          <w:tcPr>
            <w:tcW w:w="8728" w:type="dxa"/>
          </w:tcPr>
          <w:p w:rsidR="00545554" w:rsidRPr="00C323FF" w:rsidRDefault="00545554" w:rsidP="00545554">
            <w:pPr>
              <w:jc w:val="both"/>
              <w:rPr>
                <w:rFonts w:cs="Segoe UI"/>
                <w:sz w:val="17"/>
                <w:lang w:eastAsia="en-GB"/>
              </w:rPr>
            </w:pPr>
            <w:r>
              <w:rPr>
                <w:rFonts w:cs="Segoe UI"/>
                <w:sz w:val="17"/>
                <w:szCs w:val="17"/>
              </w:rPr>
              <w:t>Unique identifier (</w:t>
            </w:r>
            <w:r w:rsidRPr="001950B5">
              <w:rPr>
                <w:rFonts w:cs="Segoe UI"/>
                <w:sz w:val="17"/>
                <w:szCs w:val="17"/>
              </w:rPr>
              <w:t>e.g</w:t>
            </w:r>
            <w:r>
              <w:rPr>
                <w:rFonts w:cs="Segoe UI"/>
                <w:sz w:val="17"/>
                <w:szCs w:val="17"/>
              </w:rPr>
              <w:t xml:space="preserve">. </w:t>
            </w:r>
            <w:r w:rsidRPr="00813FAB">
              <w:rPr>
                <w:rFonts w:cs="Segoe UI"/>
                <w:sz w:val="17"/>
                <w:szCs w:val="17"/>
              </w:rPr>
              <w:t>CUSIP, ISIN or Bloomberg identifier for private placement)</w:t>
            </w:r>
            <w:r>
              <w:rPr>
                <w:rFonts w:cs="Segoe UI"/>
                <w:sz w:val="17"/>
                <w:szCs w:val="17"/>
              </w:rPr>
              <w:t>.</w:t>
            </w:r>
          </w:p>
          <w:p w:rsidR="00545554" w:rsidRPr="00813FAB" w:rsidRDefault="00545554" w:rsidP="00545554">
            <w:pPr>
              <w:jc w:val="both"/>
              <w:rPr>
                <w:rFonts w:cs="Segoe UI"/>
                <w:sz w:val="17"/>
                <w:szCs w:val="17"/>
              </w:rPr>
            </w:pPr>
            <w:r w:rsidRPr="002B0828">
              <w:rPr>
                <w:rFonts w:cs="Segoe UI"/>
                <w:i/>
                <w:sz w:val="17"/>
                <w:lang w:eastAsia="en-GB"/>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w:t>
            </w:r>
          </w:p>
        </w:tc>
        <w:tc>
          <w:tcPr>
            <w:tcW w:w="8728" w:type="dxa"/>
          </w:tcPr>
          <w:p w:rsidR="00545554" w:rsidRDefault="00545554" w:rsidP="00545554">
            <w:pPr>
              <w:jc w:val="both"/>
              <w:rPr>
                <w:rFonts w:cs="Segoe UI"/>
                <w:sz w:val="17"/>
                <w:lang w:eastAsia="en-GB"/>
              </w:rPr>
            </w:pPr>
            <w:r>
              <w:rPr>
                <w:rFonts w:cs="Segoe UI"/>
                <w:sz w:val="17"/>
                <w:lang w:eastAsia="en-GB"/>
              </w:rPr>
              <w:t>Specifies the governing law(s) of the instrument.</w:t>
            </w:r>
          </w:p>
          <w:p w:rsidR="00545554" w:rsidRPr="00813FAB" w:rsidRDefault="00545554" w:rsidP="00545554">
            <w:pPr>
              <w:jc w:val="both"/>
              <w:rPr>
                <w:rFonts w:cs="Segoe UI"/>
                <w:sz w:val="17"/>
                <w:szCs w:val="17"/>
              </w:rPr>
            </w:pPr>
            <w:r w:rsidRPr="002B0828">
              <w:rPr>
                <w:rFonts w:cs="Segoe UI"/>
                <w:i/>
                <w:sz w:val="17"/>
                <w:lang w:eastAsia="en-GB"/>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lastRenderedPageBreak/>
              <w:t>4</w:t>
            </w:r>
          </w:p>
        </w:tc>
        <w:tc>
          <w:tcPr>
            <w:tcW w:w="8728" w:type="dxa"/>
          </w:tcPr>
          <w:p w:rsidR="00545554" w:rsidRPr="00A966FD" w:rsidRDefault="00545554" w:rsidP="00545554">
            <w:pPr>
              <w:jc w:val="both"/>
              <w:rPr>
                <w:rFonts w:cs="Segoe UI"/>
                <w:sz w:val="17"/>
                <w:szCs w:val="17"/>
              </w:rPr>
            </w:pPr>
            <w:r w:rsidRPr="00F80422">
              <w:rPr>
                <w:rFonts w:cs="Segoe UI"/>
                <w:sz w:val="17"/>
                <w:szCs w:val="17"/>
              </w:rPr>
              <w:t>S</w:t>
            </w:r>
            <w:r w:rsidRPr="00A966FD">
              <w:rPr>
                <w:rFonts w:cs="Segoe UI"/>
                <w:sz w:val="17"/>
                <w:szCs w:val="17"/>
              </w:rPr>
              <w:t xml:space="preserve">pecifies the regulatory capital treatment (if the instrument is subject to the transitional arrangements provided for in </w:t>
            </w:r>
            <w:r>
              <w:rPr>
                <w:rFonts w:cs="Segoe UI"/>
                <w:sz w:val="17"/>
                <w:szCs w:val="17"/>
              </w:rPr>
              <w:t>BCR</w:t>
            </w:r>
            <w:r w:rsidRPr="00A966FD">
              <w:rPr>
                <w:rFonts w:cs="Segoe UI"/>
                <w:sz w:val="17"/>
                <w:szCs w:val="17"/>
              </w:rPr>
              <w:t xml:space="preserve"> Schedule 4H) (i.e</w:t>
            </w:r>
            <w:r>
              <w:rPr>
                <w:rFonts w:cs="Segoe UI"/>
                <w:sz w:val="17"/>
                <w:szCs w:val="17"/>
              </w:rPr>
              <w:t xml:space="preserve">. </w:t>
            </w:r>
            <w:r w:rsidRPr="00A966FD">
              <w:rPr>
                <w:rFonts w:cs="Segoe UI"/>
                <w:sz w:val="17"/>
                <w:szCs w:val="17"/>
              </w:rPr>
              <w:t>the component of capital that the instrument is being phased-out from).</w:t>
            </w:r>
          </w:p>
          <w:p w:rsidR="00545554" w:rsidRPr="00A966FD" w:rsidRDefault="00545554" w:rsidP="00545554">
            <w:pPr>
              <w:jc w:val="both"/>
              <w:rPr>
                <w:rFonts w:cs="Segoe UI"/>
                <w:i/>
                <w:sz w:val="17"/>
                <w:szCs w:val="17"/>
              </w:rPr>
            </w:pPr>
            <w:r w:rsidRPr="00A966FD">
              <w:rPr>
                <w:rFonts w:cs="Segoe UI"/>
                <w:i/>
                <w:sz w:val="17"/>
                <w:szCs w:val="17"/>
              </w:rPr>
              <w:t>Enter: [Common Equity Tier 1] [Additional Tier 1] [Tier 2]</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5</w:t>
            </w:r>
          </w:p>
        </w:tc>
        <w:tc>
          <w:tcPr>
            <w:tcW w:w="8728" w:type="dxa"/>
          </w:tcPr>
          <w:p w:rsidR="00545554" w:rsidRPr="00CD2198" w:rsidRDefault="00545554" w:rsidP="00545554">
            <w:pPr>
              <w:jc w:val="both"/>
              <w:rPr>
                <w:rFonts w:cs="Segoe UI"/>
                <w:sz w:val="17"/>
                <w:szCs w:val="17"/>
              </w:rPr>
            </w:pPr>
            <w:r>
              <w:rPr>
                <w:rFonts w:cs="Segoe UI"/>
                <w:sz w:val="17"/>
                <w:szCs w:val="17"/>
              </w:rPr>
              <w:t>S</w:t>
            </w:r>
            <w:r w:rsidRPr="00CD2198">
              <w:rPr>
                <w:rFonts w:cs="Segoe UI"/>
                <w:sz w:val="17"/>
                <w:szCs w:val="17"/>
              </w:rPr>
              <w:t xml:space="preserve">pecifies the regulatory capital treatment (if the instrument is not subject to the transitional arrangements provided for in </w:t>
            </w:r>
            <w:r>
              <w:rPr>
                <w:rFonts w:cs="Segoe UI"/>
                <w:sz w:val="17"/>
                <w:szCs w:val="17"/>
              </w:rPr>
              <w:t>BCR</w:t>
            </w:r>
            <w:r w:rsidRPr="00CD2198">
              <w:rPr>
                <w:rFonts w:cs="Segoe UI"/>
                <w:sz w:val="17"/>
                <w:szCs w:val="17"/>
              </w:rPr>
              <w:t xml:space="preserve"> Schedule 4H).</w:t>
            </w:r>
          </w:p>
          <w:p w:rsidR="00545554" w:rsidRPr="000B50F9" w:rsidRDefault="00545554" w:rsidP="00545554">
            <w:pPr>
              <w:jc w:val="both"/>
              <w:rPr>
                <w:rFonts w:cs="Segoe UI"/>
                <w:i/>
                <w:sz w:val="17"/>
                <w:szCs w:val="17"/>
              </w:rPr>
            </w:pPr>
            <w:r w:rsidRPr="00CD2198">
              <w:rPr>
                <w:rFonts w:cs="Segoe UI"/>
                <w:i/>
                <w:sz w:val="17"/>
                <w:szCs w:val="17"/>
              </w:rPr>
              <w:t>Enter: [Common Equity Tier 1] [Additional Tier 1] [Tier 2] [Ineligible]</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6</w:t>
            </w:r>
          </w:p>
        </w:tc>
        <w:tc>
          <w:tcPr>
            <w:tcW w:w="8728" w:type="dxa"/>
          </w:tcPr>
          <w:p w:rsidR="00545554" w:rsidRPr="00AC0991" w:rsidRDefault="00545554" w:rsidP="00545554">
            <w:pPr>
              <w:jc w:val="both"/>
              <w:rPr>
                <w:rFonts w:cs="Segoe UI"/>
                <w:sz w:val="17"/>
                <w:szCs w:val="17"/>
              </w:rPr>
            </w:pPr>
            <w:r>
              <w:rPr>
                <w:rFonts w:cs="Segoe UI"/>
                <w:sz w:val="17"/>
                <w:szCs w:val="17"/>
              </w:rPr>
              <w:t>S</w:t>
            </w:r>
            <w:r w:rsidRPr="00AC0991">
              <w:rPr>
                <w:rFonts w:cs="Segoe UI"/>
                <w:sz w:val="17"/>
                <w:szCs w:val="17"/>
              </w:rPr>
              <w:t>pecifies the level(s) within the group at which the instrument is included in capital.</w:t>
            </w:r>
            <w:r>
              <w:rPr>
                <w:rFonts w:cs="Segoe UI"/>
                <w:sz w:val="17"/>
                <w:szCs w:val="17"/>
              </w:rPr>
              <w:t xml:space="preserve">  The level of solo includes</w:t>
            </w:r>
            <w:r w:rsidRPr="00BB4B5D">
              <w:rPr>
                <w:rFonts w:cs="Segoe UI"/>
                <w:sz w:val="17"/>
                <w:szCs w:val="17"/>
              </w:rPr>
              <w:t xml:space="preserve"> solo-consolidated.</w:t>
            </w:r>
          </w:p>
          <w:p w:rsidR="00545554" w:rsidRPr="000B50F9" w:rsidRDefault="00545554" w:rsidP="00545554">
            <w:pPr>
              <w:jc w:val="both"/>
              <w:rPr>
                <w:rFonts w:cs="Segoe UI"/>
                <w:i/>
                <w:sz w:val="17"/>
                <w:szCs w:val="17"/>
              </w:rPr>
            </w:pPr>
            <w:r w:rsidRPr="00AC0991">
              <w:rPr>
                <w:rFonts w:cs="Segoe UI"/>
                <w:i/>
                <w:sz w:val="17"/>
                <w:szCs w:val="17"/>
              </w:rPr>
              <w:t>Enter: [Solo] [Group] [Solo and Group]</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7</w:t>
            </w:r>
          </w:p>
        </w:tc>
        <w:tc>
          <w:tcPr>
            <w:tcW w:w="8728" w:type="dxa"/>
          </w:tcPr>
          <w:p w:rsidR="00545554" w:rsidRPr="00AC0991" w:rsidRDefault="00545554" w:rsidP="00545554">
            <w:pPr>
              <w:jc w:val="both"/>
              <w:rPr>
                <w:rFonts w:cs="Segoe UI"/>
                <w:sz w:val="17"/>
                <w:szCs w:val="17"/>
              </w:rPr>
            </w:pPr>
            <w:r>
              <w:rPr>
                <w:rFonts w:cs="Segoe UI"/>
                <w:sz w:val="17"/>
                <w:szCs w:val="17"/>
              </w:rPr>
              <w:t>S</w:t>
            </w:r>
            <w:r w:rsidRPr="00AC0991">
              <w:rPr>
                <w:rFonts w:cs="Segoe UI"/>
                <w:sz w:val="17"/>
                <w:szCs w:val="17"/>
              </w:rPr>
              <w:t>pecifies the instrument type, varying by jurisdiction</w:t>
            </w:r>
            <w:r>
              <w:rPr>
                <w:rFonts w:cs="Segoe UI"/>
                <w:sz w:val="17"/>
                <w:szCs w:val="17"/>
              </w:rPr>
              <w:t>.  This h</w:t>
            </w:r>
            <w:r w:rsidRPr="00AC0991">
              <w:rPr>
                <w:rFonts w:cs="Segoe UI"/>
                <w:sz w:val="17"/>
                <w:szCs w:val="17"/>
              </w:rPr>
              <w:t xml:space="preserve">elps provide </w:t>
            </w:r>
            <w:r>
              <w:rPr>
                <w:rFonts w:cs="Segoe UI"/>
                <w:sz w:val="17"/>
                <w:szCs w:val="17"/>
              </w:rPr>
              <w:t xml:space="preserve">a </w:t>
            </w:r>
            <w:r w:rsidRPr="00AC0991">
              <w:rPr>
                <w:rFonts w:cs="Segoe UI"/>
                <w:sz w:val="17"/>
                <w:szCs w:val="17"/>
              </w:rPr>
              <w:t>more granular understanding of features, particularly during transition.</w:t>
            </w:r>
          </w:p>
          <w:p w:rsidR="00545554" w:rsidRPr="009021C1" w:rsidRDefault="00545554" w:rsidP="00545554">
            <w:pPr>
              <w:jc w:val="both"/>
              <w:rPr>
                <w:rFonts w:cs="Segoe UI"/>
                <w:i/>
                <w:sz w:val="17"/>
                <w:szCs w:val="17"/>
              </w:rPr>
            </w:pPr>
            <w:r w:rsidRPr="009021C1">
              <w:rPr>
                <w:rFonts w:cs="Segoe UI"/>
                <w:i/>
                <w:sz w:val="17"/>
                <w:szCs w:val="17"/>
              </w:rPr>
              <w:t>Enter: [Ordinary shares] [Perpetual non-cumulative preference shares] [Perpetual debt instruments] [Perpetual cumulative preference shares] [Redeemable non-cumulative preference shares] [Redeemable cumulative preference shares] [Other Tier 2 instruments] [Others: please specify]</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8</w:t>
            </w:r>
          </w:p>
        </w:tc>
        <w:tc>
          <w:tcPr>
            <w:tcW w:w="8728" w:type="dxa"/>
          </w:tcPr>
          <w:p w:rsidR="00545554" w:rsidRPr="009021C1" w:rsidRDefault="00545554" w:rsidP="00545554">
            <w:pPr>
              <w:jc w:val="both"/>
              <w:rPr>
                <w:rFonts w:cs="Segoe UI"/>
                <w:sz w:val="17"/>
                <w:szCs w:val="17"/>
              </w:rPr>
            </w:pPr>
            <w:r>
              <w:rPr>
                <w:rFonts w:cs="Segoe UI"/>
                <w:sz w:val="17"/>
                <w:szCs w:val="17"/>
              </w:rPr>
              <w:t>S</w:t>
            </w:r>
            <w:r w:rsidRPr="009021C1">
              <w:rPr>
                <w:rFonts w:cs="Segoe UI"/>
                <w:sz w:val="17"/>
                <w:szCs w:val="17"/>
              </w:rPr>
              <w:t xml:space="preserve">pecifies amount </w:t>
            </w:r>
            <w:r>
              <w:rPr>
                <w:rFonts w:cs="Segoe UI"/>
                <w:sz w:val="17"/>
                <w:szCs w:val="17"/>
              </w:rPr>
              <w:t>recognise</w:t>
            </w:r>
            <w:r w:rsidRPr="009021C1">
              <w:rPr>
                <w:rFonts w:cs="Segoe UI"/>
                <w:sz w:val="17"/>
                <w:szCs w:val="17"/>
              </w:rPr>
              <w:t>d in regulatory capital</w:t>
            </w:r>
            <w:r>
              <w:rPr>
                <w:rFonts w:cs="Segoe UI"/>
                <w:sz w:val="17"/>
                <w:szCs w:val="17"/>
              </w:rPr>
              <w:t xml:space="preserve">.  </w:t>
            </w:r>
            <w:r w:rsidRPr="009021C1">
              <w:rPr>
                <w:rFonts w:cs="Segoe UI"/>
                <w:sz w:val="17"/>
                <w:szCs w:val="17"/>
              </w:rPr>
              <w:t>Where more than</w:t>
            </w:r>
            <w:r>
              <w:rPr>
                <w:rFonts w:cs="Segoe UI"/>
                <w:sz w:val="17"/>
                <w:szCs w:val="17"/>
              </w:rPr>
              <w:t xml:space="preserve"> </w:t>
            </w:r>
            <w:r w:rsidRPr="009021C1">
              <w:rPr>
                <w:rFonts w:cs="Segoe UI"/>
                <w:sz w:val="17"/>
                <w:szCs w:val="17"/>
              </w:rPr>
              <w:t>one capital instrument is subject to the phase-out arrangements in a</w:t>
            </w:r>
            <w:r>
              <w:rPr>
                <w:rFonts w:cs="Segoe UI"/>
                <w:sz w:val="17"/>
                <w:szCs w:val="17"/>
              </w:rPr>
              <w:t xml:space="preserve"> </w:t>
            </w:r>
            <w:r w:rsidRPr="009021C1">
              <w:rPr>
                <w:rFonts w:cs="Segoe UI"/>
                <w:sz w:val="17"/>
                <w:szCs w:val="17"/>
              </w:rPr>
              <w:t xml:space="preserve">particular tier of capital, </w:t>
            </w:r>
            <w:r>
              <w:rPr>
                <w:rFonts w:cs="Segoe UI"/>
                <w:sz w:val="17"/>
                <w:szCs w:val="17"/>
              </w:rPr>
              <w:t>an</w:t>
            </w:r>
            <w:r w:rsidRPr="009021C1">
              <w:rPr>
                <w:rFonts w:cs="Segoe UI"/>
                <w:sz w:val="17"/>
                <w:szCs w:val="17"/>
              </w:rPr>
              <w:t xml:space="preserve"> AI may specify the total amount</w:t>
            </w:r>
            <w:r>
              <w:rPr>
                <w:rFonts w:cs="Segoe UI"/>
                <w:sz w:val="17"/>
                <w:szCs w:val="17"/>
              </w:rPr>
              <w:t xml:space="preserve"> recognise</w:t>
            </w:r>
            <w:r w:rsidRPr="009021C1">
              <w:rPr>
                <w:rFonts w:cs="Segoe UI"/>
                <w:sz w:val="17"/>
                <w:szCs w:val="17"/>
              </w:rPr>
              <w:t>d in that tier of capital for all such instruments instead of</w:t>
            </w:r>
            <w:r>
              <w:rPr>
                <w:rFonts w:cs="Segoe UI"/>
                <w:sz w:val="17"/>
                <w:szCs w:val="17"/>
              </w:rPr>
              <w:t xml:space="preserve"> </w:t>
            </w:r>
            <w:r w:rsidRPr="009021C1">
              <w:rPr>
                <w:rFonts w:cs="Segoe UI"/>
                <w:sz w:val="17"/>
                <w:szCs w:val="17"/>
              </w:rPr>
              <w:t xml:space="preserve">the amount </w:t>
            </w:r>
            <w:r>
              <w:rPr>
                <w:rFonts w:cs="Segoe UI"/>
                <w:sz w:val="17"/>
                <w:szCs w:val="17"/>
              </w:rPr>
              <w:t>recognise</w:t>
            </w:r>
            <w:r w:rsidRPr="009021C1">
              <w:rPr>
                <w:rFonts w:cs="Segoe UI"/>
                <w:sz w:val="17"/>
                <w:szCs w:val="17"/>
              </w:rPr>
              <w:t>d for each individual capital instrument.</w:t>
            </w:r>
          </w:p>
          <w:p w:rsidR="00545554" w:rsidRPr="009021C1" w:rsidRDefault="00545554" w:rsidP="00545554">
            <w:pPr>
              <w:jc w:val="both"/>
              <w:rPr>
                <w:rFonts w:cs="Segoe UI"/>
                <w:i/>
                <w:sz w:val="17"/>
                <w:szCs w:val="17"/>
              </w:rPr>
            </w:pPr>
            <w:r w:rsidRPr="009021C1">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9</w:t>
            </w:r>
          </w:p>
        </w:tc>
        <w:tc>
          <w:tcPr>
            <w:tcW w:w="8728" w:type="dxa"/>
          </w:tcPr>
          <w:p w:rsidR="00545554" w:rsidRPr="00984996" w:rsidRDefault="00545554" w:rsidP="00545554">
            <w:pPr>
              <w:jc w:val="both"/>
              <w:rPr>
                <w:rFonts w:cs="Segoe UI"/>
                <w:sz w:val="17"/>
                <w:szCs w:val="17"/>
              </w:rPr>
            </w:pPr>
            <w:r w:rsidRPr="00984996">
              <w:rPr>
                <w:rFonts w:cs="Segoe UI"/>
                <w:sz w:val="17"/>
                <w:szCs w:val="17"/>
              </w:rPr>
              <w:t>Par value of the instrument</w:t>
            </w:r>
            <w:r>
              <w:rPr>
                <w:rFonts w:cs="Segoe UI"/>
                <w:sz w:val="17"/>
                <w:szCs w:val="17"/>
              </w:rPr>
              <w:t>.</w:t>
            </w:r>
          </w:p>
          <w:p w:rsidR="00545554" w:rsidRPr="009021C1" w:rsidRDefault="00545554" w:rsidP="00545554">
            <w:pPr>
              <w:jc w:val="both"/>
              <w:rPr>
                <w:rFonts w:cs="Segoe UI"/>
                <w:i/>
                <w:sz w:val="17"/>
                <w:szCs w:val="17"/>
              </w:rPr>
            </w:pPr>
            <w:r>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10</w:t>
            </w:r>
          </w:p>
        </w:tc>
        <w:tc>
          <w:tcPr>
            <w:tcW w:w="8728" w:type="dxa"/>
          </w:tcPr>
          <w:p w:rsidR="00545554" w:rsidRPr="009021C1" w:rsidRDefault="00545554" w:rsidP="00545554">
            <w:pPr>
              <w:jc w:val="both"/>
              <w:rPr>
                <w:rFonts w:cs="Segoe UI"/>
                <w:sz w:val="17"/>
                <w:szCs w:val="17"/>
              </w:rPr>
            </w:pPr>
            <w:r>
              <w:rPr>
                <w:rFonts w:cs="Segoe UI"/>
                <w:sz w:val="17"/>
                <w:szCs w:val="17"/>
              </w:rPr>
              <w:t>S</w:t>
            </w:r>
            <w:r w:rsidRPr="009021C1">
              <w:rPr>
                <w:rFonts w:cs="Segoe UI"/>
                <w:sz w:val="17"/>
                <w:szCs w:val="17"/>
              </w:rPr>
              <w:t>pecifies accounting classification</w:t>
            </w:r>
            <w:r>
              <w:rPr>
                <w:rFonts w:cs="Segoe UI"/>
                <w:sz w:val="17"/>
                <w:szCs w:val="17"/>
              </w:rPr>
              <w:t xml:space="preserve"> which h</w:t>
            </w:r>
            <w:r w:rsidRPr="009021C1">
              <w:rPr>
                <w:rFonts w:cs="Segoe UI"/>
                <w:sz w:val="17"/>
                <w:szCs w:val="17"/>
              </w:rPr>
              <w:t>elps to assess loss absorbency.</w:t>
            </w:r>
          </w:p>
          <w:p w:rsidR="00545554" w:rsidRPr="002828A3" w:rsidRDefault="00545554" w:rsidP="00545554">
            <w:pPr>
              <w:jc w:val="both"/>
              <w:rPr>
                <w:rFonts w:cs="Segoe UI"/>
                <w:i/>
                <w:sz w:val="17"/>
                <w:szCs w:val="17"/>
              </w:rPr>
            </w:pPr>
            <w:r w:rsidRPr="002828A3">
              <w:rPr>
                <w:rFonts w:cs="Segoe UI"/>
                <w:i/>
                <w:sz w:val="17"/>
                <w:szCs w:val="17"/>
              </w:rPr>
              <w:t xml:space="preserve">Enter: [Shareholders’ equity] [Liability – amortised cost] [Liability </w:t>
            </w:r>
            <w:r w:rsidRPr="002828A3">
              <w:rPr>
                <w:rFonts w:cs="Segoe UI" w:hint="eastAsia"/>
                <w:i/>
                <w:sz w:val="17"/>
                <w:szCs w:val="17"/>
              </w:rPr>
              <w:t>–</w:t>
            </w:r>
            <w:r w:rsidRPr="002828A3">
              <w:rPr>
                <w:rFonts w:cs="Segoe UI"/>
                <w:i/>
                <w:sz w:val="17"/>
                <w:szCs w:val="17"/>
              </w:rPr>
              <w:t xml:space="preserve"> fair value option] [Non-controlling interest in consolidated subsidiary]</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11</w:t>
            </w:r>
          </w:p>
        </w:tc>
        <w:tc>
          <w:tcPr>
            <w:tcW w:w="8728" w:type="dxa"/>
          </w:tcPr>
          <w:p w:rsidR="00545554" w:rsidRPr="002828A3" w:rsidRDefault="00545554" w:rsidP="00545554">
            <w:pPr>
              <w:jc w:val="both"/>
              <w:rPr>
                <w:rFonts w:cs="Segoe UI"/>
                <w:i/>
                <w:sz w:val="17"/>
                <w:szCs w:val="17"/>
              </w:rPr>
            </w:pPr>
            <w:r>
              <w:rPr>
                <w:rFonts w:cs="Segoe UI"/>
                <w:sz w:val="17"/>
                <w:szCs w:val="17"/>
              </w:rPr>
              <w:t>S</w:t>
            </w:r>
            <w:r w:rsidRPr="009021C1">
              <w:rPr>
                <w:rFonts w:cs="Segoe UI"/>
                <w:sz w:val="17"/>
                <w:szCs w:val="17"/>
              </w:rPr>
              <w:t>pecifies</w:t>
            </w:r>
            <w:r>
              <w:rPr>
                <w:rFonts w:cs="Segoe UI"/>
                <w:sz w:val="17"/>
                <w:szCs w:val="17"/>
              </w:rPr>
              <w:t xml:space="preserve"> date of issuance.</w:t>
            </w:r>
          </w:p>
          <w:p w:rsidR="00545554" w:rsidRPr="00813FAB" w:rsidRDefault="00545554" w:rsidP="00545554">
            <w:pPr>
              <w:jc w:val="both"/>
              <w:rPr>
                <w:rFonts w:cs="Segoe UI"/>
                <w:sz w:val="17"/>
                <w:szCs w:val="17"/>
              </w:rPr>
            </w:pPr>
            <w:r w:rsidRPr="002828A3">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12</w:t>
            </w:r>
          </w:p>
        </w:tc>
        <w:tc>
          <w:tcPr>
            <w:tcW w:w="8728" w:type="dxa"/>
          </w:tcPr>
          <w:p w:rsidR="00545554" w:rsidRPr="00684D71" w:rsidRDefault="00545554" w:rsidP="00545554">
            <w:pPr>
              <w:jc w:val="both"/>
              <w:rPr>
                <w:rFonts w:cs="Segoe UI"/>
                <w:i/>
                <w:sz w:val="17"/>
                <w:szCs w:val="17"/>
              </w:rPr>
            </w:pPr>
            <w:r w:rsidRPr="00F80422">
              <w:rPr>
                <w:rFonts w:cs="Segoe UI"/>
                <w:sz w:val="17"/>
                <w:szCs w:val="17"/>
              </w:rPr>
              <w:t>S</w:t>
            </w:r>
            <w:r w:rsidRPr="009021C1">
              <w:rPr>
                <w:rFonts w:cs="Segoe UI"/>
                <w:sz w:val="17"/>
                <w:szCs w:val="17"/>
              </w:rPr>
              <w:t>pecifies</w:t>
            </w:r>
            <w:r>
              <w:rPr>
                <w:rFonts w:cs="Segoe UI"/>
                <w:sz w:val="17"/>
                <w:szCs w:val="17"/>
              </w:rPr>
              <w:t xml:space="preserve"> whether dated or perpetual.</w:t>
            </w:r>
          </w:p>
          <w:p w:rsidR="00545554" w:rsidRPr="00684D71" w:rsidRDefault="00545554" w:rsidP="00545554">
            <w:pPr>
              <w:jc w:val="both"/>
              <w:rPr>
                <w:rFonts w:cs="Segoe UI"/>
                <w:i/>
                <w:sz w:val="17"/>
                <w:szCs w:val="17"/>
              </w:rPr>
            </w:pPr>
            <w:r w:rsidRPr="00684D71">
              <w:rPr>
                <w:rFonts w:cs="Segoe UI"/>
                <w:i/>
                <w:sz w:val="17"/>
                <w:szCs w:val="17"/>
              </w:rPr>
              <w:t>Enter: [Perpetual] [Dated]</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13</w:t>
            </w:r>
          </w:p>
        </w:tc>
        <w:tc>
          <w:tcPr>
            <w:tcW w:w="8728" w:type="dxa"/>
          </w:tcPr>
          <w:p w:rsidR="00545554" w:rsidRPr="002828A3" w:rsidRDefault="00545554" w:rsidP="00545554">
            <w:pPr>
              <w:jc w:val="both"/>
              <w:rPr>
                <w:rFonts w:cs="Segoe UI"/>
                <w:sz w:val="17"/>
                <w:szCs w:val="17"/>
              </w:rPr>
            </w:pPr>
            <w:r>
              <w:rPr>
                <w:rFonts w:cs="Segoe UI"/>
                <w:sz w:val="17"/>
                <w:szCs w:val="17"/>
              </w:rPr>
              <w:t>F</w:t>
            </w:r>
            <w:r w:rsidRPr="002828A3">
              <w:rPr>
                <w:rFonts w:cs="Segoe UI"/>
                <w:sz w:val="17"/>
                <w:szCs w:val="17"/>
              </w:rPr>
              <w:t>or dated instrument, specifies original maturity date (day, month</w:t>
            </w:r>
            <w:r>
              <w:rPr>
                <w:rFonts w:cs="Segoe UI"/>
                <w:sz w:val="17"/>
                <w:szCs w:val="17"/>
              </w:rPr>
              <w:t xml:space="preserve"> </w:t>
            </w:r>
            <w:r w:rsidRPr="002828A3">
              <w:rPr>
                <w:rFonts w:cs="Segoe UI"/>
                <w:sz w:val="17"/>
                <w:szCs w:val="17"/>
              </w:rPr>
              <w:t>and year)</w:t>
            </w:r>
            <w:r>
              <w:rPr>
                <w:rFonts w:cs="Segoe UI"/>
                <w:sz w:val="17"/>
                <w:szCs w:val="17"/>
              </w:rPr>
              <w:t xml:space="preserve">.  For perpetual instrument, </w:t>
            </w:r>
            <w:r w:rsidRPr="002828A3">
              <w:rPr>
                <w:rFonts w:cs="Segoe UI"/>
                <w:sz w:val="17"/>
                <w:szCs w:val="17"/>
              </w:rPr>
              <w:t>“no maturity”</w:t>
            </w:r>
            <w:r>
              <w:rPr>
                <w:rFonts w:cs="Segoe UI"/>
                <w:sz w:val="17"/>
                <w:szCs w:val="17"/>
              </w:rPr>
              <w:t xml:space="preserve"> should be entered</w:t>
            </w:r>
            <w:r w:rsidRPr="002828A3">
              <w:rPr>
                <w:rFonts w:cs="Segoe UI"/>
                <w:sz w:val="17"/>
                <w:szCs w:val="17"/>
              </w:rPr>
              <w:t>.</w:t>
            </w:r>
          </w:p>
          <w:p w:rsidR="00545554" w:rsidRPr="002828A3" w:rsidRDefault="00545554" w:rsidP="00545554">
            <w:pPr>
              <w:jc w:val="both"/>
              <w:rPr>
                <w:rFonts w:cs="Segoe UI"/>
                <w:i/>
                <w:sz w:val="17"/>
                <w:szCs w:val="17"/>
              </w:rPr>
            </w:pPr>
            <w:r w:rsidRPr="002828A3">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14</w:t>
            </w:r>
          </w:p>
        </w:tc>
        <w:tc>
          <w:tcPr>
            <w:tcW w:w="8728" w:type="dxa"/>
          </w:tcPr>
          <w:p w:rsidR="00545554" w:rsidRPr="00036A81" w:rsidRDefault="00545554" w:rsidP="00545554">
            <w:pPr>
              <w:jc w:val="both"/>
              <w:rPr>
                <w:rFonts w:cs="Segoe UI"/>
                <w:sz w:val="17"/>
                <w:szCs w:val="17"/>
              </w:rPr>
            </w:pPr>
            <w:r>
              <w:rPr>
                <w:rFonts w:cs="Segoe UI"/>
                <w:sz w:val="17"/>
                <w:szCs w:val="17"/>
              </w:rPr>
              <w:t>S</w:t>
            </w:r>
            <w:r w:rsidRPr="00036A81">
              <w:rPr>
                <w:rFonts w:cs="Segoe UI"/>
                <w:sz w:val="17"/>
                <w:szCs w:val="17"/>
              </w:rPr>
              <w:t>pecifies whether there is an issu</w:t>
            </w:r>
            <w:r>
              <w:rPr>
                <w:rFonts w:cs="Segoe UI"/>
                <w:sz w:val="17"/>
                <w:szCs w:val="17"/>
              </w:rPr>
              <w:t>er call option.</w:t>
            </w:r>
          </w:p>
          <w:p w:rsidR="00545554" w:rsidRPr="00036A81" w:rsidRDefault="00545554" w:rsidP="00545554">
            <w:pPr>
              <w:jc w:val="both"/>
              <w:rPr>
                <w:rFonts w:cs="Segoe UI"/>
                <w:i/>
                <w:sz w:val="17"/>
                <w:szCs w:val="17"/>
              </w:rPr>
            </w:pPr>
            <w:r w:rsidRPr="00036A81">
              <w:rPr>
                <w:rFonts w:cs="Segoe UI"/>
                <w:i/>
                <w:sz w:val="17"/>
                <w:szCs w:val="17"/>
              </w:rPr>
              <w:t>Enter: [Yes] [No]</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15</w:t>
            </w:r>
          </w:p>
        </w:tc>
        <w:tc>
          <w:tcPr>
            <w:tcW w:w="8728" w:type="dxa"/>
          </w:tcPr>
          <w:p w:rsidR="00545554" w:rsidRPr="00036A81" w:rsidRDefault="00545554" w:rsidP="00545554">
            <w:pPr>
              <w:jc w:val="both"/>
              <w:rPr>
                <w:rFonts w:cs="Segoe UI"/>
                <w:sz w:val="17"/>
                <w:szCs w:val="17"/>
              </w:rPr>
            </w:pPr>
            <w:r>
              <w:rPr>
                <w:rFonts w:cs="Segoe UI"/>
                <w:sz w:val="17"/>
                <w:szCs w:val="17"/>
              </w:rPr>
              <w:t>F</w:t>
            </w:r>
            <w:r w:rsidRPr="00036A81">
              <w:rPr>
                <w:rFonts w:cs="Segoe UI"/>
                <w:sz w:val="17"/>
                <w:szCs w:val="17"/>
              </w:rPr>
              <w:t xml:space="preserve">or instrument with issuer call option, specifies </w:t>
            </w:r>
            <w:r>
              <w:rPr>
                <w:rFonts w:cs="Segoe UI"/>
                <w:sz w:val="17"/>
                <w:szCs w:val="17"/>
              </w:rPr>
              <w:t xml:space="preserve">(i) </w:t>
            </w:r>
            <w:r w:rsidRPr="00036A81">
              <w:rPr>
                <w:rFonts w:cs="Segoe UI"/>
                <w:sz w:val="17"/>
                <w:szCs w:val="17"/>
              </w:rPr>
              <w:t>first date of call if</w:t>
            </w:r>
            <w:r>
              <w:rPr>
                <w:rFonts w:cs="Segoe UI"/>
                <w:sz w:val="17"/>
                <w:szCs w:val="17"/>
              </w:rPr>
              <w:t xml:space="preserve"> </w:t>
            </w:r>
            <w:r w:rsidRPr="00036A81">
              <w:rPr>
                <w:rFonts w:cs="Segoe UI"/>
                <w:sz w:val="17"/>
                <w:szCs w:val="17"/>
              </w:rPr>
              <w:t>the instrument has a call option on a specific date (day, month and</w:t>
            </w:r>
            <w:r>
              <w:rPr>
                <w:rFonts w:cs="Segoe UI"/>
                <w:sz w:val="17"/>
                <w:szCs w:val="17"/>
              </w:rPr>
              <w:t xml:space="preserve"> </w:t>
            </w:r>
            <w:r w:rsidRPr="00036A81">
              <w:rPr>
                <w:rFonts w:cs="Segoe UI"/>
                <w:sz w:val="17"/>
                <w:szCs w:val="17"/>
              </w:rPr>
              <w:t>year)</w:t>
            </w:r>
            <w:r>
              <w:rPr>
                <w:rFonts w:cs="Segoe UI"/>
                <w:sz w:val="17"/>
                <w:szCs w:val="17"/>
              </w:rPr>
              <w:t>; (ii)</w:t>
            </w:r>
            <w:r w:rsidRPr="00036A81">
              <w:rPr>
                <w:rFonts w:cs="Segoe UI"/>
                <w:sz w:val="17"/>
                <w:szCs w:val="17"/>
              </w:rPr>
              <w:t xml:space="preserve"> if the instrument has a tax and</w:t>
            </w:r>
            <w:r>
              <w:rPr>
                <w:rFonts w:cs="Segoe UI"/>
                <w:sz w:val="17"/>
                <w:szCs w:val="17"/>
              </w:rPr>
              <w:t xml:space="preserve"> </w:t>
            </w:r>
            <w:r w:rsidRPr="00036A81">
              <w:rPr>
                <w:rFonts w:cs="Segoe UI"/>
                <w:sz w:val="17"/>
                <w:szCs w:val="17"/>
              </w:rPr>
              <w:t>/</w:t>
            </w:r>
            <w:r>
              <w:rPr>
                <w:rFonts w:cs="Segoe UI"/>
                <w:sz w:val="17"/>
                <w:szCs w:val="17"/>
              </w:rPr>
              <w:t xml:space="preserve"> </w:t>
            </w:r>
            <w:r w:rsidRPr="00036A81">
              <w:rPr>
                <w:rFonts w:cs="Segoe UI"/>
                <w:sz w:val="17"/>
                <w:szCs w:val="17"/>
              </w:rPr>
              <w:t>or</w:t>
            </w:r>
            <w:r>
              <w:rPr>
                <w:rFonts w:cs="Segoe UI"/>
                <w:sz w:val="17"/>
                <w:szCs w:val="17"/>
              </w:rPr>
              <w:t xml:space="preserve"> </w:t>
            </w:r>
            <w:r w:rsidRPr="00036A81">
              <w:rPr>
                <w:rFonts w:cs="Segoe UI"/>
                <w:sz w:val="17"/>
                <w:szCs w:val="17"/>
              </w:rPr>
              <w:t>regulatory event call</w:t>
            </w:r>
            <w:r>
              <w:rPr>
                <w:rFonts w:cs="Segoe UI"/>
                <w:sz w:val="17"/>
                <w:szCs w:val="17"/>
              </w:rPr>
              <w:t>; and (iii) the redemption price.</w:t>
            </w:r>
          </w:p>
          <w:p w:rsidR="00545554" w:rsidRPr="00036A81" w:rsidRDefault="00545554" w:rsidP="00545554">
            <w:pPr>
              <w:jc w:val="both"/>
              <w:rPr>
                <w:rFonts w:cs="Segoe UI"/>
                <w:i/>
                <w:sz w:val="17"/>
                <w:szCs w:val="17"/>
              </w:rPr>
            </w:pPr>
            <w:r w:rsidRPr="00036A81">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16</w:t>
            </w:r>
          </w:p>
        </w:tc>
        <w:tc>
          <w:tcPr>
            <w:tcW w:w="8728" w:type="dxa"/>
          </w:tcPr>
          <w:p w:rsidR="00545554" w:rsidRPr="00036A81" w:rsidRDefault="00545554" w:rsidP="00545554">
            <w:pPr>
              <w:jc w:val="both"/>
              <w:rPr>
                <w:rFonts w:cs="Segoe UI"/>
                <w:sz w:val="17"/>
                <w:szCs w:val="17"/>
              </w:rPr>
            </w:pPr>
            <w:r>
              <w:rPr>
                <w:rFonts w:cs="Segoe UI"/>
                <w:sz w:val="17"/>
                <w:szCs w:val="17"/>
              </w:rPr>
              <w:t>S</w:t>
            </w:r>
            <w:r w:rsidRPr="00036A81">
              <w:rPr>
                <w:rFonts w:cs="Segoe UI"/>
                <w:sz w:val="17"/>
                <w:szCs w:val="17"/>
              </w:rPr>
              <w:t>pecifies the existence and frequen</w:t>
            </w:r>
            <w:r>
              <w:rPr>
                <w:rFonts w:cs="Segoe UI"/>
                <w:sz w:val="17"/>
                <w:szCs w:val="17"/>
              </w:rPr>
              <w:t xml:space="preserve">cy of subsequent call dates, if </w:t>
            </w:r>
            <w:r w:rsidRPr="00036A81">
              <w:rPr>
                <w:rFonts w:cs="Segoe UI"/>
                <w:sz w:val="17"/>
                <w:szCs w:val="17"/>
              </w:rPr>
              <w:t>applicable</w:t>
            </w:r>
            <w:r>
              <w:rPr>
                <w:rFonts w:cs="Segoe UI"/>
                <w:sz w:val="17"/>
                <w:szCs w:val="17"/>
              </w:rPr>
              <w:t>.</w:t>
            </w:r>
          </w:p>
          <w:p w:rsidR="00545554" w:rsidRPr="00036A81" w:rsidRDefault="00545554" w:rsidP="00545554">
            <w:pPr>
              <w:jc w:val="both"/>
              <w:rPr>
                <w:rFonts w:cs="Segoe UI"/>
                <w:i/>
                <w:sz w:val="17"/>
                <w:szCs w:val="17"/>
              </w:rPr>
            </w:pPr>
            <w:r w:rsidRPr="00036A81">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lastRenderedPageBreak/>
              <w:t>17</w:t>
            </w:r>
          </w:p>
        </w:tc>
        <w:tc>
          <w:tcPr>
            <w:tcW w:w="8728" w:type="dxa"/>
          </w:tcPr>
          <w:p w:rsidR="00545554" w:rsidRPr="005B109B" w:rsidRDefault="00545554" w:rsidP="00545554">
            <w:pPr>
              <w:jc w:val="both"/>
              <w:rPr>
                <w:rFonts w:cs="Segoe UI"/>
                <w:sz w:val="17"/>
                <w:szCs w:val="17"/>
              </w:rPr>
            </w:pPr>
            <w:r>
              <w:rPr>
                <w:rFonts w:cs="Segoe UI"/>
                <w:sz w:val="17"/>
                <w:szCs w:val="17"/>
              </w:rPr>
              <w:t>S</w:t>
            </w:r>
            <w:r w:rsidRPr="005B109B">
              <w:rPr>
                <w:rFonts w:cs="Segoe UI"/>
                <w:sz w:val="17"/>
                <w:szCs w:val="17"/>
              </w:rPr>
              <w:t>pecifies whether the coupon</w:t>
            </w:r>
            <w:r>
              <w:rPr>
                <w:rFonts w:cs="Segoe UI"/>
                <w:sz w:val="17"/>
                <w:szCs w:val="17"/>
              </w:rPr>
              <w:t xml:space="preserve"> </w:t>
            </w:r>
            <w:r w:rsidRPr="005B109B">
              <w:rPr>
                <w:rFonts w:cs="Segoe UI"/>
                <w:sz w:val="17"/>
                <w:szCs w:val="17"/>
              </w:rPr>
              <w:t>/</w:t>
            </w:r>
            <w:r>
              <w:rPr>
                <w:rFonts w:cs="Segoe UI"/>
                <w:sz w:val="17"/>
                <w:szCs w:val="17"/>
              </w:rPr>
              <w:t xml:space="preserve"> </w:t>
            </w:r>
            <w:r w:rsidRPr="005B109B">
              <w:rPr>
                <w:rFonts w:cs="Segoe UI"/>
                <w:sz w:val="17"/>
                <w:szCs w:val="17"/>
              </w:rPr>
              <w:t>dividend is</w:t>
            </w:r>
            <w:r>
              <w:rPr>
                <w:rFonts w:cs="Segoe UI"/>
                <w:sz w:val="17"/>
                <w:szCs w:val="17"/>
              </w:rPr>
              <w:t>: (i)</w:t>
            </w:r>
            <w:r w:rsidRPr="005B109B">
              <w:rPr>
                <w:rFonts w:cs="Segoe UI"/>
                <w:sz w:val="17"/>
                <w:szCs w:val="17"/>
              </w:rPr>
              <w:t xml:space="preserve"> fixed over the life of the</w:t>
            </w:r>
            <w:r>
              <w:rPr>
                <w:rFonts w:cs="Segoe UI"/>
                <w:sz w:val="17"/>
                <w:szCs w:val="17"/>
              </w:rPr>
              <w:t xml:space="preserve"> </w:t>
            </w:r>
            <w:r w:rsidRPr="005B109B">
              <w:rPr>
                <w:rFonts w:cs="Segoe UI"/>
                <w:sz w:val="17"/>
                <w:szCs w:val="17"/>
              </w:rPr>
              <w:t>instrument</w:t>
            </w:r>
            <w:r>
              <w:rPr>
                <w:rFonts w:cs="Segoe UI"/>
                <w:sz w:val="17"/>
                <w:szCs w:val="17"/>
              </w:rPr>
              <w:t>; (ii)</w:t>
            </w:r>
            <w:r w:rsidRPr="005B109B">
              <w:rPr>
                <w:rFonts w:cs="Segoe UI"/>
                <w:sz w:val="17"/>
                <w:szCs w:val="17"/>
              </w:rPr>
              <w:t xml:space="preserve"> floating over the life of the instrument</w:t>
            </w:r>
            <w:r>
              <w:rPr>
                <w:rFonts w:cs="Segoe UI"/>
                <w:sz w:val="17"/>
                <w:szCs w:val="17"/>
              </w:rPr>
              <w:t>; (iii)</w:t>
            </w:r>
            <w:r w:rsidRPr="005B109B">
              <w:rPr>
                <w:rFonts w:cs="Segoe UI"/>
                <w:sz w:val="17"/>
                <w:szCs w:val="17"/>
              </w:rPr>
              <w:t xml:space="preserve"> currently fixed</w:t>
            </w:r>
            <w:r>
              <w:rPr>
                <w:rFonts w:cs="Segoe UI"/>
                <w:sz w:val="17"/>
                <w:szCs w:val="17"/>
              </w:rPr>
              <w:t xml:space="preserve"> </w:t>
            </w:r>
            <w:r w:rsidRPr="005B109B">
              <w:rPr>
                <w:rFonts w:cs="Segoe UI"/>
                <w:sz w:val="17"/>
                <w:szCs w:val="17"/>
              </w:rPr>
              <w:t>but will move to a floating rate in the future</w:t>
            </w:r>
            <w:r>
              <w:rPr>
                <w:rFonts w:cs="Segoe UI"/>
                <w:sz w:val="17"/>
                <w:szCs w:val="17"/>
              </w:rPr>
              <w:t>; or (iv)</w:t>
            </w:r>
            <w:r w:rsidRPr="005B109B">
              <w:rPr>
                <w:rFonts w:cs="Segoe UI"/>
                <w:sz w:val="17"/>
                <w:szCs w:val="17"/>
              </w:rPr>
              <w:t xml:space="preserve"> currently floating but</w:t>
            </w:r>
            <w:r>
              <w:rPr>
                <w:rFonts w:cs="Segoe UI"/>
                <w:sz w:val="17"/>
                <w:szCs w:val="17"/>
              </w:rPr>
              <w:t xml:space="preserve"> </w:t>
            </w:r>
            <w:r w:rsidRPr="005B109B">
              <w:rPr>
                <w:rFonts w:cs="Segoe UI"/>
                <w:sz w:val="17"/>
                <w:szCs w:val="17"/>
              </w:rPr>
              <w:t>will move to a fixed rate in the future.</w:t>
            </w:r>
          </w:p>
          <w:p w:rsidR="00545554" w:rsidRPr="005B109B" w:rsidRDefault="00545554" w:rsidP="00545554">
            <w:pPr>
              <w:rPr>
                <w:rFonts w:cs="Segoe UI"/>
                <w:i/>
                <w:sz w:val="17"/>
                <w:szCs w:val="17"/>
              </w:rPr>
            </w:pPr>
            <w:r>
              <w:rPr>
                <w:rFonts w:cs="Segoe UI"/>
                <w:i/>
                <w:sz w:val="17"/>
                <w:szCs w:val="17"/>
              </w:rPr>
              <w:t>Enter: [Fixed] [Floating] [Fixed to floating]</w:t>
            </w:r>
            <w:r w:rsidRPr="005B109B">
              <w:rPr>
                <w:rFonts w:cs="Segoe UI"/>
                <w:i/>
                <w:sz w:val="17"/>
                <w:szCs w:val="17"/>
              </w:rPr>
              <w:t xml:space="preserve"> [Floating to fixed]</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18</w:t>
            </w:r>
          </w:p>
        </w:tc>
        <w:tc>
          <w:tcPr>
            <w:tcW w:w="8728" w:type="dxa"/>
          </w:tcPr>
          <w:p w:rsidR="00545554" w:rsidRPr="005B109B" w:rsidRDefault="00545554" w:rsidP="00545554">
            <w:pPr>
              <w:jc w:val="both"/>
              <w:rPr>
                <w:rFonts w:cs="Segoe UI"/>
                <w:sz w:val="17"/>
                <w:szCs w:val="17"/>
              </w:rPr>
            </w:pPr>
            <w:r>
              <w:rPr>
                <w:rFonts w:cs="Segoe UI"/>
                <w:sz w:val="17"/>
                <w:szCs w:val="17"/>
              </w:rPr>
              <w:t>S</w:t>
            </w:r>
            <w:r w:rsidRPr="005B109B">
              <w:rPr>
                <w:rFonts w:cs="Segoe UI"/>
                <w:sz w:val="17"/>
                <w:szCs w:val="17"/>
              </w:rPr>
              <w:t>pecifies the coupon rate of the instrument and any related index that the coupon</w:t>
            </w:r>
            <w:r>
              <w:rPr>
                <w:rFonts w:cs="Segoe UI"/>
                <w:sz w:val="17"/>
                <w:szCs w:val="17"/>
              </w:rPr>
              <w:t xml:space="preserve"> </w:t>
            </w:r>
            <w:r w:rsidRPr="005B109B">
              <w:rPr>
                <w:rFonts w:cs="Segoe UI"/>
                <w:sz w:val="17"/>
                <w:szCs w:val="17"/>
              </w:rPr>
              <w:t>/</w:t>
            </w:r>
            <w:r>
              <w:rPr>
                <w:rFonts w:cs="Segoe UI"/>
                <w:sz w:val="17"/>
                <w:szCs w:val="17"/>
              </w:rPr>
              <w:t xml:space="preserve"> </w:t>
            </w:r>
            <w:r w:rsidRPr="005B109B">
              <w:rPr>
                <w:rFonts w:cs="Segoe UI"/>
                <w:sz w:val="17"/>
                <w:szCs w:val="17"/>
              </w:rPr>
              <w:t>dividend rate references.</w:t>
            </w:r>
          </w:p>
          <w:p w:rsidR="00545554" w:rsidRPr="005B109B" w:rsidRDefault="00545554" w:rsidP="00545554">
            <w:pPr>
              <w:jc w:val="both"/>
              <w:rPr>
                <w:rFonts w:cs="Segoe UI"/>
                <w:i/>
                <w:sz w:val="17"/>
                <w:szCs w:val="17"/>
              </w:rPr>
            </w:pPr>
            <w:r w:rsidRPr="005B109B">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19</w:t>
            </w:r>
          </w:p>
        </w:tc>
        <w:tc>
          <w:tcPr>
            <w:tcW w:w="8728" w:type="dxa"/>
          </w:tcPr>
          <w:p w:rsidR="00545554" w:rsidRPr="005B109B" w:rsidRDefault="00545554" w:rsidP="00545554">
            <w:pPr>
              <w:jc w:val="both"/>
              <w:rPr>
                <w:rFonts w:cs="Segoe UI"/>
                <w:sz w:val="17"/>
                <w:szCs w:val="17"/>
              </w:rPr>
            </w:pPr>
            <w:r>
              <w:rPr>
                <w:rFonts w:cs="Segoe UI"/>
                <w:sz w:val="17"/>
                <w:szCs w:val="17"/>
              </w:rPr>
              <w:t>S</w:t>
            </w:r>
            <w:r w:rsidRPr="005B109B">
              <w:rPr>
                <w:rFonts w:cs="Segoe UI"/>
                <w:sz w:val="17"/>
                <w:szCs w:val="17"/>
              </w:rPr>
              <w:t>p</w:t>
            </w:r>
            <w:r>
              <w:rPr>
                <w:rFonts w:cs="Segoe UI"/>
                <w:sz w:val="17"/>
                <w:szCs w:val="17"/>
              </w:rPr>
              <w:t>ecifies whether the non-</w:t>
            </w:r>
            <w:r w:rsidRPr="005B109B">
              <w:rPr>
                <w:rFonts w:cs="Segoe UI"/>
                <w:sz w:val="17"/>
                <w:szCs w:val="17"/>
              </w:rPr>
              <w:t>payment of a coupon or dividend on the instrument prohibits the payment of dividends on ordinary shares (i.e</w:t>
            </w:r>
            <w:r>
              <w:rPr>
                <w:rFonts w:cs="Segoe UI"/>
                <w:sz w:val="17"/>
                <w:szCs w:val="17"/>
              </w:rPr>
              <w:t xml:space="preserve">. </w:t>
            </w:r>
            <w:r w:rsidRPr="005B109B">
              <w:rPr>
                <w:rFonts w:cs="Segoe UI"/>
                <w:sz w:val="17"/>
                <w:szCs w:val="17"/>
              </w:rPr>
              <w:t>whether there is a dividend stopper).</w:t>
            </w:r>
          </w:p>
          <w:p w:rsidR="00545554" w:rsidRPr="005B109B" w:rsidRDefault="00545554" w:rsidP="00545554">
            <w:pPr>
              <w:jc w:val="both"/>
              <w:rPr>
                <w:rFonts w:cs="Segoe UI"/>
                <w:i/>
                <w:sz w:val="17"/>
                <w:szCs w:val="17"/>
              </w:rPr>
            </w:pPr>
            <w:r w:rsidRPr="005B109B">
              <w:rPr>
                <w:rFonts w:cs="Segoe UI"/>
                <w:i/>
                <w:sz w:val="17"/>
                <w:szCs w:val="17"/>
              </w:rPr>
              <w:t>Enter: [Yes] [No]</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20</w:t>
            </w:r>
          </w:p>
        </w:tc>
        <w:tc>
          <w:tcPr>
            <w:tcW w:w="8728" w:type="dxa"/>
          </w:tcPr>
          <w:p w:rsidR="00545554" w:rsidRPr="005B109B" w:rsidRDefault="00545554" w:rsidP="00545554">
            <w:pPr>
              <w:jc w:val="both"/>
              <w:rPr>
                <w:rFonts w:cs="Segoe UI"/>
                <w:sz w:val="17"/>
                <w:szCs w:val="17"/>
              </w:rPr>
            </w:pPr>
            <w:r>
              <w:rPr>
                <w:rFonts w:cs="Segoe UI"/>
                <w:sz w:val="17"/>
                <w:szCs w:val="17"/>
              </w:rPr>
              <w:t>S</w:t>
            </w:r>
            <w:r w:rsidRPr="005B109B">
              <w:rPr>
                <w:rFonts w:cs="Segoe UI"/>
                <w:sz w:val="17"/>
                <w:szCs w:val="17"/>
              </w:rPr>
              <w:t xml:space="preserve">pecifies whether the issuer has </w:t>
            </w:r>
            <w:r>
              <w:rPr>
                <w:rFonts w:cs="Segoe UI"/>
                <w:sz w:val="17"/>
                <w:szCs w:val="17"/>
              </w:rPr>
              <w:t xml:space="preserve">(i) </w:t>
            </w:r>
            <w:r w:rsidRPr="005B109B">
              <w:rPr>
                <w:rFonts w:cs="Segoe UI"/>
                <w:sz w:val="17"/>
                <w:szCs w:val="17"/>
              </w:rPr>
              <w:t>full discretion</w:t>
            </w:r>
            <w:r>
              <w:rPr>
                <w:rFonts w:cs="Segoe UI"/>
                <w:sz w:val="17"/>
                <w:szCs w:val="17"/>
              </w:rPr>
              <w:t>; (ii)</w:t>
            </w:r>
            <w:r w:rsidRPr="005B109B">
              <w:rPr>
                <w:rFonts w:cs="Segoe UI"/>
                <w:sz w:val="17"/>
                <w:szCs w:val="17"/>
              </w:rPr>
              <w:t xml:space="preserve"> partial discretion</w:t>
            </w:r>
            <w:r>
              <w:rPr>
                <w:rFonts w:cs="Segoe UI"/>
                <w:sz w:val="17"/>
                <w:szCs w:val="17"/>
              </w:rPr>
              <w:t>;</w:t>
            </w:r>
            <w:r w:rsidRPr="005B109B">
              <w:rPr>
                <w:rFonts w:cs="Segoe UI"/>
                <w:sz w:val="17"/>
                <w:szCs w:val="17"/>
              </w:rPr>
              <w:t xml:space="preserve"> or </w:t>
            </w:r>
            <w:r>
              <w:rPr>
                <w:rFonts w:cs="Segoe UI"/>
                <w:sz w:val="17"/>
                <w:szCs w:val="17"/>
              </w:rPr>
              <w:t xml:space="preserve">(iii) </w:t>
            </w:r>
            <w:r w:rsidRPr="005B109B">
              <w:rPr>
                <w:rFonts w:cs="Segoe UI"/>
                <w:sz w:val="17"/>
                <w:szCs w:val="17"/>
              </w:rPr>
              <w:t>no discretion over whether a coupon</w:t>
            </w:r>
            <w:r>
              <w:rPr>
                <w:rFonts w:cs="Segoe UI"/>
                <w:sz w:val="17"/>
                <w:szCs w:val="17"/>
              </w:rPr>
              <w:t xml:space="preserve"> </w:t>
            </w:r>
            <w:r w:rsidRPr="005B109B">
              <w:rPr>
                <w:rFonts w:cs="Segoe UI"/>
                <w:sz w:val="17"/>
                <w:szCs w:val="17"/>
              </w:rPr>
              <w:t>/</w:t>
            </w:r>
            <w:r>
              <w:rPr>
                <w:rFonts w:cs="Segoe UI"/>
                <w:sz w:val="17"/>
                <w:szCs w:val="17"/>
              </w:rPr>
              <w:t xml:space="preserve"> </w:t>
            </w:r>
            <w:r w:rsidRPr="005B109B">
              <w:rPr>
                <w:rFonts w:cs="Segoe UI"/>
                <w:sz w:val="17"/>
                <w:szCs w:val="17"/>
              </w:rPr>
              <w:t>dividend is paid</w:t>
            </w:r>
            <w:r>
              <w:rPr>
                <w:rFonts w:cs="Segoe UI"/>
                <w:sz w:val="17"/>
                <w:szCs w:val="17"/>
              </w:rPr>
              <w:t xml:space="preserve">.  </w:t>
            </w:r>
            <w:r w:rsidRPr="005B109B">
              <w:rPr>
                <w:rFonts w:cs="Segoe UI"/>
                <w:sz w:val="17"/>
                <w:szCs w:val="17"/>
              </w:rPr>
              <w:t>If an AI has full discretion to cancel coupon</w:t>
            </w:r>
            <w:r>
              <w:rPr>
                <w:rFonts w:cs="Segoe UI"/>
                <w:sz w:val="17"/>
                <w:szCs w:val="17"/>
              </w:rPr>
              <w:t xml:space="preserve"> </w:t>
            </w:r>
            <w:r w:rsidRPr="005B109B">
              <w:rPr>
                <w:rFonts w:cs="Segoe UI"/>
                <w:sz w:val="17"/>
                <w:szCs w:val="17"/>
              </w:rPr>
              <w:t>/</w:t>
            </w:r>
            <w:r>
              <w:rPr>
                <w:rFonts w:cs="Segoe UI"/>
                <w:sz w:val="17"/>
                <w:szCs w:val="17"/>
              </w:rPr>
              <w:t xml:space="preserve"> </w:t>
            </w:r>
            <w:r w:rsidRPr="005B109B">
              <w:rPr>
                <w:rFonts w:cs="Segoe UI"/>
                <w:sz w:val="17"/>
                <w:szCs w:val="17"/>
              </w:rPr>
              <w:t>dividend payments under all circumstances</w:t>
            </w:r>
            <w:r>
              <w:rPr>
                <w:rFonts w:cs="Segoe UI"/>
                <w:sz w:val="17"/>
                <w:szCs w:val="17"/>
              </w:rPr>
              <w:t>,</w:t>
            </w:r>
            <w:r w:rsidRPr="005B109B">
              <w:rPr>
                <w:rFonts w:cs="Segoe UI"/>
                <w:sz w:val="17"/>
                <w:szCs w:val="17"/>
              </w:rPr>
              <w:t xml:space="preserve"> it </w:t>
            </w:r>
            <w:r>
              <w:rPr>
                <w:rFonts w:cs="Segoe UI"/>
                <w:sz w:val="17"/>
                <w:szCs w:val="17"/>
              </w:rPr>
              <w:t>should</w:t>
            </w:r>
            <w:r w:rsidRPr="005B109B">
              <w:rPr>
                <w:rFonts w:cs="Segoe UI"/>
                <w:sz w:val="17"/>
                <w:szCs w:val="17"/>
              </w:rPr>
              <w:t xml:space="preserve"> select “fully discretionary” (including when there is a dividend stopper that does not have the effect of preventing the AI from cancelling payments on the instrument)</w:t>
            </w:r>
            <w:r>
              <w:rPr>
                <w:rFonts w:cs="Segoe UI"/>
                <w:sz w:val="17"/>
                <w:szCs w:val="17"/>
              </w:rPr>
              <w:t xml:space="preserve">.  </w:t>
            </w:r>
            <w:r w:rsidRPr="005B109B">
              <w:rPr>
                <w:rFonts w:cs="Segoe UI"/>
                <w:sz w:val="17"/>
                <w:szCs w:val="17"/>
              </w:rPr>
              <w:t xml:space="preserve">If there are conditions that </w:t>
            </w:r>
            <w:r>
              <w:rPr>
                <w:rFonts w:cs="Segoe UI"/>
                <w:sz w:val="17"/>
                <w:szCs w:val="17"/>
              </w:rPr>
              <w:t>should</w:t>
            </w:r>
            <w:r w:rsidRPr="005B109B">
              <w:rPr>
                <w:rFonts w:cs="Segoe UI"/>
                <w:sz w:val="17"/>
                <w:szCs w:val="17"/>
              </w:rPr>
              <w:t xml:space="preserve"> be met before payment can be cancelled (e.g</w:t>
            </w:r>
            <w:r>
              <w:rPr>
                <w:rFonts w:cs="Segoe UI"/>
                <w:sz w:val="17"/>
                <w:szCs w:val="17"/>
              </w:rPr>
              <w:t xml:space="preserve">. </w:t>
            </w:r>
            <w:r w:rsidRPr="005B109B">
              <w:rPr>
                <w:rFonts w:cs="Segoe UI"/>
                <w:sz w:val="17"/>
                <w:szCs w:val="17"/>
              </w:rPr>
              <w:t xml:space="preserve">capital below a certain threshold), the AI </w:t>
            </w:r>
            <w:r>
              <w:rPr>
                <w:rFonts w:cs="Segoe UI"/>
                <w:sz w:val="17"/>
                <w:szCs w:val="17"/>
              </w:rPr>
              <w:t>should</w:t>
            </w:r>
            <w:r w:rsidRPr="005B109B">
              <w:rPr>
                <w:rFonts w:cs="Segoe UI"/>
                <w:sz w:val="17"/>
                <w:szCs w:val="17"/>
              </w:rPr>
              <w:t xml:space="preserve"> select “partially discretionary”</w:t>
            </w:r>
            <w:r>
              <w:rPr>
                <w:rFonts w:cs="Segoe UI"/>
                <w:sz w:val="17"/>
                <w:szCs w:val="17"/>
              </w:rPr>
              <w:t xml:space="preserve">.  </w:t>
            </w:r>
            <w:r w:rsidRPr="005B109B">
              <w:rPr>
                <w:rFonts w:cs="Segoe UI"/>
                <w:sz w:val="17"/>
                <w:szCs w:val="17"/>
              </w:rPr>
              <w:t>If the AI is unable to cancel the payment outside of insolvency</w:t>
            </w:r>
            <w:r>
              <w:rPr>
                <w:rFonts w:cs="Segoe UI"/>
                <w:sz w:val="17"/>
                <w:szCs w:val="17"/>
              </w:rPr>
              <w:t>, it</w:t>
            </w:r>
            <w:r w:rsidRPr="005B109B">
              <w:rPr>
                <w:rFonts w:cs="Segoe UI"/>
                <w:sz w:val="17"/>
                <w:szCs w:val="17"/>
              </w:rPr>
              <w:t xml:space="preserve"> </w:t>
            </w:r>
            <w:r>
              <w:rPr>
                <w:rFonts w:cs="Segoe UI"/>
                <w:sz w:val="17"/>
                <w:szCs w:val="17"/>
              </w:rPr>
              <w:t>should</w:t>
            </w:r>
            <w:r w:rsidRPr="005B109B">
              <w:rPr>
                <w:rFonts w:cs="Segoe UI"/>
                <w:sz w:val="17"/>
                <w:szCs w:val="17"/>
              </w:rPr>
              <w:t xml:space="preserve"> select “mandatory”.</w:t>
            </w:r>
          </w:p>
          <w:p w:rsidR="00545554" w:rsidRPr="004752EC" w:rsidRDefault="00545554" w:rsidP="00545554">
            <w:pPr>
              <w:jc w:val="both"/>
              <w:rPr>
                <w:rFonts w:cs="Segoe UI"/>
                <w:i/>
                <w:sz w:val="17"/>
                <w:szCs w:val="17"/>
              </w:rPr>
            </w:pPr>
            <w:r w:rsidRPr="004752EC">
              <w:rPr>
                <w:rFonts w:cs="Segoe UI"/>
                <w:i/>
                <w:sz w:val="17"/>
                <w:szCs w:val="17"/>
              </w:rPr>
              <w:t>Enter: [Fully discretionary] [Partially discretionary] [Mandatory]</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21</w:t>
            </w:r>
          </w:p>
        </w:tc>
        <w:tc>
          <w:tcPr>
            <w:tcW w:w="8728" w:type="dxa"/>
          </w:tcPr>
          <w:p w:rsidR="00545554" w:rsidRPr="004752EC" w:rsidRDefault="00545554" w:rsidP="00545554">
            <w:pPr>
              <w:jc w:val="both"/>
              <w:rPr>
                <w:rFonts w:cs="Segoe UI"/>
                <w:i/>
                <w:sz w:val="17"/>
                <w:szCs w:val="17"/>
              </w:rPr>
            </w:pPr>
            <w:r>
              <w:rPr>
                <w:rFonts w:cs="Segoe UI"/>
                <w:sz w:val="17"/>
                <w:szCs w:val="17"/>
              </w:rPr>
              <w:t>S</w:t>
            </w:r>
            <w:r w:rsidRPr="005B109B">
              <w:rPr>
                <w:rFonts w:cs="Segoe UI"/>
                <w:sz w:val="17"/>
                <w:szCs w:val="17"/>
              </w:rPr>
              <w:t>pecifies whether</w:t>
            </w:r>
            <w:r>
              <w:rPr>
                <w:rFonts w:cs="Segoe UI"/>
                <w:sz w:val="17"/>
                <w:szCs w:val="17"/>
              </w:rPr>
              <w:t xml:space="preserve"> there is a step-up or other incentive to redeem.</w:t>
            </w:r>
          </w:p>
          <w:p w:rsidR="00545554" w:rsidRPr="00813FAB" w:rsidRDefault="00545554" w:rsidP="00545554">
            <w:pPr>
              <w:jc w:val="both"/>
              <w:rPr>
                <w:rFonts w:cs="Segoe UI"/>
                <w:sz w:val="17"/>
                <w:szCs w:val="17"/>
              </w:rPr>
            </w:pPr>
            <w:r w:rsidRPr="004752EC">
              <w:rPr>
                <w:rFonts w:cs="Segoe UI"/>
                <w:i/>
                <w:sz w:val="17"/>
                <w:szCs w:val="17"/>
              </w:rPr>
              <w:t>Enter: [Yes] [No]</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22</w:t>
            </w:r>
          </w:p>
        </w:tc>
        <w:tc>
          <w:tcPr>
            <w:tcW w:w="8728" w:type="dxa"/>
          </w:tcPr>
          <w:p w:rsidR="00545554" w:rsidRPr="004752EC" w:rsidRDefault="00545554" w:rsidP="00545554">
            <w:pPr>
              <w:jc w:val="both"/>
              <w:rPr>
                <w:rFonts w:cs="Segoe UI"/>
                <w:sz w:val="17"/>
                <w:szCs w:val="17"/>
              </w:rPr>
            </w:pPr>
            <w:r>
              <w:rPr>
                <w:rFonts w:cs="Segoe UI"/>
                <w:sz w:val="17"/>
                <w:szCs w:val="17"/>
              </w:rPr>
              <w:t>S</w:t>
            </w:r>
            <w:r w:rsidRPr="004752EC">
              <w:rPr>
                <w:rFonts w:cs="Segoe UI"/>
                <w:sz w:val="17"/>
                <w:szCs w:val="17"/>
              </w:rPr>
              <w:t xml:space="preserve">pecifies whether dividends </w:t>
            </w:r>
            <w:r>
              <w:rPr>
                <w:rFonts w:cs="Segoe UI"/>
                <w:sz w:val="17"/>
                <w:szCs w:val="17"/>
              </w:rPr>
              <w:t>/ coupons are cumulative or non-</w:t>
            </w:r>
            <w:r w:rsidRPr="004752EC">
              <w:rPr>
                <w:rFonts w:cs="Segoe UI"/>
                <w:sz w:val="17"/>
                <w:szCs w:val="17"/>
              </w:rPr>
              <w:t>cumulative.</w:t>
            </w:r>
          </w:p>
          <w:p w:rsidR="00545554" w:rsidRPr="004752EC" w:rsidRDefault="00545554" w:rsidP="00545554">
            <w:pPr>
              <w:jc w:val="both"/>
              <w:rPr>
                <w:rFonts w:cs="Segoe UI"/>
                <w:i/>
                <w:sz w:val="17"/>
                <w:szCs w:val="17"/>
              </w:rPr>
            </w:pPr>
            <w:r w:rsidRPr="004752EC">
              <w:rPr>
                <w:rFonts w:cs="Segoe UI"/>
                <w:i/>
                <w:sz w:val="17"/>
                <w:szCs w:val="17"/>
              </w:rPr>
              <w:t>Enter: [Non-cumulative] [Cumulative]</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23</w:t>
            </w:r>
          </w:p>
        </w:tc>
        <w:tc>
          <w:tcPr>
            <w:tcW w:w="8728" w:type="dxa"/>
          </w:tcPr>
          <w:p w:rsidR="00545554" w:rsidRPr="004752EC" w:rsidRDefault="00545554" w:rsidP="00545554">
            <w:pPr>
              <w:jc w:val="both"/>
              <w:rPr>
                <w:rFonts w:cs="Segoe UI"/>
                <w:sz w:val="17"/>
                <w:szCs w:val="17"/>
              </w:rPr>
            </w:pPr>
            <w:r w:rsidRPr="00684D71">
              <w:rPr>
                <w:rFonts w:cs="Segoe UI"/>
                <w:i/>
                <w:sz w:val="17"/>
                <w:szCs w:val="17"/>
              </w:rPr>
              <w:t>Convertible or non-convertible</w:t>
            </w:r>
            <w:r>
              <w:rPr>
                <w:rFonts w:cs="Segoe UI"/>
                <w:sz w:val="17"/>
                <w:szCs w:val="17"/>
              </w:rPr>
              <w:t>: s</w:t>
            </w:r>
            <w:r w:rsidRPr="004752EC">
              <w:rPr>
                <w:rFonts w:cs="Segoe UI"/>
                <w:sz w:val="17"/>
                <w:szCs w:val="17"/>
              </w:rPr>
              <w:t>pecifies whether the instrument is convertible or not</w:t>
            </w:r>
            <w:r>
              <w:rPr>
                <w:rFonts w:cs="Segoe UI"/>
                <w:sz w:val="17"/>
                <w:szCs w:val="17"/>
              </w:rPr>
              <w:t>.</w:t>
            </w:r>
          </w:p>
          <w:p w:rsidR="00545554" w:rsidRPr="004752EC" w:rsidRDefault="00545554" w:rsidP="00545554">
            <w:pPr>
              <w:jc w:val="both"/>
              <w:rPr>
                <w:rFonts w:cs="Segoe UI"/>
                <w:i/>
                <w:sz w:val="17"/>
                <w:szCs w:val="17"/>
              </w:rPr>
            </w:pPr>
            <w:r w:rsidRPr="004752EC">
              <w:rPr>
                <w:rFonts w:cs="Segoe UI"/>
                <w:i/>
                <w:sz w:val="17"/>
                <w:szCs w:val="17"/>
              </w:rPr>
              <w:t>Enter: [Convertible] [Non-convertible]</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24</w:t>
            </w:r>
          </w:p>
        </w:tc>
        <w:tc>
          <w:tcPr>
            <w:tcW w:w="8728" w:type="dxa"/>
          </w:tcPr>
          <w:p w:rsidR="00545554" w:rsidRPr="003A5B27" w:rsidRDefault="00545554" w:rsidP="00545554">
            <w:pPr>
              <w:jc w:val="both"/>
              <w:rPr>
                <w:rFonts w:cs="Segoe UI"/>
                <w:sz w:val="17"/>
                <w:szCs w:val="17"/>
              </w:rPr>
            </w:pPr>
            <w:r>
              <w:rPr>
                <w:rFonts w:cs="Segoe UI"/>
                <w:sz w:val="17"/>
                <w:szCs w:val="17"/>
              </w:rPr>
              <w:t>S</w:t>
            </w:r>
            <w:r w:rsidRPr="003A5B27">
              <w:rPr>
                <w:rFonts w:cs="Segoe UI"/>
                <w:sz w:val="17"/>
                <w:szCs w:val="17"/>
              </w:rPr>
              <w:t>pecifies the conditions under which the instrument will convert, including point of non-viability</w:t>
            </w:r>
            <w:r>
              <w:rPr>
                <w:rFonts w:cs="Segoe UI"/>
                <w:sz w:val="17"/>
                <w:szCs w:val="17"/>
              </w:rPr>
              <w:t xml:space="preserve">.  </w:t>
            </w:r>
            <w:r w:rsidRPr="003A5B27">
              <w:rPr>
                <w:rFonts w:cs="Segoe UI"/>
                <w:sz w:val="17"/>
                <w:szCs w:val="17"/>
              </w:rPr>
              <w:t xml:space="preserve">Where one or more authorities have the ability to trigger conversion, </w:t>
            </w:r>
            <w:r>
              <w:rPr>
                <w:rFonts w:cs="Segoe UI"/>
                <w:sz w:val="17"/>
                <w:szCs w:val="17"/>
              </w:rPr>
              <w:t xml:space="preserve">names of </w:t>
            </w:r>
            <w:r w:rsidRPr="003A5B27">
              <w:rPr>
                <w:rFonts w:cs="Segoe UI"/>
                <w:sz w:val="17"/>
                <w:szCs w:val="17"/>
              </w:rPr>
              <w:t>the authorities should be listed</w:t>
            </w:r>
            <w:r>
              <w:rPr>
                <w:rFonts w:cs="Segoe UI"/>
                <w:sz w:val="17"/>
                <w:szCs w:val="17"/>
              </w:rPr>
              <w:t xml:space="preserve">.  </w:t>
            </w:r>
            <w:r w:rsidRPr="003A5B27">
              <w:rPr>
                <w:rFonts w:cs="Segoe UI"/>
                <w:sz w:val="17"/>
                <w:szCs w:val="17"/>
              </w:rPr>
              <w:t>For each of the authorities it should be stated whether it is the terms of the contract of the instrument that provide the legal basis for the authority to trigger conversion (a contractual approach) or whether the legal basis is provided by statutory means (a statutory approach).</w:t>
            </w:r>
          </w:p>
          <w:p w:rsidR="00545554" w:rsidRPr="003A5B27" w:rsidRDefault="00545554" w:rsidP="00545554">
            <w:pPr>
              <w:jc w:val="both"/>
              <w:rPr>
                <w:rFonts w:cs="Segoe UI"/>
                <w:i/>
                <w:sz w:val="17"/>
                <w:szCs w:val="17"/>
              </w:rPr>
            </w:pPr>
            <w:r w:rsidRPr="003A5B27">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25</w:t>
            </w:r>
          </w:p>
        </w:tc>
        <w:tc>
          <w:tcPr>
            <w:tcW w:w="8728" w:type="dxa"/>
          </w:tcPr>
          <w:p w:rsidR="00545554" w:rsidRPr="003A5B27" w:rsidRDefault="00545554" w:rsidP="00545554">
            <w:pPr>
              <w:jc w:val="both"/>
              <w:rPr>
                <w:rFonts w:cs="Segoe UI"/>
                <w:sz w:val="17"/>
                <w:szCs w:val="17"/>
              </w:rPr>
            </w:pPr>
            <w:r>
              <w:rPr>
                <w:rFonts w:cs="Segoe UI"/>
                <w:sz w:val="17"/>
                <w:szCs w:val="17"/>
              </w:rPr>
              <w:t>F</w:t>
            </w:r>
            <w:r w:rsidRPr="003A5B27">
              <w:rPr>
                <w:rFonts w:cs="Segoe UI"/>
                <w:sz w:val="17"/>
                <w:szCs w:val="17"/>
              </w:rPr>
              <w:t>or each conversion trigger separately, specifies whether the instrument will: (i) always convert fully; (ii) may convert fully or partially; or (iii) will always convert partially.</w:t>
            </w:r>
          </w:p>
          <w:p w:rsidR="00545554" w:rsidRPr="003A5B27" w:rsidRDefault="00545554" w:rsidP="00545554">
            <w:pPr>
              <w:jc w:val="both"/>
              <w:rPr>
                <w:rFonts w:cs="Segoe UI"/>
                <w:i/>
                <w:sz w:val="17"/>
                <w:szCs w:val="17"/>
              </w:rPr>
            </w:pPr>
            <w:r w:rsidRPr="003A5B27">
              <w:rPr>
                <w:rFonts w:cs="Segoe UI"/>
                <w:i/>
                <w:sz w:val="17"/>
                <w:szCs w:val="17"/>
              </w:rPr>
              <w:t>Free text referencing one of the options above</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26</w:t>
            </w:r>
          </w:p>
        </w:tc>
        <w:tc>
          <w:tcPr>
            <w:tcW w:w="8728" w:type="dxa"/>
          </w:tcPr>
          <w:p w:rsidR="00545554" w:rsidRPr="003A5B27" w:rsidRDefault="00545554" w:rsidP="00545554">
            <w:pPr>
              <w:jc w:val="both"/>
              <w:rPr>
                <w:rFonts w:cs="Segoe UI"/>
                <w:sz w:val="17"/>
                <w:szCs w:val="17"/>
              </w:rPr>
            </w:pPr>
            <w:r>
              <w:rPr>
                <w:rFonts w:cs="Segoe UI"/>
                <w:sz w:val="17"/>
                <w:szCs w:val="17"/>
              </w:rPr>
              <w:t>S</w:t>
            </w:r>
            <w:r w:rsidRPr="003A5B27">
              <w:rPr>
                <w:rFonts w:cs="Segoe UI"/>
                <w:sz w:val="17"/>
                <w:szCs w:val="17"/>
              </w:rPr>
              <w:t>pecifies rate of conversion into the more loss absorbent instrument</w:t>
            </w:r>
            <w:r>
              <w:rPr>
                <w:rFonts w:cs="Segoe UI"/>
                <w:sz w:val="17"/>
                <w:szCs w:val="17"/>
              </w:rPr>
              <w:t>.</w:t>
            </w:r>
          </w:p>
          <w:p w:rsidR="00545554" w:rsidRPr="003A5B27" w:rsidRDefault="00545554" w:rsidP="00545554">
            <w:pPr>
              <w:jc w:val="both"/>
              <w:rPr>
                <w:rFonts w:cs="Segoe UI"/>
                <w:i/>
                <w:sz w:val="17"/>
                <w:szCs w:val="17"/>
              </w:rPr>
            </w:pPr>
            <w:r w:rsidRPr="003A5B27">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27</w:t>
            </w:r>
          </w:p>
        </w:tc>
        <w:tc>
          <w:tcPr>
            <w:tcW w:w="8728" w:type="dxa"/>
          </w:tcPr>
          <w:p w:rsidR="00545554" w:rsidRPr="003A5B27" w:rsidRDefault="00545554" w:rsidP="00545554">
            <w:pPr>
              <w:jc w:val="both"/>
              <w:rPr>
                <w:rFonts w:cs="Segoe UI"/>
                <w:sz w:val="17"/>
                <w:szCs w:val="17"/>
              </w:rPr>
            </w:pPr>
            <w:r>
              <w:rPr>
                <w:rFonts w:cs="Segoe UI"/>
                <w:sz w:val="17"/>
                <w:szCs w:val="17"/>
              </w:rPr>
              <w:t>F</w:t>
            </w:r>
            <w:r w:rsidRPr="003A5B27">
              <w:rPr>
                <w:rFonts w:cs="Segoe UI"/>
                <w:sz w:val="17"/>
                <w:szCs w:val="17"/>
              </w:rPr>
              <w:t>or convertible instruments, specifies whether conversion is mandatory or optional</w:t>
            </w:r>
            <w:r>
              <w:rPr>
                <w:rFonts w:cs="Segoe UI"/>
                <w:sz w:val="17"/>
                <w:szCs w:val="17"/>
              </w:rPr>
              <w:t>.</w:t>
            </w:r>
          </w:p>
          <w:p w:rsidR="00545554" w:rsidRPr="003A5B27" w:rsidRDefault="00545554" w:rsidP="00545554">
            <w:pPr>
              <w:jc w:val="both"/>
              <w:rPr>
                <w:rFonts w:cs="Segoe UI"/>
                <w:i/>
                <w:sz w:val="17"/>
                <w:szCs w:val="17"/>
              </w:rPr>
            </w:pPr>
            <w:r w:rsidRPr="003A5B27">
              <w:rPr>
                <w:rFonts w:cs="Segoe UI"/>
                <w:i/>
                <w:sz w:val="17"/>
                <w:szCs w:val="17"/>
              </w:rPr>
              <w:t>Enter: [Mandatory] [Optional] [NA]</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28</w:t>
            </w:r>
          </w:p>
        </w:tc>
        <w:tc>
          <w:tcPr>
            <w:tcW w:w="8728" w:type="dxa"/>
          </w:tcPr>
          <w:p w:rsidR="00545554" w:rsidRPr="0046314D" w:rsidRDefault="00545554" w:rsidP="00545554">
            <w:pPr>
              <w:jc w:val="both"/>
              <w:rPr>
                <w:rFonts w:cs="Segoe UI"/>
                <w:sz w:val="17"/>
                <w:szCs w:val="17"/>
              </w:rPr>
            </w:pPr>
            <w:r>
              <w:rPr>
                <w:rFonts w:cs="Segoe UI"/>
                <w:sz w:val="17"/>
                <w:szCs w:val="17"/>
              </w:rPr>
              <w:t>F</w:t>
            </w:r>
            <w:r w:rsidRPr="0046314D">
              <w:rPr>
                <w:rFonts w:cs="Segoe UI"/>
                <w:sz w:val="17"/>
                <w:szCs w:val="17"/>
              </w:rPr>
              <w:t>or convertible instruments, specifies instrument type convertible into</w:t>
            </w:r>
            <w:r>
              <w:rPr>
                <w:rFonts w:cs="Segoe UI"/>
                <w:sz w:val="17"/>
                <w:szCs w:val="17"/>
              </w:rPr>
              <w:t>.</w:t>
            </w:r>
          </w:p>
          <w:p w:rsidR="00545554" w:rsidRPr="0046314D" w:rsidRDefault="00545554" w:rsidP="00545554">
            <w:pPr>
              <w:jc w:val="both"/>
              <w:rPr>
                <w:rFonts w:cs="Segoe UI"/>
                <w:i/>
                <w:sz w:val="17"/>
                <w:szCs w:val="17"/>
              </w:rPr>
            </w:pPr>
            <w:r w:rsidRPr="0046314D">
              <w:rPr>
                <w:rFonts w:cs="Segoe UI"/>
                <w:i/>
                <w:sz w:val="17"/>
                <w:szCs w:val="17"/>
              </w:rPr>
              <w:t>Enter: [Common Equity Tier 1] [Additional Tier 1] [Tier 2] [Other</w:t>
            </w:r>
            <w:r>
              <w:rPr>
                <w:rFonts w:cs="Segoe UI"/>
                <w:i/>
                <w:sz w:val="17"/>
                <w:szCs w:val="17"/>
              </w:rPr>
              <w:t>s</w:t>
            </w:r>
            <w:r w:rsidRPr="0046314D">
              <w:rPr>
                <w:rFonts w:cs="Segoe UI"/>
                <w:i/>
                <w:sz w:val="17"/>
                <w:szCs w:val="17"/>
              </w:rPr>
              <w:t>: please specify]</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29</w:t>
            </w:r>
          </w:p>
        </w:tc>
        <w:tc>
          <w:tcPr>
            <w:tcW w:w="8728" w:type="dxa"/>
          </w:tcPr>
          <w:p w:rsidR="00545554" w:rsidRPr="00FC6603" w:rsidRDefault="00545554" w:rsidP="00545554">
            <w:pPr>
              <w:jc w:val="both"/>
              <w:rPr>
                <w:rFonts w:cs="Segoe UI"/>
                <w:sz w:val="17"/>
                <w:szCs w:val="17"/>
              </w:rPr>
            </w:pPr>
            <w:r>
              <w:rPr>
                <w:rFonts w:cs="Segoe UI"/>
                <w:sz w:val="17"/>
                <w:szCs w:val="17"/>
              </w:rPr>
              <w:t>I</w:t>
            </w:r>
            <w:r w:rsidRPr="00FC6603">
              <w:rPr>
                <w:rFonts w:cs="Segoe UI"/>
                <w:sz w:val="17"/>
                <w:szCs w:val="17"/>
              </w:rPr>
              <w:t>f convertible, specifies issuer of instrument into which it converts.</w:t>
            </w:r>
          </w:p>
          <w:p w:rsidR="00545554" w:rsidRPr="00FC6603" w:rsidRDefault="00545554" w:rsidP="00545554">
            <w:pPr>
              <w:jc w:val="both"/>
              <w:rPr>
                <w:rFonts w:cs="Segoe UI"/>
                <w:i/>
                <w:sz w:val="17"/>
                <w:szCs w:val="17"/>
              </w:rPr>
            </w:pPr>
            <w:r w:rsidRPr="00FC6603">
              <w:rPr>
                <w:rFonts w:cs="Segoe UI"/>
                <w:i/>
                <w:sz w:val="17"/>
                <w:szCs w:val="17"/>
              </w:rPr>
              <w:lastRenderedPageBreak/>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lastRenderedPageBreak/>
              <w:t>30</w:t>
            </w:r>
          </w:p>
        </w:tc>
        <w:tc>
          <w:tcPr>
            <w:tcW w:w="8728" w:type="dxa"/>
          </w:tcPr>
          <w:p w:rsidR="00545554" w:rsidRPr="00FC6603" w:rsidRDefault="00545554" w:rsidP="00545554">
            <w:pPr>
              <w:jc w:val="both"/>
              <w:rPr>
                <w:rFonts w:cs="Segoe UI"/>
                <w:sz w:val="17"/>
                <w:szCs w:val="17"/>
              </w:rPr>
            </w:pPr>
            <w:r>
              <w:rPr>
                <w:rFonts w:cs="Segoe UI"/>
                <w:sz w:val="17"/>
                <w:szCs w:val="17"/>
              </w:rPr>
              <w:t>S</w:t>
            </w:r>
            <w:r w:rsidRPr="00FC6603">
              <w:rPr>
                <w:rFonts w:cs="Segoe UI"/>
                <w:sz w:val="17"/>
                <w:szCs w:val="17"/>
              </w:rPr>
              <w:t>pecifies whether there is a write</w:t>
            </w:r>
            <w:r>
              <w:rPr>
                <w:rFonts w:cs="Segoe UI"/>
                <w:sz w:val="17"/>
                <w:szCs w:val="17"/>
              </w:rPr>
              <w:t>-</w:t>
            </w:r>
            <w:r w:rsidRPr="00FC6603">
              <w:rPr>
                <w:rFonts w:cs="Segoe UI"/>
                <w:sz w:val="17"/>
                <w:szCs w:val="17"/>
              </w:rPr>
              <w:t>down feature</w:t>
            </w:r>
            <w:r>
              <w:rPr>
                <w:rFonts w:cs="Segoe UI"/>
                <w:sz w:val="17"/>
                <w:szCs w:val="17"/>
              </w:rPr>
              <w:t>.</w:t>
            </w:r>
          </w:p>
          <w:p w:rsidR="00545554" w:rsidRPr="00FC6603" w:rsidRDefault="00545554" w:rsidP="00545554">
            <w:pPr>
              <w:jc w:val="both"/>
              <w:rPr>
                <w:rFonts w:cs="Segoe UI"/>
                <w:i/>
                <w:sz w:val="17"/>
                <w:szCs w:val="17"/>
              </w:rPr>
            </w:pPr>
            <w:r w:rsidRPr="00FC6603">
              <w:rPr>
                <w:rFonts w:cs="Segoe UI"/>
                <w:i/>
                <w:sz w:val="17"/>
                <w:szCs w:val="17"/>
              </w:rPr>
              <w:t>Enter: [Yes] [No]</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31</w:t>
            </w:r>
          </w:p>
        </w:tc>
        <w:tc>
          <w:tcPr>
            <w:tcW w:w="8728" w:type="dxa"/>
          </w:tcPr>
          <w:p w:rsidR="00545554" w:rsidRPr="0087157B" w:rsidRDefault="00545554" w:rsidP="00545554">
            <w:pPr>
              <w:jc w:val="both"/>
              <w:rPr>
                <w:rFonts w:cs="Segoe UI"/>
                <w:sz w:val="17"/>
                <w:szCs w:val="17"/>
              </w:rPr>
            </w:pPr>
            <w:r>
              <w:rPr>
                <w:rFonts w:cs="Segoe UI"/>
                <w:sz w:val="17"/>
                <w:szCs w:val="17"/>
              </w:rPr>
              <w:t>S</w:t>
            </w:r>
            <w:r w:rsidRPr="0087157B">
              <w:rPr>
                <w:rFonts w:cs="Segoe UI"/>
                <w:sz w:val="17"/>
                <w:szCs w:val="17"/>
              </w:rPr>
              <w:t>pecifies the trigger at which write-down occurs, including point of non-viability</w:t>
            </w:r>
            <w:r>
              <w:rPr>
                <w:rFonts w:cs="Segoe UI"/>
                <w:sz w:val="17"/>
                <w:szCs w:val="17"/>
              </w:rPr>
              <w:t xml:space="preserve">.  </w:t>
            </w:r>
            <w:r w:rsidRPr="0087157B">
              <w:rPr>
                <w:rFonts w:cs="Segoe UI"/>
                <w:sz w:val="17"/>
                <w:szCs w:val="17"/>
              </w:rPr>
              <w:t xml:space="preserve">Where one or more authorities have the ability to trigger write-down, </w:t>
            </w:r>
            <w:r>
              <w:rPr>
                <w:rFonts w:cs="Segoe UI"/>
                <w:sz w:val="17"/>
                <w:szCs w:val="17"/>
              </w:rPr>
              <w:t xml:space="preserve">names of </w:t>
            </w:r>
            <w:r w:rsidRPr="0087157B">
              <w:rPr>
                <w:rFonts w:cs="Segoe UI"/>
                <w:sz w:val="17"/>
                <w:szCs w:val="17"/>
              </w:rPr>
              <w:t>the authorities should be listed</w:t>
            </w:r>
            <w:r>
              <w:rPr>
                <w:rFonts w:cs="Segoe UI"/>
                <w:sz w:val="17"/>
                <w:szCs w:val="17"/>
              </w:rPr>
              <w:t xml:space="preserve">.  </w:t>
            </w:r>
            <w:r w:rsidRPr="0087157B">
              <w:rPr>
                <w:rFonts w:cs="Segoe UI"/>
                <w:sz w:val="17"/>
                <w:szCs w:val="17"/>
              </w:rPr>
              <w:t>For each of the authorities it should be stated whether it is the terms of the contract of the instrument that provide the legal basis for the authority to trigger write-down (a contractual approach) or whether the legal basis is provided by statutory means (a statutory approach).</w:t>
            </w:r>
          </w:p>
          <w:p w:rsidR="00545554" w:rsidRPr="0087157B" w:rsidRDefault="00545554" w:rsidP="00545554">
            <w:pPr>
              <w:jc w:val="both"/>
              <w:rPr>
                <w:rFonts w:cs="Segoe UI"/>
                <w:i/>
                <w:sz w:val="17"/>
                <w:szCs w:val="17"/>
              </w:rPr>
            </w:pPr>
            <w:r w:rsidRPr="0087157B">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32</w:t>
            </w:r>
          </w:p>
        </w:tc>
        <w:tc>
          <w:tcPr>
            <w:tcW w:w="8728" w:type="dxa"/>
          </w:tcPr>
          <w:p w:rsidR="00545554" w:rsidRPr="005012ED" w:rsidRDefault="00545554" w:rsidP="00545554">
            <w:pPr>
              <w:jc w:val="both"/>
              <w:rPr>
                <w:rFonts w:cs="Segoe UI"/>
                <w:sz w:val="17"/>
                <w:szCs w:val="17"/>
              </w:rPr>
            </w:pPr>
            <w:r>
              <w:rPr>
                <w:rFonts w:cs="Segoe UI"/>
                <w:sz w:val="17"/>
                <w:szCs w:val="17"/>
              </w:rPr>
              <w:t>F</w:t>
            </w:r>
            <w:r w:rsidRPr="005012ED">
              <w:rPr>
                <w:rFonts w:cs="Segoe UI"/>
                <w:sz w:val="17"/>
                <w:szCs w:val="17"/>
              </w:rPr>
              <w:t>or each write-down trigger separately, specifies whether the instrument will: (i) always be written down fully; (ii) may be written down partially; or (iii) will always be written down partially</w:t>
            </w:r>
            <w:r>
              <w:rPr>
                <w:rFonts w:cs="Segoe UI"/>
                <w:sz w:val="17"/>
                <w:szCs w:val="17"/>
              </w:rPr>
              <w:t xml:space="preserve">.  </w:t>
            </w:r>
          </w:p>
          <w:p w:rsidR="00545554" w:rsidRPr="005012ED" w:rsidRDefault="00545554" w:rsidP="00545554">
            <w:pPr>
              <w:jc w:val="both"/>
              <w:rPr>
                <w:rFonts w:cs="Segoe UI"/>
                <w:i/>
                <w:sz w:val="17"/>
                <w:szCs w:val="17"/>
              </w:rPr>
            </w:pPr>
            <w:r w:rsidRPr="005012ED">
              <w:rPr>
                <w:rFonts w:cs="Segoe UI"/>
                <w:i/>
                <w:sz w:val="17"/>
                <w:szCs w:val="17"/>
              </w:rPr>
              <w:t>Free text referencing one of the options above</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33</w:t>
            </w:r>
          </w:p>
        </w:tc>
        <w:tc>
          <w:tcPr>
            <w:tcW w:w="8728" w:type="dxa"/>
          </w:tcPr>
          <w:p w:rsidR="00545554" w:rsidRPr="005012ED" w:rsidRDefault="00545554" w:rsidP="00545554">
            <w:pPr>
              <w:jc w:val="both"/>
              <w:rPr>
                <w:rFonts w:cs="Segoe UI"/>
                <w:sz w:val="17"/>
                <w:szCs w:val="17"/>
              </w:rPr>
            </w:pPr>
            <w:r>
              <w:rPr>
                <w:rFonts w:cs="Segoe UI"/>
                <w:sz w:val="17"/>
                <w:szCs w:val="17"/>
              </w:rPr>
              <w:t>For write-</w:t>
            </w:r>
            <w:r w:rsidRPr="005012ED">
              <w:rPr>
                <w:rFonts w:cs="Segoe UI"/>
                <w:sz w:val="17"/>
                <w:szCs w:val="17"/>
              </w:rPr>
              <w:t>down inst</w:t>
            </w:r>
            <w:r>
              <w:rPr>
                <w:rFonts w:cs="Segoe UI"/>
                <w:sz w:val="17"/>
                <w:szCs w:val="17"/>
              </w:rPr>
              <w:t>rument, specifies whether write-</w:t>
            </w:r>
            <w:r w:rsidRPr="005012ED">
              <w:rPr>
                <w:rFonts w:cs="Segoe UI"/>
                <w:sz w:val="17"/>
                <w:szCs w:val="17"/>
              </w:rPr>
              <w:t>down is permanent or temporary</w:t>
            </w:r>
            <w:r>
              <w:rPr>
                <w:rFonts w:cs="Segoe UI"/>
                <w:sz w:val="17"/>
                <w:szCs w:val="17"/>
              </w:rPr>
              <w:t xml:space="preserve">.  </w:t>
            </w:r>
          </w:p>
          <w:p w:rsidR="00545554" w:rsidRPr="005012ED" w:rsidRDefault="00545554" w:rsidP="00545554">
            <w:pPr>
              <w:jc w:val="both"/>
              <w:rPr>
                <w:rFonts w:cs="Segoe UI"/>
                <w:i/>
                <w:sz w:val="17"/>
                <w:szCs w:val="17"/>
              </w:rPr>
            </w:pPr>
            <w:r w:rsidRPr="005012ED">
              <w:rPr>
                <w:rFonts w:cs="Segoe UI"/>
                <w:i/>
                <w:sz w:val="17"/>
                <w:szCs w:val="17"/>
              </w:rPr>
              <w:t>Enter: [Permanent] [Temporary] [NA]</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34</w:t>
            </w:r>
          </w:p>
        </w:tc>
        <w:tc>
          <w:tcPr>
            <w:tcW w:w="8728" w:type="dxa"/>
          </w:tcPr>
          <w:p w:rsidR="00545554" w:rsidRPr="005012ED" w:rsidRDefault="00545554" w:rsidP="00545554">
            <w:pPr>
              <w:jc w:val="both"/>
              <w:rPr>
                <w:rFonts w:cs="Segoe UI"/>
                <w:sz w:val="17"/>
                <w:szCs w:val="17"/>
              </w:rPr>
            </w:pPr>
            <w:r w:rsidRPr="00591E5A">
              <w:rPr>
                <w:rFonts w:cs="Segoe UI"/>
                <w:sz w:val="17"/>
                <w:szCs w:val="17"/>
              </w:rPr>
              <w:t>F</w:t>
            </w:r>
            <w:r w:rsidRPr="005012ED">
              <w:rPr>
                <w:rFonts w:cs="Segoe UI"/>
                <w:sz w:val="17"/>
                <w:szCs w:val="17"/>
              </w:rPr>
              <w:t>or instrument that has a temporary write-down, description of write-up mechanism</w:t>
            </w:r>
            <w:r>
              <w:rPr>
                <w:rFonts w:cs="Segoe UI"/>
                <w:sz w:val="17"/>
                <w:szCs w:val="17"/>
              </w:rPr>
              <w:t xml:space="preserve">.  </w:t>
            </w:r>
            <w:r w:rsidRPr="005012ED">
              <w:rPr>
                <w:rFonts w:cs="Segoe UI"/>
                <w:sz w:val="17"/>
                <w:szCs w:val="17"/>
              </w:rPr>
              <w:t>Not applicable in the case of Hong Kong as no write-up is allowed.</w:t>
            </w:r>
          </w:p>
          <w:p w:rsidR="00545554" w:rsidRPr="005012ED" w:rsidRDefault="00545554" w:rsidP="00545554">
            <w:pPr>
              <w:jc w:val="both"/>
              <w:rPr>
                <w:rFonts w:cs="Segoe UI"/>
                <w:i/>
                <w:sz w:val="17"/>
                <w:szCs w:val="17"/>
              </w:rPr>
            </w:pPr>
            <w:r w:rsidRPr="005012ED">
              <w:rPr>
                <w:rFonts w:cs="Segoe UI"/>
                <w:i/>
                <w:sz w:val="17"/>
                <w:szCs w:val="17"/>
              </w:rPr>
              <w:t>Enter: [NA]</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35</w:t>
            </w:r>
          </w:p>
        </w:tc>
        <w:tc>
          <w:tcPr>
            <w:tcW w:w="8728" w:type="dxa"/>
          </w:tcPr>
          <w:p w:rsidR="00545554" w:rsidRDefault="00545554" w:rsidP="00545554">
            <w:pPr>
              <w:jc w:val="both"/>
              <w:rPr>
                <w:rFonts w:cs="Segoe UI"/>
                <w:sz w:val="17"/>
                <w:szCs w:val="17"/>
              </w:rPr>
            </w:pPr>
            <w:r>
              <w:rPr>
                <w:rFonts w:cs="Segoe UI"/>
                <w:sz w:val="17"/>
                <w:szCs w:val="17"/>
              </w:rPr>
              <w:t>S</w:t>
            </w:r>
            <w:r w:rsidRPr="005012ED">
              <w:rPr>
                <w:rFonts w:cs="Segoe UI"/>
                <w:sz w:val="17"/>
                <w:szCs w:val="17"/>
              </w:rPr>
              <w:t>pecifies instrument to which it is most immediately subordinate</w:t>
            </w:r>
            <w:r>
              <w:rPr>
                <w:rFonts w:cs="Segoe UI"/>
                <w:sz w:val="17"/>
                <w:szCs w:val="17"/>
              </w:rPr>
              <w:t xml:space="preserve">.  </w:t>
            </w:r>
            <w:r w:rsidRPr="005012ED">
              <w:rPr>
                <w:rFonts w:cs="Segoe UI"/>
                <w:sz w:val="17"/>
                <w:szCs w:val="17"/>
              </w:rPr>
              <w:t xml:space="preserve">Where applicable, </w:t>
            </w:r>
            <w:r>
              <w:rPr>
                <w:rFonts w:cs="Segoe UI"/>
                <w:sz w:val="17"/>
                <w:szCs w:val="17"/>
              </w:rPr>
              <w:t xml:space="preserve">an </w:t>
            </w:r>
            <w:r w:rsidRPr="005012ED">
              <w:rPr>
                <w:rFonts w:cs="Segoe UI"/>
                <w:sz w:val="17"/>
                <w:szCs w:val="17"/>
              </w:rPr>
              <w:t>AI should sp</w:t>
            </w:r>
            <w:r>
              <w:rPr>
                <w:rFonts w:cs="Segoe UI"/>
                <w:sz w:val="17"/>
                <w:szCs w:val="17"/>
              </w:rPr>
              <w:t xml:space="preserve">ecify the column numbers of the </w:t>
            </w:r>
            <w:r w:rsidRPr="005012ED">
              <w:rPr>
                <w:rFonts w:cs="Segoe UI"/>
                <w:sz w:val="17"/>
                <w:szCs w:val="17"/>
              </w:rPr>
              <w:t>instruments in the completed main features template to which the instrument is most immediately subordinate</w:t>
            </w:r>
            <w:r>
              <w:rPr>
                <w:rFonts w:cs="Segoe UI"/>
                <w:sz w:val="17"/>
                <w:szCs w:val="17"/>
              </w:rPr>
              <w:t>.</w:t>
            </w:r>
          </w:p>
          <w:p w:rsidR="00545554" w:rsidRPr="005012ED" w:rsidRDefault="00545554" w:rsidP="00545554">
            <w:pPr>
              <w:jc w:val="both"/>
              <w:rPr>
                <w:rFonts w:cs="Segoe UI"/>
                <w:i/>
                <w:sz w:val="17"/>
                <w:szCs w:val="17"/>
              </w:rPr>
            </w:pPr>
            <w:r w:rsidRPr="005012ED">
              <w:rPr>
                <w:rFonts w:cs="Segoe UI"/>
                <w:i/>
                <w:sz w:val="17"/>
                <w:szCs w:val="17"/>
              </w:rPr>
              <w:t>Free text</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36</w:t>
            </w:r>
          </w:p>
        </w:tc>
        <w:tc>
          <w:tcPr>
            <w:tcW w:w="8728" w:type="dxa"/>
          </w:tcPr>
          <w:p w:rsidR="00545554" w:rsidRPr="005012ED" w:rsidRDefault="00545554" w:rsidP="00545554">
            <w:pPr>
              <w:jc w:val="both"/>
              <w:rPr>
                <w:rFonts w:cs="Segoe UI"/>
                <w:sz w:val="17"/>
                <w:szCs w:val="17"/>
              </w:rPr>
            </w:pPr>
            <w:r>
              <w:rPr>
                <w:rFonts w:cs="Segoe UI"/>
                <w:sz w:val="17"/>
                <w:szCs w:val="17"/>
              </w:rPr>
              <w:t>S</w:t>
            </w:r>
            <w:r w:rsidRPr="005012ED">
              <w:rPr>
                <w:rFonts w:cs="Segoe UI"/>
                <w:sz w:val="17"/>
                <w:szCs w:val="17"/>
              </w:rPr>
              <w:t>pecifies whether there are non-compliant features.</w:t>
            </w:r>
          </w:p>
          <w:p w:rsidR="00545554" w:rsidRPr="005012ED" w:rsidRDefault="00545554" w:rsidP="00545554">
            <w:pPr>
              <w:jc w:val="both"/>
              <w:rPr>
                <w:rFonts w:cs="Segoe UI"/>
                <w:i/>
                <w:sz w:val="17"/>
                <w:szCs w:val="17"/>
              </w:rPr>
            </w:pPr>
            <w:r w:rsidRPr="005012ED">
              <w:rPr>
                <w:rFonts w:cs="Segoe UI"/>
                <w:i/>
                <w:sz w:val="17"/>
                <w:szCs w:val="17"/>
              </w:rPr>
              <w:t>Enter: [Yes] [No]</w:t>
            </w:r>
          </w:p>
        </w:tc>
      </w:tr>
      <w:tr w:rsidR="00545554" w:rsidRPr="00813FAB" w:rsidTr="00545554">
        <w:tc>
          <w:tcPr>
            <w:tcW w:w="486" w:type="dxa"/>
          </w:tcPr>
          <w:p w:rsidR="00545554" w:rsidRPr="00813FAB" w:rsidRDefault="00545554" w:rsidP="00545554">
            <w:pPr>
              <w:rPr>
                <w:rFonts w:cs="Segoe UI"/>
                <w:sz w:val="17"/>
                <w:szCs w:val="17"/>
              </w:rPr>
            </w:pPr>
            <w:r w:rsidRPr="00813FAB">
              <w:rPr>
                <w:rFonts w:cs="Segoe UI"/>
                <w:sz w:val="17"/>
                <w:szCs w:val="17"/>
              </w:rPr>
              <w:t>37</w:t>
            </w:r>
          </w:p>
        </w:tc>
        <w:tc>
          <w:tcPr>
            <w:tcW w:w="8728" w:type="dxa"/>
          </w:tcPr>
          <w:p w:rsidR="00545554" w:rsidRPr="005012ED" w:rsidRDefault="00545554" w:rsidP="00545554">
            <w:pPr>
              <w:jc w:val="both"/>
              <w:rPr>
                <w:rFonts w:cs="Segoe UI"/>
                <w:sz w:val="17"/>
                <w:szCs w:val="17"/>
              </w:rPr>
            </w:pPr>
            <w:r>
              <w:rPr>
                <w:rFonts w:cs="Segoe UI"/>
                <w:sz w:val="17"/>
                <w:szCs w:val="17"/>
              </w:rPr>
              <w:t>I</w:t>
            </w:r>
            <w:r w:rsidRPr="005012ED">
              <w:rPr>
                <w:rFonts w:cs="Segoe UI"/>
                <w:sz w:val="17"/>
                <w:szCs w:val="17"/>
              </w:rPr>
              <w:t xml:space="preserve">f there are non-compliant features, </w:t>
            </w:r>
            <w:r>
              <w:rPr>
                <w:rFonts w:cs="Segoe UI"/>
                <w:sz w:val="17"/>
                <w:szCs w:val="17"/>
              </w:rPr>
              <w:t xml:space="preserve">an </w:t>
            </w:r>
            <w:r w:rsidRPr="005012ED">
              <w:rPr>
                <w:rFonts w:cs="Segoe UI"/>
                <w:sz w:val="17"/>
                <w:szCs w:val="17"/>
              </w:rPr>
              <w:t xml:space="preserve">AI </w:t>
            </w:r>
            <w:r>
              <w:rPr>
                <w:rFonts w:cs="Segoe UI"/>
                <w:sz w:val="17"/>
                <w:szCs w:val="17"/>
              </w:rPr>
              <w:t>should</w:t>
            </w:r>
            <w:r w:rsidRPr="005012ED">
              <w:rPr>
                <w:rFonts w:cs="Segoe UI"/>
                <w:sz w:val="17"/>
                <w:szCs w:val="17"/>
              </w:rPr>
              <w:t xml:space="preserve"> identify them</w:t>
            </w:r>
            <w:r>
              <w:rPr>
                <w:rFonts w:cs="Segoe UI"/>
                <w:sz w:val="17"/>
                <w:szCs w:val="17"/>
              </w:rPr>
              <w:t>.</w:t>
            </w:r>
          </w:p>
          <w:p w:rsidR="00545554" w:rsidRPr="005012ED" w:rsidRDefault="00545554" w:rsidP="00545554">
            <w:pPr>
              <w:jc w:val="both"/>
              <w:rPr>
                <w:rFonts w:cs="Segoe UI"/>
                <w:i/>
                <w:sz w:val="17"/>
                <w:szCs w:val="17"/>
              </w:rPr>
            </w:pPr>
            <w:r w:rsidRPr="005012ED">
              <w:rPr>
                <w:rFonts w:cs="Segoe UI"/>
                <w:i/>
                <w:sz w:val="17"/>
                <w:szCs w:val="17"/>
              </w:rPr>
              <w:t>Free text</w:t>
            </w:r>
          </w:p>
        </w:tc>
      </w:tr>
    </w:tbl>
    <w:p w:rsidR="00545554" w:rsidRPr="00297195" w:rsidRDefault="00545554" w:rsidP="00545554">
      <w:pPr>
        <w:ind w:leftChars="-283" w:left="-566"/>
      </w:pPr>
    </w:p>
    <w:p w:rsidR="00545554" w:rsidRDefault="00545554" w:rsidP="003F0A7B">
      <w:pPr>
        <w:pStyle w:val="Heading1"/>
        <w:tabs>
          <w:tab w:val="clear" w:pos="794"/>
          <w:tab w:val="left" w:pos="426"/>
        </w:tabs>
        <w:spacing w:before="0"/>
        <w:ind w:leftChars="-283" w:left="-566"/>
        <w:sectPr w:rsidR="00545554" w:rsidSect="000D4EB4">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276" w:left="1800" w:header="851" w:footer="992" w:gutter="0"/>
          <w:cols w:space="425"/>
          <w:docGrid w:type="lines" w:linePitch="360"/>
        </w:sectPr>
      </w:pPr>
    </w:p>
    <w:p w:rsidR="00545554" w:rsidRPr="00844CB5" w:rsidRDefault="00545554" w:rsidP="00844CB5">
      <w:pPr>
        <w:keepNext/>
        <w:keepLines/>
        <w:tabs>
          <w:tab w:val="left" w:pos="426"/>
        </w:tabs>
        <w:spacing w:after="360"/>
        <w:ind w:leftChars="-283" w:left="-566" w:rightChars="-142" w:right="-284"/>
        <w:outlineLvl w:val="0"/>
        <w:rPr>
          <w:color w:val="984806" w:themeColor="accent6" w:themeShade="80"/>
          <w:sz w:val="28"/>
          <w:szCs w:val="28"/>
        </w:rPr>
      </w:pPr>
      <w:r w:rsidRPr="00844CB5">
        <w:rPr>
          <w:color w:val="984806" w:themeColor="accent6" w:themeShade="80"/>
          <w:sz w:val="28"/>
          <w:szCs w:val="28"/>
        </w:rPr>
        <w:lastRenderedPageBreak/>
        <w:t xml:space="preserve">Part </w:t>
      </w:r>
      <w:r w:rsidR="00844CB5" w:rsidRPr="00844CB5">
        <w:rPr>
          <w:color w:val="984806" w:themeColor="accent6" w:themeShade="80"/>
          <w:sz w:val="28"/>
          <w:szCs w:val="28"/>
        </w:rPr>
        <w:t>IIB</w:t>
      </w:r>
      <w:r w:rsidRPr="00844CB5">
        <w:rPr>
          <w:color w:val="984806" w:themeColor="accent6" w:themeShade="80"/>
          <w:sz w:val="28"/>
          <w:szCs w:val="28"/>
        </w:rPr>
        <w:t>:</w:t>
      </w:r>
      <w:r w:rsidRPr="00844CB5">
        <w:rPr>
          <w:color w:val="984806" w:themeColor="accent6" w:themeShade="80"/>
          <w:sz w:val="28"/>
          <w:szCs w:val="28"/>
        </w:rPr>
        <w:tab/>
        <w:t>Macroprudential supervisory measures</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F4304E">
            <w:pPr>
              <w:spacing w:before="40" w:after="40"/>
              <w:jc w:val="both"/>
              <w:rPr>
                <w:noProof/>
                <w:sz w:val="17"/>
                <w:lang w:eastAsia="en-GB"/>
              </w:rPr>
            </w:pPr>
            <w:r w:rsidRPr="0023654F">
              <w:rPr>
                <w:sz w:val="22"/>
              </w:rPr>
              <w:t xml:space="preserve">Template </w:t>
            </w:r>
            <w:r>
              <w:rPr>
                <w:sz w:val="22"/>
              </w:rPr>
              <w:t>GSIB1</w:t>
            </w:r>
            <w:r w:rsidRPr="0023654F">
              <w:rPr>
                <w:sz w:val="22"/>
              </w:rPr>
              <w:t xml:space="preserve">: </w:t>
            </w:r>
            <w:r>
              <w:rPr>
                <w:sz w:val="22"/>
              </w:rPr>
              <w:t>G-SIB indicators</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E4585F" w:rsidRDefault="00545554" w:rsidP="00545554">
            <w:pPr>
              <w:spacing w:before="40" w:after="40"/>
              <w:jc w:val="both"/>
              <w:rPr>
                <w:sz w:val="17"/>
                <w:szCs w:val="17"/>
              </w:rPr>
            </w:pPr>
            <w:bookmarkStart w:id="8" w:name="_Toc404082833"/>
            <w:r w:rsidRPr="00025AEC">
              <w:rPr>
                <w:rFonts w:eastAsiaTheme="minorEastAsia"/>
                <w:sz w:val="17"/>
                <w:lang w:eastAsia="en-GB"/>
              </w:rPr>
              <w:t xml:space="preserve">To </w:t>
            </w:r>
            <w:r>
              <w:rPr>
                <w:rFonts w:eastAsiaTheme="minorEastAsia"/>
                <w:sz w:val="17"/>
                <w:lang w:eastAsia="en-GB"/>
              </w:rPr>
              <w:t>p</w:t>
            </w:r>
            <w:r>
              <w:rPr>
                <w:sz w:val="17"/>
                <w:szCs w:val="17"/>
              </w:rPr>
              <w:t>rovide an overview of the indicators regarding G-SIBs.</w:t>
            </w:r>
            <w:bookmarkEnd w:id="8"/>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672214" w:rsidRDefault="00545554" w:rsidP="00545554">
            <w:pPr>
              <w:spacing w:before="40" w:after="40"/>
              <w:jc w:val="both"/>
              <w:rPr>
                <w:sz w:val="17"/>
                <w:szCs w:val="17"/>
              </w:rPr>
            </w:pPr>
            <w:r w:rsidRPr="0023654F">
              <w:rPr>
                <w:rFonts w:eastAsiaTheme="minorEastAsia"/>
                <w:sz w:val="17"/>
                <w:lang w:eastAsia="en-GB"/>
              </w:rPr>
              <w:t xml:space="preserve">The template is mandatory for </w:t>
            </w:r>
            <w:r>
              <w:rPr>
                <w:rFonts w:eastAsiaTheme="minorEastAsia"/>
                <w:sz w:val="17"/>
                <w:lang w:eastAsia="en-GB"/>
              </w:rPr>
              <w:t>AI</w:t>
            </w:r>
            <w:r w:rsidRPr="0023654F">
              <w:rPr>
                <w:rFonts w:eastAsiaTheme="minorEastAsia"/>
                <w:sz w:val="17"/>
                <w:lang w:eastAsia="en-GB"/>
              </w:rPr>
              <w:t xml:space="preserve">s </w:t>
            </w:r>
            <w:r>
              <w:rPr>
                <w:rFonts w:eastAsiaTheme="minorEastAsia"/>
                <w:sz w:val="17"/>
                <w:lang w:eastAsia="en-GB"/>
              </w:rPr>
              <w:t xml:space="preserve">incorporated in Hong Kong </w:t>
            </w:r>
            <w:r>
              <w:rPr>
                <w:sz w:val="17"/>
                <w:szCs w:val="17"/>
              </w:rPr>
              <w:t>which are G-SIBs</w:t>
            </w:r>
            <w:r>
              <w:rPr>
                <w:rStyle w:val="FootnoteReference"/>
                <w:sz w:val="17"/>
                <w:szCs w:val="17"/>
              </w:rPr>
              <w:footnoteReference w:id="3"/>
            </w:r>
            <w:r>
              <w:rPr>
                <w:sz w:val="17"/>
                <w:szCs w:val="17"/>
              </w:rPr>
              <w:t xml:space="preserve"> in the current annual reporting period or in the annual reporting period immediately preceding the current annual reporting period, or otherwise directed by the MA to make such disclosure.  The MA may so direct where an AI or, if applicable, its consolidation group, has a leverage ratio exposure measure exceeding EUR200 billion or equivalent</w:t>
            </w:r>
            <w:r>
              <w:rPr>
                <w:rStyle w:val="FootnoteReference"/>
                <w:sz w:val="17"/>
                <w:szCs w:val="17"/>
              </w:rPr>
              <w:footnoteReference w:id="4"/>
            </w:r>
            <w:r>
              <w:rPr>
                <w:sz w:val="17"/>
                <w:szCs w:val="17"/>
              </w:rPr>
              <w:t xml:space="preserve"> </w:t>
            </w:r>
            <w:r w:rsidRPr="00AA0BB0">
              <w:rPr>
                <w:sz w:val="17"/>
                <w:szCs w:val="17"/>
              </w:rPr>
              <w:t>as at 31 December immediately preceding the current annual reporting period</w:t>
            </w:r>
            <w:r>
              <w:rPr>
                <w:sz w:val="17"/>
                <w:szCs w:val="17"/>
              </w:rPr>
              <w:t>, or the AI is being regarded as capable of having a significant impact on the effective working and stability of the global financial system were it to become non-viable.</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517B07" w:rsidRDefault="00545554" w:rsidP="00545554">
            <w:pPr>
              <w:spacing w:before="40" w:after="40"/>
              <w:jc w:val="both"/>
              <w:rPr>
                <w:sz w:val="17"/>
                <w:szCs w:val="17"/>
              </w:rPr>
            </w:pPr>
            <w:r>
              <w:rPr>
                <w:sz w:val="17"/>
                <w:szCs w:val="17"/>
              </w:rPr>
              <w:t>At least the 12 indicators used in the assessment methodology of the G-SIB framework</w:t>
            </w:r>
            <w:r w:rsidRPr="00517B07">
              <w:rPr>
                <w:sz w:val="17"/>
                <w:szCs w:val="17"/>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517B07" w:rsidRDefault="00545554" w:rsidP="00545554">
            <w:pPr>
              <w:pStyle w:val="TableText"/>
              <w:jc w:val="both"/>
              <w:rPr>
                <w:szCs w:val="17"/>
              </w:rPr>
            </w:pPr>
            <w:r w:rsidRPr="00517B07">
              <w:rPr>
                <w:szCs w:val="17"/>
              </w:rPr>
              <w:t>Annual, o</w:t>
            </w:r>
            <w:r>
              <w:rPr>
                <w:szCs w:val="17"/>
              </w:rPr>
              <w:t xml:space="preserve">r in circumstances when the G-SIB restates figures to reflect final data submitted to the BCBS as considered necessary by the MA or on a voluntary basis. </w:t>
            </w:r>
            <w:r w:rsidRPr="00517B07">
              <w:rPr>
                <w:szCs w:val="17"/>
              </w:rPr>
              <w:t xml:space="preserve"> The MA may allow </w:t>
            </w:r>
            <w:r>
              <w:rPr>
                <w:szCs w:val="17"/>
              </w:rPr>
              <w:t>a</w:t>
            </w:r>
            <w:r w:rsidRPr="00517B07">
              <w:rPr>
                <w:szCs w:val="17"/>
              </w:rPr>
              <w:t xml:space="preserve"> G-SIB whose financial year ends otherwise than on 31 December to report indicator values based on its position as of 31 December, nevertheless t</w:t>
            </w:r>
            <w:r>
              <w:rPr>
                <w:szCs w:val="17"/>
              </w:rPr>
              <w:t>his template should be included in the G-SIB’s annual disclosure statement.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Default="00545554" w:rsidP="00545554">
            <w:pPr>
              <w:pStyle w:val="TableText"/>
              <w:jc w:val="both"/>
              <w:rPr>
                <w:szCs w:val="17"/>
              </w:rPr>
            </w:pPr>
            <w:r>
              <w:rPr>
                <w:lang w:eastAsia="en-GB"/>
              </w:rPr>
              <w:t xml:space="preserve">Flexible.  </w:t>
            </w:r>
            <w:r>
              <w:rPr>
                <w:szCs w:val="17"/>
              </w:rPr>
              <w:t xml:space="preserve">The information disclosed should be fully consistent with the data submitted to the MA for subsequent remittance to the BCBS in the context of its annual data collection exercise for the assessment and identification of G-SIBs. </w:t>
            </w:r>
          </w:p>
          <w:p w:rsidR="00545554" w:rsidRPr="0023654F" w:rsidRDefault="00545554" w:rsidP="00545554">
            <w:pPr>
              <w:pStyle w:val="TableText"/>
              <w:jc w:val="both"/>
              <w:rPr>
                <w:lang w:eastAsia="en-GB"/>
              </w:rPr>
            </w:pPr>
            <w:r>
              <w:rPr>
                <w:szCs w:val="17"/>
              </w:rPr>
              <w:t>The disclosure of each category item should follow the related instructions that the G-SIB uses to report its data to the BCBS’s data hub or as required by the MA.</w:t>
            </w:r>
            <w:r>
              <w:rPr>
                <w:rStyle w:val="FootnoteReference"/>
                <w:szCs w:val="17"/>
              </w:rPr>
              <w:footnoteReference w:id="5"/>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2142EB" w:rsidRDefault="00545554" w:rsidP="00545554">
            <w:pPr>
              <w:spacing w:before="40" w:after="40"/>
              <w:jc w:val="both"/>
              <w:rPr>
                <w:sz w:val="17"/>
                <w:szCs w:val="17"/>
              </w:rPr>
            </w:pPr>
            <w:r>
              <w:rPr>
                <w:sz w:val="17"/>
                <w:szCs w:val="17"/>
              </w:rPr>
              <w:t>A G-SIB</w:t>
            </w:r>
            <w:r w:rsidRPr="002142EB">
              <w:rPr>
                <w:sz w:val="17"/>
                <w:szCs w:val="17"/>
              </w:rPr>
              <w:t xml:space="preserve"> should indicate the annual reference date of the information reported as well as the date of first public disclosure. </w:t>
            </w:r>
            <w:r>
              <w:rPr>
                <w:sz w:val="17"/>
                <w:szCs w:val="17"/>
              </w:rPr>
              <w:t xml:space="preserve"> A</w:t>
            </w:r>
            <w:r w:rsidRPr="002142EB">
              <w:rPr>
                <w:sz w:val="17"/>
                <w:szCs w:val="17"/>
              </w:rPr>
              <w:t xml:space="preserve"> web link to the previous G-SIB assessment exercise </w:t>
            </w:r>
            <w:r>
              <w:rPr>
                <w:sz w:val="17"/>
                <w:szCs w:val="17"/>
              </w:rPr>
              <w:t>should also be included</w:t>
            </w:r>
            <w:r w:rsidRPr="002142EB">
              <w:rPr>
                <w:sz w:val="17"/>
                <w:szCs w:val="17"/>
              </w:rPr>
              <w:t>.</w:t>
            </w:r>
          </w:p>
          <w:p w:rsidR="00545554" w:rsidRPr="002142EB" w:rsidRDefault="00545554" w:rsidP="00545554">
            <w:pPr>
              <w:spacing w:before="40" w:after="40"/>
              <w:jc w:val="both"/>
              <w:rPr>
                <w:sz w:val="17"/>
                <w:szCs w:val="17"/>
              </w:rPr>
            </w:pPr>
            <w:r>
              <w:rPr>
                <w:sz w:val="17"/>
                <w:szCs w:val="17"/>
              </w:rPr>
              <w:t>A G-SIB</w:t>
            </w:r>
            <w:r w:rsidRPr="002142EB">
              <w:rPr>
                <w:sz w:val="17"/>
                <w:szCs w:val="17"/>
              </w:rPr>
              <w:t xml:space="preserve"> </w:t>
            </w:r>
            <w:r>
              <w:rPr>
                <w:sz w:val="17"/>
                <w:szCs w:val="17"/>
              </w:rPr>
              <w:t>should</w:t>
            </w:r>
            <w:r w:rsidRPr="002142EB">
              <w:rPr>
                <w:sz w:val="17"/>
                <w:szCs w:val="17"/>
              </w:rPr>
              <w:t xml:space="preserve"> supplement the template with a narrative commentary to explain any relevant qualitative characteristic deemed necessary for understanding the quantitative data. </w:t>
            </w:r>
            <w:r>
              <w:rPr>
                <w:sz w:val="17"/>
                <w:szCs w:val="17"/>
              </w:rPr>
              <w:t xml:space="preserve"> </w:t>
            </w:r>
            <w:r w:rsidRPr="002142EB">
              <w:rPr>
                <w:sz w:val="17"/>
                <w:szCs w:val="17"/>
              </w:rPr>
              <w:t xml:space="preserve">This information </w:t>
            </w:r>
            <w:r>
              <w:rPr>
                <w:sz w:val="17"/>
                <w:szCs w:val="17"/>
              </w:rPr>
              <w:t>should</w:t>
            </w:r>
            <w:r w:rsidRPr="002142EB">
              <w:rPr>
                <w:sz w:val="17"/>
                <w:szCs w:val="17"/>
              </w:rPr>
              <w:t xml:space="preserve"> include explanations about the use of estimates with a short explanation </w:t>
            </w:r>
            <w:r>
              <w:rPr>
                <w:sz w:val="17"/>
                <w:szCs w:val="17"/>
              </w:rPr>
              <w:t>in relation to</w:t>
            </w:r>
            <w:r w:rsidRPr="002142EB">
              <w:rPr>
                <w:sz w:val="17"/>
                <w:szCs w:val="17"/>
              </w:rPr>
              <w:t xml:space="preserve"> the method used, mergers or modifications of the legal structure of the entity subjected to the reported data, the bucket to which the </w:t>
            </w:r>
            <w:r>
              <w:rPr>
                <w:sz w:val="17"/>
                <w:szCs w:val="17"/>
              </w:rPr>
              <w:t>G-SIB</w:t>
            </w:r>
            <w:r w:rsidRPr="002142EB">
              <w:rPr>
                <w:sz w:val="17"/>
                <w:szCs w:val="17"/>
              </w:rPr>
              <w:t xml:space="preserve"> was allocated and changes in HLA requirements, or reference to the BCBS website for data on denominators, cut</w:t>
            </w:r>
            <w:r>
              <w:rPr>
                <w:sz w:val="17"/>
                <w:szCs w:val="17"/>
              </w:rPr>
              <w:t>-</w:t>
            </w:r>
            <w:r w:rsidRPr="002142EB">
              <w:rPr>
                <w:sz w:val="17"/>
                <w:szCs w:val="17"/>
              </w:rPr>
              <w:t xml:space="preserve">off scores </w:t>
            </w:r>
            <w:r w:rsidRPr="002142EB">
              <w:rPr>
                <w:sz w:val="17"/>
                <w:szCs w:val="17"/>
              </w:rPr>
              <w:lastRenderedPageBreak/>
              <w:t>and buckets.</w:t>
            </w:r>
          </w:p>
          <w:p w:rsidR="00545554" w:rsidRPr="00216B7E" w:rsidRDefault="00545554" w:rsidP="00545554">
            <w:pPr>
              <w:spacing w:before="40" w:after="40"/>
              <w:jc w:val="both"/>
              <w:rPr>
                <w:sz w:val="17"/>
                <w:szCs w:val="17"/>
              </w:rPr>
            </w:pPr>
            <w:r>
              <w:rPr>
                <w:sz w:val="17"/>
                <w:szCs w:val="17"/>
              </w:rPr>
              <w:t>Regardless of whether T</w:t>
            </w:r>
            <w:r w:rsidRPr="002142EB">
              <w:rPr>
                <w:sz w:val="17"/>
                <w:szCs w:val="17"/>
              </w:rPr>
              <w:t xml:space="preserve">emplate GSIB1 is included in the annual Pillar 3 report, a </w:t>
            </w:r>
            <w:r>
              <w:rPr>
                <w:sz w:val="17"/>
                <w:szCs w:val="17"/>
              </w:rPr>
              <w:t>G-SIB</w:t>
            </w:r>
            <w:r w:rsidRPr="002142EB">
              <w:rPr>
                <w:sz w:val="17"/>
                <w:szCs w:val="17"/>
              </w:rPr>
              <w:t xml:space="preserve">’s annual </w:t>
            </w:r>
            <w:r>
              <w:rPr>
                <w:sz w:val="17"/>
                <w:szCs w:val="17"/>
              </w:rPr>
              <w:t>and interim disclosure statements</w:t>
            </w:r>
            <w:r w:rsidRPr="002142EB">
              <w:rPr>
                <w:sz w:val="17"/>
                <w:szCs w:val="17"/>
              </w:rPr>
              <w:t xml:space="preserve"> should include a reference to the website where </w:t>
            </w:r>
            <w:r>
              <w:rPr>
                <w:sz w:val="17"/>
                <w:szCs w:val="17"/>
              </w:rPr>
              <w:t xml:space="preserve">its </w:t>
            </w:r>
            <w:r w:rsidRPr="002142EB">
              <w:rPr>
                <w:sz w:val="17"/>
                <w:szCs w:val="17"/>
              </w:rPr>
              <w:t>current and pre</w:t>
            </w:r>
            <w:r>
              <w:rPr>
                <w:sz w:val="17"/>
                <w:szCs w:val="17"/>
              </w:rPr>
              <w:t>vious disclosures of T</w:t>
            </w:r>
            <w:r w:rsidRPr="002142EB">
              <w:rPr>
                <w:sz w:val="17"/>
                <w:szCs w:val="17"/>
              </w:rPr>
              <w:t xml:space="preserve">emplate GSIB1 </w:t>
            </w:r>
            <w:r>
              <w:rPr>
                <w:sz w:val="17"/>
                <w:szCs w:val="17"/>
              </w:rPr>
              <w:t>are housed</w:t>
            </w:r>
            <w:r w:rsidRPr="002142EB">
              <w:rPr>
                <w:sz w:val="17"/>
                <w:szCs w:val="17"/>
              </w:rPr>
              <w:t>.</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lastRenderedPageBreak/>
              <w:t>Corresponding BDR section:</w:t>
            </w:r>
          </w:p>
        </w:tc>
        <w:tc>
          <w:tcPr>
            <w:tcW w:w="7234" w:type="dxa"/>
          </w:tcPr>
          <w:p w:rsidR="00545554" w:rsidRDefault="00545554" w:rsidP="000F089D">
            <w:pPr>
              <w:pStyle w:val="TableText"/>
              <w:jc w:val="both"/>
              <w:rPr>
                <w:szCs w:val="17"/>
                <w:lang w:eastAsia="en-GB"/>
              </w:rPr>
            </w:pPr>
            <w:r w:rsidRPr="001B530B">
              <w:rPr>
                <w:szCs w:val="17"/>
                <w:lang w:eastAsia="en-GB"/>
              </w:rPr>
              <w:t>16FF</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71"/>
        <w:gridCol w:w="2406"/>
        <w:gridCol w:w="4820"/>
        <w:gridCol w:w="1417"/>
      </w:tblGrid>
      <w:tr w:rsidR="00545554" w:rsidRPr="0023654F" w:rsidTr="00545554">
        <w:trPr>
          <w:cantSplit/>
          <w:trHeight w:val="249"/>
          <w:tblHeader/>
        </w:trPr>
        <w:tc>
          <w:tcPr>
            <w:tcW w:w="571" w:type="dxa"/>
            <w:tcBorders>
              <w:top w:val="nil"/>
              <w:left w:val="nil"/>
              <w:bottom w:val="single" w:sz="4" w:space="0" w:color="auto"/>
              <w:right w:val="nil"/>
            </w:tcBorders>
          </w:tcPr>
          <w:p w:rsidR="00545554" w:rsidRPr="0023654F" w:rsidRDefault="00545554" w:rsidP="00545554">
            <w:pPr>
              <w:pStyle w:val="TableText"/>
              <w:snapToGrid w:val="0"/>
              <w:rPr>
                <w:lang w:eastAsia="en-GB"/>
              </w:rPr>
            </w:pPr>
          </w:p>
        </w:tc>
        <w:tc>
          <w:tcPr>
            <w:tcW w:w="2406" w:type="dxa"/>
            <w:tcBorders>
              <w:top w:val="nil"/>
              <w:left w:val="nil"/>
              <w:bottom w:val="single" w:sz="4" w:space="0" w:color="auto"/>
              <w:right w:val="nil"/>
            </w:tcBorders>
            <w:vAlign w:val="center"/>
          </w:tcPr>
          <w:p w:rsidR="00545554" w:rsidRPr="0023654F" w:rsidRDefault="00545554" w:rsidP="00545554">
            <w:pPr>
              <w:pStyle w:val="TableText"/>
              <w:snapToGrid w:val="0"/>
              <w:rPr>
                <w:lang w:eastAsia="en-GB"/>
              </w:rPr>
            </w:pPr>
          </w:p>
        </w:tc>
        <w:tc>
          <w:tcPr>
            <w:tcW w:w="4820" w:type="dxa"/>
            <w:tcBorders>
              <w:top w:val="nil"/>
              <w:left w:val="nil"/>
              <w:bottom w:val="single" w:sz="4" w:space="0" w:color="auto"/>
              <w:right w:val="single" w:sz="4" w:space="0" w:color="auto"/>
            </w:tcBorders>
            <w:vAlign w:val="center"/>
          </w:tcPr>
          <w:p w:rsidR="00545554" w:rsidRPr="00A31647" w:rsidRDefault="00545554" w:rsidP="00545554">
            <w:pPr>
              <w:pStyle w:val="TableText"/>
              <w:snapToGrid w:val="0"/>
              <w:rPr>
                <w:lang w:eastAsia="en-GB"/>
              </w:rPr>
            </w:pPr>
          </w:p>
        </w:tc>
        <w:tc>
          <w:tcPr>
            <w:tcW w:w="1417" w:type="dxa"/>
            <w:tcBorders>
              <w:top w:val="single" w:sz="4" w:space="0" w:color="auto"/>
              <w:left w:val="single" w:sz="4" w:space="0" w:color="auto"/>
              <w:bottom w:val="single" w:sz="4" w:space="0" w:color="auto"/>
              <w:right w:val="single" w:sz="4" w:space="0" w:color="auto"/>
            </w:tcBorders>
            <w:vAlign w:val="center"/>
          </w:tcPr>
          <w:p w:rsidR="00545554" w:rsidRPr="00701CEA" w:rsidRDefault="00545554" w:rsidP="00545554">
            <w:pPr>
              <w:pStyle w:val="TableText"/>
              <w:snapToGrid w:val="0"/>
              <w:jc w:val="center"/>
              <w:rPr>
                <w:bCs/>
                <w:szCs w:val="17"/>
                <w:lang w:eastAsia="it-IT"/>
              </w:rPr>
            </w:pPr>
            <w:r w:rsidRPr="00701CEA">
              <w:rPr>
                <w:bCs/>
                <w:szCs w:val="17"/>
                <w:lang w:eastAsia="it-IT"/>
              </w:rPr>
              <w:t>(a)</w:t>
            </w:r>
          </w:p>
        </w:tc>
      </w:tr>
      <w:tr w:rsidR="00545554" w:rsidRPr="0023654F" w:rsidTr="00545554">
        <w:trPr>
          <w:cantSplit/>
          <w:tblHeader/>
        </w:trPr>
        <w:tc>
          <w:tcPr>
            <w:tcW w:w="571" w:type="dxa"/>
            <w:tcBorders>
              <w:top w:val="single" w:sz="4" w:space="0" w:color="auto"/>
              <w:left w:val="nil"/>
              <w:bottom w:val="single" w:sz="4" w:space="0" w:color="auto"/>
              <w:right w:val="single" w:sz="4" w:space="0" w:color="auto"/>
            </w:tcBorders>
          </w:tcPr>
          <w:p w:rsidR="00545554" w:rsidRPr="00665E29" w:rsidRDefault="00545554" w:rsidP="00545554">
            <w:pPr>
              <w:pStyle w:val="TableText"/>
              <w:snapToGrid w:val="0"/>
              <w:rPr>
                <w:b/>
                <w:lang w:eastAsia="en-GB"/>
              </w:rPr>
            </w:pPr>
          </w:p>
        </w:tc>
        <w:tc>
          <w:tcPr>
            <w:tcW w:w="2406" w:type="dxa"/>
            <w:tcBorders>
              <w:top w:val="single" w:sz="4" w:space="0" w:color="auto"/>
              <w:left w:val="single" w:sz="4" w:space="0" w:color="auto"/>
              <w:bottom w:val="single" w:sz="4" w:space="0" w:color="auto"/>
              <w:right w:val="single" w:sz="4" w:space="0" w:color="auto"/>
            </w:tcBorders>
          </w:tcPr>
          <w:p w:rsidR="00545554" w:rsidRPr="00665E29" w:rsidRDefault="00545554" w:rsidP="00545554">
            <w:pPr>
              <w:pStyle w:val="TableText"/>
              <w:snapToGrid w:val="0"/>
              <w:rPr>
                <w:b/>
                <w:lang w:eastAsia="en-GB"/>
              </w:rPr>
            </w:pPr>
            <w:r w:rsidRPr="00665E29">
              <w:rPr>
                <w:b/>
                <w:lang w:eastAsia="en-GB"/>
              </w:rPr>
              <w:t>Category</w:t>
            </w:r>
          </w:p>
        </w:tc>
        <w:tc>
          <w:tcPr>
            <w:tcW w:w="4820" w:type="dxa"/>
            <w:tcBorders>
              <w:top w:val="single" w:sz="4" w:space="0" w:color="auto"/>
              <w:left w:val="nil"/>
              <w:bottom w:val="single" w:sz="4" w:space="0" w:color="auto"/>
              <w:right w:val="single" w:sz="4" w:space="0" w:color="auto"/>
            </w:tcBorders>
          </w:tcPr>
          <w:p w:rsidR="00545554" w:rsidRPr="00665E29" w:rsidRDefault="00545554" w:rsidP="00545554">
            <w:pPr>
              <w:pStyle w:val="TableText"/>
              <w:snapToGrid w:val="0"/>
              <w:rPr>
                <w:b/>
                <w:szCs w:val="17"/>
                <w:lang w:val="en-US" w:eastAsia="en-GB"/>
              </w:rPr>
            </w:pPr>
            <w:r w:rsidRPr="00665E29">
              <w:rPr>
                <w:b/>
                <w:szCs w:val="17"/>
                <w:lang w:val="en-US" w:eastAsia="en-GB"/>
              </w:rPr>
              <w:t>Individual indicator</w:t>
            </w:r>
          </w:p>
        </w:tc>
        <w:tc>
          <w:tcPr>
            <w:tcW w:w="1417" w:type="dxa"/>
            <w:tcBorders>
              <w:top w:val="single" w:sz="4" w:space="0" w:color="auto"/>
              <w:left w:val="single" w:sz="4" w:space="0" w:color="auto"/>
              <w:bottom w:val="single" w:sz="4" w:space="0" w:color="auto"/>
              <w:right w:val="single" w:sz="4" w:space="0" w:color="auto"/>
            </w:tcBorders>
          </w:tcPr>
          <w:p w:rsidR="00545554" w:rsidRPr="00665E29" w:rsidRDefault="00545554" w:rsidP="00545554">
            <w:pPr>
              <w:pStyle w:val="TableText"/>
              <w:snapToGrid w:val="0"/>
              <w:jc w:val="center"/>
              <w:rPr>
                <w:b/>
                <w:szCs w:val="17"/>
              </w:rPr>
            </w:pPr>
            <w:r w:rsidRPr="00665E29">
              <w:rPr>
                <w:b/>
                <w:szCs w:val="17"/>
              </w:rPr>
              <w:t>Value</w:t>
            </w:r>
          </w:p>
        </w:tc>
      </w:tr>
      <w:tr w:rsidR="00545554" w:rsidRPr="0023654F" w:rsidTr="00545554">
        <w:trPr>
          <w:cantSplit/>
          <w:tblHeader/>
        </w:trPr>
        <w:tc>
          <w:tcPr>
            <w:tcW w:w="571" w:type="dxa"/>
            <w:tcBorders>
              <w:top w:val="single" w:sz="4" w:space="0" w:color="auto"/>
              <w:left w:val="nil"/>
              <w:bottom w:val="single" w:sz="4" w:space="0" w:color="D9D9D9" w:themeColor="background1" w:themeShade="D9"/>
              <w:right w:val="single" w:sz="4" w:space="0" w:color="auto"/>
            </w:tcBorders>
            <w:shd w:val="clear" w:color="auto" w:fill="auto"/>
          </w:tcPr>
          <w:p w:rsidR="00545554" w:rsidRPr="00911851" w:rsidRDefault="00545554" w:rsidP="00545554">
            <w:pPr>
              <w:pStyle w:val="TableText"/>
              <w:snapToGrid w:val="0"/>
              <w:rPr>
                <w:lang w:eastAsia="en-GB"/>
              </w:rPr>
            </w:pPr>
            <w:r>
              <w:rPr>
                <w:lang w:eastAsia="en-GB"/>
              </w:rPr>
              <w:t>1</w:t>
            </w:r>
          </w:p>
        </w:tc>
        <w:tc>
          <w:tcPr>
            <w:tcW w:w="2406" w:type="dxa"/>
            <w:vMerge w:val="restart"/>
            <w:tcBorders>
              <w:top w:val="single" w:sz="4" w:space="0" w:color="auto"/>
              <w:left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Cross-jurisdictional activities</w:t>
            </w:r>
          </w:p>
        </w:tc>
        <w:tc>
          <w:tcPr>
            <w:tcW w:w="4820" w:type="dxa"/>
            <w:tcBorders>
              <w:top w:val="single"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Cross-jurisdictional claims</w:t>
            </w:r>
          </w:p>
        </w:tc>
        <w:tc>
          <w:tcPr>
            <w:tcW w:w="1417" w:type="dxa"/>
            <w:tcBorders>
              <w:top w:val="single" w:sz="4" w:space="0" w:color="auto"/>
              <w:left w:val="single" w:sz="4" w:space="0" w:color="auto"/>
              <w:bottom w:val="single" w:sz="4" w:space="0" w:color="D9D9D9" w:themeColor="background1" w:themeShade="D9"/>
              <w:right w:val="single" w:sz="4" w:space="0" w:color="auto"/>
            </w:tcBorders>
            <w:shd w:val="clear" w:color="auto" w:fill="auto"/>
            <w:vAlign w:val="center"/>
          </w:tcPr>
          <w:p w:rsidR="00545554" w:rsidRPr="00701CEA" w:rsidRDefault="00545554" w:rsidP="00545554">
            <w:pPr>
              <w:pStyle w:val="TableText"/>
              <w:snapToGrid w:val="0"/>
              <w:rPr>
                <w:szCs w:val="17"/>
                <w:lang w:eastAsia="en-GB"/>
              </w:rPr>
            </w:pPr>
          </w:p>
        </w:tc>
      </w:tr>
      <w:tr w:rsidR="00545554" w:rsidRPr="0023654F" w:rsidTr="00545554">
        <w:trPr>
          <w:cantSplit/>
          <w:tblHeader/>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sidRPr="0023654F">
              <w:rPr>
                <w:lang w:eastAsia="en-GB"/>
              </w:rPr>
              <w:t>2</w:t>
            </w:r>
          </w:p>
        </w:tc>
        <w:tc>
          <w:tcPr>
            <w:tcW w:w="2406" w:type="dxa"/>
            <w:vMerge/>
            <w:tcBorders>
              <w:left w:val="single" w:sz="4" w:space="0" w:color="auto"/>
              <w:bottom w:val="dotted"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Cross-jurisdictional liabilities</w:t>
            </w:r>
          </w:p>
        </w:tc>
        <w:tc>
          <w:tcPr>
            <w:tcW w:w="1417" w:type="dxa"/>
            <w:tcBorders>
              <w:top w:val="single" w:sz="4" w:space="0" w:color="D9D9D9" w:themeColor="background1" w:themeShade="D9"/>
              <w:left w:val="single" w:sz="4" w:space="0" w:color="auto"/>
              <w:bottom w:val="dotted" w:sz="4" w:space="0" w:color="auto"/>
              <w:right w:val="single" w:sz="4" w:space="0" w:color="auto"/>
            </w:tcBorders>
            <w:shd w:val="clear" w:color="auto" w:fill="auto"/>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3</w:t>
            </w:r>
          </w:p>
        </w:tc>
        <w:tc>
          <w:tcPr>
            <w:tcW w:w="2406" w:type="dxa"/>
            <w:tcBorders>
              <w:top w:val="dotted" w:sz="4" w:space="0" w:color="auto"/>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ind w:left="177" w:hangingChars="104" w:hanging="177"/>
              <w:rPr>
                <w:szCs w:val="17"/>
              </w:rPr>
            </w:pPr>
            <w:r>
              <w:rPr>
                <w:szCs w:val="17"/>
              </w:rPr>
              <w:t>Size</w:t>
            </w:r>
          </w:p>
        </w:tc>
        <w:tc>
          <w:tcPr>
            <w:tcW w:w="4820" w:type="dxa"/>
            <w:tcBorders>
              <w:top w:val="dotted" w:sz="4" w:space="0" w:color="auto"/>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Total exposures</w:t>
            </w:r>
          </w:p>
        </w:tc>
        <w:tc>
          <w:tcPr>
            <w:tcW w:w="1417" w:type="dxa"/>
            <w:tcBorders>
              <w:top w:val="dotted" w:sz="4" w:space="0" w:color="auto"/>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4</w:t>
            </w:r>
          </w:p>
        </w:tc>
        <w:tc>
          <w:tcPr>
            <w:tcW w:w="2406" w:type="dxa"/>
            <w:vMerge w:val="restart"/>
            <w:tcBorders>
              <w:top w:val="dotted" w:sz="4" w:space="0" w:color="auto"/>
              <w:left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Interconnectedness with other financial institutions</w:t>
            </w:r>
          </w:p>
        </w:tc>
        <w:tc>
          <w:tcPr>
            <w:tcW w:w="4820"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Intra-financial system assets</w:t>
            </w:r>
          </w:p>
        </w:tc>
        <w:tc>
          <w:tcPr>
            <w:tcW w:w="1417"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5</w:t>
            </w:r>
          </w:p>
        </w:tc>
        <w:tc>
          <w:tcPr>
            <w:tcW w:w="2406" w:type="dxa"/>
            <w:vMerge/>
            <w:tcBorders>
              <w:left w:val="single" w:sz="4" w:space="0" w:color="auto"/>
              <w:right w:val="single" w:sz="4" w:space="0" w:color="auto"/>
            </w:tcBorders>
            <w:shd w:val="clear" w:color="auto" w:fill="auto"/>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Int</w:t>
            </w:r>
            <w:r>
              <w:rPr>
                <w:szCs w:val="17"/>
                <w:lang w:eastAsia="en-GB"/>
              </w:rPr>
              <w:t>ra-financial system liabilities</w:t>
            </w:r>
          </w:p>
        </w:tc>
        <w:tc>
          <w:tcPr>
            <w:tcW w:w="1417"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6</w:t>
            </w:r>
          </w:p>
        </w:tc>
        <w:tc>
          <w:tcPr>
            <w:tcW w:w="2406" w:type="dxa"/>
            <w:vMerge/>
            <w:tcBorders>
              <w:left w:val="single" w:sz="4" w:space="0" w:color="auto"/>
              <w:bottom w:val="dotted" w:sz="4" w:space="0" w:color="auto"/>
              <w:right w:val="single" w:sz="4" w:space="0" w:color="auto"/>
            </w:tcBorders>
            <w:shd w:val="clear" w:color="auto" w:fill="auto"/>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Securities outstanding</w:t>
            </w:r>
          </w:p>
        </w:tc>
        <w:tc>
          <w:tcPr>
            <w:tcW w:w="1417" w:type="dxa"/>
            <w:tcBorders>
              <w:top w:val="single" w:sz="4" w:space="0" w:color="D9D9D9" w:themeColor="background1" w:themeShade="D9"/>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7</w:t>
            </w:r>
          </w:p>
        </w:tc>
        <w:tc>
          <w:tcPr>
            <w:tcW w:w="2406" w:type="dxa"/>
            <w:vMerge w:val="restart"/>
            <w:tcBorders>
              <w:top w:val="dotted" w:sz="4" w:space="0" w:color="auto"/>
              <w:left w:val="single" w:sz="4" w:space="0" w:color="auto"/>
              <w:right w:val="single" w:sz="4" w:space="0" w:color="auto"/>
            </w:tcBorders>
            <w:shd w:val="clear" w:color="auto" w:fill="auto"/>
          </w:tcPr>
          <w:p w:rsidR="00545554" w:rsidRPr="006E517F" w:rsidRDefault="00545554" w:rsidP="00545554">
            <w:pPr>
              <w:pStyle w:val="TableText"/>
              <w:snapToGrid w:val="0"/>
              <w:rPr>
                <w:szCs w:val="17"/>
                <w:lang w:eastAsia="en-GB"/>
              </w:rPr>
            </w:pPr>
            <w:r>
              <w:rPr>
                <w:szCs w:val="17"/>
              </w:rPr>
              <w:t>Substitutability / Financial institution infrastructure</w:t>
            </w:r>
          </w:p>
        </w:tc>
        <w:tc>
          <w:tcPr>
            <w:tcW w:w="4820"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Assets under custody</w:t>
            </w:r>
          </w:p>
        </w:tc>
        <w:tc>
          <w:tcPr>
            <w:tcW w:w="1417"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8</w:t>
            </w:r>
          </w:p>
        </w:tc>
        <w:tc>
          <w:tcPr>
            <w:tcW w:w="2406" w:type="dxa"/>
            <w:vMerge/>
            <w:tcBorders>
              <w:left w:val="single" w:sz="4" w:space="0" w:color="auto"/>
              <w:right w:val="single" w:sz="4" w:space="0" w:color="auto"/>
            </w:tcBorders>
            <w:shd w:val="clear" w:color="auto" w:fill="auto"/>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Payment activity</w:t>
            </w:r>
          </w:p>
        </w:tc>
        <w:tc>
          <w:tcPr>
            <w:tcW w:w="1417"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9</w:t>
            </w:r>
          </w:p>
        </w:tc>
        <w:tc>
          <w:tcPr>
            <w:tcW w:w="2406" w:type="dxa"/>
            <w:vMerge/>
            <w:tcBorders>
              <w:left w:val="single" w:sz="4" w:space="0" w:color="auto"/>
              <w:bottom w:val="dotted" w:sz="4" w:space="0" w:color="auto"/>
              <w:right w:val="single" w:sz="4" w:space="0" w:color="auto"/>
            </w:tcBorders>
            <w:shd w:val="clear" w:color="auto" w:fill="auto"/>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Underwritten transactions in debt and equity markets</w:t>
            </w:r>
          </w:p>
        </w:tc>
        <w:tc>
          <w:tcPr>
            <w:tcW w:w="1417" w:type="dxa"/>
            <w:tcBorders>
              <w:top w:val="single" w:sz="4" w:space="0" w:color="D9D9D9" w:themeColor="background1" w:themeShade="D9"/>
              <w:left w:val="single" w:sz="4" w:space="0" w:color="auto"/>
              <w:bottom w:val="dotted"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10</w:t>
            </w:r>
          </w:p>
        </w:tc>
        <w:tc>
          <w:tcPr>
            <w:tcW w:w="2406" w:type="dxa"/>
            <w:vMerge w:val="restart"/>
            <w:tcBorders>
              <w:top w:val="dotted" w:sz="4" w:space="0" w:color="auto"/>
              <w:left w:val="single" w:sz="4" w:space="0" w:color="auto"/>
              <w:right w:val="single" w:sz="4" w:space="0" w:color="auto"/>
            </w:tcBorders>
            <w:shd w:val="clear" w:color="auto" w:fill="auto"/>
          </w:tcPr>
          <w:p w:rsidR="00545554" w:rsidRDefault="00545554" w:rsidP="00545554">
            <w:pPr>
              <w:pStyle w:val="TableText"/>
              <w:snapToGrid w:val="0"/>
              <w:rPr>
                <w:szCs w:val="17"/>
                <w:lang w:eastAsia="en-GB"/>
              </w:rPr>
            </w:pPr>
            <w:r>
              <w:rPr>
                <w:szCs w:val="17"/>
              </w:rPr>
              <w:t>Complexity</w:t>
            </w:r>
          </w:p>
        </w:tc>
        <w:tc>
          <w:tcPr>
            <w:tcW w:w="4820"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Notional amount of ove</w:t>
            </w:r>
            <w:r>
              <w:rPr>
                <w:szCs w:val="17"/>
                <w:lang w:eastAsia="en-GB"/>
              </w:rPr>
              <w:t>r-the-counter (“OTC”) derivatives</w:t>
            </w:r>
          </w:p>
        </w:tc>
        <w:tc>
          <w:tcPr>
            <w:tcW w:w="1417" w:type="dxa"/>
            <w:tcBorders>
              <w:top w:val="dotted"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11</w:t>
            </w:r>
          </w:p>
        </w:tc>
        <w:tc>
          <w:tcPr>
            <w:tcW w:w="2406" w:type="dxa"/>
            <w:vMerge/>
            <w:tcBorders>
              <w:left w:val="single" w:sz="4" w:space="0" w:color="auto"/>
              <w:right w:val="single" w:sz="4" w:space="0" w:color="auto"/>
            </w:tcBorders>
            <w:shd w:val="clear" w:color="auto" w:fill="auto"/>
          </w:tcPr>
          <w:p w:rsidR="00545554" w:rsidRDefault="00545554" w:rsidP="00545554">
            <w:pPr>
              <w:pStyle w:val="TableText"/>
              <w:snapToGrid w:val="0"/>
              <w:rPr>
                <w:szCs w:val="17"/>
                <w:lang w:eastAsia="en-GB"/>
              </w:rPr>
            </w:pPr>
          </w:p>
        </w:tc>
        <w:tc>
          <w:tcPr>
            <w:tcW w:w="4820"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Level 3 assets</w:t>
            </w:r>
          </w:p>
        </w:tc>
        <w:tc>
          <w:tcPr>
            <w:tcW w:w="1417"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auto"/>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12</w:t>
            </w:r>
          </w:p>
        </w:tc>
        <w:tc>
          <w:tcPr>
            <w:tcW w:w="2406" w:type="dxa"/>
            <w:vMerge/>
            <w:tcBorders>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ind w:left="177" w:hangingChars="104" w:hanging="177"/>
              <w:rPr>
                <w:szCs w:val="17"/>
              </w:rPr>
            </w:pPr>
          </w:p>
        </w:tc>
        <w:tc>
          <w:tcPr>
            <w:tcW w:w="4820"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sidRPr="00920B4B">
              <w:rPr>
                <w:szCs w:val="17"/>
                <w:lang w:eastAsia="en-GB"/>
              </w:rPr>
              <w:t xml:space="preserve">Trading </w:t>
            </w:r>
            <w:r>
              <w:rPr>
                <w:szCs w:val="17"/>
                <w:lang w:eastAsia="en-GB"/>
              </w:rPr>
              <w:t xml:space="preserve">securities </w:t>
            </w:r>
            <w:r w:rsidRPr="00920B4B">
              <w:rPr>
                <w:szCs w:val="17"/>
                <w:lang w:eastAsia="en-GB"/>
              </w:rPr>
              <w:t>and securities</w:t>
            </w:r>
            <w:r>
              <w:rPr>
                <w:szCs w:val="17"/>
                <w:lang w:eastAsia="en-GB"/>
              </w:rPr>
              <w:t xml:space="preserve"> measured at fair value through other comprehensive income</w:t>
            </w:r>
          </w:p>
        </w:tc>
        <w:tc>
          <w:tcPr>
            <w:tcW w:w="1417"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9214"/>
      </w:tblGrid>
      <w:tr w:rsidR="00545554" w:rsidRPr="0072444B" w:rsidTr="00545554">
        <w:trPr>
          <w:tblHeader/>
        </w:trPr>
        <w:tc>
          <w:tcPr>
            <w:tcW w:w="9214" w:type="dxa"/>
            <w:shd w:val="clear" w:color="auto" w:fill="BFBFBF" w:themeFill="background1" w:themeFillShade="BF"/>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t>Explanatory Note</w:t>
            </w:r>
          </w:p>
        </w:tc>
      </w:tr>
      <w:tr w:rsidR="00545554" w:rsidRPr="0072444B" w:rsidTr="00545554">
        <w:trPr>
          <w:trHeight w:val="153"/>
        </w:trPr>
        <w:tc>
          <w:tcPr>
            <w:tcW w:w="9214" w:type="dxa"/>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Pr>
                <w:rFonts w:eastAsiaTheme="minorEastAsia"/>
                <w:b/>
                <w:sz w:val="17"/>
                <w:szCs w:val="17"/>
                <w:lang w:eastAsia="en-GB"/>
              </w:rPr>
              <w:t>Columns &amp; rows</w:t>
            </w:r>
          </w:p>
        </w:tc>
      </w:tr>
      <w:tr w:rsidR="00545554" w:rsidRPr="0072444B" w:rsidTr="00545554">
        <w:tc>
          <w:tcPr>
            <w:tcW w:w="9214" w:type="dxa"/>
          </w:tcPr>
          <w:p w:rsidR="00545554" w:rsidRPr="00EE6AF6" w:rsidRDefault="00545554" w:rsidP="00545554">
            <w:pPr>
              <w:pStyle w:val="TableText"/>
              <w:keepNext/>
              <w:jc w:val="both"/>
              <w:rPr>
                <w:szCs w:val="17"/>
              </w:rPr>
            </w:pPr>
            <w:r>
              <w:rPr>
                <w:szCs w:val="17"/>
              </w:rPr>
              <w:t xml:space="preserve">The </w:t>
            </w:r>
            <w:r w:rsidRPr="00EE6AF6">
              <w:rPr>
                <w:rFonts w:eastAsiaTheme="minorEastAsia" w:cs="Segoe UI"/>
                <w:color w:val="000000"/>
                <w:szCs w:val="17"/>
                <w:lang w:val="en-US" w:eastAsia="zh-TW"/>
              </w:rPr>
              <w:t>template</w:t>
            </w:r>
            <w:r>
              <w:rPr>
                <w:szCs w:val="17"/>
              </w:rPr>
              <w:t xml:space="preserve"> should be completed in accordance with the instructions and definitions for the corresponding rows in force as of the disclosure’s reference date, which is based on the BCBS’s G-SIB identification exercise.  Details could be found in the BIS’s website: </w:t>
            </w:r>
            <w:hyperlink r:id="rId32" w:history="1">
              <w:r w:rsidRPr="00E8213E">
                <w:rPr>
                  <w:rStyle w:val="Hyperlink"/>
                  <w:color w:val="0000FF"/>
                  <w:szCs w:val="17"/>
                </w:rPr>
                <w:t>http://www.bis.org/bcbs/gsib/reporting_instructions.htm</w:t>
              </w:r>
            </w:hyperlink>
            <w:r>
              <w:rPr>
                <w:szCs w:val="17"/>
              </w:rPr>
              <w:t>.</w:t>
            </w:r>
          </w:p>
        </w:tc>
      </w:tr>
    </w:tbl>
    <w:p w:rsidR="00545554" w:rsidRDefault="00545554" w:rsidP="00545554">
      <w:pPr>
        <w:spacing w:before="120" w:after="120"/>
        <w:rPr>
          <w:sz w:val="22"/>
        </w:rPr>
      </w:pPr>
    </w:p>
    <w:p w:rsidR="00545554" w:rsidRDefault="00545554" w:rsidP="003F0A7B">
      <w:pPr>
        <w:pStyle w:val="Heading1"/>
        <w:tabs>
          <w:tab w:val="clear" w:pos="794"/>
          <w:tab w:val="left" w:pos="426"/>
        </w:tabs>
        <w:spacing w:before="0"/>
        <w:ind w:leftChars="-283" w:left="-566"/>
        <w:sectPr w:rsidR="00545554">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CCyB1</w:t>
            </w:r>
            <w:r w:rsidRPr="0023654F">
              <w:rPr>
                <w:sz w:val="22"/>
              </w:rPr>
              <w:t xml:space="preserve">: </w:t>
            </w:r>
            <w:r>
              <w:rPr>
                <w:sz w:val="22"/>
              </w:rPr>
              <w:t xml:space="preserve">Geographical distribution of credit exposures used in </w:t>
            </w:r>
            <w:r w:rsidRPr="00E44D69">
              <w:rPr>
                <w:sz w:val="22"/>
              </w:rPr>
              <w:t>countercyclical capital buffer</w:t>
            </w:r>
            <w:r>
              <w:rPr>
                <w:sz w:val="22"/>
              </w:rPr>
              <w:t xml:space="preserve"> (“CCyB”)</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C979AC" w:rsidRDefault="00545554" w:rsidP="00545554">
            <w:pPr>
              <w:spacing w:before="40" w:after="40"/>
              <w:jc w:val="both"/>
              <w:rPr>
                <w:sz w:val="17"/>
                <w:szCs w:val="17"/>
              </w:rPr>
            </w:pPr>
            <w:r w:rsidRPr="00CF3DCF">
              <w:rPr>
                <w:rFonts w:eastAsia="新細明體"/>
                <w:sz w:val="17"/>
                <w:lang w:eastAsia="en-GB"/>
              </w:rPr>
              <w:t>To p</w:t>
            </w:r>
            <w:r>
              <w:rPr>
                <w:sz w:val="17"/>
                <w:szCs w:val="17"/>
              </w:rPr>
              <w:t>rovide an overview of the geographical distribution of private sector credit exposures relevant for the calculation of an AI’s CCyB ratio.</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CF3DCF" w:rsidRDefault="00545554" w:rsidP="00545554">
            <w:pPr>
              <w:spacing w:before="40" w:after="40"/>
              <w:jc w:val="both"/>
              <w:rPr>
                <w:rFonts w:eastAsia="新細明體"/>
                <w:sz w:val="17"/>
                <w:lang w:eastAsia="en-GB"/>
              </w:rPr>
            </w:pPr>
            <w:r w:rsidRPr="00CF3DCF">
              <w:rPr>
                <w:rFonts w:eastAsia="新細明體"/>
                <w:sz w:val="17"/>
                <w:lang w:eastAsia="en-GB"/>
              </w:rPr>
              <w:t>The template is mandatory for all AIs incorporated in Hong Kong which are subject to a CCyB requirement, based on the jurisdictions to which they have private sector credit exposures subject to a CCyB requirement compliant with the BCBS standards.  Only AIs with exposures to jurisdiction(s) in which the applicable JCCyB ratio is higher than zero should disclose this template.</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CF3DCF" w:rsidRDefault="00545554" w:rsidP="00545554">
            <w:pPr>
              <w:spacing w:before="40" w:after="40"/>
              <w:jc w:val="both"/>
              <w:rPr>
                <w:rFonts w:eastAsia="新細明體"/>
                <w:sz w:val="17"/>
                <w:lang w:eastAsia="en-GB"/>
              </w:rPr>
            </w:pPr>
            <w:r w:rsidRPr="00CF3DCF">
              <w:rPr>
                <w:rFonts w:eastAsia="新細明體"/>
                <w:sz w:val="17"/>
                <w:lang w:eastAsia="en-GB"/>
              </w:rPr>
              <w:t>Private sector credit exposures and other relevant inputs necessary for the computation of the AI’s CCyB ratio.</w:t>
            </w:r>
            <w:r w:rsidRPr="0082631E">
              <w:rPr>
                <w:sz w:val="17"/>
                <w:szCs w:val="17"/>
              </w:rPr>
              <w:t xml:space="preserve">  Where an AI has a reporting date for disclosure (e.g. end-April, end-October) that does not fall on the same position date for the Quarterly Reporting on the Countercyclical Capital Buffer (MA(BS)25) (i.e. end-March, end-June, end-September, end-December), the AI should disclose this template based on its own reporting date.  In such circumstance, the calculation basis of values disclosed in this template should, however, follow the same calculation basis used for the </w:t>
            </w:r>
            <w:r>
              <w:rPr>
                <w:sz w:val="17"/>
                <w:szCs w:val="17"/>
              </w:rPr>
              <w:t>return</w:t>
            </w:r>
            <w:r w:rsidRPr="0082631E">
              <w:rPr>
                <w:sz w:val="17"/>
                <w:szCs w:val="17"/>
              </w:rPr>
              <w:t xml:space="preserve"> reporting.</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CF3DCF" w:rsidRDefault="00545554" w:rsidP="00545554">
            <w:pPr>
              <w:spacing w:before="40" w:after="40"/>
              <w:jc w:val="both"/>
              <w:rPr>
                <w:rFonts w:eastAsia="新細明體"/>
                <w:sz w:val="17"/>
                <w:lang w:eastAsia="en-GB"/>
              </w:rPr>
            </w:pPr>
            <w:r w:rsidRPr="00CF3DCF">
              <w:rPr>
                <w:rFonts w:eastAsia="新細明體"/>
                <w:sz w:val="17"/>
                <w:lang w:eastAsia="en-GB"/>
              </w:rPr>
              <w:t>Semi-annual.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C979AC" w:rsidRDefault="00545554" w:rsidP="00545554">
            <w:pPr>
              <w:spacing w:before="40" w:after="40"/>
              <w:jc w:val="both"/>
              <w:rPr>
                <w:sz w:val="17"/>
                <w:szCs w:val="17"/>
              </w:rPr>
            </w:pPr>
            <w:r w:rsidRPr="00CF3DCF">
              <w:rPr>
                <w:rFonts w:eastAsia="新細明體"/>
                <w:sz w:val="17"/>
                <w:lang w:eastAsia="en-GB"/>
              </w:rPr>
              <w:t xml:space="preserve">Flexible rows 1 to N (to cater for the number of jurisdictions to which the AI has private sector credit exposures and with a non-zero </w:t>
            </w:r>
            <w:r>
              <w:rPr>
                <w:sz w:val="17"/>
                <w:szCs w:val="17"/>
              </w:rPr>
              <w:t>applicable JCCyB ratio)</w:t>
            </w:r>
            <w:r w:rsidRPr="00CF3DCF">
              <w:rPr>
                <w:rFonts w:eastAsia="新細明體"/>
                <w:sz w:val="17"/>
                <w:lang w:eastAsia="en-GB"/>
              </w:rPr>
              <w:t xml:space="preserve">.  Fixed rows N+1, N+2 and columns. </w:t>
            </w:r>
          </w:p>
        </w:tc>
      </w:tr>
      <w:tr w:rsidR="00545554" w:rsidRPr="0023654F" w:rsidTr="00545554">
        <w:tc>
          <w:tcPr>
            <w:tcW w:w="2008" w:type="dxa"/>
          </w:tcPr>
          <w:p w:rsidR="00545554" w:rsidRPr="0023654F" w:rsidRDefault="00545554" w:rsidP="00545554">
            <w:pPr>
              <w:spacing w:before="40" w:after="40"/>
              <w:rPr>
                <w:b/>
                <w:sz w:val="17"/>
                <w:lang w:eastAsia="en-GB"/>
              </w:rPr>
            </w:pPr>
            <w:r w:rsidRPr="00CF3DCF">
              <w:rPr>
                <w:rFonts w:eastAsia="新細明體"/>
                <w:b/>
                <w:sz w:val="17"/>
                <w:szCs w:val="17"/>
                <w:lang w:eastAsia="en-GB"/>
              </w:rPr>
              <w:t>Accompanying narrative</w:t>
            </w:r>
            <w:r w:rsidRPr="00CF3DCF">
              <w:rPr>
                <w:rFonts w:eastAsia="新細明體"/>
                <w:sz w:val="17"/>
                <w:szCs w:val="17"/>
                <w:lang w:eastAsia="en-GB"/>
              </w:rPr>
              <w:t>:</w:t>
            </w:r>
          </w:p>
        </w:tc>
        <w:tc>
          <w:tcPr>
            <w:tcW w:w="7234" w:type="dxa"/>
          </w:tcPr>
          <w:p w:rsidR="00545554" w:rsidRPr="00CF3DCF" w:rsidRDefault="00545554" w:rsidP="00545554">
            <w:pPr>
              <w:spacing w:before="40" w:after="40"/>
              <w:jc w:val="both"/>
              <w:rPr>
                <w:rFonts w:eastAsia="新細明體"/>
                <w:sz w:val="17"/>
                <w:szCs w:val="17"/>
                <w:lang w:val="en-US" w:eastAsia="zh-TW"/>
              </w:rPr>
            </w:pPr>
            <w:r>
              <w:rPr>
                <w:sz w:val="17"/>
                <w:szCs w:val="17"/>
              </w:rPr>
              <w:t>For the purposes of the CCyB, an AI must use, where possible, exposures on an “ultimate risk” basis.  It should disclose the methodology for geographical allocation used, and explain the exceptional jurisdictions or types of exposures for which the ultimate risk method is not used as a basis for allocation.</w:t>
            </w:r>
            <w:r>
              <w:rPr>
                <w:rStyle w:val="FootnoteReference"/>
                <w:sz w:val="17"/>
                <w:szCs w:val="17"/>
              </w:rPr>
              <w:footnoteReference w:id="6"/>
            </w:r>
            <w:r>
              <w:rPr>
                <w:sz w:val="17"/>
                <w:szCs w:val="17"/>
              </w:rPr>
              <w:t xml:space="preserve">  Information about the key drivers for changes in the RWA (or exposure amounts) and the applicable JCCyB ratios should be summarised. </w:t>
            </w:r>
          </w:p>
        </w:tc>
      </w:tr>
      <w:tr w:rsidR="00545554" w:rsidRPr="0023654F" w:rsidTr="00545554">
        <w:tc>
          <w:tcPr>
            <w:tcW w:w="2008" w:type="dxa"/>
          </w:tcPr>
          <w:p w:rsidR="00545554" w:rsidRPr="00CF3DCF" w:rsidRDefault="00545554" w:rsidP="00545554">
            <w:pPr>
              <w:spacing w:before="40" w:after="40"/>
              <w:rPr>
                <w:rFonts w:eastAsia="新細明體"/>
                <w:b/>
                <w:sz w:val="17"/>
                <w:szCs w:val="17"/>
                <w:lang w:eastAsia="en-GB"/>
              </w:rPr>
            </w:pPr>
            <w:r w:rsidRPr="00CF3DCF">
              <w:rPr>
                <w:rFonts w:eastAsia="新細明體"/>
                <w:b/>
                <w:sz w:val="17"/>
                <w:szCs w:val="17"/>
                <w:lang w:eastAsia="en-GB"/>
              </w:rPr>
              <w:t>Corresponding BDR section:</w:t>
            </w:r>
          </w:p>
        </w:tc>
        <w:tc>
          <w:tcPr>
            <w:tcW w:w="7234" w:type="dxa"/>
          </w:tcPr>
          <w:p w:rsidR="00545554" w:rsidRDefault="00545554" w:rsidP="000F089D">
            <w:pPr>
              <w:pStyle w:val="TableText"/>
              <w:jc w:val="both"/>
              <w:rPr>
                <w:szCs w:val="17"/>
                <w:lang w:eastAsia="en-GB"/>
              </w:rPr>
            </w:pPr>
            <w:r w:rsidRPr="001B530B">
              <w:rPr>
                <w:szCs w:val="17"/>
                <w:lang w:eastAsia="en-GB"/>
              </w:rPr>
              <w:t>16FG</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993"/>
        <w:gridCol w:w="2126"/>
        <w:gridCol w:w="1523"/>
        <w:gridCol w:w="1524"/>
        <w:gridCol w:w="1524"/>
        <w:gridCol w:w="1524"/>
      </w:tblGrid>
      <w:tr w:rsidR="00545554" w:rsidRPr="0023654F" w:rsidTr="00545554">
        <w:trPr>
          <w:cantSplit/>
          <w:trHeight w:val="107"/>
          <w:tblHeader/>
        </w:trPr>
        <w:tc>
          <w:tcPr>
            <w:tcW w:w="993" w:type="dxa"/>
            <w:tcBorders>
              <w:top w:val="nil"/>
              <w:left w:val="nil"/>
              <w:bottom w:val="single" w:sz="4" w:space="0" w:color="auto"/>
              <w:right w:val="single" w:sz="4" w:space="0" w:color="auto"/>
            </w:tcBorders>
          </w:tcPr>
          <w:p w:rsidR="00545554" w:rsidRPr="0023654F" w:rsidRDefault="00545554" w:rsidP="00545554">
            <w:pPr>
              <w:pStyle w:val="TableText"/>
              <w:snapToGrid w:val="0"/>
              <w:rPr>
                <w:lang w:eastAsia="en-GB"/>
              </w:rPr>
            </w:pPr>
          </w:p>
        </w:tc>
        <w:tc>
          <w:tcPr>
            <w:tcW w:w="2126" w:type="dxa"/>
            <w:tcBorders>
              <w:top w:val="single" w:sz="4" w:space="0" w:color="auto"/>
              <w:left w:val="single" w:sz="4" w:space="0" w:color="auto"/>
              <w:bottom w:val="single" w:sz="4" w:space="0" w:color="auto"/>
              <w:right w:val="single" w:sz="4" w:space="0" w:color="auto"/>
            </w:tcBorders>
            <w:vAlign w:val="center"/>
          </w:tcPr>
          <w:p w:rsidR="00545554" w:rsidRPr="0085469C" w:rsidRDefault="00545554" w:rsidP="00545554">
            <w:pPr>
              <w:pStyle w:val="TableText"/>
              <w:snapToGrid w:val="0"/>
              <w:rPr>
                <w:bCs/>
                <w:szCs w:val="17"/>
                <w:lang w:eastAsia="it-IT"/>
              </w:rPr>
            </w:pPr>
          </w:p>
        </w:tc>
        <w:tc>
          <w:tcPr>
            <w:tcW w:w="1523" w:type="dxa"/>
            <w:tcBorders>
              <w:top w:val="single" w:sz="4" w:space="0" w:color="auto"/>
              <w:left w:val="single" w:sz="4" w:space="0" w:color="auto"/>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(a)</w:t>
            </w:r>
          </w:p>
        </w:tc>
        <w:tc>
          <w:tcPr>
            <w:tcW w:w="1524" w:type="dxa"/>
            <w:tcBorders>
              <w:top w:val="single" w:sz="4" w:space="0" w:color="auto"/>
              <w:left w:val="nil"/>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w:t>
            </w:r>
            <w:r>
              <w:rPr>
                <w:bCs/>
                <w:sz w:val="17"/>
                <w:szCs w:val="17"/>
                <w:lang w:eastAsia="it-IT"/>
              </w:rPr>
              <w:t>c</w:t>
            </w:r>
            <w:r w:rsidRPr="0085469C">
              <w:rPr>
                <w:bCs/>
                <w:sz w:val="17"/>
                <w:szCs w:val="17"/>
                <w:lang w:eastAsia="it-IT"/>
              </w:rPr>
              <w:t>)</w:t>
            </w:r>
          </w:p>
        </w:tc>
        <w:tc>
          <w:tcPr>
            <w:tcW w:w="1524" w:type="dxa"/>
            <w:tcBorders>
              <w:top w:val="single" w:sz="4" w:space="0" w:color="auto"/>
              <w:left w:val="nil"/>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w:t>
            </w:r>
            <w:r>
              <w:rPr>
                <w:bCs/>
                <w:sz w:val="17"/>
                <w:szCs w:val="17"/>
                <w:lang w:eastAsia="it-IT"/>
              </w:rPr>
              <w:t>d</w:t>
            </w:r>
            <w:r w:rsidRPr="0085469C">
              <w:rPr>
                <w:bCs/>
                <w:sz w:val="17"/>
                <w:szCs w:val="17"/>
                <w:lang w:eastAsia="it-IT"/>
              </w:rPr>
              <w:t>)</w:t>
            </w:r>
          </w:p>
        </w:tc>
        <w:tc>
          <w:tcPr>
            <w:tcW w:w="1524" w:type="dxa"/>
            <w:tcBorders>
              <w:top w:val="single" w:sz="4" w:space="0" w:color="auto"/>
              <w:left w:val="single" w:sz="4" w:space="0" w:color="auto"/>
              <w:bottom w:val="single" w:sz="4" w:space="0" w:color="auto"/>
              <w:right w:val="single" w:sz="4" w:space="0" w:color="auto"/>
            </w:tcBorders>
            <w:vAlign w:val="center"/>
          </w:tcPr>
          <w:p w:rsidR="00545554" w:rsidRPr="0085469C" w:rsidRDefault="00545554" w:rsidP="00545554">
            <w:pPr>
              <w:pStyle w:val="TableText"/>
              <w:spacing w:before="120" w:after="60" w:line="100" w:lineRule="exact"/>
              <w:jc w:val="center"/>
              <w:rPr>
                <w:bCs/>
                <w:szCs w:val="17"/>
                <w:lang w:eastAsia="it-IT"/>
              </w:rPr>
            </w:pPr>
            <w:r w:rsidRPr="0085469C">
              <w:rPr>
                <w:bCs/>
                <w:szCs w:val="17"/>
                <w:lang w:eastAsia="it-IT"/>
              </w:rPr>
              <w:t>(</w:t>
            </w:r>
            <w:r>
              <w:rPr>
                <w:bCs/>
                <w:szCs w:val="17"/>
                <w:lang w:eastAsia="it-IT"/>
              </w:rPr>
              <w:t>e</w:t>
            </w:r>
            <w:r w:rsidRPr="0085469C">
              <w:rPr>
                <w:bCs/>
                <w:szCs w:val="17"/>
                <w:lang w:eastAsia="it-IT"/>
              </w:rPr>
              <w:t>)</w:t>
            </w:r>
          </w:p>
        </w:tc>
      </w:tr>
      <w:tr w:rsidR="00545554" w:rsidRPr="0023654F" w:rsidTr="00545554">
        <w:trPr>
          <w:cantSplit/>
          <w:tblHeader/>
        </w:trPr>
        <w:tc>
          <w:tcPr>
            <w:tcW w:w="993" w:type="dxa"/>
            <w:tcBorders>
              <w:top w:val="single" w:sz="4" w:space="0" w:color="auto"/>
              <w:left w:val="nil"/>
              <w:bottom w:val="single" w:sz="4" w:space="0" w:color="auto"/>
              <w:right w:val="single" w:sz="4" w:space="0" w:color="auto"/>
            </w:tcBorders>
            <w:vAlign w:val="center"/>
          </w:tcPr>
          <w:p w:rsidR="00545554" w:rsidRPr="00665E29" w:rsidRDefault="00545554" w:rsidP="00545554">
            <w:pPr>
              <w:pStyle w:val="TableText"/>
              <w:snapToGrid w:val="0"/>
              <w:jc w:val="center"/>
              <w:rPr>
                <w:b/>
                <w:lang w:eastAsia="en-GB"/>
              </w:rPr>
            </w:pPr>
          </w:p>
        </w:tc>
        <w:tc>
          <w:tcPr>
            <w:tcW w:w="2126" w:type="dxa"/>
            <w:tcBorders>
              <w:top w:val="single" w:sz="4" w:space="0" w:color="auto"/>
              <w:left w:val="single" w:sz="4" w:space="0" w:color="auto"/>
              <w:bottom w:val="single" w:sz="4" w:space="0" w:color="auto"/>
              <w:right w:val="single" w:sz="4" w:space="0" w:color="auto"/>
            </w:tcBorders>
            <w:vAlign w:val="center"/>
          </w:tcPr>
          <w:p w:rsidR="00545554" w:rsidRPr="00961CCB" w:rsidRDefault="00545554" w:rsidP="00545554">
            <w:pPr>
              <w:pStyle w:val="TableText"/>
              <w:snapToGrid w:val="0"/>
              <w:jc w:val="center"/>
              <w:rPr>
                <w:b/>
                <w:lang w:eastAsia="en-GB"/>
              </w:rPr>
            </w:pPr>
            <w:r w:rsidRPr="00961CCB">
              <w:rPr>
                <w:b/>
                <w:lang w:eastAsia="en-GB"/>
              </w:rPr>
              <w:t>Geographical breakdown by Jurisdiction (J)</w:t>
            </w:r>
          </w:p>
        </w:tc>
        <w:tc>
          <w:tcPr>
            <w:tcW w:w="1523"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sidRPr="00961CCB">
              <w:rPr>
                <w:b/>
                <w:szCs w:val="17"/>
                <w:lang w:val="en-US" w:eastAsia="en-GB"/>
              </w:rPr>
              <w:t>Applicable JCCyB ratio in effect (%)</w:t>
            </w:r>
          </w:p>
        </w:tc>
        <w:tc>
          <w:tcPr>
            <w:tcW w:w="1524"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sidRPr="00961CCB">
              <w:rPr>
                <w:b/>
                <w:szCs w:val="17"/>
                <w:lang w:val="en-US" w:eastAsia="en-GB"/>
              </w:rPr>
              <w:t>RWA used in computation of CCyB ratio</w:t>
            </w:r>
          </w:p>
        </w:tc>
        <w:tc>
          <w:tcPr>
            <w:tcW w:w="1524"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Pr>
                <w:b/>
                <w:szCs w:val="17"/>
                <w:lang w:val="en-US" w:eastAsia="en-GB"/>
              </w:rPr>
              <w:t xml:space="preserve">AI-specific </w:t>
            </w:r>
            <w:r w:rsidRPr="00961CCB">
              <w:rPr>
                <w:b/>
                <w:szCs w:val="17"/>
                <w:lang w:val="en-US" w:eastAsia="en-GB"/>
              </w:rPr>
              <w:t>CCyB ratio (%)</w:t>
            </w:r>
          </w:p>
        </w:tc>
        <w:tc>
          <w:tcPr>
            <w:tcW w:w="1524" w:type="dxa"/>
            <w:tcBorders>
              <w:top w:val="single" w:sz="4" w:space="0" w:color="auto"/>
              <w:left w:val="single" w:sz="4" w:space="0" w:color="auto"/>
              <w:bottom w:val="single" w:sz="4" w:space="0" w:color="auto"/>
              <w:right w:val="single" w:sz="4" w:space="0" w:color="auto"/>
            </w:tcBorders>
            <w:vAlign w:val="center"/>
          </w:tcPr>
          <w:p w:rsidR="00545554" w:rsidRPr="00961CCB" w:rsidRDefault="00545554" w:rsidP="00545554">
            <w:pPr>
              <w:pStyle w:val="TableText"/>
              <w:snapToGrid w:val="0"/>
              <w:jc w:val="center"/>
              <w:rPr>
                <w:b/>
                <w:szCs w:val="17"/>
              </w:rPr>
            </w:pPr>
            <w:r w:rsidRPr="00961CCB">
              <w:rPr>
                <w:b/>
                <w:szCs w:val="17"/>
              </w:rPr>
              <w:t>CCyB amount</w:t>
            </w:r>
          </w:p>
        </w:tc>
      </w:tr>
      <w:tr w:rsidR="00545554" w:rsidRPr="0023654F" w:rsidTr="00545554">
        <w:trPr>
          <w:cantSplit/>
        </w:trPr>
        <w:tc>
          <w:tcPr>
            <w:tcW w:w="993" w:type="dxa"/>
            <w:tcBorders>
              <w:top w:val="single" w:sz="4" w:space="0" w:color="auto"/>
              <w:left w:val="nil"/>
              <w:bottom w:val="single" w:sz="4" w:space="0" w:color="D9D9D9"/>
              <w:right w:val="single" w:sz="4" w:space="0" w:color="auto"/>
            </w:tcBorders>
            <w:shd w:val="clear" w:color="auto" w:fill="auto"/>
          </w:tcPr>
          <w:p w:rsidR="00545554" w:rsidRPr="00911851" w:rsidRDefault="00545554" w:rsidP="00545554">
            <w:pPr>
              <w:pStyle w:val="TableText"/>
              <w:snapToGrid w:val="0"/>
              <w:rPr>
                <w:lang w:eastAsia="en-GB"/>
              </w:rPr>
            </w:pPr>
            <w:r>
              <w:rPr>
                <w:lang w:eastAsia="en-GB"/>
              </w:rPr>
              <w:t>1</w:t>
            </w:r>
          </w:p>
        </w:tc>
        <w:tc>
          <w:tcPr>
            <w:tcW w:w="2126" w:type="dxa"/>
            <w:tcBorders>
              <w:top w:val="single" w:sz="4" w:space="0" w:color="auto"/>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Hong Kong SAR</w:t>
            </w:r>
          </w:p>
        </w:tc>
        <w:tc>
          <w:tcPr>
            <w:tcW w:w="1523" w:type="dxa"/>
            <w:tcBorders>
              <w:top w:val="single" w:sz="4" w:space="0" w:color="auto"/>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808080"/>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808080"/>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D9D9D9"/>
              <w:left w:val="nil"/>
              <w:bottom w:val="single" w:sz="4" w:space="0" w:color="D9D9D9"/>
              <w:right w:val="single" w:sz="4" w:space="0" w:color="auto"/>
            </w:tcBorders>
            <w:shd w:val="clear" w:color="auto" w:fill="auto"/>
          </w:tcPr>
          <w:p w:rsidR="00545554" w:rsidRPr="0023654F" w:rsidRDefault="00545554" w:rsidP="00545554">
            <w:pPr>
              <w:pStyle w:val="TableText"/>
              <w:snapToGrid w:val="0"/>
              <w:rPr>
                <w:lang w:eastAsia="en-GB"/>
              </w:rPr>
            </w:pPr>
            <w:r w:rsidRPr="0023654F">
              <w:rPr>
                <w:lang w:eastAsia="en-GB"/>
              </w:rPr>
              <w:t>2</w:t>
            </w:r>
          </w:p>
        </w:tc>
        <w:tc>
          <w:tcPr>
            <w:tcW w:w="2126" w:type="dxa"/>
            <w:tcBorders>
              <w:top w:val="single" w:sz="4" w:space="0" w:color="D9D9D9"/>
              <w:left w:val="single" w:sz="4" w:space="0" w:color="auto"/>
              <w:bottom w:val="single" w:sz="4" w:space="0" w:color="D9D9D9"/>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Mainland China</w:t>
            </w:r>
          </w:p>
        </w:tc>
        <w:tc>
          <w:tcPr>
            <w:tcW w:w="1523"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D9D9D9"/>
              <w:left w:val="nil"/>
              <w:bottom w:val="single" w:sz="4" w:space="0" w:color="D9D9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lastRenderedPageBreak/>
              <w:t>3</w:t>
            </w:r>
          </w:p>
        </w:tc>
        <w:tc>
          <w:tcPr>
            <w:tcW w:w="2126" w:type="dxa"/>
            <w:tcBorders>
              <w:top w:val="single" w:sz="4" w:space="0" w:color="D9D9D9"/>
              <w:left w:val="single" w:sz="4" w:space="0" w:color="auto"/>
              <w:bottom w:val="single" w:sz="4" w:space="0" w:color="D9D9D9"/>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Country / Jurisdiction 3</w:t>
            </w:r>
          </w:p>
        </w:tc>
        <w:tc>
          <w:tcPr>
            <w:tcW w:w="1523"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D9D9D9"/>
              <w:left w:val="nil"/>
              <w:bottom w:val="single" w:sz="4" w:space="0" w:color="D9D9D9"/>
              <w:right w:val="single" w:sz="4" w:space="0" w:color="auto"/>
            </w:tcBorders>
            <w:shd w:val="clear" w:color="auto" w:fill="auto"/>
            <w:vAlign w:val="center"/>
          </w:tcPr>
          <w:p w:rsidR="00545554" w:rsidRPr="0023654F" w:rsidRDefault="00545554" w:rsidP="00545554">
            <w:pPr>
              <w:snapToGrid w:val="0"/>
              <w:contextualSpacing/>
              <w:rPr>
                <w:rFonts w:cs="Segoe UI"/>
                <w:sz w:val="17"/>
                <w:lang w:eastAsia="en-GB"/>
              </w:rPr>
            </w:pPr>
            <w:r w:rsidRPr="0023654F">
              <w:rPr>
                <w:rFonts w:cs="Segoe UI"/>
                <w:sz w:val="17"/>
                <w:lang w:eastAsia="en-GB"/>
              </w:rPr>
              <w:t>⁞</w:t>
            </w:r>
          </w:p>
        </w:tc>
        <w:tc>
          <w:tcPr>
            <w:tcW w:w="2126" w:type="dxa"/>
            <w:tcBorders>
              <w:top w:val="single" w:sz="4" w:space="0" w:color="D9D9D9"/>
              <w:left w:val="single" w:sz="4" w:space="0" w:color="auto"/>
              <w:bottom w:val="single" w:sz="4" w:space="0" w:color="D9D9D9"/>
              <w:right w:val="single" w:sz="4" w:space="0" w:color="auto"/>
            </w:tcBorders>
            <w:shd w:val="clear" w:color="auto" w:fill="auto"/>
            <w:vAlign w:val="center"/>
          </w:tcPr>
          <w:p w:rsidR="00545554" w:rsidRPr="0023654F" w:rsidRDefault="00545554" w:rsidP="00545554">
            <w:pPr>
              <w:snapToGrid w:val="0"/>
              <w:contextualSpacing/>
              <w:rPr>
                <w:rFonts w:cs="Segoe UI"/>
                <w:sz w:val="17"/>
                <w:lang w:eastAsia="en-GB"/>
              </w:rPr>
            </w:pPr>
            <w:r w:rsidRPr="0023654F">
              <w:rPr>
                <w:rFonts w:cs="Segoe UI"/>
                <w:sz w:val="17"/>
                <w:lang w:eastAsia="en-GB"/>
              </w:rPr>
              <w:t xml:space="preserve">⁞ </w:t>
            </w:r>
          </w:p>
        </w:tc>
        <w:tc>
          <w:tcPr>
            <w:tcW w:w="1523"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D9D9D9"/>
              <w:left w:val="single" w:sz="4" w:space="0" w:color="auto"/>
              <w:bottom w:val="single" w:sz="4" w:space="0" w:color="D9D9D9"/>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808080"/>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D9D9D9"/>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r>
              <w:rPr>
                <w:lang w:eastAsia="en-GB"/>
              </w:rPr>
              <w:t>N</w:t>
            </w:r>
          </w:p>
        </w:tc>
        <w:tc>
          <w:tcPr>
            <w:tcW w:w="2126" w:type="dxa"/>
            <w:tcBorders>
              <w:top w:val="single" w:sz="4" w:space="0" w:color="D9D9D9"/>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Country / Jurisdiction N</w:t>
            </w:r>
          </w:p>
        </w:tc>
        <w:tc>
          <w:tcPr>
            <w:tcW w:w="1523" w:type="dxa"/>
            <w:tcBorders>
              <w:top w:val="single" w:sz="4" w:space="0" w:color="D9D9D9"/>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D9D9D9"/>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auto"/>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808080"/>
              <w:left w:val="single" w:sz="4" w:space="0" w:color="auto"/>
              <w:bottom w:val="single" w:sz="4" w:space="0" w:color="auto"/>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auto"/>
              <w:left w:val="nil"/>
              <w:bottom w:val="single" w:sz="4" w:space="0" w:color="auto"/>
              <w:right w:val="single" w:sz="4" w:space="0" w:color="auto"/>
            </w:tcBorders>
            <w:shd w:val="clear" w:color="auto" w:fill="F2F2F2"/>
          </w:tcPr>
          <w:p w:rsidR="00545554" w:rsidRDefault="00545554" w:rsidP="00545554">
            <w:pPr>
              <w:pStyle w:val="TableText"/>
              <w:snapToGrid w:val="0"/>
              <w:rPr>
                <w:lang w:eastAsia="en-GB"/>
              </w:rPr>
            </w:pPr>
            <w:r>
              <w:rPr>
                <w:lang w:eastAsia="en-GB"/>
              </w:rPr>
              <w:t>N+1</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tcPr>
          <w:p w:rsidR="00545554" w:rsidRDefault="00545554" w:rsidP="00545554">
            <w:pPr>
              <w:pStyle w:val="TableText"/>
              <w:snapToGrid w:val="0"/>
              <w:rPr>
                <w:szCs w:val="17"/>
                <w:lang w:eastAsia="en-GB"/>
              </w:rPr>
            </w:pPr>
            <w:r>
              <w:rPr>
                <w:szCs w:val="17"/>
                <w:lang w:eastAsia="en-GB"/>
              </w:rPr>
              <w:t>Sum</w:t>
            </w:r>
          </w:p>
        </w:tc>
        <w:tc>
          <w:tcPr>
            <w:tcW w:w="1523" w:type="dxa"/>
            <w:tcBorders>
              <w:top w:val="single" w:sz="4" w:space="0" w:color="auto"/>
              <w:left w:val="single" w:sz="4" w:space="0" w:color="auto"/>
              <w:bottom w:val="single" w:sz="4" w:space="0" w:color="auto"/>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808080"/>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93" w:type="dxa"/>
            <w:tcBorders>
              <w:top w:val="single" w:sz="4" w:space="0" w:color="auto"/>
              <w:left w:val="nil"/>
              <w:bottom w:val="single" w:sz="4" w:space="0" w:color="auto"/>
              <w:right w:val="single" w:sz="4" w:space="0" w:color="auto"/>
            </w:tcBorders>
            <w:shd w:val="clear" w:color="auto" w:fill="F2F2F2"/>
          </w:tcPr>
          <w:p w:rsidR="00545554" w:rsidRDefault="00545554" w:rsidP="00545554">
            <w:pPr>
              <w:pStyle w:val="TableText"/>
              <w:snapToGrid w:val="0"/>
              <w:rPr>
                <w:lang w:eastAsia="en-GB"/>
              </w:rPr>
            </w:pPr>
            <w:r>
              <w:rPr>
                <w:lang w:eastAsia="en-GB"/>
              </w:rPr>
              <w:t>N+2</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tcPr>
          <w:p w:rsidR="00545554" w:rsidRDefault="00545554" w:rsidP="00545554">
            <w:pPr>
              <w:pStyle w:val="TableText"/>
              <w:snapToGrid w:val="0"/>
              <w:rPr>
                <w:szCs w:val="17"/>
                <w:lang w:eastAsia="en-GB"/>
              </w:rPr>
            </w:pPr>
            <w:r>
              <w:rPr>
                <w:szCs w:val="17"/>
                <w:lang w:eastAsia="en-GB"/>
              </w:rPr>
              <w:t>Total</w:t>
            </w:r>
          </w:p>
        </w:tc>
        <w:tc>
          <w:tcPr>
            <w:tcW w:w="1523" w:type="dxa"/>
            <w:tcBorders>
              <w:top w:val="single" w:sz="4" w:space="0" w:color="auto"/>
              <w:left w:val="single" w:sz="4" w:space="0" w:color="auto"/>
              <w:bottom w:val="single" w:sz="4" w:space="0" w:color="auto"/>
              <w:right w:val="single" w:sz="4" w:space="0" w:color="auto"/>
            </w:tcBorders>
            <w:shd w:val="clear" w:color="auto" w:fill="808080"/>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9214" w:type="dxa"/>
            <w:gridSpan w:val="6"/>
            <w:tcBorders>
              <w:top w:val="single" w:sz="4" w:space="0" w:color="auto"/>
              <w:left w:val="nil"/>
              <w:bottom w:val="single" w:sz="4" w:space="0" w:color="auto"/>
              <w:right w:val="single" w:sz="4" w:space="0" w:color="auto"/>
            </w:tcBorders>
            <w:shd w:val="clear" w:color="auto" w:fill="auto"/>
          </w:tcPr>
          <w:p w:rsidR="00545554" w:rsidRPr="00B529EF" w:rsidRDefault="00545554" w:rsidP="00545554">
            <w:pPr>
              <w:pStyle w:val="TableText"/>
              <w:snapToGrid w:val="0"/>
              <w:spacing w:line="240" w:lineRule="exact"/>
              <w:jc w:val="both"/>
              <w:rPr>
                <w:i/>
                <w:szCs w:val="17"/>
                <w:lang w:eastAsia="it-IT"/>
              </w:rPr>
            </w:pPr>
            <w:r>
              <w:rPr>
                <w:i/>
                <w:szCs w:val="17"/>
                <w:lang w:eastAsia="it-IT"/>
              </w:rPr>
              <w:t>Point to n</w:t>
            </w:r>
            <w:r w:rsidRPr="00B529EF">
              <w:rPr>
                <w:i/>
                <w:szCs w:val="17"/>
                <w:lang w:eastAsia="it-IT"/>
              </w:rPr>
              <w:t>ote:</w:t>
            </w:r>
          </w:p>
          <w:p w:rsidR="00545554" w:rsidRPr="00701CEA" w:rsidRDefault="00545554" w:rsidP="00545554">
            <w:pPr>
              <w:pStyle w:val="TableText"/>
              <w:numPr>
                <w:ilvl w:val="0"/>
                <w:numId w:val="27"/>
              </w:numPr>
              <w:snapToGrid w:val="0"/>
              <w:ind w:left="317" w:hanging="317"/>
              <w:jc w:val="both"/>
              <w:rPr>
                <w:szCs w:val="17"/>
                <w:lang w:eastAsia="en-GB"/>
              </w:rPr>
            </w:pPr>
            <w:r>
              <w:rPr>
                <w:i/>
                <w:szCs w:val="17"/>
                <w:lang w:eastAsia="it-IT"/>
              </w:rPr>
              <w:t xml:space="preserve">no disclosure is required for </w:t>
            </w:r>
            <w:r w:rsidRPr="00B529EF">
              <w:rPr>
                <w:i/>
                <w:szCs w:val="17"/>
                <w:lang w:eastAsia="it-IT"/>
              </w:rPr>
              <w:t>items shaded in dark grey (</w:t>
            </w:r>
            <w:r>
              <w:rPr>
                <w:i/>
                <w:szCs w:val="17"/>
                <w:lang w:eastAsia="it-IT"/>
              </w:rPr>
              <w:t>i.</w:t>
            </w:r>
            <w:r w:rsidRPr="00B529EF">
              <w:rPr>
                <w:i/>
                <w:szCs w:val="17"/>
                <w:lang w:eastAsia="it-IT"/>
              </w:rPr>
              <w:t xml:space="preserve">e. </w:t>
            </w:r>
            <w:r>
              <w:rPr>
                <w:i/>
                <w:szCs w:val="17"/>
                <w:lang w:eastAsia="it-IT"/>
              </w:rPr>
              <w:t xml:space="preserve">column (d) and (e) in rows 3 to N+1, </w:t>
            </w:r>
            <w:r w:rsidRPr="00B529EF">
              <w:rPr>
                <w:i/>
                <w:szCs w:val="17"/>
                <w:lang w:eastAsia="it-IT"/>
              </w:rPr>
              <w:t>cell</w:t>
            </w:r>
            <w:r>
              <w:rPr>
                <w:i/>
                <w:szCs w:val="17"/>
                <w:lang w:eastAsia="it-IT"/>
              </w:rPr>
              <w:t>s</w:t>
            </w:r>
            <w:r w:rsidRPr="00B529EF">
              <w:rPr>
                <w:i/>
                <w:szCs w:val="17"/>
                <w:lang w:eastAsia="it-IT"/>
              </w:rPr>
              <w:t xml:space="preserve"> </w:t>
            </w:r>
            <w:r>
              <w:rPr>
                <w:i/>
                <w:szCs w:val="17"/>
                <w:lang w:eastAsia="it-IT"/>
              </w:rPr>
              <w:t>N+1</w:t>
            </w:r>
            <w:r w:rsidRPr="00B529EF">
              <w:rPr>
                <w:i/>
                <w:szCs w:val="17"/>
                <w:lang w:eastAsia="it-IT"/>
              </w:rPr>
              <w:t>/a</w:t>
            </w:r>
            <w:r>
              <w:rPr>
                <w:i/>
                <w:szCs w:val="17"/>
                <w:lang w:eastAsia="it-IT"/>
              </w:rPr>
              <w:t xml:space="preserve"> and N+2/a</w:t>
            </w:r>
            <w:r w:rsidRPr="00B529EF">
              <w:rPr>
                <w:i/>
                <w:szCs w:val="17"/>
                <w:lang w:eastAsia="it-IT"/>
              </w:rPr>
              <w:t>).</w:t>
            </w:r>
          </w:p>
        </w:tc>
      </w:tr>
    </w:tbl>
    <w:p w:rsidR="00545554" w:rsidRDefault="00545554" w:rsidP="00545554">
      <w:pPr>
        <w:spacing w:before="120" w:after="120"/>
        <w:ind w:leftChars="-283" w:left="-566"/>
        <w:rPr>
          <w:sz w:val="22"/>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8221"/>
      </w:tblGrid>
      <w:tr w:rsidR="00545554" w:rsidRPr="00280717" w:rsidTr="00545554">
        <w:trPr>
          <w:tblHeader/>
        </w:trPr>
        <w:tc>
          <w:tcPr>
            <w:tcW w:w="9214" w:type="dxa"/>
            <w:gridSpan w:val="2"/>
            <w:shd w:val="clear" w:color="auto" w:fill="BFBFBF"/>
          </w:tcPr>
          <w:p w:rsidR="00545554" w:rsidRPr="00CF3DCF" w:rsidRDefault="00545554" w:rsidP="00545554">
            <w:pPr>
              <w:spacing w:before="40" w:after="40"/>
              <w:jc w:val="both"/>
              <w:rPr>
                <w:rFonts w:eastAsia="新細明體"/>
                <w:b/>
                <w:sz w:val="17"/>
                <w:szCs w:val="17"/>
                <w:lang w:eastAsia="en-GB"/>
              </w:rPr>
            </w:pPr>
            <w:r w:rsidRPr="00CF3DCF">
              <w:rPr>
                <w:rFonts w:eastAsia="新細明體"/>
                <w:b/>
                <w:sz w:val="17"/>
                <w:szCs w:val="17"/>
                <w:lang w:eastAsia="en-GB"/>
              </w:rPr>
              <w:t>Explanatory Note</w:t>
            </w:r>
          </w:p>
        </w:tc>
      </w:tr>
      <w:tr w:rsidR="00545554" w:rsidRPr="00280717" w:rsidTr="00545554">
        <w:trPr>
          <w:trHeight w:val="153"/>
        </w:trPr>
        <w:tc>
          <w:tcPr>
            <w:tcW w:w="9214" w:type="dxa"/>
            <w:gridSpan w:val="2"/>
            <w:shd w:val="clear" w:color="auto" w:fill="F2F2F2"/>
          </w:tcPr>
          <w:p w:rsidR="00545554" w:rsidRPr="00CF3DCF" w:rsidRDefault="00545554" w:rsidP="00147BF3">
            <w:pPr>
              <w:spacing w:before="40" w:after="40"/>
              <w:jc w:val="both"/>
              <w:rPr>
                <w:rFonts w:eastAsia="新細明體"/>
                <w:b/>
                <w:sz w:val="17"/>
                <w:szCs w:val="17"/>
                <w:lang w:eastAsia="en-GB"/>
              </w:rPr>
            </w:pPr>
            <w:r w:rsidRPr="00CF3DCF">
              <w:rPr>
                <w:rFonts w:eastAsia="新細明體"/>
                <w:b/>
                <w:sz w:val="17"/>
                <w:szCs w:val="17"/>
                <w:lang w:eastAsia="en-GB"/>
              </w:rPr>
              <w:t>Columns</w:t>
            </w:r>
          </w:p>
        </w:tc>
      </w:tr>
      <w:tr w:rsidR="00545554" w:rsidRPr="00A539ED" w:rsidTr="00545554">
        <w:tc>
          <w:tcPr>
            <w:tcW w:w="993" w:type="dxa"/>
            <w:shd w:val="clear" w:color="auto" w:fill="auto"/>
          </w:tcPr>
          <w:p w:rsidR="00545554" w:rsidRPr="00CF3DCF" w:rsidRDefault="00545554" w:rsidP="00545554">
            <w:pPr>
              <w:keepLines/>
              <w:widowControl w:val="0"/>
              <w:tabs>
                <w:tab w:val="left" w:pos="150"/>
                <w:tab w:val="left" w:pos="397"/>
                <w:tab w:val="left" w:pos="1191"/>
              </w:tabs>
              <w:spacing w:before="40" w:after="40"/>
              <w:ind w:rightChars="-54" w:right="-108"/>
              <w:rPr>
                <w:rFonts w:cs="Segoe UI"/>
                <w:sz w:val="17"/>
                <w:szCs w:val="17"/>
                <w:lang w:eastAsia="en-GB"/>
              </w:rPr>
            </w:pPr>
            <w:r w:rsidRPr="00CF3DCF">
              <w:rPr>
                <w:rFonts w:cs="Segoe UI"/>
                <w:sz w:val="17"/>
                <w:szCs w:val="17"/>
                <w:lang w:eastAsia="en-GB"/>
              </w:rPr>
              <w:t>Jurisdiction (J)</w:t>
            </w:r>
          </w:p>
        </w:tc>
        <w:tc>
          <w:tcPr>
            <w:tcW w:w="8221" w:type="dxa"/>
            <w:shd w:val="clear" w:color="auto" w:fill="auto"/>
          </w:tcPr>
          <w:p w:rsidR="0028410F" w:rsidRPr="001F229B" w:rsidRDefault="00545554" w:rsidP="00147BF3">
            <w:pPr>
              <w:pStyle w:val="TableText"/>
              <w:keepNext/>
              <w:jc w:val="both"/>
              <w:rPr>
                <w:szCs w:val="17"/>
              </w:rPr>
            </w:pPr>
            <w:r w:rsidRPr="00CF3DCF">
              <w:rPr>
                <w:szCs w:val="17"/>
              </w:rPr>
              <w:t xml:space="preserve">Report in this column names of jurisdictions in which the AI has private sector credit exposures (as defined in the BCR </w:t>
            </w:r>
            <w:r w:rsidRPr="00CF3DCF">
              <w:rPr>
                <w:rFonts w:cs="Segoe UI"/>
                <w:szCs w:val="17"/>
              </w:rPr>
              <w:t>§</w:t>
            </w:r>
            <w:r w:rsidRPr="00CF3DCF">
              <w:rPr>
                <w:szCs w:val="17"/>
              </w:rPr>
              <w:t xml:space="preserve">3N), </w:t>
            </w:r>
            <w:r>
              <w:rPr>
                <w:szCs w:val="17"/>
              </w:rPr>
              <w:t xml:space="preserve">and </w:t>
            </w:r>
            <w:r w:rsidRPr="00147BF3">
              <w:rPr>
                <w:szCs w:val="17"/>
              </w:rPr>
              <w:t>which has an applicable JCCyB ratio (within the meaning of the BCR) greater than zero as of the end date of the reporting period</w:t>
            </w:r>
            <w:r w:rsidR="00147BF3">
              <w:rPr>
                <w:szCs w:val="17"/>
              </w:rPr>
              <w:t>.</w:t>
            </w:r>
            <w:r>
              <w:rPr>
                <w:szCs w:val="17"/>
              </w:rPr>
              <w:t xml:space="preserve">  An AI should report </w:t>
            </w:r>
            <w:r w:rsidRPr="00CF3DCF">
              <w:rPr>
                <w:szCs w:val="17"/>
              </w:rPr>
              <w:t>one jurisdiction for each row, beginning with Hong Kong SAR (row 1), followed by Mainland China (row 2), then by all other jurisdictions in alphabetical order.</w:t>
            </w:r>
          </w:p>
        </w:tc>
      </w:tr>
      <w:tr w:rsidR="00545554" w:rsidRPr="00A539ED" w:rsidTr="00545554">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CF3DCF">
              <w:rPr>
                <w:rFonts w:cs="Segoe UI"/>
                <w:sz w:val="17"/>
                <w:szCs w:val="17"/>
                <w:lang w:eastAsia="en-GB"/>
              </w:rPr>
              <w:t>(a)</w:t>
            </w:r>
          </w:p>
        </w:tc>
        <w:tc>
          <w:tcPr>
            <w:tcW w:w="8221" w:type="dxa"/>
            <w:shd w:val="clear" w:color="auto" w:fill="auto"/>
          </w:tcPr>
          <w:p w:rsidR="0028410F" w:rsidRPr="00CF3DCF" w:rsidRDefault="00545554" w:rsidP="00545554">
            <w:pPr>
              <w:pStyle w:val="TableText"/>
              <w:keepNext/>
              <w:jc w:val="both"/>
              <w:rPr>
                <w:szCs w:val="17"/>
              </w:rPr>
            </w:pPr>
            <w:r w:rsidRPr="00CF3DCF">
              <w:rPr>
                <w:i/>
                <w:szCs w:val="17"/>
                <w:lang w:val="en-US" w:eastAsia="en-GB"/>
              </w:rPr>
              <w:t>Applicable JCCyB ratio in effect (%)</w:t>
            </w:r>
            <w:r w:rsidRPr="00CF3DCF">
              <w:rPr>
                <w:szCs w:val="17"/>
                <w:lang w:val="en-US" w:eastAsia="en-GB"/>
              </w:rPr>
              <w:t>:</w:t>
            </w:r>
            <w:r w:rsidRPr="00CF3DCF">
              <w:rPr>
                <w:b/>
                <w:szCs w:val="17"/>
                <w:lang w:val="en-US" w:eastAsia="en-GB"/>
              </w:rPr>
              <w:t xml:space="preserve"> </w:t>
            </w:r>
            <w:r w:rsidRPr="00CF3DCF">
              <w:rPr>
                <w:szCs w:val="17"/>
              </w:rPr>
              <w:t xml:space="preserve">report in each row of this column the applicable JCCyB ratio in respect of each relevant jurisdiction named in the </w:t>
            </w:r>
            <w:r w:rsidRPr="00CF3DCF">
              <w:rPr>
                <w:rFonts w:hint="eastAsia"/>
                <w:szCs w:val="17"/>
              </w:rPr>
              <w:t>“</w:t>
            </w:r>
            <w:r w:rsidRPr="00CF3DCF">
              <w:rPr>
                <w:szCs w:val="17"/>
              </w:rPr>
              <w:t>Jurisdiction (J)” column</w:t>
            </w:r>
            <w:r>
              <w:rPr>
                <w:szCs w:val="17"/>
              </w:rPr>
              <w:t>.</w:t>
            </w:r>
            <w:r w:rsidRPr="00CF3DCF">
              <w:rPr>
                <w:szCs w:val="17"/>
              </w:rPr>
              <w:t xml:space="preserve">  JCCyB ratios that were set by the relevant national authority, but are not yet applicable in the jurisdiction concerned a</w:t>
            </w:r>
            <w:r>
              <w:rPr>
                <w:szCs w:val="17"/>
              </w:rPr>
              <w:t>s</w:t>
            </w:r>
            <w:r w:rsidRPr="00CF3DCF">
              <w:rPr>
                <w:szCs w:val="17"/>
              </w:rPr>
              <w:t xml:space="preserve"> </w:t>
            </w:r>
            <w:r>
              <w:rPr>
                <w:szCs w:val="17"/>
              </w:rPr>
              <w:t xml:space="preserve">of </w:t>
            </w:r>
            <w:r w:rsidRPr="00CF3DCF">
              <w:rPr>
                <w:szCs w:val="17"/>
              </w:rPr>
              <w:t xml:space="preserve">the </w:t>
            </w:r>
            <w:r>
              <w:rPr>
                <w:szCs w:val="17"/>
              </w:rPr>
              <w:t>reporting</w:t>
            </w:r>
            <w:r w:rsidRPr="00CF3DCF">
              <w:rPr>
                <w:szCs w:val="17"/>
              </w:rPr>
              <w:t xml:space="preserve"> date (pre-announced rates), should not be reported.</w:t>
            </w:r>
          </w:p>
        </w:tc>
      </w:tr>
      <w:tr w:rsidR="00545554" w:rsidRPr="00A539ED" w:rsidTr="00545554">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CF3DCF">
              <w:rPr>
                <w:rFonts w:cs="Segoe UI"/>
                <w:sz w:val="17"/>
                <w:szCs w:val="17"/>
                <w:lang w:eastAsia="en-GB"/>
              </w:rPr>
              <w:t>(c)</w:t>
            </w:r>
          </w:p>
        </w:tc>
        <w:tc>
          <w:tcPr>
            <w:tcW w:w="8221" w:type="dxa"/>
            <w:shd w:val="clear" w:color="auto" w:fill="auto"/>
          </w:tcPr>
          <w:p w:rsidR="0028410F" w:rsidRPr="00310756" w:rsidRDefault="00545554" w:rsidP="00545554">
            <w:pPr>
              <w:pStyle w:val="TableNote"/>
              <w:spacing w:before="40" w:after="40"/>
              <w:rPr>
                <w:sz w:val="17"/>
                <w:szCs w:val="17"/>
              </w:rPr>
            </w:pPr>
            <w:r w:rsidRPr="00CF3DCF">
              <w:rPr>
                <w:i/>
                <w:sz w:val="17"/>
                <w:szCs w:val="17"/>
                <w:lang w:val="en-US" w:eastAsia="en-GB"/>
              </w:rPr>
              <w:t>RWA used in computation of CCyB ratio</w:t>
            </w:r>
            <w:r w:rsidRPr="00CF3DCF">
              <w:rPr>
                <w:sz w:val="17"/>
                <w:szCs w:val="17"/>
              </w:rPr>
              <w:t xml:space="preserve">: report in rows 1 to N of this column the sum of the RWA for the credit risk and the market risk relating to the AI’s private sector credit exposures to the jurisdiction listed in the </w:t>
            </w:r>
            <w:r w:rsidRPr="00CF3DCF">
              <w:rPr>
                <w:rFonts w:hint="eastAsia"/>
                <w:sz w:val="17"/>
                <w:szCs w:val="17"/>
              </w:rPr>
              <w:t>“</w:t>
            </w:r>
            <w:r w:rsidRPr="00CF3DCF">
              <w:rPr>
                <w:sz w:val="17"/>
                <w:szCs w:val="17"/>
              </w:rPr>
              <w:t xml:space="preserve">Jurisdiction (J)” column, calculated in the manner specified in the BCR </w:t>
            </w:r>
            <w:r w:rsidRPr="00CF3DCF">
              <w:rPr>
                <w:rFonts w:cs="Segoe UI"/>
                <w:sz w:val="17"/>
                <w:szCs w:val="17"/>
              </w:rPr>
              <w:t>§</w:t>
            </w:r>
            <w:r w:rsidRPr="00CF3DCF">
              <w:rPr>
                <w:sz w:val="17"/>
                <w:szCs w:val="17"/>
              </w:rPr>
              <w:t>3O(1) for calculating RWA</w:t>
            </w:r>
            <w:r w:rsidRPr="00CF3DCF">
              <w:rPr>
                <w:sz w:val="14"/>
                <w:szCs w:val="17"/>
              </w:rPr>
              <w:t>j</w:t>
            </w:r>
            <w:r w:rsidRPr="00CF3DCF">
              <w:rPr>
                <w:sz w:val="17"/>
                <w:szCs w:val="17"/>
              </w:rPr>
              <w:t xml:space="preserve">, having regard to the guidance provided in the HKMA’s Supervisory Policy Manual module CA-B-3 </w:t>
            </w:r>
            <w:r w:rsidRPr="00CF3DCF">
              <w:rPr>
                <w:i/>
                <w:sz w:val="17"/>
                <w:szCs w:val="17"/>
              </w:rPr>
              <w:t>Countercyclical Capital Buffer</w:t>
            </w:r>
            <w:r>
              <w:rPr>
                <w:i/>
                <w:sz w:val="17"/>
                <w:szCs w:val="17"/>
              </w:rPr>
              <w:t xml:space="preserve"> </w:t>
            </w:r>
            <w:r w:rsidRPr="00CF3DCF">
              <w:rPr>
                <w:i/>
                <w:sz w:val="17"/>
                <w:szCs w:val="17"/>
              </w:rPr>
              <w:t>– Geographic Allocation of Private Sector Credit Exposures</w:t>
            </w:r>
            <w:r w:rsidRPr="00CF3DCF">
              <w:rPr>
                <w:sz w:val="17"/>
                <w:szCs w:val="17"/>
              </w:rPr>
              <w:t xml:space="preserve"> for the purpose of determining the geographic location of the obligors for its private sector credit exposures.</w:t>
            </w:r>
          </w:p>
        </w:tc>
      </w:tr>
      <w:tr w:rsidR="00545554" w:rsidRPr="0044095C" w:rsidTr="00545554">
        <w:trPr>
          <w:trHeight w:val="373"/>
        </w:trPr>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ind w:rightChars="-54" w:right="-108"/>
              <w:rPr>
                <w:rFonts w:cs="Segoe UI"/>
                <w:sz w:val="17"/>
                <w:szCs w:val="17"/>
                <w:lang w:eastAsia="en-GB"/>
              </w:rPr>
            </w:pPr>
            <w:r w:rsidRPr="00CF3DCF">
              <w:rPr>
                <w:rFonts w:cs="Segoe UI"/>
                <w:sz w:val="17"/>
                <w:szCs w:val="17"/>
                <w:lang w:eastAsia="en-GB"/>
              </w:rPr>
              <w:t>(d)</w:t>
            </w:r>
          </w:p>
        </w:tc>
        <w:tc>
          <w:tcPr>
            <w:tcW w:w="8221" w:type="dxa"/>
            <w:shd w:val="clear" w:color="auto" w:fill="auto"/>
          </w:tcPr>
          <w:p w:rsidR="0028410F" w:rsidRPr="008A499C" w:rsidRDefault="00545554" w:rsidP="00545554">
            <w:pPr>
              <w:keepLines/>
              <w:widowControl w:val="0"/>
              <w:tabs>
                <w:tab w:val="left" w:pos="150"/>
                <w:tab w:val="left" w:pos="397"/>
                <w:tab w:val="left" w:pos="794"/>
                <w:tab w:val="left" w:pos="1191"/>
              </w:tabs>
              <w:spacing w:before="40" w:after="40"/>
              <w:jc w:val="both"/>
              <w:rPr>
                <w:sz w:val="17"/>
                <w:szCs w:val="17"/>
              </w:rPr>
            </w:pPr>
            <w:r w:rsidRPr="008A499C">
              <w:rPr>
                <w:i/>
                <w:sz w:val="17"/>
                <w:szCs w:val="17"/>
                <w:lang w:val="en-US" w:eastAsia="en-GB"/>
              </w:rPr>
              <w:t>AI-specific CCyB ratio (%)</w:t>
            </w:r>
            <w:r w:rsidRPr="008A499C">
              <w:rPr>
                <w:sz w:val="17"/>
                <w:szCs w:val="17"/>
              </w:rPr>
              <w:t xml:space="preserve">: report in </w:t>
            </w:r>
            <w:r>
              <w:rPr>
                <w:sz w:val="17"/>
                <w:szCs w:val="17"/>
              </w:rPr>
              <w:t>[CCyB1:</w:t>
            </w:r>
            <w:r w:rsidRPr="008A499C">
              <w:rPr>
                <w:sz w:val="17"/>
                <w:szCs w:val="17"/>
              </w:rPr>
              <w:t xml:space="preserve"> N+2/d</w:t>
            </w:r>
            <w:r>
              <w:rPr>
                <w:sz w:val="17"/>
                <w:szCs w:val="17"/>
              </w:rPr>
              <w:t>]</w:t>
            </w:r>
            <w:r w:rsidRPr="008A499C">
              <w:rPr>
                <w:sz w:val="17"/>
                <w:szCs w:val="17"/>
              </w:rPr>
              <w:t xml:space="preserve"> the AI’s specific CCyB ratio (expressed as a percentage).  This is equal to the institution-specific CCyB requirement reported in</w:t>
            </w:r>
            <w:r w:rsidR="003A62DE">
              <w:rPr>
                <w:sz w:val="17"/>
                <w:szCs w:val="17"/>
              </w:rPr>
              <w:t xml:space="preserve"> </w:t>
            </w:r>
            <w:r>
              <w:rPr>
                <w:sz w:val="17"/>
                <w:szCs w:val="17"/>
              </w:rPr>
              <w:t>[KM1: 9/a]</w:t>
            </w:r>
            <w:r w:rsidRPr="008A499C">
              <w:rPr>
                <w:sz w:val="17"/>
                <w:szCs w:val="17"/>
              </w:rPr>
              <w:t xml:space="preserve">, and corresponds to the CCyB ratio calculated in the BCR </w:t>
            </w:r>
            <w:r w:rsidRPr="008A499C">
              <w:rPr>
                <w:rFonts w:cs="Segoe UI"/>
                <w:sz w:val="17"/>
                <w:szCs w:val="17"/>
              </w:rPr>
              <w:t>§</w:t>
            </w:r>
            <w:r w:rsidRPr="008A499C">
              <w:rPr>
                <w:sz w:val="17"/>
                <w:szCs w:val="17"/>
              </w:rPr>
              <w:t>3O(1), Formula 1A.</w:t>
            </w:r>
          </w:p>
        </w:tc>
      </w:tr>
      <w:tr w:rsidR="00545554" w:rsidRPr="0044095C" w:rsidTr="00545554">
        <w:trPr>
          <w:trHeight w:val="373"/>
        </w:trPr>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ind w:rightChars="-54" w:right="-108"/>
              <w:rPr>
                <w:rFonts w:cs="Segoe UI"/>
                <w:sz w:val="17"/>
                <w:szCs w:val="17"/>
                <w:lang w:eastAsia="en-GB"/>
              </w:rPr>
            </w:pPr>
            <w:r w:rsidRPr="00CF3DCF">
              <w:rPr>
                <w:rFonts w:cs="Segoe UI"/>
                <w:sz w:val="17"/>
                <w:szCs w:val="17"/>
                <w:lang w:eastAsia="en-GB"/>
              </w:rPr>
              <w:t>(e)</w:t>
            </w:r>
          </w:p>
        </w:tc>
        <w:tc>
          <w:tcPr>
            <w:tcW w:w="8221" w:type="dxa"/>
            <w:shd w:val="clear" w:color="auto" w:fill="auto"/>
          </w:tcPr>
          <w:p w:rsidR="00545554" w:rsidRPr="008A499C" w:rsidRDefault="00545554" w:rsidP="00545554">
            <w:pPr>
              <w:keepLines/>
              <w:widowControl w:val="0"/>
              <w:tabs>
                <w:tab w:val="left" w:pos="150"/>
                <w:tab w:val="left" w:pos="397"/>
                <w:tab w:val="left" w:pos="794"/>
                <w:tab w:val="left" w:pos="1191"/>
              </w:tabs>
              <w:spacing w:before="40" w:after="40"/>
              <w:jc w:val="both"/>
              <w:rPr>
                <w:sz w:val="17"/>
                <w:szCs w:val="17"/>
              </w:rPr>
            </w:pPr>
            <w:r w:rsidRPr="008A499C">
              <w:rPr>
                <w:i/>
                <w:sz w:val="17"/>
                <w:szCs w:val="17"/>
                <w:lang w:val="en-US" w:eastAsia="en-GB"/>
              </w:rPr>
              <w:t>CCyB amount</w:t>
            </w:r>
            <w:r w:rsidRPr="008A499C">
              <w:rPr>
                <w:sz w:val="17"/>
                <w:szCs w:val="17"/>
              </w:rPr>
              <w:t xml:space="preserve">: report in </w:t>
            </w:r>
            <w:r>
              <w:rPr>
                <w:sz w:val="17"/>
                <w:szCs w:val="17"/>
              </w:rPr>
              <w:t>[CCyB1:</w:t>
            </w:r>
            <w:r w:rsidRPr="008A499C">
              <w:rPr>
                <w:sz w:val="17"/>
                <w:szCs w:val="17"/>
              </w:rPr>
              <w:t xml:space="preserve"> N+2/e</w:t>
            </w:r>
            <w:r>
              <w:rPr>
                <w:sz w:val="17"/>
                <w:szCs w:val="17"/>
              </w:rPr>
              <w:t>]</w:t>
            </w:r>
            <w:r w:rsidRPr="008A499C">
              <w:rPr>
                <w:sz w:val="17"/>
                <w:szCs w:val="17"/>
              </w:rPr>
              <w:t xml:space="preserve"> the amount of the AI’s minimum CCyB requirement, calculated as the product of the value in </w:t>
            </w:r>
            <w:r>
              <w:rPr>
                <w:sz w:val="17"/>
                <w:szCs w:val="17"/>
              </w:rPr>
              <w:t>[CCyB1:</w:t>
            </w:r>
            <w:r w:rsidRPr="008A499C">
              <w:rPr>
                <w:sz w:val="17"/>
                <w:szCs w:val="17"/>
              </w:rPr>
              <w:t xml:space="preserve"> N+2/d</w:t>
            </w:r>
            <w:r>
              <w:rPr>
                <w:sz w:val="17"/>
                <w:szCs w:val="17"/>
              </w:rPr>
              <w:t>]</w:t>
            </w:r>
            <w:r w:rsidRPr="008A499C">
              <w:rPr>
                <w:sz w:val="17"/>
                <w:szCs w:val="17"/>
              </w:rPr>
              <w:t xml:space="preserve"> and the AI’s total RWA. </w:t>
            </w:r>
          </w:p>
        </w:tc>
      </w:tr>
      <w:tr w:rsidR="00545554" w:rsidRPr="00A539ED" w:rsidTr="00545554">
        <w:trPr>
          <w:trHeight w:val="373"/>
        </w:trPr>
        <w:tc>
          <w:tcPr>
            <w:tcW w:w="9214" w:type="dxa"/>
            <w:gridSpan w:val="2"/>
            <w:shd w:val="clear" w:color="auto" w:fill="F2F2F2"/>
          </w:tcPr>
          <w:p w:rsidR="00545554" w:rsidRPr="00CF3DCF" w:rsidRDefault="00545554" w:rsidP="00545554">
            <w:pPr>
              <w:pStyle w:val="TableNote"/>
              <w:spacing w:before="40" w:after="40"/>
              <w:rPr>
                <w:i/>
                <w:sz w:val="17"/>
                <w:szCs w:val="17"/>
              </w:rPr>
            </w:pPr>
            <w:r w:rsidRPr="00CF3DCF">
              <w:rPr>
                <w:rFonts w:eastAsia="新細明體"/>
                <w:b/>
                <w:sz w:val="17"/>
                <w:szCs w:val="17"/>
                <w:lang w:eastAsia="en-GB"/>
              </w:rPr>
              <w:t>Rows</w:t>
            </w:r>
          </w:p>
        </w:tc>
      </w:tr>
      <w:tr w:rsidR="00545554" w:rsidRPr="00BE7677" w:rsidTr="00545554">
        <w:trPr>
          <w:trHeight w:val="373"/>
        </w:trPr>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CF3DCF">
              <w:rPr>
                <w:rFonts w:cs="Segoe UI"/>
                <w:sz w:val="17"/>
                <w:szCs w:val="17"/>
                <w:lang w:eastAsia="en-GB"/>
              </w:rPr>
              <w:t>1 to N</w:t>
            </w:r>
          </w:p>
        </w:tc>
        <w:tc>
          <w:tcPr>
            <w:tcW w:w="8221"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jc w:val="both"/>
              <w:rPr>
                <w:sz w:val="17"/>
                <w:szCs w:val="17"/>
              </w:rPr>
            </w:pPr>
            <w:r w:rsidRPr="00CF3DCF">
              <w:rPr>
                <w:sz w:val="17"/>
                <w:szCs w:val="17"/>
              </w:rPr>
              <w:t xml:space="preserve">Enter only information of jurisdictions with a </w:t>
            </w:r>
            <w:r w:rsidRPr="00CF3DCF">
              <w:rPr>
                <w:sz w:val="17"/>
                <w:szCs w:val="17"/>
                <w:u w:val="single"/>
              </w:rPr>
              <w:t>non-zero</w:t>
            </w:r>
            <w:r w:rsidRPr="00CF3DCF">
              <w:rPr>
                <w:sz w:val="17"/>
                <w:szCs w:val="17"/>
              </w:rPr>
              <w:t xml:space="preserve"> applicable JCCyB ratio.</w:t>
            </w:r>
          </w:p>
        </w:tc>
      </w:tr>
      <w:tr w:rsidR="00545554" w:rsidRPr="00BE7677" w:rsidTr="00545554">
        <w:trPr>
          <w:trHeight w:val="373"/>
        </w:trPr>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CF3DCF">
              <w:rPr>
                <w:rFonts w:cs="Segoe UI"/>
                <w:sz w:val="17"/>
                <w:szCs w:val="17"/>
                <w:lang w:eastAsia="en-GB"/>
              </w:rPr>
              <w:lastRenderedPageBreak/>
              <w:t>N+1</w:t>
            </w:r>
          </w:p>
        </w:tc>
        <w:tc>
          <w:tcPr>
            <w:tcW w:w="8221"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jc w:val="both"/>
              <w:rPr>
                <w:sz w:val="17"/>
                <w:szCs w:val="17"/>
              </w:rPr>
            </w:pPr>
            <w:r w:rsidRPr="00CF3DCF">
              <w:rPr>
                <w:i/>
                <w:sz w:val="17"/>
                <w:szCs w:val="17"/>
              </w:rPr>
              <w:t>Sum</w:t>
            </w:r>
            <w:r w:rsidRPr="00CF3DCF">
              <w:rPr>
                <w:sz w:val="17"/>
                <w:szCs w:val="17"/>
              </w:rPr>
              <w:t>: the sum of values in rows 1 to N of column (c).</w:t>
            </w:r>
          </w:p>
        </w:tc>
      </w:tr>
      <w:tr w:rsidR="00545554" w:rsidRPr="00BE7677" w:rsidTr="00545554">
        <w:trPr>
          <w:trHeight w:val="373"/>
        </w:trPr>
        <w:tc>
          <w:tcPr>
            <w:tcW w:w="993"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CF3DCF">
              <w:rPr>
                <w:rFonts w:cs="Segoe UI"/>
                <w:sz w:val="17"/>
                <w:szCs w:val="17"/>
                <w:lang w:eastAsia="en-GB"/>
              </w:rPr>
              <w:t>N+2</w:t>
            </w:r>
          </w:p>
        </w:tc>
        <w:tc>
          <w:tcPr>
            <w:tcW w:w="8221" w:type="dxa"/>
            <w:shd w:val="clear" w:color="auto" w:fill="auto"/>
          </w:tcPr>
          <w:p w:rsidR="00545554" w:rsidRPr="00CF3DCF" w:rsidRDefault="00545554" w:rsidP="00545554">
            <w:pPr>
              <w:keepLines/>
              <w:widowControl w:val="0"/>
              <w:tabs>
                <w:tab w:val="left" w:pos="150"/>
                <w:tab w:val="left" w:pos="397"/>
                <w:tab w:val="left" w:pos="794"/>
                <w:tab w:val="left" w:pos="1191"/>
              </w:tabs>
              <w:spacing w:before="40" w:after="40"/>
              <w:jc w:val="both"/>
              <w:rPr>
                <w:sz w:val="17"/>
                <w:szCs w:val="17"/>
              </w:rPr>
            </w:pPr>
            <w:r w:rsidRPr="00CF3DCF">
              <w:rPr>
                <w:i/>
                <w:sz w:val="17"/>
                <w:szCs w:val="17"/>
              </w:rPr>
              <w:t>Total</w:t>
            </w:r>
            <w:r w:rsidRPr="00CF3DCF">
              <w:rPr>
                <w:sz w:val="17"/>
                <w:szCs w:val="17"/>
              </w:rPr>
              <w:t>: (for column (c)) total sum of the RWA for private sector credit exposures across all jurisdictions to which the AI is exposed, including jurisdictions with no applicable JCCyB ratio or with applicable JCCyB ratio set at zero</w:t>
            </w:r>
            <w:r>
              <w:rPr>
                <w:sz w:val="17"/>
                <w:szCs w:val="17"/>
              </w:rPr>
              <w:t>.</w:t>
            </w:r>
          </w:p>
        </w:tc>
      </w:tr>
    </w:tbl>
    <w:p w:rsidR="00545554" w:rsidRDefault="00545554" w:rsidP="00545554">
      <w:pPr>
        <w:spacing w:before="120" w:after="120"/>
        <w:rPr>
          <w:sz w:val="22"/>
        </w:rPr>
      </w:pPr>
    </w:p>
    <w:p w:rsidR="00545554" w:rsidRDefault="00545554" w:rsidP="003F0A7B">
      <w:pPr>
        <w:pStyle w:val="Heading1"/>
        <w:tabs>
          <w:tab w:val="clear" w:pos="794"/>
          <w:tab w:val="left" w:pos="426"/>
        </w:tabs>
        <w:spacing w:before="0"/>
        <w:ind w:leftChars="-283" w:left="-566"/>
        <w:sectPr w:rsidR="00545554">
          <w:footerReference w:type="default" r:id="rId39"/>
          <w:pgSz w:w="11906" w:h="16838"/>
          <w:pgMar w:top="1440" w:right="1800" w:bottom="1440" w:left="1800" w:header="851" w:footer="992" w:gutter="0"/>
          <w:cols w:space="425"/>
          <w:docGrid w:type="lines" w:linePitch="360"/>
        </w:sectPr>
      </w:pPr>
    </w:p>
    <w:p w:rsidR="00545554" w:rsidRPr="00844CB5" w:rsidRDefault="00545554" w:rsidP="00844CB5">
      <w:pPr>
        <w:keepNext/>
        <w:keepLines/>
        <w:tabs>
          <w:tab w:val="left" w:pos="567"/>
        </w:tabs>
        <w:spacing w:after="360"/>
        <w:ind w:leftChars="-283" w:left="-566" w:rightChars="-142" w:right="-284"/>
        <w:outlineLvl w:val="0"/>
        <w:rPr>
          <w:color w:val="984806" w:themeColor="accent6" w:themeShade="80"/>
          <w:sz w:val="28"/>
          <w:szCs w:val="28"/>
        </w:rPr>
      </w:pPr>
      <w:r w:rsidRPr="00844CB5">
        <w:rPr>
          <w:color w:val="984806" w:themeColor="accent6" w:themeShade="80"/>
          <w:sz w:val="28"/>
          <w:szCs w:val="28"/>
        </w:rPr>
        <w:lastRenderedPageBreak/>
        <w:t xml:space="preserve">Part </w:t>
      </w:r>
      <w:r w:rsidR="00844CB5">
        <w:rPr>
          <w:color w:val="984806" w:themeColor="accent6" w:themeShade="80"/>
          <w:sz w:val="28"/>
          <w:szCs w:val="28"/>
        </w:rPr>
        <w:t>IIC</w:t>
      </w:r>
      <w:r w:rsidRPr="00844CB5">
        <w:rPr>
          <w:color w:val="984806" w:themeColor="accent6" w:themeShade="80"/>
          <w:sz w:val="28"/>
          <w:szCs w:val="28"/>
        </w:rPr>
        <w:t>:</w:t>
      </w:r>
      <w:r w:rsidRPr="00844CB5">
        <w:rPr>
          <w:color w:val="984806" w:themeColor="accent6" w:themeShade="80"/>
          <w:sz w:val="28"/>
          <w:szCs w:val="28"/>
        </w:rPr>
        <w:tab/>
        <w:t>Leverage ratio</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t xml:space="preserve">Template </w:t>
            </w:r>
            <w:r>
              <w:rPr>
                <w:sz w:val="22"/>
              </w:rPr>
              <w:t>LR1</w:t>
            </w:r>
            <w:r w:rsidRPr="0023654F">
              <w:rPr>
                <w:sz w:val="22"/>
              </w:rPr>
              <w:t xml:space="preserve">: </w:t>
            </w:r>
            <w:r>
              <w:rPr>
                <w:sz w:val="22"/>
              </w:rPr>
              <w:t>Summary comparison of accounting assets against leverage ratio (“LR”) exposure measure</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E4585F" w:rsidRDefault="00545554" w:rsidP="00545554">
            <w:pPr>
              <w:spacing w:before="40" w:after="40"/>
              <w:jc w:val="both"/>
              <w:rPr>
                <w:sz w:val="17"/>
                <w:szCs w:val="17"/>
              </w:rPr>
            </w:pPr>
            <w:r w:rsidRPr="00025AEC">
              <w:rPr>
                <w:rFonts w:eastAsiaTheme="minorEastAsia"/>
                <w:sz w:val="17"/>
                <w:lang w:eastAsia="en-GB"/>
              </w:rPr>
              <w:t xml:space="preserve">To </w:t>
            </w:r>
            <w:r>
              <w:rPr>
                <w:rFonts w:eastAsiaTheme="minorEastAsia"/>
                <w:sz w:val="17"/>
                <w:lang w:eastAsia="en-GB"/>
              </w:rPr>
              <w:t>r</w:t>
            </w:r>
            <w:r>
              <w:rPr>
                <w:sz w:val="17"/>
                <w:szCs w:val="17"/>
              </w:rPr>
              <w:t>econcile the total assets in the published financial statements (if any) to the LR exposure measure.</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672214" w:rsidRDefault="00545554" w:rsidP="00545554">
            <w:pPr>
              <w:spacing w:before="40" w:after="40"/>
              <w:jc w:val="both"/>
              <w:rPr>
                <w:sz w:val="17"/>
                <w:szCs w:val="17"/>
              </w:rPr>
            </w:pPr>
            <w:r w:rsidRPr="0023654F">
              <w:rPr>
                <w:rFonts w:eastAsiaTheme="minorEastAsia"/>
                <w:sz w:val="17"/>
                <w:lang w:eastAsia="en-GB"/>
              </w:rPr>
              <w:t xml:space="preserve">The template is mandatory for </w:t>
            </w:r>
            <w:r>
              <w:rPr>
                <w:rFonts w:eastAsiaTheme="minorEastAsia"/>
                <w:sz w:val="17"/>
                <w:lang w:eastAsia="en-GB"/>
              </w:rPr>
              <w:t>all AI</w:t>
            </w:r>
            <w:r w:rsidRPr="0023654F">
              <w:rPr>
                <w:rFonts w:eastAsiaTheme="minorEastAsia"/>
                <w:sz w:val="17"/>
                <w:lang w:eastAsia="en-GB"/>
              </w:rPr>
              <w:t xml:space="preserve">s </w:t>
            </w:r>
            <w:r>
              <w:rPr>
                <w:rFonts w:eastAsiaTheme="minorEastAsia"/>
                <w:sz w:val="17"/>
                <w:lang w:eastAsia="en-GB"/>
              </w:rPr>
              <w:t>incorporated in Hong Kong</w:t>
            </w:r>
            <w:r>
              <w:rPr>
                <w:sz w:val="17"/>
                <w:szCs w:val="17"/>
              </w:rPr>
              <w:t xml:space="preserve">.  The LR framework should follow the same scope of regulatory consolidation as the risk-based capital framework (i.e. solo basis, solo-consolidated basis, and/or consolidated basis as specified by the MA under BCR </w:t>
            </w:r>
            <w:r w:rsidRPr="005425B4">
              <w:rPr>
                <w:rFonts w:cs="Segoe UI"/>
                <w:sz w:val="17"/>
                <w:szCs w:val="17"/>
              </w:rPr>
              <w:t>§</w:t>
            </w:r>
            <w:r>
              <w:rPr>
                <w:sz w:val="17"/>
                <w:szCs w:val="17"/>
              </w:rPr>
              <w:t>3C).</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1277F2" w:rsidRDefault="00545554" w:rsidP="00545554">
            <w:pPr>
              <w:spacing w:before="40" w:after="40"/>
              <w:jc w:val="both"/>
              <w:rPr>
                <w:sz w:val="17"/>
                <w:szCs w:val="17"/>
              </w:rPr>
            </w:pPr>
            <w:r>
              <w:rPr>
                <w:sz w:val="17"/>
                <w:szCs w:val="17"/>
              </w:rPr>
              <w:t xml:space="preserve">Quantitative information.  </w:t>
            </w:r>
            <w:r w:rsidRPr="001277F2">
              <w:rPr>
                <w:sz w:val="17"/>
                <w:szCs w:val="17"/>
              </w:rPr>
              <w:t>Where an AI has a reporting date for disclosure (e.g. end-April, end-October) that does not fall on the same position date for the Return o</w:t>
            </w:r>
            <w:r>
              <w:rPr>
                <w:sz w:val="17"/>
                <w:szCs w:val="17"/>
              </w:rPr>
              <w:t>f</w:t>
            </w:r>
            <w:r w:rsidRPr="001277F2">
              <w:rPr>
                <w:sz w:val="17"/>
                <w:szCs w:val="17"/>
              </w:rPr>
              <w:t xml:space="preserve"> </w:t>
            </w:r>
            <w:r>
              <w:rPr>
                <w:sz w:val="17"/>
                <w:szCs w:val="17"/>
              </w:rPr>
              <w:t>Leverage</w:t>
            </w:r>
            <w:r w:rsidRPr="001277F2">
              <w:rPr>
                <w:sz w:val="17"/>
                <w:szCs w:val="17"/>
              </w:rPr>
              <w:t xml:space="preserve"> Ratio (MA(BS)</w:t>
            </w:r>
            <w:r>
              <w:rPr>
                <w:sz w:val="17"/>
                <w:szCs w:val="17"/>
              </w:rPr>
              <w:t>27</w:t>
            </w:r>
            <w:r w:rsidRPr="001277F2">
              <w:rPr>
                <w:sz w:val="17"/>
                <w:szCs w:val="17"/>
              </w:rPr>
              <w:t>)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517B07" w:rsidRDefault="00545554" w:rsidP="00545554">
            <w:pPr>
              <w:pStyle w:val="TableText"/>
              <w:jc w:val="both"/>
              <w:rPr>
                <w:szCs w:val="17"/>
              </w:rPr>
            </w:pPr>
            <w:r>
              <w:rPr>
                <w:szCs w:val="17"/>
              </w:rPr>
              <w:t>Semi-annually.</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Pr>
                <w:lang w:eastAsia="en-GB"/>
              </w:rPr>
              <w:t>Fixed.</w:t>
            </w:r>
          </w:p>
        </w:tc>
      </w:tr>
      <w:tr w:rsidR="00545554" w:rsidRPr="00814CA0"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317A8E" w:rsidRDefault="00545554" w:rsidP="00545554">
            <w:pPr>
              <w:pStyle w:val="TableText"/>
              <w:jc w:val="both"/>
              <w:rPr>
                <w:szCs w:val="17"/>
              </w:rPr>
            </w:pPr>
            <w:r>
              <w:rPr>
                <w:szCs w:val="17"/>
              </w:rPr>
              <w:t>An AI should disclose and detail the source of material differences between its total balance sheet assets (net of on-balance sheet derivative exposures and securities financing transaction (“SFT”) exposures) as reported in its financial statements and its on-balance sheet exposures as set out in row 1 of Template LR2.</w:t>
            </w:r>
            <w:r w:rsidDel="00652489">
              <w:rPr>
                <w:szCs w:val="17"/>
              </w:rPr>
              <w:t xml:space="preserve"> </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Default="00545554" w:rsidP="00CB1E42">
            <w:pPr>
              <w:pStyle w:val="TableText"/>
              <w:jc w:val="both"/>
              <w:rPr>
                <w:szCs w:val="17"/>
                <w:lang w:eastAsia="en-GB"/>
              </w:rPr>
            </w:pPr>
            <w:r w:rsidRPr="001B530B">
              <w:rPr>
                <w:szCs w:val="17"/>
                <w:lang w:eastAsia="en-GB"/>
              </w:rPr>
              <w:t>16FH</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71"/>
        <w:gridCol w:w="7084"/>
        <w:gridCol w:w="1559"/>
      </w:tblGrid>
      <w:tr w:rsidR="00545554" w:rsidRPr="0023654F" w:rsidTr="00545554">
        <w:trPr>
          <w:cantSplit/>
          <w:trHeight w:val="249"/>
          <w:tblHeader/>
        </w:trPr>
        <w:tc>
          <w:tcPr>
            <w:tcW w:w="571" w:type="dxa"/>
            <w:tcBorders>
              <w:top w:val="nil"/>
              <w:left w:val="nil"/>
              <w:bottom w:val="single" w:sz="4" w:space="0" w:color="auto"/>
              <w:right w:val="nil"/>
            </w:tcBorders>
          </w:tcPr>
          <w:p w:rsidR="00545554" w:rsidRPr="0023654F" w:rsidRDefault="00545554" w:rsidP="00545554">
            <w:pPr>
              <w:pStyle w:val="TableText"/>
              <w:snapToGrid w:val="0"/>
              <w:rPr>
                <w:lang w:eastAsia="en-GB"/>
              </w:rPr>
            </w:pPr>
          </w:p>
        </w:tc>
        <w:tc>
          <w:tcPr>
            <w:tcW w:w="7084" w:type="dxa"/>
            <w:tcBorders>
              <w:top w:val="nil"/>
              <w:left w:val="nil"/>
              <w:bottom w:val="single" w:sz="4" w:space="0" w:color="auto"/>
              <w:right w:val="single" w:sz="4" w:space="0" w:color="auto"/>
            </w:tcBorders>
            <w:vAlign w:val="center"/>
          </w:tcPr>
          <w:p w:rsidR="00545554" w:rsidRPr="00A31647" w:rsidRDefault="00545554" w:rsidP="00545554">
            <w:pPr>
              <w:pStyle w:val="TableText"/>
              <w:snapToGrid w:val="0"/>
              <w:rPr>
                <w:lang w:eastAsia="en-GB"/>
              </w:rPr>
            </w:pPr>
          </w:p>
        </w:tc>
        <w:tc>
          <w:tcPr>
            <w:tcW w:w="1559" w:type="dxa"/>
            <w:tcBorders>
              <w:top w:val="single" w:sz="4" w:space="0" w:color="auto"/>
              <w:left w:val="single" w:sz="4" w:space="0" w:color="auto"/>
              <w:bottom w:val="single" w:sz="4" w:space="0" w:color="auto"/>
              <w:right w:val="single" w:sz="4" w:space="0" w:color="auto"/>
            </w:tcBorders>
            <w:vAlign w:val="center"/>
          </w:tcPr>
          <w:p w:rsidR="00545554" w:rsidRPr="00701CEA" w:rsidRDefault="00545554" w:rsidP="00545554">
            <w:pPr>
              <w:pStyle w:val="TableText"/>
              <w:snapToGrid w:val="0"/>
              <w:jc w:val="center"/>
              <w:rPr>
                <w:bCs/>
                <w:szCs w:val="17"/>
                <w:lang w:eastAsia="it-IT"/>
              </w:rPr>
            </w:pPr>
            <w:r w:rsidRPr="00701CEA">
              <w:rPr>
                <w:bCs/>
                <w:szCs w:val="17"/>
                <w:lang w:eastAsia="it-IT"/>
              </w:rPr>
              <w:t>(a)</w:t>
            </w:r>
          </w:p>
        </w:tc>
      </w:tr>
      <w:tr w:rsidR="00545554" w:rsidRPr="0023654F" w:rsidTr="00545554">
        <w:trPr>
          <w:cantSplit/>
          <w:tblHeader/>
        </w:trPr>
        <w:tc>
          <w:tcPr>
            <w:tcW w:w="571" w:type="dxa"/>
            <w:tcBorders>
              <w:top w:val="single" w:sz="4" w:space="0" w:color="auto"/>
              <w:left w:val="nil"/>
              <w:bottom w:val="single" w:sz="4" w:space="0" w:color="auto"/>
              <w:right w:val="single" w:sz="4" w:space="0" w:color="auto"/>
            </w:tcBorders>
          </w:tcPr>
          <w:p w:rsidR="00545554" w:rsidRPr="00665E29" w:rsidRDefault="00545554" w:rsidP="00545554">
            <w:pPr>
              <w:pStyle w:val="TableText"/>
              <w:snapToGrid w:val="0"/>
              <w:rPr>
                <w:b/>
                <w:lang w:eastAsia="en-GB"/>
              </w:rPr>
            </w:pPr>
          </w:p>
        </w:tc>
        <w:tc>
          <w:tcPr>
            <w:tcW w:w="7084" w:type="dxa"/>
            <w:tcBorders>
              <w:top w:val="single" w:sz="4" w:space="0" w:color="auto"/>
              <w:left w:val="nil"/>
              <w:bottom w:val="single" w:sz="4" w:space="0" w:color="auto"/>
              <w:right w:val="single" w:sz="4" w:space="0" w:color="auto"/>
            </w:tcBorders>
          </w:tcPr>
          <w:p w:rsidR="00545554" w:rsidRPr="00665E29" w:rsidRDefault="00545554" w:rsidP="00545554">
            <w:pPr>
              <w:pStyle w:val="TableText"/>
              <w:snapToGrid w:val="0"/>
              <w:rPr>
                <w:b/>
                <w:szCs w:val="17"/>
                <w:lang w:val="en-US" w:eastAsia="en-GB"/>
              </w:rPr>
            </w:pPr>
            <w:r>
              <w:rPr>
                <w:b/>
                <w:szCs w:val="17"/>
                <w:lang w:val="en-US" w:eastAsia="en-GB"/>
              </w:rPr>
              <w:t>Item</w:t>
            </w:r>
          </w:p>
        </w:tc>
        <w:tc>
          <w:tcPr>
            <w:tcW w:w="1559" w:type="dxa"/>
            <w:tcBorders>
              <w:top w:val="single" w:sz="4" w:space="0" w:color="auto"/>
              <w:left w:val="single" w:sz="4" w:space="0" w:color="auto"/>
              <w:bottom w:val="single" w:sz="4" w:space="0" w:color="auto"/>
              <w:right w:val="single" w:sz="4" w:space="0" w:color="auto"/>
            </w:tcBorders>
          </w:tcPr>
          <w:p w:rsidR="00545554" w:rsidRDefault="00545554" w:rsidP="00545554">
            <w:pPr>
              <w:pStyle w:val="TableText"/>
              <w:snapToGrid w:val="0"/>
              <w:jc w:val="center"/>
              <w:rPr>
                <w:b/>
                <w:szCs w:val="17"/>
              </w:rPr>
            </w:pPr>
            <w:r>
              <w:rPr>
                <w:b/>
                <w:szCs w:val="17"/>
              </w:rPr>
              <w:t>Value under the LR framework</w:t>
            </w:r>
          </w:p>
          <w:p w:rsidR="00545554" w:rsidRPr="00342C88" w:rsidRDefault="00545554" w:rsidP="00545554">
            <w:pPr>
              <w:pStyle w:val="TableText"/>
              <w:snapToGrid w:val="0"/>
              <w:jc w:val="center"/>
              <w:rPr>
                <w:szCs w:val="17"/>
              </w:rPr>
            </w:pPr>
            <w:r w:rsidRPr="00342C88">
              <w:rPr>
                <w:szCs w:val="17"/>
              </w:rPr>
              <w:t>(HK$ equivalent)</w:t>
            </w:r>
          </w:p>
        </w:tc>
      </w:tr>
      <w:tr w:rsidR="00545554" w:rsidRPr="0023654F" w:rsidTr="00545554">
        <w:trPr>
          <w:cantSplit/>
        </w:trPr>
        <w:tc>
          <w:tcPr>
            <w:tcW w:w="571" w:type="dxa"/>
            <w:tcBorders>
              <w:top w:val="single" w:sz="4" w:space="0" w:color="auto"/>
              <w:left w:val="nil"/>
              <w:bottom w:val="single" w:sz="4" w:space="0" w:color="D9D9D9" w:themeColor="background1" w:themeShade="D9"/>
              <w:right w:val="single" w:sz="4" w:space="0" w:color="auto"/>
            </w:tcBorders>
            <w:shd w:val="clear" w:color="auto" w:fill="auto"/>
          </w:tcPr>
          <w:p w:rsidR="00545554" w:rsidRPr="00911851" w:rsidRDefault="00545554" w:rsidP="00545554">
            <w:pPr>
              <w:pStyle w:val="TableText"/>
              <w:snapToGrid w:val="0"/>
              <w:rPr>
                <w:lang w:eastAsia="en-GB"/>
              </w:rPr>
            </w:pPr>
            <w:r>
              <w:rPr>
                <w:lang w:eastAsia="en-GB"/>
              </w:rPr>
              <w:t>1</w:t>
            </w:r>
          </w:p>
        </w:tc>
        <w:tc>
          <w:tcPr>
            <w:tcW w:w="7084" w:type="dxa"/>
            <w:tcBorders>
              <w:top w:val="single" w:sz="4" w:space="0" w:color="auto"/>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Total consolidated assets as per published financial statements</w:t>
            </w:r>
          </w:p>
        </w:tc>
        <w:tc>
          <w:tcPr>
            <w:tcW w:w="1559" w:type="dxa"/>
            <w:tcBorders>
              <w:top w:val="single" w:sz="4" w:space="0" w:color="auto"/>
              <w:left w:val="single" w:sz="4" w:space="0" w:color="auto"/>
              <w:bottom w:val="single" w:sz="4" w:space="0" w:color="D9D9D9" w:themeColor="background1" w:themeShade="D9"/>
              <w:right w:val="single" w:sz="4" w:space="0" w:color="auto"/>
            </w:tcBorders>
            <w:shd w:val="clear" w:color="auto" w:fill="auto"/>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sidRPr="0023654F">
              <w:rPr>
                <w:lang w:eastAsia="en-GB"/>
              </w:rPr>
              <w:t>2</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Adjustment for investments in banking, financial, insurance or commercial entities that are consolidated for accounting purposes but outside the scope of regulatory consolidation</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vAlign w:val="center"/>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3</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 xml:space="preserve">Adjustment for fiduciary assets recognised on the balance sheet pursuant to the </w:t>
            </w:r>
            <w:r>
              <w:rPr>
                <w:szCs w:val="17"/>
                <w:lang w:eastAsia="en-GB"/>
              </w:rPr>
              <w:t>applicable</w:t>
            </w:r>
            <w:r w:rsidRPr="00712DF1">
              <w:rPr>
                <w:szCs w:val="17"/>
                <w:lang w:eastAsia="en-GB"/>
              </w:rPr>
              <w:t xml:space="preserve"> accounting </w:t>
            </w:r>
            <w:r>
              <w:rPr>
                <w:szCs w:val="17"/>
                <w:lang w:eastAsia="en-GB"/>
              </w:rPr>
              <w:t>standard but excluded from the LR</w:t>
            </w:r>
            <w:r w:rsidRPr="00712DF1">
              <w:rPr>
                <w:szCs w:val="17"/>
                <w:lang w:eastAsia="en-GB"/>
              </w:rPr>
              <w:t xml:space="preserve"> exposure measure</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4</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 xml:space="preserve">Adjustments for derivative </w:t>
            </w:r>
            <w:r>
              <w:rPr>
                <w:szCs w:val="17"/>
                <w:lang w:eastAsia="en-GB"/>
              </w:rPr>
              <w:t>contract</w:t>
            </w:r>
            <w:r w:rsidRPr="00712DF1">
              <w:rPr>
                <w:szCs w:val="17"/>
                <w:lang w:eastAsia="en-GB"/>
              </w:rPr>
              <w:t>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t>5</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 xml:space="preserve">Adjustment for </w:t>
            </w:r>
            <w:r>
              <w:rPr>
                <w:szCs w:val="17"/>
                <w:lang w:eastAsia="en-GB"/>
              </w:rPr>
              <w:t>SFT</w:t>
            </w:r>
            <w:r w:rsidRPr="00712DF1">
              <w:rPr>
                <w:szCs w:val="17"/>
                <w:lang w:eastAsia="en-GB"/>
              </w:rPr>
              <w:t>s (i</w:t>
            </w:r>
            <w:r>
              <w:rPr>
                <w:szCs w:val="17"/>
                <w:lang w:eastAsia="en-GB"/>
              </w:rPr>
              <w:t>.</w:t>
            </w:r>
            <w:r w:rsidRPr="00712DF1">
              <w:rPr>
                <w:szCs w:val="17"/>
                <w:lang w:eastAsia="en-GB"/>
              </w:rPr>
              <w:t>e</w:t>
            </w:r>
            <w:r>
              <w:rPr>
                <w:szCs w:val="17"/>
                <w:lang w:eastAsia="en-GB"/>
              </w:rPr>
              <w:t>.</w:t>
            </w:r>
            <w:r w:rsidRPr="00712DF1">
              <w:rPr>
                <w:szCs w:val="17"/>
                <w:lang w:eastAsia="en-GB"/>
              </w:rPr>
              <w:t xml:space="preserve"> repos and similar secured lending)</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Default="00545554" w:rsidP="00545554">
            <w:pPr>
              <w:pStyle w:val="TableText"/>
              <w:snapToGrid w:val="0"/>
              <w:rPr>
                <w:lang w:eastAsia="en-GB"/>
              </w:rPr>
            </w:pPr>
            <w:r>
              <w:rPr>
                <w:lang w:eastAsia="en-GB"/>
              </w:rPr>
              <w:lastRenderedPageBreak/>
              <w:t>6</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Adjustment for off-balance sheet</w:t>
            </w:r>
            <w:r>
              <w:rPr>
                <w:szCs w:val="17"/>
                <w:lang w:eastAsia="en-GB"/>
              </w:rPr>
              <w:t xml:space="preserve"> (“OBS”)</w:t>
            </w:r>
            <w:r w:rsidRPr="00712DF1">
              <w:rPr>
                <w:szCs w:val="17"/>
                <w:lang w:eastAsia="en-GB"/>
              </w:rPr>
              <w:t xml:space="preserve"> items (i</w:t>
            </w:r>
            <w:r>
              <w:rPr>
                <w:szCs w:val="17"/>
                <w:lang w:eastAsia="en-GB"/>
              </w:rPr>
              <w:t>.</w:t>
            </w:r>
            <w:r w:rsidRPr="00712DF1">
              <w:rPr>
                <w:szCs w:val="17"/>
                <w:lang w:eastAsia="en-GB"/>
              </w:rPr>
              <w:t>e</w:t>
            </w:r>
            <w:r>
              <w:rPr>
                <w:szCs w:val="17"/>
                <w:lang w:eastAsia="en-GB"/>
              </w:rPr>
              <w:t>.</w:t>
            </w:r>
            <w:r w:rsidRPr="00712DF1">
              <w:rPr>
                <w:szCs w:val="17"/>
                <w:lang w:eastAsia="en-GB"/>
              </w:rPr>
              <w:t xml:space="preserve"> conversion to credit equivalent amounts of </w:t>
            </w:r>
            <w:r>
              <w:rPr>
                <w:szCs w:val="17"/>
                <w:lang w:eastAsia="en-GB"/>
              </w:rPr>
              <w:t>OBS</w:t>
            </w:r>
            <w:r w:rsidRPr="00712DF1">
              <w:rPr>
                <w:szCs w:val="17"/>
                <w:lang w:eastAsia="en-GB"/>
              </w:rPr>
              <w:t xml:space="preserve"> exposures)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C24CB0"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C24CB0" w:rsidRDefault="00C24CB0" w:rsidP="00545554">
            <w:pPr>
              <w:pStyle w:val="TableText"/>
              <w:snapToGrid w:val="0"/>
              <w:rPr>
                <w:lang w:eastAsia="en-GB"/>
              </w:rPr>
            </w:pPr>
            <w:r>
              <w:rPr>
                <w:lang w:eastAsia="en-GB"/>
              </w:rPr>
              <w:t>6a</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C24CB0" w:rsidRPr="00712DF1" w:rsidRDefault="00C24CB0" w:rsidP="00E70C18">
            <w:pPr>
              <w:pStyle w:val="TableText"/>
              <w:snapToGrid w:val="0"/>
              <w:rPr>
                <w:szCs w:val="17"/>
                <w:lang w:eastAsia="en-GB"/>
              </w:rPr>
            </w:pPr>
            <w:r>
              <w:rPr>
                <w:szCs w:val="17"/>
                <w:lang w:eastAsia="en-GB"/>
              </w:rPr>
              <w:t xml:space="preserve">Adjustment for specific </w:t>
            </w:r>
            <w:r w:rsidR="00E70C18">
              <w:rPr>
                <w:szCs w:val="17"/>
                <w:lang w:eastAsia="en-GB"/>
              </w:rPr>
              <w:t xml:space="preserve">and collective </w:t>
            </w:r>
            <w:r>
              <w:rPr>
                <w:szCs w:val="17"/>
                <w:lang w:eastAsia="en-GB"/>
              </w:rPr>
              <w:t>provisions that are allowed to be excluded from exposure measure</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C24CB0" w:rsidRPr="00701CEA" w:rsidRDefault="00C24CB0"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D9D9D9" w:themeColor="background1" w:themeShade="D9"/>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7</w:t>
            </w:r>
          </w:p>
        </w:tc>
        <w:tc>
          <w:tcPr>
            <w:tcW w:w="7084"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r w:rsidRPr="00712DF1">
              <w:rPr>
                <w:szCs w:val="17"/>
                <w:lang w:eastAsia="en-GB"/>
              </w:rPr>
              <w:t>Other adjustments</w:t>
            </w:r>
          </w:p>
        </w:tc>
        <w:tc>
          <w:tcPr>
            <w:tcW w:w="1559" w:type="dxa"/>
            <w:tcBorders>
              <w:top w:val="single" w:sz="4" w:space="0" w:color="D9D9D9" w:themeColor="background1" w:themeShade="D9"/>
              <w:left w:val="single" w:sz="4" w:space="0" w:color="auto"/>
              <w:bottom w:val="single" w:sz="4" w:space="0" w:color="D9D9D9" w:themeColor="background1" w:themeShade="D9"/>
              <w:right w:val="single" w:sz="4" w:space="0" w:color="auto"/>
            </w:tcBorders>
            <w:shd w:val="clear" w:color="auto" w:fill="auto"/>
          </w:tcPr>
          <w:p w:rsidR="00545554" w:rsidRPr="00701CEA" w:rsidRDefault="00545554" w:rsidP="00545554">
            <w:pPr>
              <w:pStyle w:val="TableText"/>
              <w:snapToGrid w:val="0"/>
              <w:rPr>
                <w:szCs w:val="17"/>
                <w:lang w:eastAsia="en-GB"/>
              </w:rPr>
            </w:pPr>
          </w:p>
        </w:tc>
      </w:tr>
      <w:tr w:rsidR="00545554" w:rsidRPr="0023654F" w:rsidTr="00545554">
        <w:trPr>
          <w:cantSplit/>
        </w:trPr>
        <w:tc>
          <w:tcPr>
            <w:tcW w:w="571" w:type="dxa"/>
            <w:tcBorders>
              <w:top w:val="single" w:sz="4" w:space="0" w:color="D9D9D9" w:themeColor="background1" w:themeShade="D9"/>
              <w:left w:val="nil"/>
              <w:bottom w:val="single" w:sz="4" w:space="0" w:color="auto"/>
              <w:right w:val="single" w:sz="4" w:space="0" w:color="auto"/>
            </w:tcBorders>
            <w:shd w:val="clear" w:color="auto" w:fill="auto"/>
          </w:tcPr>
          <w:p w:rsidR="00545554" w:rsidRPr="00712DF1" w:rsidRDefault="00545554" w:rsidP="00545554">
            <w:pPr>
              <w:pStyle w:val="TableText"/>
              <w:snapToGrid w:val="0"/>
              <w:rPr>
                <w:b/>
                <w:lang w:eastAsia="en-GB"/>
              </w:rPr>
            </w:pPr>
            <w:r w:rsidRPr="00712DF1">
              <w:rPr>
                <w:b/>
                <w:lang w:eastAsia="en-GB"/>
              </w:rPr>
              <w:t>8</w:t>
            </w:r>
          </w:p>
        </w:tc>
        <w:tc>
          <w:tcPr>
            <w:tcW w:w="7084"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545554" w:rsidRPr="00712DF1" w:rsidRDefault="00545554" w:rsidP="00545554">
            <w:pPr>
              <w:pStyle w:val="TableText"/>
              <w:snapToGrid w:val="0"/>
              <w:rPr>
                <w:b/>
                <w:szCs w:val="17"/>
                <w:lang w:eastAsia="en-GB"/>
              </w:rPr>
            </w:pPr>
            <w:r w:rsidRPr="00712DF1">
              <w:rPr>
                <w:b/>
                <w:szCs w:val="17"/>
                <w:lang w:eastAsia="en-GB"/>
              </w:rPr>
              <w:t>Leverage ratio exposure measure</w:t>
            </w:r>
          </w:p>
        </w:tc>
        <w:tc>
          <w:tcPr>
            <w:tcW w:w="1559" w:type="dxa"/>
            <w:tcBorders>
              <w:top w:val="single" w:sz="4" w:space="0" w:color="D9D9D9" w:themeColor="background1" w:themeShade="D9"/>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567"/>
        <w:gridCol w:w="8647"/>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A539ED" w:rsidTr="00545554">
        <w:trPr>
          <w:trHeight w:val="373"/>
        </w:trPr>
        <w:tc>
          <w:tcPr>
            <w:tcW w:w="9214" w:type="dxa"/>
            <w:gridSpan w:val="2"/>
            <w:shd w:val="clear" w:color="auto" w:fill="F2F2F2" w:themeFill="background1" w:themeFillShade="F2"/>
          </w:tcPr>
          <w:p w:rsidR="00545554" w:rsidRPr="00A539ED" w:rsidRDefault="00545554" w:rsidP="00545554">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545554" w:rsidRPr="0014673B"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647" w:type="dxa"/>
          </w:tcPr>
          <w:p w:rsidR="00545554" w:rsidRPr="0014673B"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The</w:t>
            </w:r>
            <w:r w:rsidRPr="009D7102">
              <w:rPr>
                <w:sz w:val="17"/>
                <w:szCs w:val="17"/>
              </w:rPr>
              <w:t xml:space="preserve"> </w:t>
            </w:r>
            <w:r>
              <w:rPr>
                <w:sz w:val="17"/>
                <w:szCs w:val="17"/>
              </w:rPr>
              <w:t>AI</w:t>
            </w:r>
            <w:r w:rsidRPr="009D7102">
              <w:rPr>
                <w:sz w:val="17"/>
                <w:szCs w:val="17"/>
              </w:rPr>
              <w:t>’s total consolidated assets as per published financial statements.</w:t>
            </w:r>
          </w:p>
        </w:tc>
      </w:tr>
      <w:tr w:rsidR="00545554" w:rsidRPr="00BE767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E27CF8">
              <w:rPr>
                <w:sz w:val="17"/>
                <w:szCs w:val="17"/>
              </w:rPr>
              <w:t>Adjustments in relation to the AI’s investments in financial sector entities</w:t>
            </w:r>
            <w:r>
              <w:rPr>
                <w:sz w:val="17"/>
                <w:szCs w:val="17"/>
              </w:rPr>
              <w:t xml:space="preserve"> </w:t>
            </w:r>
            <w:r w:rsidRPr="00E27CF8">
              <w:rPr>
                <w:sz w:val="17"/>
                <w:szCs w:val="17"/>
              </w:rPr>
              <w:t xml:space="preserve">or commercial entities as defined in BCR </w:t>
            </w:r>
            <w:r w:rsidRPr="009D7102">
              <w:rPr>
                <w:sz w:val="17"/>
                <w:szCs w:val="17"/>
              </w:rPr>
              <w:t>§</w:t>
            </w:r>
            <w:r w:rsidRPr="00E27CF8">
              <w:rPr>
                <w:sz w:val="17"/>
                <w:szCs w:val="17"/>
              </w:rPr>
              <w:t>35 that are</w:t>
            </w:r>
            <w:r>
              <w:rPr>
                <w:sz w:val="17"/>
                <w:szCs w:val="17"/>
              </w:rPr>
              <w:t xml:space="preserve"> </w:t>
            </w:r>
            <w:r w:rsidRPr="00E27CF8">
              <w:rPr>
                <w:sz w:val="17"/>
                <w:szCs w:val="17"/>
              </w:rPr>
              <w:t>consolidated for accounting purposes, but outside the scope of regulatory</w:t>
            </w:r>
            <w:r>
              <w:rPr>
                <w:sz w:val="17"/>
                <w:szCs w:val="17"/>
              </w:rPr>
              <w:t xml:space="preserve"> </w:t>
            </w:r>
            <w:r w:rsidRPr="00E27CF8">
              <w:rPr>
                <w:sz w:val="17"/>
                <w:szCs w:val="17"/>
              </w:rPr>
              <w:t>consolidation.</w:t>
            </w:r>
            <w:r>
              <w:rPr>
                <w:sz w:val="17"/>
                <w:szCs w:val="17"/>
              </w:rPr>
              <w:t xml:space="preserve">  As these adjustments reduce the total leverage ratio exposure measure, they should be reported as a negative amount.</w:t>
            </w:r>
          </w:p>
        </w:tc>
      </w:tr>
      <w:tr w:rsidR="00545554" w:rsidRPr="00BE767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BF1928">
              <w:rPr>
                <w:sz w:val="17"/>
                <w:szCs w:val="17"/>
              </w:rPr>
              <w:t xml:space="preserve">Adjustments related to any fiduciary assets recognised on the balance sheet pursuant to the AI’s </w:t>
            </w:r>
            <w:r>
              <w:rPr>
                <w:sz w:val="17"/>
                <w:szCs w:val="17"/>
              </w:rPr>
              <w:t>applicable</w:t>
            </w:r>
            <w:r w:rsidRPr="00BF1928">
              <w:rPr>
                <w:sz w:val="17"/>
                <w:szCs w:val="17"/>
              </w:rPr>
              <w:t xml:space="preserve"> accounting framework but excluded from the LR exposure measure, provided that the assets meet the IAS 39 / IFRS 9 (or HKAS 39 / HKFRS 9) criteria for derecognition and, where applicable, IFRS 10 (or HKFRS 10) for deconsolidation.</w:t>
            </w:r>
            <w:r>
              <w:rPr>
                <w:sz w:val="17"/>
                <w:szCs w:val="17"/>
              </w:rPr>
              <w:t xml:space="preserve">  </w:t>
            </w:r>
            <w:r w:rsidRPr="00F056B3">
              <w:rPr>
                <w:sz w:val="17"/>
                <w:szCs w:val="17"/>
              </w:rPr>
              <w:t>As these adjustments reduce the total leverage ratio exposure measure, they sh</w:t>
            </w:r>
            <w:r>
              <w:rPr>
                <w:sz w:val="17"/>
                <w:szCs w:val="17"/>
              </w:rPr>
              <w:t>ould</w:t>
            </w:r>
            <w:r w:rsidRPr="00F056B3">
              <w:rPr>
                <w:sz w:val="17"/>
                <w:szCs w:val="17"/>
              </w:rPr>
              <w:t xml:space="preserve"> be reported as a negative amount.</w:t>
            </w:r>
          </w:p>
        </w:tc>
      </w:tr>
      <w:tr w:rsidR="00545554" w:rsidRPr="003E1934"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647" w:type="dxa"/>
          </w:tcPr>
          <w:p w:rsidR="00545554" w:rsidRPr="003E170B" w:rsidRDefault="00545554" w:rsidP="00545554">
            <w:pPr>
              <w:keepLines/>
              <w:widowControl w:val="0"/>
              <w:tabs>
                <w:tab w:val="left" w:pos="150"/>
                <w:tab w:val="left" w:pos="397"/>
                <w:tab w:val="left" w:pos="794"/>
                <w:tab w:val="left" w:pos="1191"/>
              </w:tabs>
              <w:spacing w:before="40" w:after="40"/>
              <w:jc w:val="both"/>
              <w:rPr>
                <w:sz w:val="17"/>
                <w:szCs w:val="17"/>
              </w:rPr>
            </w:pPr>
            <w:r w:rsidRPr="003E170B">
              <w:rPr>
                <w:sz w:val="17"/>
                <w:szCs w:val="17"/>
              </w:rPr>
              <w:t>Any adjustment</w:t>
            </w:r>
            <w:r>
              <w:rPr>
                <w:sz w:val="17"/>
                <w:szCs w:val="17"/>
              </w:rPr>
              <w:t>s</w:t>
            </w:r>
            <w:r w:rsidRPr="003E170B">
              <w:rPr>
                <w:sz w:val="17"/>
                <w:szCs w:val="17"/>
              </w:rPr>
              <w:t xml:space="preserve"> in relation to derivative contract</w:t>
            </w:r>
            <w:r w:rsidRPr="00EE3F56">
              <w:rPr>
                <w:sz w:val="17"/>
                <w:szCs w:val="17"/>
              </w:rPr>
              <w:t xml:space="preserve">s should be in line with the LR calculation methodology under </w:t>
            </w:r>
            <w:r w:rsidRPr="003E170B">
              <w:rPr>
                <w:sz w:val="17"/>
                <w:szCs w:val="17"/>
              </w:rPr>
              <w:t>Part 1C of the BCR.</w:t>
            </w:r>
            <w:r>
              <w:rPr>
                <w:sz w:val="17"/>
                <w:szCs w:val="17"/>
              </w:rPr>
              <w:t xml:space="preserve">  </w:t>
            </w:r>
            <w:r w:rsidRPr="00F056B3">
              <w:rPr>
                <w:sz w:val="17"/>
                <w:szCs w:val="17"/>
              </w:rPr>
              <w:t xml:space="preserve">If this adjustment leads to an increase in exposure, </w:t>
            </w:r>
            <w:r>
              <w:rPr>
                <w:sz w:val="17"/>
                <w:szCs w:val="17"/>
              </w:rPr>
              <w:t>an AI</w:t>
            </w:r>
            <w:r w:rsidRPr="00F056B3">
              <w:rPr>
                <w:sz w:val="17"/>
                <w:szCs w:val="17"/>
              </w:rPr>
              <w:t xml:space="preserve"> sh</w:t>
            </w:r>
            <w:r>
              <w:rPr>
                <w:sz w:val="17"/>
                <w:szCs w:val="17"/>
              </w:rPr>
              <w:t>ould</w:t>
            </w:r>
            <w:r w:rsidRPr="00F056B3">
              <w:rPr>
                <w:sz w:val="17"/>
                <w:szCs w:val="17"/>
              </w:rPr>
              <w:t xml:space="preserve"> disclose this as a positive amount. </w:t>
            </w:r>
            <w:r>
              <w:rPr>
                <w:sz w:val="17"/>
                <w:szCs w:val="17"/>
              </w:rPr>
              <w:t xml:space="preserve"> </w:t>
            </w:r>
            <w:r w:rsidRPr="00F056B3">
              <w:rPr>
                <w:sz w:val="17"/>
                <w:szCs w:val="17"/>
              </w:rPr>
              <w:t xml:space="preserve">If this adjustment leads to a decrease in exposure, </w:t>
            </w:r>
            <w:r>
              <w:rPr>
                <w:sz w:val="17"/>
                <w:szCs w:val="17"/>
              </w:rPr>
              <w:t>the AI</w:t>
            </w:r>
            <w:r w:rsidRPr="00F056B3">
              <w:rPr>
                <w:sz w:val="17"/>
                <w:szCs w:val="17"/>
              </w:rPr>
              <w:t xml:space="preserve"> sh</w:t>
            </w:r>
            <w:r>
              <w:rPr>
                <w:sz w:val="17"/>
                <w:szCs w:val="17"/>
              </w:rPr>
              <w:t>ould</w:t>
            </w:r>
            <w:r w:rsidRPr="00F056B3">
              <w:rPr>
                <w:sz w:val="17"/>
                <w:szCs w:val="17"/>
              </w:rPr>
              <w:t xml:space="preserve"> disclose this as a negative amount.</w:t>
            </w:r>
          </w:p>
        </w:tc>
      </w:tr>
      <w:tr w:rsidR="00545554" w:rsidRPr="003E1934"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647" w:type="dxa"/>
          </w:tcPr>
          <w:p w:rsidR="00545554" w:rsidRPr="003E170B" w:rsidRDefault="00545554" w:rsidP="00545554">
            <w:pPr>
              <w:keepLines/>
              <w:widowControl w:val="0"/>
              <w:tabs>
                <w:tab w:val="left" w:pos="150"/>
                <w:tab w:val="left" w:pos="397"/>
                <w:tab w:val="left" w:pos="794"/>
                <w:tab w:val="left" w:pos="1191"/>
              </w:tabs>
              <w:spacing w:before="40" w:after="40"/>
              <w:jc w:val="both"/>
              <w:rPr>
                <w:sz w:val="17"/>
                <w:szCs w:val="17"/>
              </w:rPr>
            </w:pPr>
            <w:r w:rsidRPr="003E170B">
              <w:rPr>
                <w:sz w:val="17"/>
                <w:szCs w:val="17"/>
              </w:rPr>
              <w:t xml:space="preserve">Any adjustments in relation to </w:t>
            </w:r>
            <w:r w:rsidRPr="00EE3F56">
              <w:rPr>
                <w:sz w:val="17"/>
                <w:szCs w:val="17"/>
              </w:rPr>
              <w:t xml:space="preserve">SFTs (i.e. repos and other similar secured lending) should be in line with the </w:t>
            </w:r>
            <w:r w:rsidRPr="003E170B">
              <w:rPr>
                <w:sz w:val="17"/>
                <w:szCs w:val="17"/>
              </w:rPr>
              <w:t>LR calculation methodology under Part 1C of the BCR.</w:t>
            </w:r>
            <w:r>
              <w:rPr>
                <w:sz w:val="17"/>
                <w:szCs w:val="17"/>
              </w:rPr>
              <w:t xml:space="preserve"> </w:t>
            </w:r>
            <w:r>
              <w:t xml:space="preserve"> </w:t>
            </w:r>
            <w:r w:rsidRPr="00F056B3">
              <w:rPr>
                <w:sz w:val="17"/>
                <w:szCs w:val="17"/>
              </w:rPr>
              <w:t xml:space="preserve">If this adjustment leads to an increase in the exposure, </w:t>
            </w:r>
            <w:r>
              <w:rPr>
                <w:sz w:val="17"/>
                <w:szCs w:val="17"/>
              </w:rPr>
              <w:t>an AI</w:t>
            </w:r>
            <w:r w:rsidRPr="00F056B3">
              <w:rPr>
                <w:sz w:val="17"/>
                <w:szCs w:val="17"/>
              </w:rPr>
              <w:t xml:space="preserve"> sh</w:t>
            </w:r>
            <w:r>
              <w:rPr>
                <w:sz w:val="17"/>
                <w:szCs w:val="17"/>
              </w:rPr>
              <w:t>ould</w:t>
            </w:r>
            <w:r w:rsidRPr="00F056B3">
              <w:rPr>
                <w:sz w:val="17"/>
                <w:szCs w:val="17"/>
              </w:rPr>
              <w:t xml:space="preserve"> disclose this as a positive amount. </w:t>
            </w:r>
            <w:r>
              <w:rPr>
                <w:sz w:val="17"/>
                <w:szCs w:val="17"/>
              </w:rPr>
              <w:t xml:space="preserve"> </w:t>
            </w:r>
            <w:r w:rsidRPr="00F056B3">
              <w:rPr>
                <w:sz w:val="17"/>
                <w:szCs w:val="17"/>
              </w:rPr>
              <w:t xml:space="preserve">If this adjustment leads to a decrease in exposure, </w:t>
            </w:r>
            <w:r>
              <w:rPr>
                <w:sz w:val="17"/>
                <w:szCs w:val="17"/>
              </w:rPr>
              <w:t>the AI</w:t>
            </w:r>
            <w:r w:rsidRPr="00F056B3">
              <w:rPr>
                <w:sz w:val="17"/>
                <w:szCs w:val="17"/>
              </w:rPr>
              <w:t xml:space="preserve"> sh</w:t>
            </w:r>
            <w:r>
              <w:rPr>
                <w:sz w:val="17"/>
                <w:szCs w:val="17"/>
              </w:rPr>
              <w:t>ould</w:t>
            </w:r>
            <w:r w:rsidRPr="00F056B3">
              <w:rPr>
                <w:sz w:val="17"/>
                <w:szCs w:val="17"/>
              </w:rPr>
              <w:t xml:space="preserve"> disclose this as a negative amount.</w:t>
            </w:r>
          </w:p>
        </w:tc>
      </w:tr>
      <w:tr w:rsidR="00545554" w:rsidRPr="00EE0F5D"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647" w:type="dxa"/>
          </w:tcPr>
          <w:p w:rsidR="00EC57C8" w:rsidRPr="003E1934" w:rsidRDefault="00545554" w:rsidP="003472A0">
            <w:pPr>
              <w:keepLines/>
              <w:widowControl w:val="0"/>
              <w:tabs>
                <w:tab w:val="left" w:pos="150"/>
                <w:tab w:val="left" w:pos="397"/>
                <w:tab w:val="left" w:pos="794"/>
                <w:tab w:val="left" w:pos="1191"/>
              </w:tabs>
              <w:spacing w:before="40" w:after="40"/>
              <w:jc w:val="both"/>
              <w:rPr>
                <w:sz w:val="17"/>
                <w:szCs w:val="17"/>
              </w:rPr>
            </w:pPr>
            <w:r w:rsidRPr="002D3030">
              <w:rPr>
                <w:sz w:val="17"/>
                <w:szCs w:val="17"/>
              </w:rPr>
              <w:t>Aggregates of the credit equivalent amount of OBS exposures, as</w:t>
            </w:r>
            <w:r>
              <w:rPr>
                <w:sz w:val="17"/>
                <w:szCs w:val="17"/>
              </w:rPr>
              <w:t xml:space="preserve"> </w:t>
            </w:r>
            <w:r w:rsidRPr="002D3030">
              <w:rPr>
                <w:sz w:val="17"/>
                <w:szCs w:val="17"/>
              </w:rPr>
              <w:t xml:space="preserve">converted under the </w:t>
            </w:r>
            <w:r>
              <w:rPr>
                <w:sz w:val="17"/>
                <w:szCs w:val="17"/>
              </w:rPr>
              <w:t>STC</w:t>
            </w:r>
            <w:r w:rsidRPr="002D3030">
              <w:rPr>
                <w:sz w:val="17"/>
                <w:szCs w:val="17"/>
              </w:rPr>
              <w:t xml:space="preserve"> approach under the BCR,</w:t>
            </w:r>
            <w:r>
              <w:rPr>
                <w:sz w:val="17"/>
                <w:szCs w:val="17"/>
              </w:rPr>
              <w:t xml:space="preserve"> </w:t>
            </w:r>
            <w:r w:rsidRPr="002D3030">
              <w:rPr>
                <w:sz w:val="17"/>
                <w:szCs w:val="17"/>
              </w:rPr>
              <w:t>subject to a floor of 10%, through the use of credit conversion factors</w:t>
            </w:r>
            <w:r>
              <w:rPr>
                <w:sz w:val="17"/>
                <w:szCs w:val="17"/>
              </w:rPr>
              <w:t xml:space="preserve"> </w:t>
            </w:r>
            <w:r w:rsidRPr="002D3030">
              <w:rPr>
                <w:sz w:val="17"/>
                <w:szCs w:val="17"/>
              </w:rPr>
              <w:t xml:space="preserve">(“CCFs”). </w:t>
            </w:r>
            <w:r>
              <w:rPr>
                <w:sz w:val="17"/>
                <w:szCs w:val="17"/>
              </w:rPr>
              <w:t xml:space="preserve"> </w:t>
            </w:r>
            <w:r w:rsidRPr="002D3030">
              <w:rPr>
                <w:sz w:val="17"/>
                <w:szCs w:val="17"/>
              </w:rPr>
              <w:t>For details of the OBS exposures and their applicable CCFs,</w:t>
            </w:r>
            <w:r>
              <w:rPr>
                <w:sz w:val="17"/>
                <w:szCs w:val="17"/>
              </w:rPr>
              <w:t xml:space="preserve"> </w:t>
            </w:r>
            <w:r w:rsidRPr="002D3030">
              <w:rPr>
                <w:sz w:val="17"/>
                <w:szCs w:val="17"/>
              </w:rPr>
              <w:t>please refer to</w:t>
            </w:r>
            <w:r>
              <w:rPr>
                <w:sz w:val="17"/>
                <w:szCs w:val="17"/>
              </w:rPr>
              <w:t xml:space="preserve"> the LR calculation methodology under </w:t>
            </w:r>
            <w:r w:rsidRPr="003E170B">
              <w:rPr>
                <w:sz w:val="17"/>
                <w:szCs w:val="17"/>
              </w:rPr>
              <w:t>Part 1C</w:t>
            </w:r>
            <w:r>
              <w:rPr>
                <w:sz w:val="17"/>
                <w:szCs w:val="17"/>
              </w:rPr>
              <w:t xml:space="preserve"> of the BCR</w:t>
            </w:r>
            <w:r w:rsidRPr="002D3030">
              <w:rPr>
                <w:sz w:val="17"/>
                <w:szCs w:val="17"/>
              </w:rPr>
              <w:t>.</w:t>
            </w:r>
          </w:p>
        </w:tc>
      </w:tr>
      <w:tr w:rsidR="00C24CB0" w:rsidRPr="00EE0F5D" w:rsidTr="00545554">
        <w:trPr>
          <w:trHeight w:val="373"/>
        </w:trPr>
        <w:tc>
          <w:tcPr>
            <w:tcW w:w="567" w:type="dxa"/>
          </w:tcPr>
          <w:p w:rsidR="00C24CB0" w:rsidRDefault="00C24CB0"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6a</w:t>
            </w:r>
          </w:p>
        </w:tc>
        <w:tc>
          <w:tcPr>
            <w:tcW w:w="8647" w:type="dxa"/>
          </w:tcPr>
          <w:p w:rsidR="00C24CB0" w:rsidRDefault="003472A0" w:rsidP="003472A0">
            <w:pPr>
              <w:keepLines/>
              <w:widowControl w:val="0"/>
              <w:tabs>
                <w:tab w:val="left" w:pos="150"/>
                <w:tab w:val="left" w:pos="397"/>
                <w:tab w:val="left" w:pos="794"/>
                <w:tab w:val="left" w:pos="1191"/>
              </w:tabs>
              <w:spacing w:before="40" w:after="40"/>
              <w:jc w:val="both"/>
              <w:rPr>
                <w:sz w:val="17"/>
                <w:szCs w:val="17"/>
              </w:rPr>
            </w:pPr>
            <w:r>
              <w:rPr>
                <w:sz w:val="17"/>
                <w:szCs w:val="17"/>
              </w:rPr>
              <w:t>Adjustment for specific</w:t>
            </w:r>
            <w:r w:rsidR="00E70C18">
              <w:rPr>
                <w:sz w:val="17"/>
                <w:szCs w:val="17"/>
              </w:rPr>
              <w:t xml:space="preserve"> and</w:t>
            </w:r>
            <w:r>
              <w:rPr>
                <w:sz w:val="17"/>
                <w:szCs w:val="17"/>
              </w:rPr>
              <w:t xml:space="preserve"> </w:t>
            </w:r>
            <w:r w:rsidR="00E70C18">
              <w:rPr>
                <w:sz w:val="17"/>
                <w:szCs w:val="17"/>
              </w:rPr>
              <w:t xml:space="preserve">collective </w:t>
            </w:r>
            <w:r>
              <w:rPr>
                <w:sz w:val="17"/>
                <w:szCs w:val="17"/>
              </w:rPr>
              <w:t>provisions which have reduced Tier 1 capital.  This adjustment reduces the LR exposure measure by the amount of provisions that have reduced Tier 1 capital, which should be reported as a negative amount.</w:t>
            </w:r>
          </w:p>
          <w:p w:rsidR="003472A0" w:rsidRPr="002D3030" w:rsidRDefault="003472A0" w:rsidP="00CC76C9">
            <w:pPr>
              <w:keepLines/>
              <w:widowControl w:val="0"/>
              <w:tabs>
                <w:tab w:val="left" w:pos="150"/>
                <w:tab w:val="left" w:pos="397"/>
                <w:tab w:val="left" w:pos="794"/>
                <w:tab w:val="left" w:pos="1191"/>
              </w:tabs>
              <w:spacing w:before="40" w:after="40"/>
              <w:jc w:val="both"/>
              <w:rPr>
                <w:sz w:val="17"/>
                <w:szCs w:val="17"/>
              </w:rPr>
            </w:pPr>
            <w:r>
              <w:rPr>
                <w:sz w:val="17"/>
                <w:szCs w:val="17"/>
              </w:rPr>
              <w:t xml:space="preserve">Where specific and collective provisions are set aside against OBS exposures that have an effect to decrease Tier </w:t>
            </w:r>
            <w:r>
              <w:rPr>
                <w:sz w:val="17"/>
                <w:szCs w:val="17"/>
              </w:rPr>
              <w:lastRenderedPageBreak/>
              <w:t xml:space="preserve">1 capital, such provision amounts may be deducted from the credit equivalent amount of the exposures and in turn </w:t>
            </w:r>
            <w:r w:rsidR="00CC76C9">
              <w:rPr>
                <w:sz w:val="17"/>
                <w:szCs w:val="17"/>
              </w:rPr>
              <w:t>reported in</w:t>
            </w:r>
            <w:r>
              <w:rPr>
                <w:sz w:val="17"/>
                <w:szCs w:val="17"/>
              </w:rPr>
              <w:t xml:space="preserve"> this row.  However, the resulting total credit equivalent amount for OBS exposures cannot be less than zero.</w:t>
            </w:r>
          </w:p>
        </w:tc>
      </w:tr>
      <w:tr w:rsidR="00545554" w:rsidRPr="003E1934"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7</w:t>
            </w:r>
          </w:p>
        </w:tc>
        <w:tc>
          <w:tcPr>
            <w:tcW w:w="8647" w:type="dxa"/>
          </w:tcPr>
          <w:p w:rsidR="00545554" w:rsidRPr="003E1934" w:rsidRDefault="00545554" w:rsidP="00583828">
            <w:pPr>
              <w:keepLines/>
              <w:widowControl w:val="0"/>
              <w:tabs>
                <w:tab w:val="left" w:pos="150"/>
                <w:tab w:val="left" w:pos="397"/>
                <w:tab w:val="left" w:pos="794"/>
                <w:tab w:val="left" w:pos="1191"/>
              </w:tabs>
              <w:spacing w:before="40" w:after="40"/>
              <w:jc w:val="both"/>
              <w:rPr>
                <w:sz w:val="17"/>
                <w:szCs w:val="17"/>
              </w:rPr>
            </w:pPr>
            <w:r w:rsidRPr="002D3030">
              <w:rPr>
                <w:sz w:val="17"/>
                <w:szCs w:val="17"/>
              </w:rPr>
              <w:t>Any other adjustments that are necessary for the reconciliation but not included in rows 1 to 6</w:t>
            </w:r>
            <w:r w:rsidR="003472A0">
              <w:rPr>
                <w:sz w:val="17"/>
                <w:szCs w:val="17"/>
              </w:rPr>
              <w:t>a</w:t>
            </w:r>
            <w:r w:rsidRPr="002D3030">
              <w:rPr>
                <w:sz w:val="17"/>
                <w:szCs w:val="17"/>
              </w:rPr>
              <w:t xml:space="preserve"> above. </w:t>
            </w:r>
            <w:r>
              <w:rPr>
                <w:sz w:val="17"/>
                <w:szCs w:val="17"/>
              </w:rPr>
              <w:t xml:space="preserve"> </w:t>
            </w:r>
            <w:r w:rsidRPr="002D3030">
              <w:rPr>
                <w:sz w:val="17"/>
                <w:szCs w:val="17"/>
              </w:rPr>
              <w:t xml:space="preserve">These may include adjustments in relation to any items that are deducted from Tier 1 capital under the risk-based capital framework in accordance with BCR </w:t>
            </w:r>
            <w:r w:rsidRPr="009D7102">
              <w:rPr>
                <w:sz w:val="17"/>
                <w:szCs w:val="17"/>
              </w:rPr>
              <w:t>§</w:t>
            </w:r>
            <w:r w:rsidRPr="002D3030">
              <w:rPr>
                <w:sz w:val="17"/>
                <w:szCs w:val="17"/>
              </w:rPr>
              <w:t xml:space="preserve">38(2), </w:t>
            </w:r>
            <w:r w:rsidRPr="009D7102">
              <w:rPr>
                <w:sz w:val="17"/>
                <w:szCs w:val="17"/>
              </w:rPr>
              <w:t>§</w:t>
            </w:r>
            <w:r w:rsidRPr="002D3030">
              <w:rPr>
                <w:sz w:val="17"/>
                <w:szCs w:val="17"/>
              </w:rPr>
              <w:t xml:space="preserve">43 and </w:t>
            </w:r>
            <w:r w:rsidRPr="009D7102">
              <w:rPr>
                <w:sz w:val="17"/>
                <w:szCs w:val="17"/>
              </w:rPr>
              <w:t>§</w:t>
            </w:r>
            <w:r w:rsidRPr="002D3030">
              <w:rPr>
                <w:sz w:val="17"/>
                <w:szCs w:val="17"/>
              </w:rPr>
              <w:t xml:space="preserve">47, but are not already excluded from the calculation of the LR exposure measure. </w:t>
            </w:r>
            <w:r>
              <w:rPr>
                <w:sz w:val="17"/>
                <w:szCs w:val="17"/>
              </w:rPr>
              <w:t xml:space="preserve"> </w:t>
            </w:r>
            <w:r w:rsidRPr="002D3030">
              <w:rPr>
                <w:sz w:val="17"/>
                <w:szCs w:val="17"/>
              </w:rPr>
              <w:t>For a note-issuing bank</w:t>
            </w:r>
            <w:r w:rsidRPr="00AA3ECD">
              <w:rPr>
                <w:sz w:val="17"/>
                <w:szCs w:val="17"/>
              </w:rPr>
              <w:t xml:space="preserve"> as defined </w:t>
            </w:r>
            <w:r>
              <w:rPr>
                <w:sz w:val="17"/>
                <w:szCs w:val="17"/>
              </w:rPr>
              <w:t>under</w:t>
            </w:r>
            <w:r w:rsidRPr="00AA3ECD">
              <w:rPr>
                <w:sz w:val="17"/>
                <w:szCs w:val="17"/>
              </w:rPr>
              <w:t xml:space="preserve"> the Legal Tender Notes Issue Ordinance (Cap</w:t>
            </w:r>
            <w:r>
              <w:rPr>
                <w:sz w:val="17"/>
                <w:szCs w:val="17"/>
              </w:rPr>
              <w:t>.</w:t>
            </w:r>
            <w:r w:rsidRPr="00AA3ECD">
              <w:rPr>
                <w:sz w:val="17"/>
                <w:szCs w:val="17"/>
              </w:rPr>
              <w:t xml:space="preserve"> 65)</w:t>
            </w:r>
            <w:r w:rsidRPr="002D3030">
              <w:rPr>
                <w:sz w:val="17"/>
                <w:szCs w:val="17"/>
              </w:rPr>
              <w:t xml:space="preserve">, the adjustments </w:t>
            </w:r>
            <w:r>
              <w:rPr>
                <w:sz w:val="17"/>
                <w:szCs w:val="17"/>
              </w:rPr>
              <w:t>should</w:t>
            </w:r>
            <w:r w:rsidRPr="002D3030">
              <w:rPr>
                <w:sz w:val="17"/>
                <w:szCs w:val="17"/>
              </w:rPr>
              <w:t xml:space="preserve"> also include any certificates of indebtedness issued under the Exchange Fund Ordinance</w:t>
            </w:r>
            <w:r w:rsidRPr="00AA3ECD">
              <w:rPr>
                <w:sz w:val="17"/>
                <w:szCs w:val="17"/>
              </w:rPr>
              <w:t xml:space="preserve"> (Cap</w:t>
            </w:r>
            <w:r>
              <w:rPr>
                <w:sz w:val="17"/>
                <w:szCs w:val="17"/>
              </w:rPr>
              <w:t>.</w:t>
            </w:r>
            <w:r w:rsidRPr="00AA3ECD">
              <w:rPr>
                <w:sz w:val="17"/>
                <w:szCs w:val="17"/>
              </w:rPr>
              <w:t xml:space="preserve"> 6</w:t>
            </w:r>
            <w:r>
              <w:rPr>
                <w:sz w:val="17"/>
                <w:szCs w:val="17"/>
              </w:rPr>
              <w:t>6</w:t>
            </w:r>
            <w:r w:rsidRPr="00AA3ECD">
              <w:rPr>
                <w:sz w:val="17"/>
                <w:szCs w:val="17"/>
              </w:rPr>
              <w:t>)</w:t>
            </w:r>
            <w:r w:rsidRPr="002D3030">
              <w:rPr>
                <w:sz w:val="17"/>
                <w:szCs w:val="17"/>
              </w:rPr>
              <w:t xml:space="preserve"> and held by it as cover for legal tender notes issued.</w:t>
            </w:r>
          </w:p>
        </w:tc>
      </w:tr>
      <w:tr w:rsidR="00545554" w:rsidRPr="003E1934"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647" w:type="dxa"/>
          </w:tcPr>
          <w:p w:rsidR="00545554" w:rsidRPr="003E1934" w:rsidRDefault="00545554" w:rsidP="005E25C4">
            <w:pPr>
              <w:keepLines/>
              <w:widowControl w:val="0"/>
              <w:tabs>
                <w:tab w:val="left" w:pos="150"/>
                <w:tab w:val="left" w:pos="397"/>
                <w:tab w:val="left" w:pos="794"/>
                <w:tab w:val="left" w:pos="1191"/>
              </w:tabs>
              <w:spacing w:before="40" w:after="40"/>
              <w:jc w:val="both"/>
              <w:rPr>
                <w:sz w:val="17"/>
                <w:szCs w:val="17"/>
              </w:rPr>
            </w:pPr>
            <w:r w:rsidRPr="002D3030">
              <w:rPr>
                <w:sz w:val="17"/>
                <w:szCs w:val="17"/>
              </w:rPr>
              <w:t xml:space="preserve">The LR exposure, which should be the sum of rows 1 to 7 above, should be consistent with the total exposures amount reported in </w:t>
            </w:r>
            <w:r>
              <w:rPr>
                <w:sz w:val="17"/>
                <w:szCs w:val="17"/>
              </w:rPr>
              <w:t>[LR2:</w:t>
            </w:r>
            <w:r w:rsidRPr="002D3030">
              <w:rPr>
                <w:sz w:val="17"/>
                <w:szCs w:val="17"/>
              </w:rPr>
              <w:t xml:space="preserve"> 21</w:t>
            </w:r>
            <w:r>
              <w:rPr>
                <w:sz w:val="17"/>
                <w:szCs w:val="17"/>
              </w:rPr>
              <w:t>/a]</w:t>
            </w:r>
            <w:r w:rsidRPr="002D3030">
              <w:rPr>
                <w:sz w:val="17"/>
                <w:szCs w:val="17"/>
              </w:rPr>
              <w:t>.</w:t>
            </w:r>
            <w:r w:rsidRPr="003E1934">
              <w:rPr>
                <w:sz w:val="17"/>
                <w:szCs w:val="17"/>
              </w:rPr>
              <w:t xml:space="preserve"> </w:t>
            </w:r>
          </w:p>
        </w:tc>
      </w:tr>
    </w:tbl>
    <w:p w:rsidR="00545554" w:rsidRDefault="00545554" w:rsidP="00545554">
      <w:pPr>
        <w:spacing w:before="120" w:after="120"/>
        <w:ind w:leftChars="-283" w:left="-566"/>
        <w:rPr>
          <w:sz w:val="22"/>
        </w:rPr>
      </w:pPr>
    </w:p>
    <w:p w:rsidR="00545554" w:rsidRDefault="00545554" w:rsidP="003F0A7B">
      <w:pPr>
        <w:pStyle w:val="Heading1"/>
        <w:tabs>
          <w:tab w:val="clear" w:pos="794"/>
          <w:tab w:val="left" w:pos="426"/>
        </w:tabs>
        <w:spacing w:before="0"/>
        <w:ind w:leftChars="-283" w:left="-566"/>
        <w:sectPr w:rsidR="00545554">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LR2</w:t>
            </w:r>
            <w:r w:rsidRPr="0023654F">
              <w:rPr>
                <w:sz w:val="22"/>
              </w:rPr>
              <w:t xml:space="preserve">: </w:t>
            </w:r>
            <w:r>
              <w:rPr>
                <w:sz w:val="22"/>
              </w:rPr>
              <w:t>Leverage ratio (“LR”)</w:t>
            </w:r>
          </w:p>
        </w:tc>
      </w:tr>
      <w:tr w:rsidR="00545554" w:rsidRPr="0046600C"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E32201" w:rsidRDefault="00545554" w:rsidP="00545554">
            <w:pPr>
              <w:pStyle w:val="TableText"/>
              <w:jc w:val="both"/>
              <w:rPr>
                <w:szCs w:val="17"/>
              </w:rPr>
            </w:pPr>
            <w:r w:rsidRPr="0023654F">
              <w:rPr>
                <w:lang w:eastAsia="en-GB"/>
              </w:rPr>
              <w:t>T</w:t>
            </w:r>
            <w:r>
              <w:rPr>
                <w:lang w:eastAsia="en-GB"/>
              </w:rPr>
              <w:t>o</w:t>
            </w:r>
            <w:r w:rsidRPr="0023654F">
              <w:rPr>
                <w:lang w:eastAsia="en-GB"/>
              </w:rPr>
              <w:t xml:space="preserve"> </w:t>
            </w:r>
            <w:r>
              <w:rPr>
                <w:lang w:eastAsia="en-GB"/>
              </w:rPr>
              <w:t>p</w:t>
            </w:r>
            <w:r>
              <w:rPr>
                <w:szCs w:val="17"/>
              </w:rPr>
              <w:t>rovide a detailed breakdown of the components of the LR denominator.</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46600C" w:rsidRDefault="00545554" w:rsidP="00545554">
            <w:pPr>
              <w:pStyle w:val="TableText"/>
              <w:jc w:val="both"/>
              <w:rPr>
                <w:rFonts w:eastAsiaTheme="minorEastAsia"/>
                <w:b/>
                <w:lang w:val="en-US" w:eastAsia="en-GB"/>
              </w:rPr>
            </w:pPr>
            <w:r>
              <w:rPr>
                <w:szCs w:val="17"/>
              </w:rPr>
              <w:t xml:space="preserve">The template is mandatory for all AIs incorporated in Hong Kong.  The LR framework should follow the same scope of regulatory consolidation as the risk-based capital framework (i.e. solo basis, solo-consolidated basis, and/or consolidated basis as specified by the MA under BCR </w:t>
            </w:r>
            <w:r w:rsidRPr="005425B4">
              <w:rPr>
                <w:rFonts w:cs="Segoe UI"/>
                <w:szCs w:val="17"/>
              </w:rPr>
              <w:t>§</w:t>
            </w:r>
            <w:r>
              <w:rPr>
                <w:szCs w:val="17"/>
              </w:rPr>
              <w:t>3C).</w:t>
            </w:r>
          </w:p>
        </w:tc>
      </w:tr>
      <w:tr w:rsidR="00545554" w:rsidRPr="004B58B9"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295C4D" w:rsidRPr="00EB5F6A" w:rsidRDefault="00545554" w:rsidP="00545554">
            <w:pPr>
              <w:pStyle w:val="TableText"/>
              <w:jc w:val="both"/>
              <w:rPr>
                <w:szCs w:val="17"/>
              </w:rPr>
            </w:pPr>
            <w:r>
              <w:rPr>
                <w:szCs w:val="17"/>
              </w:rPr>
              <w:t xml:space="preserve">Quantitative information.  </w:t>
            </w:r>
            <w:r w:rsidRPr="00760A22">
              <w:rPr>
                <w:szCs w:val="17"/>
              </w:rPr>
              <w:t>Where an AI has a reporting date for disclosure (e.g. end-April, end-October) that does not fall on the same position date for the Return o</w:t>
            </w:r>
            <w:r>
              <w:rPr>
                <w:szCs w:val="17"/>
              </w:rPr>
              <w:t>f</w:t>
            </w:r>
            <w:r w:rsidRPr="00760A22">
              <w:rPr>
                <w:szCs w:val="17"/>
              </w:rPr>
              <w:t xml:space="preserve"> </w:t>
            </w:r>
            <w:r>
              <w:rPr>
                <w:szCs w:val="17"/>
              </w:rPr>
              <w:t>Leverage</w:t>
            </w:r>
            <w:r w:rsidRPr="00760A22">
              <w:rPr>
                <w:szCs w:val="17"/>
              </w:rPr>
              <w:t xml:space="preserve"> Ratio (MA(BS)</w:t>
            </w:r>
            <w:r>
              <w:rPr>
                <w:szCs w:val="17"/>
              </w:rPr>
              <w:t>27</w:t>
            </w:r>
            <w:r w:rsidRPr="00760A22">
              <w:rPr>
                <w:szCs w:val="17"/>
              </w:rPr>
              <w:t>) (i.e. end-March, end-June, end-September, end-December), the AI should disclose this template based on its own reporting date.  In such circumstance, the calculation basis of values disclosed in this template should, however, follow the same calculation basis used for the return.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pStyle w:val="TableText"/>
              <w:jc w:val="both"/>
              <w:rPr>
                <w:lang w:eastAsia="en-GB"/>
              </w:rPr>
            </w:pPr>
            <w:r>
              <w:rPr>
                <w:lang w:eastAsia="en-GB"/>
              </w:rPr>
              <w:t>Quarterly.</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sidRPr="0023654F">
              <w:rPr>
                <w:lang w:eastAsia="en-GB"/>
              </w:rPr>
              <w:t>Fixed.</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AC37F2" w:rsidRDefault="00545554" w:rsidP="00545554">
            <w:pPr>
              <w:pStyle w:val="TableText"/>
              <w:jc w:val="both"/>
              <w:rPr>
                <w:noProof/>
                <w:szCs w:val="17"/>
                <w:lang w:eastAsia="en-GB"/>
              </w:rPr>
            </w:pPr>
            <w:r w:rsidRPr="00AC37F2">
              <w:rPr>
                <w:szCs w:val="17"/>
                <w:lang w:eastAsia="en-GB"/>
              </w:rPr>
              <w:t xml:space="preserve">An AI </w:t>
            </w:r>
            <w:r>
              <w:rPr>
                <w:szCs w:val="17"/>
                <w:lang w:eastAsia="en-GB"/>
              </w:rPr>
              <w:t>s</w:t>
            </w:r>
            <w:r>
              <w:rPr>
                <w:szCs w:val="17"/>
              </w:rPr>
              <w:t>hould describe the key factors that have had a material impact on the LR at the end of the current reporting period compared to the end of the preceding reporting period.</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Pr="00AC37F2" w:rsidRDefault="00545554" w:rsidP="00CB1E42">
            <w:pPr>
              <w:pStyle w:val="TableText"/>
              <w:jc w:val="both"/>
              <w:rPr>
                <w:szCs w:val="17"/>
                <w:lang w:eastAsia="en-GB"/>
              </w:rPr>
            </w:pPr>
            <w:r w:rsidRPr="001B530B">
              <w:rPr>
                <w:szCs w:val="17"/>
                <w:lang w:eastAsia="en-GB"/>
              </w:rPr>
              <w:t>16FI</w:t>
            </w:r>
          </w:p>
        </w:tc>
      </w:tr>
    </w:tbl>
    <w:p w:rsidR="00545554" w:rsidRDefault="00545554" w:rsidP="00545554">
      <w:pPr>
        <w:rPr>
          <w:sz w:val="22"/>
        </w:rPr>
      </w:pP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67"/>
        <w:gridCol w:w="6237"/>
        <w:gridCol w:w="1205"/>
        <w:gridCol w:w="1205"/>
      </w:tblGrid>
      <w:tr w:rsidR="00545554" w:rsidRPr="0023654F" w:rsidTr="00545554">
        <w:trPr>
          <w:trHeight w:val="150"/>
          <w:tblHeader/>
        </w:trPr>
        <w:tc>
          <w:tcPr>
            <w:tcW w:w="6804" w:type="dxa"/>
            <w:gridSpan w:val="2"/>
            <w:tcBorders>
              <w:top w:val="nil"/>
              <w:left w:val="nil"/>
              <w:bottom w:val="nil"/>
              <w:right w:val="single" w:sz="4" w:space="0" w:color="auto"/>
            </w:tcBorders>
            <w:shd w:val="clear" w:color="auto" w:fill="auto"/>
            <w:vAlign w:val="center"/>
          </w:tcPr>
          <w:p w:rsidR="00545554" w:rsidRDefault="00545554" w:rsidP="00545554">
            <w:pPr>
              <w:pStyle w:val="Default"/>
              <w:rPr>
                <w:b/>
                <w:bCs/>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auto" w:fill="auto"/>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a</w:t>
            </w:r>
            <w:r>
              <w:rPr>
                <w:bCs/>
                <w:lang w:eastAsia="it-IT"/>
              </w:rPr>
              <w:t>)</w:t>
            </w:r>
          </w:p>
        </w:tc>
        <w:tc>
          <w:tcPr>
            <w:tcW w:w="1205" w:type="dxa"/>
            <w:tcBorders>
              <w:top w:val="single" w:sz="6" w:space="0" w:color="auto"/>
              <w:left w:val="single" w:sz="6" w:space="0" w:color="auto"/>
              <w:bottom w:val="single" w:sz="6" w:space="0" w:color="auto"/>
              <w:right w:val="single" w:sz="4" w:space="0" w:color="auto"/>
            </w:tcBorders>
            <w:shd w:val="clear" w:color="auto" w:fill="auto"/>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b</w:t>
            </w:r>
            <w:r>
              <w:rPr>
                <w:bCs/>
                <w:lang w:eastAsia="it-IT"/>
              </w:rPr>
              <w:t>)</w:t>
            </w:r>
          </w:p>
        </w:tc>
      </w:tr>
      <w:tr w:rsidR="00545554" w:rsidRPr="0023654F" w:rsidTr="00545554">
        <w:trPr>
          <w:trHeight w:val="150"/>
          <w:tblHeader/>
        </w:trPr>
        <w:tc>
          <w:tcPr>
            <w:tcW w:w="6804" w:type="dxa"/>
            <w:gridSpan w:val="2"/>
            <w:tcBorders>
              <w:top w:val="nil"/>
              <w:left w:val="nil"/>
              <w:bottom w:val="nil"/>
              <w:right w:val="single" w:sz="4" w:space="0" w:color="auto"/>
            </w:tcBorders>
            <w:shd w:val="clear" w:color="auto" w:fill="auto"/>
            <w:vAlign w:val="center"/>
          </w:tcPr>
          <w:p w:rsidR="00545554" w:rsidRDefault="00545554" w:rsidP="00545554">
            <w:pPr>
              <w:pStyle w:val="Default"/>
              <w:rPr>
                <w:b/>
                <w:bCs/>
                <w:sz w:val="20"/>
                <w:szCs w:val="20"/>
              </w:rPr>
            </w:pPr>
          </w:p>
        </w:tc>
        <w:tc>
          <w:tcPr>
            <w:tcW w:w="2410" w:type="dxa"/>
            <w:gridSpan w:val="2"/>
            <w:tcBorders>
              <w:top w:val="single" w:sz="6" w:space="0" w:color="auto"/>
              <w:left w:val="single" w:sz="6" w:space="0" w:color="auto"/>
              <w:bottom w:val="single" w:sz="6" w:space="0" w:color="auto"/>
              <w:right w:val="single" w:sz="4" w:space="0" w:color="auto"/>
            </w:tcBorders>
            <w:shd w:val="clear" w:color="auto" w:fill="auto"/>
            <w:vAlign w:val="center"/>
          </w:tcPr>
          <w:p w:rsidR="00545554" w:rsidRDefault="00545554" w:rsidP="00545554">
            <w:pPr>
              <w:pStyle w:val="TableText"/>
              <w:snapToGrid w:val="0"/>
              <w:jc w:val="center"/>
              <w:rPr>
                <w:bCs/>
                <w:lang w:eastAsia="it-IT"/>
              </w:rPr>
            </w:pPr>
            <w:r>
              <w:rPr>
                <w:bCs/>
                <w:lang w:eastAsia="it-IT"/>
              </w:rPr>
              <w:t>HK$ equivalent</w:t>
            </w:r>
          </w:p>
        </w:tc>
      </w:tr>
      <w:tr w:rsidR="00545554" w:rsidRPr="0023654F" w:rsidTr="00545554">
        <w:trPr>
          <w:trHeight w:val="48"/>
          <w:tblHeader/>
        </w:trPr>
        <w:tc>
          <w:tcPr>
            <w:tcW w:w="6804" w:type="dxa"/>
            <w:gridSpan w:val="2"/>
            <w:tcBorders>
              <w:top w:val="nil"/>
              <w:left w:val="nil"/>
              <w:bottom w:val="single" w:sz="6" w:space="0" w:color="auto"/>
              <w:right w:val="single" w:sz="6" w:space="0" w:color="auto"/>
            </w:tcBorders>
            <w:shd w:val="clear" w:color="auto" w:fill="auto"/>
            <w:vAlign w:val="center"/>
          </w:tcPr>
          <w:p w:rsidR="00545554" w:rsidRPr="00E960C4" w:rsidRDefault="00545554" w:rsidP="00545554">
            <w:pPr>
              <w:pStyle w:val="TableText"/>
              <w:snapToGrid w:val="0"/>
              <w:rPr>
                <w:lang w:val="en-US" w:eastAsia="it-IT"/>
              </w:rPr>
            </w:pPr>
          </w:p>
        </w:tc>
        <w:tc>
          <w:tcPr>
            <w:tcW w:w="1205" w:type="dxa"/>
            <w:tcBorders>
              <w:top w:val="single" w:sz="6" w:space="0" w:color="auto"/>
              <w:left w:val="single" w:sz="6" w:space="0" w:color="auto"/>
              <w:bottom w:val="single" w:sz="6" w:space="0" w:color="auto"/>
              <w:right w:val="single" w:sz="6" w:space="0" w:color="auto"/>
            </w:tcBorders>
            <w:shd w:val="clear" w:color="auto" w:fill="auto"/>
            <w:vAlign w:val="center"/>
          </w:tcPr>
          <w:p w:rsidR="00545554" w:rsidRPr="00300AEF" w:rsidRDefault="00545554" w:rsidP="00545554">
            <w:pPr>
              <w:pStyle w:val="TableText"/>
              <w:snapToGrid w:val="0"/>
              <w:jc w:val="center"/>
              <w:rPr>
                <w:bCs/>
                <w:lang w:eastAsia="it-IT"/>
              </w:rPr>
            </w:pPr>
            <w:r w:rsidRPr="00300AEF">
              <w:rPr>
                <w:bCs/>
                <w:lang w:eastAsia="it-IT"/>
              </w:rPr>
              <w:t>T</w:t>
            </w:r>
          </w:p>
        </w:tc>
        <w:tc>
          <w:tcPr>
            <w:tcW w:w="1205" w:type="dxa"/>
            <w:tcBorders>
              <w:top w:val="single" w:sz="6" w:space="0" w:color="auto"/>
              <w:left w:val="single" w:sz="6" w:space="0" w:color="auto"/>
              <w:bottom w:val="single" w:sz="6" w:space="0" w:color="auto"/>
              <w:right w:val="single" w:sz="4" w:space="0" w:color="auto"/>
            </w:tcBorders>
            <w:shd w:val="clear" w:color="auto" w:fill="auto"/>
            <w:vAlign w:val="center"/>
          </w:tcPr>
          <w:p w:rsidR="00545554" w:rsidRPr="00300AEF" w:rsidRDefault="00545554" w:rsidP="00545554">
            <w:pPr>
              <w:pStyle w:val="TableText"/>
              <w:snapToGrid w:val="0"/>
              <w:jc w:val="center"/>
              <w:rPr>
                <w:bCs/>
                <w:lang w:eastAsia="it-IT"/>
              </w:rPr>
            </w:pPr>
            <w:r w:rsidRPr="00300AEF">
              <w:rPr>
                <w:bCs/>
                <w:lang w:eastAsia="it-IT"/>
              </w:rPr>
              <w:t>T-1</w:t>
            </w:r>
          </w:p>
        </w:tc>
      </w:tr>
      <w:tr w:rsidR="00545554" w:rsidRPr="0023654F" w:rsidTr="00545554">
        <w:trPr>
          <w:cantSplit/>
          <w:trHeight w:val="285"/>
        </w:trPr>
        <w:tc>
          <w:tcPr>
            <w:tcW w:w="6804" w:type="dxa"/>
            <w:gridSpan w:val="2"/>
            <w:tcBorders>
              <w:top w:val="single" w:sz="6" w:space="0" w:color="auto"/>
              <w:left w:val="nil"/>
              <w:bottom w:val="single" w:sz="6" w:space="0" w:color="BCBDBC"/>
              <w:right w:val="nil"/>
            </w:tcBorders>
            <w:shd w:val="clear" w:color="auto" w:fill="D9D9D9" w:themeFill="background1" w:themeFillShade="D9"/>
          </w:tcPr>
          <w:p w:rsidR="00545554" w:rsidRPr="00DB78CF" w:rsidRDefault="00545554" w:rsidP="00545554">
            <w:pPr>
              <w:pStyle w:val="Default"/>
              <w:ind w:firstLineChars="50" w:firstLine="85"/>
              <w:rPr>
                <w:rFonts w:eastAsia="Times New Roman" w:cs="Times New Roman"/>
                <w:b/>
                <w:color w:val="auto"/>
                <w:sz w:val="17"/>
                <w:szCs w:val="20"/>
                <w:lang w:val="en-GB" w:eastAsia="it-IT"/>
              </w:rPr>
            </w:pPr>
            <w:r>
              <w:rPr>
                <w:rFonts w:eastAsia="Times New Roman" w:cs="Times New Roman"/>
                <w:b/>
                <w:color w:val="auto"/>
                <w:sz w:val="17"/>
                <w:szCs w:val="20"/>
                <w:lang w:val="en-GB" w:eastAsia="it-IT"/>
              </w:rPr>
              <w:t>On-balance sheet exposures</w:t>
            </w:r>
          </w:p>
        </w:tc>
        <w:tc>
          <w:tcPr>
            <w:tcW w:w="1205" w:type="dxa"/>
            <w:tcBorders>
              <w:top w:val="single" w:sz="6" w:space="0" w:color="auto"/>
              <w:left w:val="nil"/>
              <w:bottom w:val="single" w:sz="6" w:space="0" w:color="BCBDBC"/>
              <w:right w:val="nil"/>
            </w:tcBorders>
            <w:shd w:val="clear" w:color="auto" w:fill="D9D9D9" w:themeFill="background1" w:themeFillShade="D9"/>
          </w:tcPr>
          <w:p w:rsidR="00545554" w:rsidRPr="0023654F" w:rsidRDefault="00545554" w:rsidP="00545554">
            <w:pPr>
              <w:pStyle w:val="TableText"/>
              <w:snapToGrid w:val="0"/>
              <w:rPr>
                <w:lang w:eastAsia="it-IT"/>
              </w:rPr>
            </w:pPr>
          </w:p>
        </w:tc>
        <w:tc>
          <w:tcPr>
            <w:tcW w:w="1205" w:type="dxa"/>
            <w:tcBorders>
              <w:top w:val="single" w:sz="6" w:space="0" w:color="auto"/>
              <w:left w:val="nil"/>
              <w:bottom w:val="single" w:sz="6" w:space="0" w:color="BCBDBC"/>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545554" w:rsidRPr="005F7D48" w:rsidRDefault="00545554" w:rsidP="00545554">
            <w:pPr>
              <w:pStyle w:val="TableText"/>
              <w:snapToGrid w:val="0"/>
              <w:ind w:left="57"/>
              <w:rPr>
                <w:szCs w:val="17"/>
                <w:lang w:eastAsia="en-GB"/>
              </w:rPr>
            </w:pPr>
            <w:r w:rsidRPr="005F7D48">
              <w:rPr>
                <w:szCs w:val="17"/>
                <w:lang w:eastAsia="en-GB"/>
              </w:rPr>
              <w:t>1</w:t>
            </w: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545554" w:rsidRPr="00092333" w:rsidRDefault="00545554" w:rsidP="00545554">
            <w:pPr>
              <w:pStyle w:val="TableText"/>
              <w:snapToGrid w:val="0"/>
              <w:ind w:left="57" w:rightChars="71" w:right="142"/>
              <w:rPr>
                <w:lang w:eastAsia="it-IT"/>
              </w:rPr>
            </w:pPr>
            <w:r w:rsidRPr="00092333">
              <w:rPr>
                <w:lang w:eastAsia="it-IT"/>
              </w:rPr>
              <w:t xml:space="preserve">On-balance sheet exposures (excluding </w:t>
            </w:r>
            <w:r>
              <w:rPr>
                <w:lang w:eastAsia="it-IT"/>
              </w:rPr>
              <w:t xml:space="preserve">those arising from </w:t>
            </w:r>
            <w:r w:rsidRPr="00092333">
              <w:rPr>
                <w:lang w:eastAsia="it-IT"/>
              </w:rPr>
              <w:t>derivative</w:t>
            </w:r>
            <w:r>
              <w:rPr>
                <w:lang w:eastAsia="it-IT"/>
              </w:rPr>
              <w:t xml:space="preserve"> contract</w:t>
            </w:r>
            <w:r w:rsidRPr="00092333">
              <w:rPr>
                <w:lang w:eastAsia="it-IT"/>
              </w:rPr>
              <w:t>s and S</w:t>
            </w:r>
            <w:r>
              <w:rPr>
                <w:lang w:eastAsia="it-IT"/>
              </w:rPr>
              <w:t>FTs, but including collateral)</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545554" w:rsidRPr="005F7D48" w:rsidRDefault="00545554" w:rsidP="00545554">
            <w:pPr>
              <w:pStyle w:val="TableText"/>
              <w:snapToGrid w:val="0"/>
              <w:ind w:left="57"/>
              <w:rPr>
                <w:szCs w:val="17"/>
                <w:lang w:eastAsia="en-GB"/>
              </w:rPr>
            </w:pPr>
            <w:r w:rsidRPr="005F7D48">
              <w:rPr>
                <w:szCs w:val="17"/>
                <w:lang w:eastAsia="en-GB"/>
              </w:rPr>
              <w:t>2</w:t>
            </w: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545554" w:rsidRPr="00DB78CF" w:rsidRDefault="00545554" w:rsidP="00545554">
            <w:pPr>
              <w:pStyle w:val="TableText"/>
              <w:snapToGrid w:val="0"/>
              <w:ind w:left="57" w:rightChars="71" w:right="142"/>
              <w:rPr>
                <w:lang w:eastAsia="it-IT"/>
              </w:rPr>
            </w:pPr>
            <w:r>
              <w:rPr>
                <w:lang w:eastAsia="it-IT"/>
              </w:rPr>
              <w:t xml:space="preserve">Less: </w:t>
            </w:r>
            <w:r w:rsidRPr="00DB78CF">
              <w:rPr>
                <w:lang w:eastAsia="it-IT"/>
              </w:rPr>
              <w:t>Asset amounts deducted in determ</w:t>
            </w:r>
            <w:r>
              <w:rPr>
                <w:lang w:eastAsia="it-IT"/>
              </w:rPr>
              <w:t>ining Tier 1 capital</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567" w:type="dxa"/>
            <w:tcBorders>
              <w:top w:val="single" w:sz="6" w:space="0" w:color="auto"/>
              <w:left w:val="nil"/>
              <w:bottom w:val="single" w:sz="6" w:space="0" w:color="auto"/>
              <w:right w:val="single" w:sz="6" w:space="0" w:color="auto"/>
            </w:tcBorders>
            <w:shd w:val="clear" w:color="auto" w:fill="auto"/>
          </w:tcPr>
          <w:p w:rsidR="00545554" w:rsidRPr="005F7D48" w:rsidRDefault="00545554" w:rsidP="00545554">
            <w:pPr>
              <w:pStyle w:val="TableText"/>
              <w:snapToGrid w:val="0"/>
              <w:ind w:left="57"/>
              <w:rPr>
                <w:szCs w:val="17"/>
                <w:lang w:eastAsia="en-GB"/>
              </w:rPr>
            </w:pPr>
            <w:r w:rsidRPr="005F7D48">
              <w:rPr>
                <w:szCs w:val="17"/>
                <w:lang w:eastAsia="en-GB"/>
              </w:rPr>
              <w:t>3</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7B7040" w:rsidRDefault="00545554" w:rsidP="00545554">
            <w:pPr>
              <w:pStyle w:val="TableText"/>
              <w:snapToGrid w:val="0"/>
              <w:ind w:left="57" w:rightChars="71" w:right="142"/>
              <w:rPr>
                <w:b/>
                <w:lang w:eastAsia="it-IT"/>
              </w:rPr>
            </w:pPr>
            <w:r w:rsidRPr="007B7040">
              <w:rPr>
                <w:b/>
                <w:lang w:eastAsia="it-IT"/>
              </w:rPr>
              <w:t>Total on-balance sheet exposures (excluding derivative contracts and SFTs)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6804" w:type="dxa"/>
            <w:gridSpan w:val="2"/>
            <w:tcBorders>
              <w:top w:val="single" w:sz="6" w:space="0" w:color="auto"/>
              <w:left w:val="nil"/>
              <w:bottom w:val="single" w:sz="4" w:space="0" w:color="auto"/>
              <w:right w:val="nil"/>
            </w:tcBorders>
            <w:shd w:val="clear" w:color="auto" w:fill="D9D9D9" w:themeFill="background1" w:themeFillShade="D9"/>
          </w:tcPr>
          <w:p w:rsidR="00545554" w:rsidRPr="00587CCD" w:rsidRDefault="00545554" w:rsidP="00545554">
            <w:pPr>
              <w:pStyle w:val="Default"/>
              <w:ind w:firstLineChars="50" w:firstLine="85"/>
              <w:rPr>
                <w:b/>
                <w:sz w:val="17"/>
                <w:szCs w:val="17"/>
                <w:lang w:eastAsia="it-IT"/>
              </w:rPr>
            </w:pPr>
            <w:r w:rsidRPr="00587CCD">
              <w:rPr>
                <w:b/>
                <w:sz w:val="17"/>
                <w:szCs w:val="17"/>
                <w:lang w:eastAsia="it-IT"/>
              </w:rPr>
              <w:t>Exposures arising from derivative contracts</w:t>
            </w:r>
          </w:p>
        </w:tc>
        <w:tc>
          <w:tcPr>
            <w:tcW w:w="1205" w:type="dxa"/>
            <w:tcBorders>
              <w:top w:val="single" w:sz="6" w:space="0" w:color="auto"/>
              <w:left w:val="nil"/>
              <w:bottom w:val="single" w:sz="4" w:space="0" w:color="auto"/>
              <w:right w:val="nil"/>
            </w:tcBorders>
            <w:shd w:val="clear" w:color="auto" w:fill="D9D9D9" w:themeFill="background1" w:themeFillShade="D9"/>
          </w:tcPr>
          <w:p w:rsidR="00545554" w:rsidRPr="0023654F" w:rsidRDefault="00545554" w:rsidP="00545554">
            <w:pPr>
              <w:pStyle w:val="TableText"/>
              <w:snapToGrid w:val="0"/>
              <w:rPr>
                <w:lang w:eastAsia="it-IT"/>
              </w:rPr>
            </w:pPr>
          </w:p>
        </w:tc>
        <w:tc>
          <w:tcPr>
            <w:tcW w:w="1205" w:type="dxa"/>
            <w:tcBorders>
              <w:top w:val="single" w:sz="6" w:space="0" w:color="auto"/>
              <w:left w:val="nil"/>
              <w:bottom w:val="single" w:sz="4"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sidRPr="005F7D48">
              <w:rPr>
                <w:szCs w:val="17"/>
                <w:lang w:eastAsia="en-GB"/>
              </w:rPr>
              <w:t>4</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sidRPr="005F7D48">
              <w:rPr>
                <w:szCs w:val="17"/>
                <w:lang w:eastAsia="it-IT"/>
              </w:rPr>
              <w:t>Replacement cost associated with all derivative</w:t>
            </w:r>
            <w:r>
              <w:rPr>
                <w:szCs w:val="17"/>
                <w:lang w:eastAsia="it-IT"/>
              </w:rPr>
              <w:t xml:space="preserve"> contract</w:t>
            </w:r>
            <w:r w:rsidRPr="005F7D48">
              <w:rPr>
                <w:szCs w:val="17"/>
                <w:lang w:eastAsia="it-IT"/>
              </w:rPr>
              <w:t>s (where applicable net of eligible cash variation margin and/or with bilateral netting)</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5</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sidRPr="005F7D48">
              <w:rPr>
                <w:szCs w:val="17"/>
                <w:lang w:eastAsia="it-IT"/>
              </w:rPr>
              <w:t>Add-on amounts for PFE associated with all derivative</w:t>
            </w:r>
            <w:r>
              <w:rPr>
                <w:szCs w:val="17"/>
                <w:lang w:eastAsia="it-IT"/>
              </w:rPr>
              <w:t xml:space="preser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6</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sidRPr="005F7D48">
              <w:rPr>
                <w:szCs w:val="17"/>
                <w:lang w:eastAsia="it-IT"/>
              </w:rPr>
              <w:t xml:space="preserve">Gross-up for derivatives collateral provided where deducted from the balance sheet assets pursuant to the </w:t>
            </w:r>
            <w:r>
              <w:rPr>
                <w:szCs w:val="17"/>
                <w:lang w:eastAsia="it-IT"/>
              </w:rPr>
              <w:t>applicable</w:t>
            </w:r>
            <w:r w:rsidRPr="005F7D48">
              <w:rPr>
                <w:szCs w:val="17"/>
                <w:lang w:eastAsia="it-IT"/>
              </w:rPr>
              <w:t xml:space="preserve"> accounting framework</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7</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Pr>
                <w:szCs w:val="17"/>
                <w:lang w:eastAsia="it-IT"/>
              </w:rPr>
              <w:t xml:space="preserve">Less: </w:t>
            </w:r>
            <w:r w:rsidRPr="005F7D48">
              <w:rPr>
                <w:szCs w:val="17"/>
                <w:lang w:eastAsia="it-IT"/>
              </w:rPr>
              <w:t xml:space="preserve">Deductions of receivables assets for cash variation margin provided </w:t>
            </w:r>
            <w:r>
              <w:rPr>
                <w:szCs w:val="17"/>
                <w:lang w:eastAsia="it-IT"/>
              </w:rPr>
              <w:t>under</w:t>
            </w:r>
            <w:r w:rsidRPr="005F7D48">
              <w:rPr>
                <w:szCs w:val="17"/>
                <w:lang w:eastAsia="it-IT"/>
              </w:rPr>
              <w:t xml:space="preserve"> derivative</w:t>
            </w:r>
            <w:r>
              <w:rPr>
                <w:szCs w:val="17"/>
                <w:lang w:eastAsia="it-IT"/>
              </w:rPr>
              <w:t xml:space="preserve"> contracts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8</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Pr>
                <w:szCs w:val="17"/>
                <w:lang w:eastAsia="it-IT"/>
              </w:rPr>
              <w:t xml:space="preserve">Less: </w:t>
            </w:r>
            <w:r w:rsidRPr="005F7D48">
              <w:rPr>
                <w:szCs w:val="17"/>
                <w:lang w:eastAsia="it-IT"/>
              </w:rPr>
              <w:t>Exempted CCP leg of client-cleared trade exposures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9</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sidRPr="005F7D48">
              <w:rPr>
                <w:szCs w:val="17"/>
                <w:lang w:eastAsia="it-IT"/>
              </w:rPr>
              <w:t>Adjusted effective notional amount of written credit derivative</w:t>
            </w:r>
            <w:r>
              <w:rPr>
                <w:szCs w:val="17"/>
                <w:lang w:eastAsia="it-IT"/>
              </w:rPr>
              <w:t xml:space="preserve"> contract</w:t>
            </w:r>
            <w:r w:rsidRPr="005F7D48">
              <w:rPr>
                <w:szCs w:val="17"/>
                <w:lang w:eastAsia="it-IT"/>
              </w:rPr>
              <w: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t>10</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ind w:left="57" w:rightChars="71" w:right="142"/>
              <w:rPr>
                <w:szCs w:val="17"/>
                <w:lang w:eastAsia="it-IT"/>
              </w:rPr>
            </w:pPr>
            <w:r>
              <w:rPr>
                <w:szCs w:val="17"/>
                <w:lang w:eastAsia="it-IT"/>
              </w:rPr>
              <w:t xml:space="preserve">Less: </w:t>
            </w:r>
            <w:r w:rsidRPr="005F7D48">
              <w:rPr>
                <w:szCs w:val="17"/>
                <w:lang w:eastAsia="it-IT"/>
              </w:rPr>
              <w:t>Adjusted effective notional offsets and add-on deductions for written credit derivative</w:t>
            </w:r>
            <w:r>
              <w:rPr>
                <w:szCs w:val="17"/>
                <w:lang w:eastAsia="it-IT"/>
              </w:rPr>
              <w:t xml:space="preserve"> contract</w:t>
            </w:r>
            <w:r w:rsidRPr="005F7D48">
              <w:rPr>
                <w:szCs w:val="17"/>
                <w:lang w:eastAsia="it-IT"/>
              </w:rPr>
              <w:t>s</w:t>
            </w: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auto"/>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4" w:space="0" w:color="auto"/>
            </w:tcBorders>
            <w:shd w:val="clear" w:color="auto" w:fill="auto"/>
          </w:tcPr>
          <w:p w:rsidR="00545554" w:rsidRPr="005F7D48" w:rsidRDefault="00545554" w:rsidP="00545554">
            <w:pPr>
              <w:pStyle w:val="TableText"/>
              <w:snapToGrid w:val="0"/>
              <w:ind w:left="57"/>
              <w:rPr>
                <w:szCs w:val="17"/>
                <w:lang w:eastAsia="en-GB"/>
              </w:rPr>
            </w:pPr>
            <w:r>
              <w:rPr>
                <w:szCs w:val="17"/>
                <w:lang w:eastAsia="en-GB"/>
              </w:rPr>
              <w:lastRenderedPageBreak/>
              <w:t>11</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B7040" w:rsidRDefault="00545554" w:rsidP="00545554">
            <w:pPr>
              <w:pStyle w:val="TableText"/>
              <w:snapToGrid w:val="0"/>
              <w:ind w:left="57" w:rightChars="71" w:right="142"/>
              <w:rPr>
                <w:b/>
                <w:szCs w:val="17"/>
                <w:lang w:eastAsia="it-IT"/>
              </w:rPr>
            </w:pPr>
            <w:r w:rsidRPr="007B7040">
              <w:rPr>
                <w:b/>
                <w:szCs w:val="17"/>
                <w:lang w:eastAsia="it-IT"/>
              </w:rPr>
              <w:t>Total exposures arising from derivative contracts</w:t>
            </w:r>
          </w:p>
        </w:tc>
        <w:tc>
          <w:tcPr>
            <w:tcW w:w="12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5F7D48" w:rsidRDefault="00545554" w:rsidP="00545554">
            <w:pPr>
              <w:pStyle w:val="TableText"/>
              <w:snapToGrid w:val="0"/>
              <w:rPr>
                <w:szCs w:val="17"/>
                <w:lang w:eastAsia="it-IT"/>
              </w:rPr>
            </w:pPr>
          </w:p>
        </w:tc>
        <w:tc>
          <w:tcPr>
            <w:tcW w:w="12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5F7D48" w:rsidRDefault="00545554" w:rsidP="00545554">
            <w:pPr>
              <w:pStyle w:val="TableText"/>
              <w:snapToGrid w:val="0"/>
              <w:rPr>
                <w:szCs w:val="17"/>
                <w:lang w:eastAsia="it-IT"/>
              </w:rPr>
            </w:pPr>
          </w:p>
        </w:tc>
      </w:tr>
      <w:tr w:rsidR="00545554" w:rsidRPr="0023654F" w:rsidTr="00545554">
        <w:trPr>
          <w:cantSplit/>
          <w:trHeight w:val="270"/>
        </w:trPr>
        <w:tc>
          <w:tcPr>
            <w:tcW w:w="6804" w:type="dxa"/>
            <w:gridSpan w:val="2"/>
            <w:tcBorders>
              <w:top w:val="single" w:sz="6" w:space="0" w:color="auto"/>
              <w:left w:val="nil"/>
              <w:bottom w:val="single" w:sz="6" w:space="0" w:color="auto"/>
              <w:right w:val="nil"/>
            </w:tcBorders>
            <w:shd w:val="clear" w:color="auto" w:fill="D9D9D9" w:themeFill="background1" w:themeFillShade="D9"/>
          </w:tcPr>
          <w:p w:rsidR="00545554" w:rsidRPr="00587CCD" w:rsidRDefault="00545554" w:rsidP="00545554">
            <w:pPr>
              <w:pStyle w:val="Default"/>
              <w:ind w:firstLineChars="50" w:firstLine="85"/>
              <w:rPr>
                <w:b/>
                <w:bCs/>
                <w:sz w:val="17"/>
                <w:szCs w:val="17"/>
              </w:rPr>
            </w:pPr>
            <w:r w:rsidRPr="00587CCD">
              <w:rPr>
                <w:b/>
                <w:sz w:val="17"/>
                <w:szCs w:val="17"/>
                <w:lang w:eastAsia="it-IT"/>
              </w:rPr>
              <w:t>Exposures arising from SFTs</w:t>
            </w:r>
          </w:p>
        </w:tc>
        <w:tc>
          <w:tcPr>
            <w:tcW w:w="1205" w:type="dxa"/>
            <w:tcBorders>
              <w:top w:val="single" w:sz="6" w:space="0" w:color="auto"/>
              <w:left w:val="nil"/>
              <w:bottom w:val="single" w:sz="6" w:space="0" w:color="auto"/>
              <w:right w:val="nil"/>
            </w:tcBorders>
            <w:shd w:val="clear" w:color="auto" w:fill="D9D9D9" w:themeFill="background1" w:themeFillShade="D9"/>
          </w:tcPr>
          <w:p w:rsidR="00545554" w:rsidRPr="0023654F" w:rsidRDefault="00545554" w:rsidP="00545554">
            <w:pPr>
              <w:pStyle w:val="TableText"/>
              <w:snapToGrid w:val="0"/>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auto"/>
              <w:left w:val="nil"/>
              <w:bottom w:val="single" w:sz="4" w:space="0" w:color="auto"/>
              <w:right w:val="single" w:sz="6" w:space="0" w:color="auto"/>
            </w:tcBorders>
            <w:shd w:val="clear" w:color="auto" w:fill="auto"/>
          </w:tcPr>
          <w:p w:rsidR="00545554" w:rsidRPr="007B7040" w:rsidRDefault="00545554" w:rsidP="00545554">
            <w:pPr>
              <w:pStyle w:val="TableText"/>
              <w:snapToGrid w:val="0"/>
              <w:ind w:left="57"/>
              <w:rPr>
                <w:szCs w:val="17"/>
                <w:lang w:eastAsia="en-GB"/>
              </w:rPr>
            </w:pPr>
            <w:r w:rsidRPr="007B7040">
              <w:rPr>
                <w:szCs w:val="17"/>
                <w:lang w:eastAsia="en-GB"/>
              </w:rPr>
              <w:t>12</w:t>
            </w:r>
          </w:p>
        </w:tc>
        <w:tc>
          <w:tcPr>
            <w:tcW w:w="6237" w:type="dxa"/>
            <w:tcBorders>
              <w:top w:val="single" w:sz="6" w:space="0" w:color="auto"/>
              <w:left w:val="single" w:sz="6" w:space="0" w:color="auto"/>
              <w:bottom w:val="single" w:sz="4"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sidRPr="00587CCD">
              <w:rPr>
                <w:szCs w:val="17"/>
                <w:lang w:eastAsia="it-IT"/>
              </w:rPr>
              <w:t>Gross SFT assets (with no recognition of netting), after adjusting f</w:t>
            </w:r>
            <w:r>
              <w:rPr>
                <w:szCs w:val="17"/>
                <w:lang w:eastAsia="it-IT"/>
              </w:rPr>
              <w:t>or sale accounting transactions</w:t>
            </w:r>
          </w:p>
        </w:tc>
        <w:tc>
          <w:tcPr>
            <w:tcW w:w="1205" w:type="dxa"/>
            <w:tcBorders>
              <w:top w:val="single" w:sz="6"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6"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354"/>
        </w:trPr>
        <w:tc>
          <w:tcPr>
            <w:tcW w:w="567" w:type="dxa"/>
            <w:tcBorders>
              <w:top w:val="single" w:sz="4" w:space="0" w:color="auto"/>
              <w:left w:val="nil"/>
              <w:bottom w:val="single" w:sz="4" w:space="0" w:color="auto"/>
              <w:right w:val="single" w:sz="6" w:space="0" w:color="auto"/>
            </w:tcBorders>
            <w:shd w:val="clear" w:color="auto" w:fill="auto"/>
          </w:tcPr>
          <w:p w:rsidR="00545554" w:rsidRPr="007B7040" w:rsidRDefault="00545554" w:rsidP="00545554">
            <w:pPr>
              <w:pStyle w:val="TableText"/>
              <w:snapToGrid w:val="0"/>
              <w:ind w:left="57"/>
              <w:rPr>
                <w:szCs w:val="17"/>
                <w:lang w:eastAsia="en-GB"/>
              </w:rPr>
            </w:pPr>
            <w:r w:rsidRPr="007B7040">
              <w:rPr>
                <w:szCs w:val="17"/>
                <w:lang w:eastAsia="en-GB"/>
              </w:rPr>
              <w:t>13</w:t>
            </w:r>
          </w:p>
        </w:tc>
        <w:tc>
          <w:tcPr>
            <w:tcW w:w="6237" w:type="dxa"/>
            <w:tcBorders>
              <w:top w:val="single" w:sz="4" w:space="0" w:color="auto"/>
              <w:left w:val="single" w:sz="6" w:space="0" w:color="auto"/>
              <w:bottom w:val="single" w:sz="4"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Pr>
                <w:szCs w:val="17"/>
                <w:lang w:eastAsia="it-IT"/>
              </w:rPr>
              <w:t xml:space="preserve">Less: </w:t>
            </w:r>
            <w:r w:rsidRPr="00587CCD">
              <w:rPr>
                <w:szCs w:val="17"/>
                <w:lang w:eastAsia="it-IT"/>
              </w:rPr>
              <w:t>Netted amounts of cash payables and cash r</w:t>
            </w:r>
            <w:r>
              <w:rPr>
                <w:szCs w:val="17"/>
                <w:lang w:eastAsia="it-IT"/>
              </w:rPr>
              <w:t>eceivables of gross SFT assets</w:t>
            </w:r>
          </w:p>
        </w:tc>
        <w:tc>
          <w:tcPr>
            <w:tcW w:w="1205" w:type="dxa"/>
            <w:tcBorders>
              <w:top w:val="single" w:sz="4" w:space="0" w:color="auto"/>
              <w:left w:val="single" w:sz="6" w:space="0" w:color="auto"/>
              <w:bottom w:val="single" w:sz="4"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4" w:space="0" w:color="auto"/>
              <w:left w:val="single" w:sz="6" w:space="0" w:color="auto"/>
              <w:bottom w:val="single" w:sz="4"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Pr>
        <w:tc>
          <w:tcPr>
            <w:tcW w:w="567" w:type="dxa"/>
            <w:tcBorders>
              <w:top w:val="single" w:sz="4" w:space="0" w:color="auto"/>
              <w:left w:val="nil"/>
              <w:bottom w:val="single" w:sz="6" w:space="0" w:color="BCBDBC"/>
              <w:right w:val="single" w:sz="6" w:space="0" w:color="auto"/>
            </w:tcBorders>
            <w:shd w:val="clear" w:color="auto" w:fill="auto"/>
          </w:tcPr>
          <w:p w:rsidR="00545554" w:rsidRPr="007B7040" w:rsidRDefault="00545554" w:rsidP="00545554">
            <w:pPr>
              <w:pStyle w:val="TableText"/>
              <w:snapToGrid w:val="0"/>
              <w:ind w:left="57"/>
              <w:rPr>
                <w:szCs w:val="17"/>
                <w:lang w:eastAsia="en-GB"/>
              </w:rPr>
            </w:pPr>
            <w:r w:rsidRPr="007B7040">
              <w:rPr>
                <w:szCs w:val="17"/>
                <w:lang w:eastAsia="en-GB"/>
              </w:rPr>
              <w:t>14</w:t>
            </w:r>
          </w:p>
        </w:tc>
        <w:tc>
          <w:tcPr>
            <w:tcW w:w="6237" w:type="dxa"/>
            <w:tcBorders>
              <w:top w:val="single" w:sz="4" w:space="0" w:color="auto"/>
              <w:left w:val="single" w:sz="6" w:space="0" w:color="auto"/>
              <w:bottom w:val="single" w:sz="6"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Pr>
                <w:szCs w:val="17"/>
                <w:lang w:eastAsia="it-IT"/>
              </w:rPr>
              <w:t>CCR exposure for SFT assets</w:t>
            </w:r>
          </w:p>
        </w:tc>
        <w:tc>
          <w:tcPr>
            <w:tcW w:w="1205" w:type="dxa"/>
            <w:tcBorders>
              <w:top w:val="single" w:sz="4"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4"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auto"/>
              <w:left w:val="nil"/>
              <w:bottom w:val="single" w:sz="4" w:space="0" w:color="auto"/>
              <w:right w:val="single" w:sz="6" w:space="0" w:color="auto"/>
            </w:tcBorders>
            <w:shd w:val="clear" w:color="auto" w:fill="auto"/>
          </w:tcPr>
          <w:p w:rsidR="00545554" w:rsidRPr="007B7040" w:rsidRDefault="00545554" w:rsidP="00545554">
            <w:pPr>
              <w:pStyle w:val="TableText"/>
              <w:snapToGrid w:val="0"/>
              <w:ind w:left="57"/>
              <w:rPr>
                <w:szCs w:val="17"/>
                <w:lang w:eastAsia="en-GB"/>
              </w:rPr>
            </w:pPr>
            <w:r w:rsidRPr="007B7040">
              <w:rPr>
                <w:szCs w:val="17"/>
                <w:lang w:eastAsia="en-GB"/>
              </w:rPr>
              <w:t>15</w:t>
            </w: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Pr>
                <w:szCs w:val="17"/>
                <w:lang w:eastAsia="it-IT"/>
              </w:rPr>
              <w:t>Agent transaction exposures</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545554" w:rsidRPr="0023654F" w:rsidRDefault="00545554" w:rsidP="00545554">
            <w:pPr>
              <w:pStyle w:val="TableText"/>
              <w:snapToGrid w:val="0"/>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Pr="007B7040" w:rsidRDefault="00545554" w:rsidP="00545554">
            <w:pPr>
              <w:pStyle w:val="TableText"/>
              <w:snapToGrid w:val="0"/>
              <w:ind w:left="57"/>
              <w:rPr>
                <w:szCs w:val="17"/>
                <w:lang w:eastAsia="en-GB"/>
              </w:rPr>
            </w:pPr>
            <w:r w:rsidRPr="007B7040">
              <w:rPr>
                <w:szCs w:val="17"/>
                <w:lang w:eastAsia="en-GB"/>
              </w:rPr>
              <w:t>16</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7B7040" w:rsidRDefault="00545554" w:rsidP="00545554">
            <w:pPr>
              <w:pStyle w:val="TableText"/>
              <w:snapToGrid w:val="0"/>
              <w:ind w:left="57" w:rightChars="71" w:right="142"/>
              <w:rPr>
                <w:b/>
                <w:szCs w:val="17"/>
                <w:lang w:eastAsia="it-IT"/>
              </w:rPr>
            </w:pPr>
            <w:r w:rsidRPr="007B7040">
              <w:rPr>
                <w:b/>
                <w:szCs w:val="17"/>
                <w:lang w:eastAsia="it-IT"/>
              </w:rPr>
              <w:t>Total exposures</w:t>
            </w:r>
            <w:r>
              <w:rPr>
                <w:b/>
                <w:szCs w:val="17"/>
                <w:lang w:eastAsia="it-IT"/>
              </w:rPr>
              <w:t xml:space="preserve"> </w:t>
            </w:r>
            <w:r w:rsidRPr="007B7040">
              <w:rPr>
                <w:b/>
                <w:szCs w:val="17"/>
                <w:lang w:eastAsia="it-IT"/>
              </w:rPr>
              <w:t>arising from</w:t>
            </w:r>
            <w:r>
              <w:rPr>
                <w:b/>
                <w:szCs w:val="17"/>
                <w:lang w:eastAsia="it-IT"/>
              </w:rPr>
              <w:t xml:space="preserve"> SFTs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6804" w:type="dxa"/>
            <w:gridSpan w:val="2"/>
            <w:tcBorders>
              <w:top w:val="single" w:sz="4" w:space="0" w:color="auto"/>
              <w:left w:val="nil"/>
              <w:bottom w:val="single" w:sz="4" w:space="0" w:color="auto"/>
              <w:right w:val="nil"/>
            </w:tcBorders>
            <w:shd w:val="clear" w:color="auto" w:fill="D9D9D9" w:themeFill="background1" w:themeFillShade="D9"/>
          </w:tcPr>
          <w:p w:rsidR="00545554" w:rsidRPr="00587CCD" w:rsidRDefault="00545554" w:rsidP="00545554">
            <w:pPr>
              <w:pStyle w:val="Default"/>
              <w:ind w:firstLineChars="50" w:firstLine="85"/>
              <w:rPr>
                <w:szCs w:val="17"/>
                <w:lang w:eastAsia="it-IT"/>
              </w:rPr>
            </w:pPr>
            <w:r w:rsidRPr="00587CCD">
              <w:rPr>
                <w:rFonts w:eastAsia="Times New Roman" w:cs="Times New Roman"/>
                <w:b/>
                <w:color w:val="auto"/>
                <w:sz w:val="17"/>
                <w:szCs w:val="20"/>
                <w:lang w:val="en-GB" w:eastAsia="it-IT"/>
              </w:rPr>
              <w:t>Ot</w:t>
            </w:r>
            <w:r>
              <w:rPr>
                <w:rFonts w:eastAsia="Times New Roman" w:cs="Times New Roman"/>
                <w:b/>
                <w:color w:val="auto"/>
                <w:sz w:val="17"/>
                <w:szCs w:val="20"/>
                <w:lang w:val="en-GB" w:eastAsia="it-IT"/>
              </w:rPr>
              <w:t>her off-balance sheet exposures</w:t>
            </w:r>
          </w:p>
        </w:tc>
        <w:tc>
          <w:tcPr>
            <w:tcW w:w="1205" w:type="dxa"/>
            <w:tcBorders>
              <w:top w:val="single" w:sz="6" w:space="0" w:color="auto"/>
              <w:left w:val="nil"/>
              <w:bottom w:val="single" w:sz="6" w:space="0" w:color="auto"/>
              <w:right w:val="nil"/>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Default="00545554" w:rsidP="00545554">
            <w:pPr>
              <w:pStyle w:val="TableText"/>
              <w:snapToGrid w:val="0"/>
              <w:ind w:left="57"/>
              <w:rPr>
                <w:sz w:val="16"/>
                <w:szCs w:val="16"/>
                <w:lang w:eastAsia="en-GB"/>
              </w:rPr>
            </w:pPr>
            <w:r>
              <w:rPr>
                <w:sz w:val="16"/>
                <w:szCs w:val="16"/>
                <w:lang w:eastAsia="en-GB"/>
              </w:rPr>
              <w:t>17</w:t>
            </w: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sidRPr="00587CCD">
              <w:rPr>
                <w:szCs w:val="17"/>
                <w:lang w:eastAsia="it-IT"/>
              </w:rPr>
              <w:t>Off-balance sheet ex</w:t>
            </w:r>
            <w:r>
              <w:rPr>
                <w:szCs w:val="17"/>
                <w:lang w:eastAsia="it-IT"/>
              </w:rPr>
              <w:t>posure at gross notional amount</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Default="00545554" w:rsidP="00545554">
            <w:pPr>
              <w:pStyle w:val="TableText"/>
              <w:snapToGrid w:val="0"/>
              <w:ind w:left="57"/>
              <w:rPr>
                <w:sz w:val="16"/>
                <w:szCs w:val="16"/>
                <w:lang w:eastAsia="en-GB"/>
              </w:rPr>
            </w:pPr>
            <w:r>
              <w:rPr>
                <w:sz w:val="16"/>
                <w:szCs w:val="16"/>
                <w:lang w:eastAsia="en-GB"/>
              </w:rPr>
              <w:t>18</w:t>
            </w:r>
          </w:p>
        </w:tc>
        <w:tc>
          <w:tcPr>
            <w:tcW w:w="6237" w:type="dxa"/>
            <w:tcBorders>
              <w:top w:val="single" w:sz="6" w:space="0" w:color="auto"/>
              <w:left w:val="single" w:sz="6" w:space="0" w:color="auto"/>
              <w:bottom w:val="single" w:sz="6" w:space="0" w:color="auto"/>
              <w:right w:val="single" w:sz="6" w:space="0" w:color="auto"/>
            </w:tcBorders>
            <w:shd w:val="clear" w:color="auto" w:fill="auto"/>
          </w:tcPr>
          <w:p w:rsidR="00545554" w:rsidRPr="00587CCD" w:rsidRDefault="00545554" w:rsidP="00545554">
            <w:pPr>
              <w:pStyle w:val="TableText"/>
              <w:snapToGrid w:val="0"/>
              <w:ind w:left="57" w:rightChars="71" w:right="142"/>
              <w:rPr>
                <w:szCs w:val="17"/>
                <w:lang w:eastAsia="it-IT"/>
              </w:rPr>
            </w:pPr>
            <w:r>
              <w:rPr>
                <w:szCs w:val="17"/>
                <w:lang w:eastAsia="it-IT"/>
              </w:rPr>
              <w:t xml:space="preserve">Less: </w:t>
            </w:r>
            <w:r w:rsidRPr="00587CCD">
              <w:rPr>
                <w:szCs w:val="17"/>
                <w:lang w:eastAsia="it-IT"/>
              </w:rPr>
              <w:t>Adjustments for conversio</w:t>
            </w:r>
            <w:r>
              <w:rPr>
                <w:szCs w:val="17"/>
                <w:lang w:eastAsia="it-IT"/>
              </w:rPr>
              <w:t>n to credit equivalent amounts</w:t>
            </w:r>
          </w:p>
        </w:tc>
        <w:tc>
          <w:tcPr>
            <w:tcW w:w="1205" w:type="dxa"/>
            <w:tcBorders>
              <w:top w:val="single" w:sz="6" w:space="0" w:color="auto"/>
              <w:left w:val="single" w:sz="6" w:space="0" w:color="auto"/>
              <w:bottom w:val="single" w:sz="6" w:space="0" w:color="auto"/>
              <w:right w:val="single" w:sz="6" w:space="0" w:color="auto"/>
            </w:tcBorders>
            <w:shd w:val="clear" w:color="auto" w:fill="auto"/>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auto"/>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Default="00545554" w:rsidP="00545554">
            <w:pPr>
              <w:pStyle w:val="TableText"/>
              <w:snapToGrid w:val="0"/>
              <w:ind w:left="57"/>
              <w:rPr>
                <w:sz w:val="16"/>
                <w:szCs w:val="16"/>
                <w:lang w:eastAsia="en-GB"/>
              </w:rPr>
            </w:pPr>
            <w:r>
              <w:rPr>
                <w:sz w:val="16"/>
                <w:szCs w:val="16"/>
                <w:lang w:eastAsia="en-GB"/>
              </w:rPr>
              <w:t>19</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092333" w:rsidRDefault="00545554" w:rsidP="00545554">
            <w:pPr>
              <w:pStyle w:val="TableText"/>
              <w:snapToGrid w:val="0"/>
              <w:ind w:left="57" w:rightChars="71" w:right="142"/>
              <w:rPr>
                <w:b/>
                <w:szCs w:val="17"/>
                <w:lang w:eastAsia="it-IT"/>
              </w:rPr>
            </w:pPr>
            <w:r w:rsidRPr="00092333">
              <w:rPr>
                <w:b/>
                <w:szCs w:val="17"/>
                <w:lang w:eastAsia="it-IT"/>
              </w:rPr>
              <w:t>Off-balance sheet items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6804" w:type="dxa"/>
            <w:gridSpan w:val="2"/>
            <w:tcBorders>
              <w:top w:val="single" w:sz="4" w:space="0" w:color="auto"/>
              <w:left w:val="nil"/>
              <w:bottom w:val="single" w:sz="4" w:space="0" w:color="auto"/>
              <w:right w:val="nil"/>
            </w:tcBorders>
            <w:shd w:val="clear" w:color="auto" w:fill="D9D9D9" w:themeFill="background1" w:themeFillShade="D9"/>
          </w:tcPr>
          <w:p w:rsidR="00545554" w:rsidRPr="00587CCD" w:rsidRDefault="00545554" w:rsidP="00545554">
            <w:pPr>
              <w:pStyle w:val="Default"/>
              <w:ind w:firstLineChars="50" w:firstLine="85"/>
              <w:rPr>
                <w:szCs w:val="17"/>
                <w:lang w:eastAsia="it-IT"/>
              </w:rPr>
            </w:pPr>
            <w:r>
              <w:rPr>
                <w:rFonts w:eastAsia="Times New Roman" w:cs="Times New Roman"/>
                <w:b/>
                <w:color w:val="auto"/>
                <w:sz w:val="17"/>
                <w:szCs w:val="20"/>
                <w:lang w:val="en-GB" w:eastAsia="it-IT"/>
              </w:rPr>
              <w:t>Capital and total exposures</w:t>
            </w:r>
          </w:p>
        </w:tc>
        <w:tc>
          <w:tcPr>
            <w:tcW w:w="1205" w:type="dxa"/>
            <w:tcBorders>
              <w:top w:val="single" w:sz="6" w:space="0" w:color="auto"/>
              <w:left w:val="nil"/>
              <w:bottom w:val="single" w:sz="6" w:space="0" w:color="auto"/>
              <w:right w:val="nil"/>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205" w:type="dxa"/>
            <w:tcBorders>
              <w:top w:val="single" w:sz="6" w:space="0" w:color="auto"/>
              <w:left w:val="nil"/>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Default="00545554" w:rsidP="00545554">
            <w:pPr>
              <w:pStyle w:val="TableText"/>
              <w:snapToGrid w:val="0"/>
              <w:ind w:left="57"/>
              <w:rPr>
                <w:sz w:val="16"/>
                <w:szCs w:val="16"/>
                <w:lang w:eastAsia="en-GB"/>
              </w:rPr>
            </w:pPr>
            <w:r>
              <w:rPr>
                <w:sz w:val="16"/>
                <w:szCs w:val="16"/>
                <w:lang w:eastAsia="en-GB"/>
              </w:rPr>
              <w:t>20</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092333" w:rsidRDefault="00545554" w:rsidP="00545554">
            <w:pPr>
              <w:pStyle w:val="TableText"/>
              <w:snapToGrid w:val="0"/>
              <w:ind w:left="57" w:rightChars="71" w:right="142"/>
              <w:rPr>
                <w:b/>
                <w:szCs w:val="17"/>
                <w:lang w:eastAsia="it-IT"/>
              </w:rPr>
            </w:pPr>
            <w:r>
              <w:rPr>
                <w:b/>
                <w:szCs w:val="17"/>
                <w:lang w:eastAsia="it-IT"/>
              </w:rPr>
              <w:t>Tier 1 capital</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E70C18"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E70C18" w:rsidRDefault="00E70C18" w:rsidP="00545554">
            <w:pPr>
              <w:pStyle w:val="TableText"/>
              <w:snapToGrid w:val="0"/>
              <w:ind w:left="57"/>
              <w:rPr>
                <w:sz w:val="16"/>
                <w:szCs w:val="16"/>
                <w:lang w:eastAsia="en-GB"/>
              </w:rPr>
            </w:pPr>
            <w:r>
              <w:rPr>
                <w:sz w:val="16"/>
                <w:szCs w:val="16"/>
                <w:lang w:eastAsia="en-GB"/>
              </w:rPr>
              <w:t>20a</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E70C18" w:rsidRDefault="00E70C18" w:rsidP="00545554">
            <w:pPr>
              <w:pStyle w:val="TableText"/>
              <w:snapToGrid w:val="0"/>
              <w:ind w:left="57" w:rightChars="71" w:right="142"/>
              <w:rPr>
                <w:b/>
                <w:szCs w:val="17"/>
                <w:lang w:eastAsia="it-IT"/>
              </w:rPr>
            </w:pPr>
            <w:r>
              <w:rPr>
                <w:b/>
                <w:szCs w:val="17"/>
                <w:lang w:eastAsia="it-IT"/>
              </w:rPr>
              <w:t>Total exposures before adjustment</w:t>
            </w:r>
            <w:r w:rsidR="003C4773">
              <w:rPr>
                <w:b/>
                <w:szCs w:val="17"/>
                <w:lang w:eastAsia="it-IT"/>
              </w:rPr>
              <w:t>s</w:t>
            </w:r>
            <w:r>
              <w:rPr>
                <w:b/>
                <w:szCs w:val="17"/>
                <w:lang w:eastAsia="it-IT"/>
              </w:rPr>
              <w:t xml:space="preserve">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E70C18" w:rsidRPr="003B53ED" w:rsidRDefault="00E70C18"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E70C18" w:rsidRPr="0023654F" w:rsidRDefault="00E70C18" w:rsidP="00545554">
            <w:pPr>
              <w:pStyle w:val="TableText"/>
              <w:snapToGrid w:val="0"/>
              <w:rPr>
                <w:lang w:eastAsia="it-IT"/>
              </w:rPr>
            </w:pPr>
          </w:p>
        </w:tc>
      </w:tr>
      <w:tr w:rsidR="00E70C18"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E70C18" w:rsidRDefault="00E70C18" w:rsidP="00545554">
            <w:pPr>
              <w:pStyle w:val="TableText"/>
              <w:snapToGrid w:val="0"/>
              <w:ind w:left="57"/>
              <w:rPr>
                <w:sz w:val="16"/>
                <w:szCs w:val="16"/>
                <w:lang w:eastAsia="en-GB"/>
              </w:rPr>
            </w:pPr>
            <w:r>
              <w:rPr>
                <w:sz w:val="16"/>
                <w:szCs w:val="16"/>
                <w:lang w:eastAsia="en-GB"/>
              </w:rPr>
              <w:t>20b</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E70C18" w:rsidRDefault="00E70C18" w:rsidP="00545554">
            <w:pPr>
              <w:pStyle w:val="TableText"/>
              <w:snapToGrid w:val="0"/>
              <w:ind w:left="57" w:rightChars="71" w:right="142"/>
              <w:rPr>
                <w:b/>
                <w:szCs w:val="17"/>
                <w:lang w:eastAsia="it-IT"/>
              </w:rPr>
            </w:pPr>
            <w:r>
              <w:rPr>
                <w:b/>
                <w:szCs w:val="17"/>
                <w:lang w:eastAsia="it-IT"/>
              </w:rPr>
              <w:t>Adjustment</w:t>
            </w:r>
            <w:r w:rsidR="003C4773">
              <w:rPr>
                <w:b/>
                <w:szCs w:val="17"/>
                <w:lang w:eastAsia="it-IT"/>
              </w:rPr>
              <w:t>s</w:t>
            </w:r>
            <w:r>
              <w:rPr>
                <w:b/>
                <w:szCs w:val="17"/>
                <w:lang w:eastAsia="it-IT"/>
              </w:rPr>
              <w:t xml:space="preserve">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E70C18" w:rsidRPr="003B53ED" w:rsidRDefault="00E70C18"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E70C18" w:rsidRPr="0023654F" w:rsidRDefault="00E70C18"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4" w:space="0" w:color="auto"/>
              <w:right w:val="single" w:sz="6" w:space="0" w:color="auto"/>
            </w:tcBorders>
            <w:shd w:val="clear" w:color="auto" w:fill="auto"/>
          </w:tcPr>
          <w:p w:rsidR="00545554" w:rsidRDefault="00545554" w:rsidP="00545554">
            <w:pPr>
              <w:pStyle w:val="TableText"/>
              <w:snapToGrid w:val="0"/>
              <w:ind w:left="57"/>
              <w:rPr>
                <w:sz w:val="16"/>
                <w:szCs w:val="16"/>
                <w:lang w:eastAsia="en-GB"/>
              </w:rPr>
            </w:pPr>
            <w:r>
              <w:rPr>
                <w:sz w:val="16"/>
                <w:szCs w:val="16"/>
                <w:lang w:eastAsia="en-GB"/>
              </w:rPr>
              <w:t>21</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092333" w:rsidRDefault="00545554" w:rsidP="00545554">
            <w:pPr>
              <w:pStyle w:val="TableText"/>
              <w:snapToGrid w:val="0"/>
              <w:ind w:left="57" w:rightChars="71" w:right="142"/>
              <w:rPr>
                <w:b/>
                <w:szCs w:val="17"/>
                <w:lang w:eastAsia="it-IT"/>
              </w:rPr>
            </w:pPr>
            <w:r w:rsidRPr="00092333">
              <w:rPr>
                <w:b/>
                <w:szCs w:val="17"/>
                <w:lang w:eastAsia="it-IT"/>
              </w:rPr>
              <w:t>Total exposures</w:t>
            </w:r>
            <w:r w:rsidR="00E70C18">
              <w:rPr>
                <w:b/>
                <w:szCs w:val="17"/>
                <w:lang w:eastAsia="it-IT"/>
              </w:rPr>
              <w:t xml:space="preserve"> after adjustment</w:t>
            </w:r>
            <w:r w:rsidR="003C4773">
              <w:rPr>
                <w:b/>
                <w:szCs w:val="17"/>
                <w:lang w:eastAsia="it-IT"/>
              </w:rPr>
              <w:t>s</w:t>
            </w:r>
            <w:r w:rsidR="00E70C18">
              <w:rPr>
                <w:b/>
                <w:szCs w:val="17"/>
                <w:lang w:eastAsia="it-IT"/>
              </w:rPr>
              <w:t xml:space="preserve"> for specific and collective provisions</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6804" w:type="dxa"/>
            <w:gridSpan w:val="2"/>
            <w:tcBorders>
              <w:top w:val="single" w:sz="6" w:space="0" w:color="auto"/>
              <w:left w:val="nil"/>
              <w:bottom w:val="single" w:sz="6" w:space="0" w:color="auto"/>
              <w:right w:val="nil"/>
            </w:tcBorders>
            <w:shd w:val="clear" w:color="auto" w:fill="D9D9D9" w:themeFill="background1" w:themeFillShade="D9"/>
          </w:tcPr>
          <w:p w:rsidR="00545554" w:rsidRPr="00D7170A" w:rsidRDefault="00545554" w:rsidP="00545554">
            <w:pPr>
              <w:pStyle w:val="Default"/>
              <w:ind w:firstLineChars="50" w:firstLine="85"/>
              <w:rPr>
                <w:b/>
                <w:sz w:val="17"/>
                <w:szCs w:val="17"/>
                <w:lang w:eastAsia="it-IT"/>
              </w:rPr>
            </w:pPr>
            <w:r w:rsidRPr="00D7170A">
              <w:rPr>
                <w:b/>
                <w:sz w:val="17"/>
                <w:szCs w:val="17"/>
                <w:lang w:eastAsia="it-IT"/>
              </w:rPr>
              <w:t>Leverage ratio</w:t>
            </w:r>
          </w:p>
        </w:tc>
        <w:tc>
          <w:tcPr>
            <w:tcW w:w="1205" w:type="dxa"/>
            <w:tcBorders>
              <w:top w:val="single" w:sz="6" w:space="0" w:color="auto"/>
              <w:left w:val="nil"/>
              <w:bottom w:val="single" w:sz="6" w:space="0" w:color="auto"/>
              <w:right w:val="nil"/>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205" w:type="dxa"/>
            <w:tcBorders>
              <w:top w:val="single" w:sz="6" w:space="0" w:color="auto"/>
              <w:left w:val="nil"/>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30"/>
        </w:trPr>
        <w:tc>
          <w:tcPr>
            <w:tcW w:w="567" w:type="dxa"/>
            <w:tcBorders>
              <w:top w:val="single" w:sz="6" w:space="0" w:color="auto"/>
              <w:left w:val="nil"/>
              <w:bottom w:val="single" w:sz="6" w:space="0" w:color="auto"/>
              <w:right w:val="single" w:sz="6" w:space="0" w:color="auto"/>
            </w:tcBorders>
            <w:shd w:val="clear" w:color="auto" w:fill="auto"/>
          </w:tcPr>
          <w:p w:rsidR="00545554" w:rsidRPr="0023654F" w:rsidRDefault="00545554" w:rsidP="00545554">
            <w:pPr>
              <w:pStyle w:val="TableText"/>
              <w:snapToGrid w:val="0"/>
              <w:ind w:left="57"/>
              <w:rPr>
                <w:sz w:val="16"/>
                <w:szCs w:val="16"/>
                <w:lang w:eastAsia="en-GB"/>
              </w:rPr>
            </w:pPr>
            <w:r>
              <w:rPr>
                <w:sz w:val="16"/>
                <w:szCs w:val="16"/>
                <w:lang w:eastAsia="en-GB"/>
              </w:rPr>
              <w:t>22</w:t>
            </w:r>
          </w:p>
        </w:tc>
        <w:tc>
          <w:tcPr>
            <w:tcW w:w="62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092333" w:rsidRDefault="00545554" w:rsidP="00545554">
            <w:pPr>
              <w:pStyle w:val="TableText"/>
              <w:snapToGrid w:val="0"/>
              <w:ind w:left="57" w:rightChars="71" w:right="142"/>
              <w:rPr>
                <w:b/>
                <w:szCs w:val="17"/>
                <w:lang w:eastAsia="it-IT"/>
              </w:rPr>
            </w:pPr>
            <w:r>
              <w:rPr>
                <w:b/>
                <w:szCs w:val="17"/>
                <w:lang w:eastAsia="it-IT"/>
              </w:rPr>
              <w:t>Leverage ratio</w:t>
            </w: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205"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567"/>
        <w:gridCol w:w="8647"/>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373"/>
        </w:trPr>
        <w:tc>
          <w:tcPr>
            <w:tcW w:w="9214" w:type="dxa"/>
            <w:gridSpan w:val="2"/>
            <w:shd w:val="clear" w:color="auto" w:fill="F2F2F2" w:themeFill="background1" w:themeFillShade="F2"/>
          </w:tcPr>
          <w:p w:rsidR="00545554" w:rsidRPr="00A539ED" w:rsidRDefault="00545554" w:rsidP="00545554">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647" w:type="dxa"/>
          </w:tcPr>
          <w:p w:rsidR="00545554" w:rsidRPr="00210E61" w:rsidRDefault="00545554" w:rsidP="00545554">
            <w:pPr>
              <w:pStyle w:val="TableNote"/>
              <w:spacing w:before="40" w:after="40"/>
              <w:rPr>
                <w:sz w:val="17"/>
                <w:szCs w:val="17"/>
              </w:rPr>
            </w:pPr>
            <w:r>
              <w:rPr>
                <w:sz w:val="17"/>
                <w:szCs w:val="17"/>
              </w:rPr>
              <w:t>An AI</w:t>
            </w:r>
            <w:r w:rsidRPr="00210E61">
              <w:rPr>
                <w:sz w:val="17"/>
                <w:szCs w:val="17"/>
              </w:rPr>
              <w:t xml:space="preserve"> </w:t>
            </w:r>
            <w:r>
              <w:rPr>
                <w:sz w:val="17"/>
                <w:szCs w:val="17"/>
              </w:rPr>
              <w:t>should</w:t>
            </w:r>
            <w:r w:rsidRPr="00210E61">
              <w:rPr>
                <w:sz w:val="17"/>
                <w:szCs w:val="17"/>
              </w:rPr>
              <w:t xml:space="preserve"> include all </w:t>
            </w:r>
            <w:r>
              <w:rPr>
                <w:sz w:val="17"/>
                <w:szCs w:val="17"/>
              </w:rPr>
              <w:t xml:space="preserve">consolidated </w:t>
            </w:r>
            <w:r w:rsidRPr="00210E61">
              <w:rPr>
                <w:sz w:val="17"/>
                <w:szCs w:val="17"/>
              </w:rPr>
              <w:t xml:space="preserve">assets </w:t>
            </w:r>
            <w:r>
              <w:rPr>
                <w:sz w:val="17"/>
                <w:szCs w:val="17"/>
              </w:rPr>
              <w:t>o</w:t>
            </w:r>
            <w:r w:rsidRPr="00210E61">
              <w:rPr>
                <w:sz w:val="17"/>
                <w:szCs w:val="17"/>
              </w:rPr>
              <w:t>n balance</w:t>
            </w:r>
            <w:r>
              <w:rPr>
                <w:sz w:val="17"/>
                <w:szCs w:val="17"/>
              </w:rPr>
              <w:t xml:space="preserve"> sheet as per its financial statements</w:t>
            </w:r>
            <w:r w:rsidRPr="00210E61">
              <w:rPr>
                <w:sz w:val="17"/>
                <w:szCs w:val="17"/>
              </w:rPr>
              <w:t xml:space="preserve">, including collateral </w:t>
            </w:r>
            <w:r>
              <w:rPr>
                <w:sz w:val="17"/>
                <w:szCs w:val="17"/>
              </w:rPr>
              <w:t xml:space="preserve">for </w:t>
            </w:r>
            <w:r w:rsidRPr="00210E61">
              <w:rPr>
                <w:sz w:val="17"/>
                <w:szCs w:val="17"/>
              </w:rPr>
              <w:t>on-balance sheet derivative</w:t>
            </w:r>
            <w:r>
              <w:rPr>
                <w:sz w:val="17"/>
                <w:szCs w:val="17"/>
              </w:rPr>
              <w:t xml:space="preserve"> contract</w:t>
            </w:r>
            <w:r w:rsidRPr="00210E61">
              <w:rPr>
                <w:sz w:val="17"/>
                <w:szCs w:val="17"/>
              </w:rPr>
              <w:t xml:space="preserve">s and for SFTs, with the exception of on-balance sheet derivative </w:t>
            </w:r>
            <w:r>
              <w:rPr>
                <w:sz w:val="17"/>
                <w:szCs w:val="17"/>
              </w:rPr>
              <w:t xml:space="preserve">contracts </w:t>
            </w:r>
            <w:r w:rsidRPr="00210E61">
              <w:rPr>
                <w:sz w:val="17"/>
                <w:szCs w:val="17"/>
              </w:rPr>
              <w:t>and SFT assets that are included in rows 4</w:t>
            </w:r>
            <w:r>
              <w:rPr>
                <w:sz w:val="17"/>
                <w:szCs w:val="17"/>
              </w:rPr>
              <w:t xml:space="preserve"> to </w:t>
            </w:r>
            <w:r w:rsidRPr="00210E61">
              <w:rPr>
                <w:sz w:val="17"/>
                <w:szCs w:val="17"/>
              </w:rPr>
              <w:t>16.</w:t>
            </w:r>
            <w:r>
              <w:t xml:space="preserve">  </w:t>
            </w:r>
            <w:r w:rsidRPr="000901B5">
              <w:rPr>
                <w:sz w:val="17"/>
                <w:szCs w:val="17"/>
              </w:rPr>
              <w:t>Where an AI is a note-issuing bank</w:t>
            </w:r>
            <w:r>
              <w:rPr>
                <w:sz w:val="17"/>
                <w:szCs w:val="17"/>
              </w:rPr>
              <w:t xml:space="preserve"> </w:t>
            </w:r>
            <w:r w:rsidRPr="00AA3ECD">
              <w:rPr>
                <w:sz w:val="17"/>
                <w:szCs w:val="17"/>
              </w:rPr>
              <w:t xml:space="preserve">as defined </w:t>
            </w:r>
            <w:r>
              <w:rPr>
                <w:sz w:val="17"/>
                <w:szCs w:val="17"/>
              </w:rPr>
              <w:t>under</w:t>
            </w:r>
            <w:r w:rsidRPr="00AA3ECD">
              <w:rPr>
                <w:sz w:val="17"/>
                <w:szCs w:val="17"/>
              </w:rPr>
              <w:t xml:space="preserve"> the Legal Tender Notes Issue Ordinance (Cap</w:t>
            </w:r>
            <w:r>
              <w:rPr>
                <w:sz w:val="17"/>
                <w:szCs w:val="17"/>
              </w:rPr>
              <w:t>.</w:t>
            </w:r>
            <w:r w:rsidRPr="00AA3ECD">
              <w:rPr>
                <w:sz w:val="17"/>
                <w:szCs w:val="17"/>
              </w:rPr>
              <w:t xml:space="preserve"> 65)</w:t>
            </w:r>
            <w:r w:rsidRPr="000901B5">
              <w:rPr>
                <w:sz w:val="17"/>
                <w:szCs w:val="17"/>
              </w:rPr>
              <w:t>, the AI’s</w:t>
            </w:r>
            <w:r>
              <w:rPr>
                <w:sz w:val="17"/>
                <w:szCs w:val="17"/>
              </w:rPr>
              <w:t xml:space="preserve"> </w:t>
            </w:r>
            <w:r w:rsidRPr="000901B5">
              <w:rPr>
                <w:sz w:val="17"/>
                <w:szCs w:val="17"/>
              </w:rPr>
              <w:t xml:space="preserve">on-balance sheet exposure </w:t>
            </w:r>
            <w:r>
              <w:rPr>
                <w:sz w:val="17"/>
                <w:szCs w:val="17"/>
              </w:rPr>
              <w:t>should</w:t>
            </w:r>
            <w:r w:rsidRPr="000901B5">
              <w:rPr>
                <w:sz w:val="17"/>
                <w:szCs w:val="17"/>
              </w:rPr>
              <w:t xml:space="preserve"> not include, for the</w:t>
            </w:r>
            <w:r>
              <w:rPr>
                <w:sz w:val="17"/>
                <w:szCs w:val="17"/>
              </w:rPr>
              <w:t xml:space="preserve"> </w:t>
            </w:r>
            <w:r w:rsidRPr="000901B5">
              <w:rPr>
                <w:sz w:val="17"/>
                <w:szCs w:val="17"/>
              </w:rPr>
              <w:t>purpose of this template, any certificates of</w:t>
            </w:r>
            <w:r>
              <w:rPr>
                <w:sz w:val="17"/>
                <w:szCs w:val="17"/>
              </w:rPr>
              <w:t xml:space="preserve"> </w:t>
            </w:r>
            <w:r w:rsidRPr="000901B5">
              <w:rPr>
                <w:sz w:val="17"/>
                <w:szCs w:val="17"/>
              </w:rPr>
              <w:t>indebtedness issued under the Exchange Fund</w:t>
            </w:r>
            <w:r>
              <w:rPr>
                <w:sz w:val="17"/>
                <w:szCs w:val="17"/>
              </w:rPr>
              <w:t xml:space="preserve"> </w:t>
            </w:r>
            <w:r w:rsidRPr="000901B5">
              <w:rPr>
                <w:sz w:val="17"/>
                <w:szCs w:val="17"/>
              </w:rPr>
              <w:t xml:space="preserve">Ordinance </w:t>
            </w:r>
            <w:r>
              <w:rPr>
                <w:sz w:val="17"/>
                <w:szCs w:val="17"/>
              </w:rPr>
              <w:t xml:space="preserve">(Cap. 66) </w:t>
            </w:r>
            <w:r w:rsidRPr="000901B5">
              <w:rPr>
                <w:sz w:val="17"/>
                <w:szCs w:val="17"/>
              </w:rPr>
              <w:t>and held by the AI as cover for legal</w:t>
            </w:r>
            <w:r>
              <w:rPr>
                <w:sz w:val="17"/>
                <w:szCs w:val="17"/>
              </w:rPr>
              <w:t xml:space="preserve"> </w:t>
            </w:r>
            <w:r w:rsidRPr="000901B5">
              <w:rPr>
                <w:sz w:val="17"/>
                <w:szCs w:val="17"/>
              </w:rPr>
              <w:t>tender notes issued.</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647" w:type="dxa"/>
          </w:tcPr>
          <w:p w:rsidR="00545554" w:rsidRPr="0092221A" w:rsidRDefault="00545554" w:rsidP="00545554">
            <w:pPr>
              <w:keepLines/>
              <w:widowControl w:val="0"/>
              <w:tabs>
                <w:tab w:val="left" w:pos="150"/>
                <w:tab w:val="left" w:pos="397"/>
                <w:tab w:val="left" w:pos="794"/>
                <w:tab w:val="left" w:pos="1191"/>
              </w:tabs>
              <w:spacing w:before="40" w:after="40"/>
              <w:jc w:val="both"/>
              <w:rPr>
                <w:rFonts w:cs="Segoe UI"/>
                <w:sz w:val="17"/>
                <w:szCs w:val="17"/>
              </w:rPr>
            </w:pPr>
            <w:r>
              <w:rPr>
                <w:sz w:val="17"/>
                <w:szCs w:val="17"/>
              </w:rPr>
              <w:t>Adjustments to b</w:t>
            </w:r>
            <w:r w:rsidRPr="00210E61">
              <w:rPr>
                <w:sz w:val="17"/>
                <w:szCs w:val="17"/>
              </w:rPr>
              <w:t xml:space="preserve">alance sheet assets </w:t>
            </w:r>
            <w:r>
              <w:rPr>
                <w:sz w:val="17"/>
                <w:szCs w:val="17"/>
              </w:rPr>
              <w:t xml:space="preserve">due to </w:t>
            </w:r>
            <w:r w:rsidRPr="00210E61">
              <w:rPr>
                <w:sz w:val="17"/>
                <w:szCs w:val="17"/>
              </w:rPr>
              <w:t>deduct</w:t>
            </w:r>
            <w:r>
              <w:rPr>
                <w:sz w:val="17"/>
                <w:szCs w:val="17"/>
              </w:rPr>
              <w:t>ions</w:t>
            </w:r>
            <w:r w:rsidRPr="00210E61">
              <w:rPr>
                <w:sz w:val="17"/>
                <w:szCs w:val="17"/>
              </w:rPr>
              <w:t xml:space="preserve"> from Tier 1 capital</w:t>
            </w:r>
            <w:r>
              <w:rPr>
                <w:sz w:val="17"/>
                <w:szCs w:val="17"/>
              </w:rPr>
              <w:t xml:space="preserve"> in accordance with BCR </w:t>
            </w:r>
            <w:r w:rsidRPr="009D7102">
              <w:rPr>
                <w:sz w:val="17"/>
                <w:szCs w:val="17"/>
              </w:rPr>
              <w:t>§</w:t>
            </w:r>
            <w:r w:rsidRPr="00E27CF8">
              <w:rPr>
                <w:sz w:val="17"/>
                <w:szCs w:val="17"/>
              </w:rPr>
              <w:t>3</w:t>
            </w:r>
            <w:r>
              <w:rPr>
                <w:sz w:val="17"/>
                <w:szCs w:val="17"/>
              </w:rPr>
              <w:t>ZB(4)</w:t>
            </w:r>
            <w:r w:rsidRPr="00210E61">
              <w:rPr>
                <w:sz w:val="17"/>
                <w:szCs w:val="17"/>
              </w:rPr>
              <w:t xml:space="preserve">. </w:t>
            </w:r>
            <w:r>
              <w:rPr>
                <w:sz w:val="17"/>
                <w:szCs w:val="17"/>
              </w:rPr>
              <w:t xml:space="preserve"> </w:t>
            </w:r>
            <w:r w:rsidRPr="00210E61">
              <w:rPr>
                <w:sz w:val="17"/>
                <w:szCs w:val="17"/>
              </w:rPr>
              <w:t>For example</w:t>
            </w:r>
            <w:r>
              <w:rPr>
                <w:sz w:val="17"/>
                <w:szCs w:val="17"/>
              </w:rPr>
              <w:t>:</w:t>
            </w:r>
          </w:p>
          <w:p w:rsidR="00545554" w:rsidRPr="0092221A" w:rsidRDefault="00545554" w:rsidP="00545554">
            <w:pPr>
              <w:pStyle w:val="ListParagraph"/>
              <w:keepLines/>
              <w:numPr>
                <w:ilvl w:val="0"/>
                <w:numId w:val="28"/>
              </w:numPr>
              <w:spacing w:before="40" w:after="40"/>
              <w:ind w:leftChars="0" w:left="318" w:hanging="318"/>
              <w:jc w:val="both"/>
              <w:rPr>
                <w:rFonts w:ascii="Segoe UI" w:hAnsi="Segoe UI" w:cs="Segoe UI"/>
                <w:sz w:val="17"/>
                <w:szCs w:val="17"/>
              </w:rPr>
            </w:pPr>
            <w:r w:rsidRPr="0092221A">
              <w:rPr>
                <w:rFonts w:ascii="Segoe UI" w:hAnsi="Segoe UI" w:cs="Segoe UI"/>
                <w:sz w:val="17"/>
                <w:szCs w:val="17"/>
              </w:rPr>
              <w:t>Where a financial sector entity is not included in the regulatory scope of consolidation, the amount of any investment in the capital of that entity that is totally or partially deducted from CET1 capital or from additional Tier 1 capital of the bank following the corresponding deduction approach, may be deducted from the exposure measure.</w:t>
            </w:r>
          </w:p>
          <w:p w:rsidR="00545554" w:rsidRPr="0092221A" w:rsidRDefault="00545554" w:rsidP="00545554">
            <w:pPr>
              <w:pStyle w:val="ListParagraph"/>
              <w:keepLines/>
              <w:numPr>
                <w:ilvl w:val="0"/>
                <w:numId w:val="28"/>
              </w:numPr>
              <w:spacing w:before="40" w:after="40"/>
              <w:ind w:leftChars="0" w:left="318" w:hanging="318"/>
              <w:jc w:val="both"/>
              <w:rPr>
                <w:rFonts w:ascii="Segoe UI" w:hAnsi="Segoe UI" w:cs="Segoe UI"/>
                <w:sz w:val="17"/>
                <w:szCs w:val="17"/>
              </w:rPr>
            </w:pPr>
            <w:r w:rsidRPr="0092221A">
              <w:rPr>
                <w:rFonts w:ascii="Segoe UI" w:hAnsi="Segoe UI" w:cs="Segoe UI"/>
                <w:sz w:val="17"/>
                <w:szCs w:val="17"/>
              </w:rPr>
              <w:t xml:space="preserve">For an AI using the IRB approach to determining capital requirements for credit risk, it is required any excess </w:t>
            </w:r>
            <w:r w:rsidRPr="0092221A">
              <w:rPr>
                <w:rFonts w:ascii="Segoe UI" w:hAnsi="Segoe UI" w:cs="Segoe UI"/>
                <w:sz w:val="17"/>
                <w:szCs w:val="17"/>
              </w:rPr>
              <w:lastRenderedPageBreak/>
              <w:t>of the total expected loss over the total eligible provisions be deducted from CET1 capital.  The same amount may be deducted from the exposure measure.</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92221A">
              <w:rPr>
                <w:rFonts w:cs="Segoe UI"/>
                <w:sz w:val="17"/>
                <w:szCs w:val="17"/>
              </w:rPr>
              <w:t xml:space="preserve">As the adjustments in row 2 reduce </w:t>
            </w:r>
            <w:r w:rsidRPr="00210E61">
              <w:rPr>
                <w:sz w:val="17"/>
                <w:szCs w:val="17"/>
              </w:rPr>
              <w:t xml:space="preserve">the exposure measure, they </w:t>
            </w:r>
            <w:r>
              <w:rPr>
                <w:sz w:val="17"/>
                <w:szCs w:val="17"/>
              </w:rPr>
              <w:t>should be</w:t>
            </w:r>
            <w:r w:rsidRPr="00210E61">
              <w:rPr>
                <w:sz w:val="17"/>
                <w:szCs w:val="17"/>
              </w:rPr>
              <w:t xml:space="preserve"> reported as negative figures.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3</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Sum of </w:t>
            </w:r>
            <w:r>
              <w:rPr>
                <w:sz w:val="17"/>
                <w:szCs w:val="17"/>
              </w:rPr>
              <w:t xml:space="preserve">values in </w:t>
            </w:r>
            <w:r w:rsidRPr="00210E61">
              <w:rPr>
                <w:sz w:val="17"/>
                <w:szCs w:val="17"/>
              </w:rPr>
              <w:t>rows 1 and 2.</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647" w:type="dxa"/>
          </w:tcPr>
          <w:p w:rsidR="00545554" w:rsidRPr="00210E61" w:rsidRDefault="00545554" w:rsidP="00545554">
            <w:pPr>
              <w:pStyle w:val="TableNote"/>
              <w:spacing w:before="40" w:after="40"/>
              <w:rPr>
                <w:sz w:val="17"/>
                <w:szCs w:val="17"/>
              </w:rPr>
            </w:pPr>
            <w:r w:rsidRPr="00210E61">
              <w:rPr>
                <w:sz w:val="17"/>
                <w:szCs w:val="17"/>
              </w:rPr>
              <w:t>Replacement cost (</w:t>
            </w:r>
            <w:r>
              <w:rPr>
                <w:sz w:val="17"/>
                <w:szCs w:val="17"/>
              </w:rPr>
              <w:t>“</w:t>
            </w:r>
            <w:r w:rsidRPr="00210E61">
              <w:rPr>
                <w:sz w:val="17"/>
                <w:szCs w:val="17"/>
              </w:rPr>
              <w:t>RC</w:t>
            </w:r>
            <w:r>
              <w:rPr>
                <w:sz w:val="17"/>
                <w:szCs w:val="17"/>
              </w:rPr>
              <w:t>”</w:t>
            </w:r>
            <w:r w:rsidRPr="00210E61">
              <w:rPr>
                <w:sz w:val="17"/>
                <w:szCs w:val="17"/>
              </w:rPr>
              <w:t>) associated with all derivative</w:t>
            </w:r>
            <w:r>
              <w:rPr>
                <w:sz w:val="17"/>
                <w:szCs w:val="17"/>
              </w:rPr>
              <w:t xml:space="preserve"> contract</w:t>
            </w:r>
            <w:r w:rsidRPr="00210E61">
              <w:rPr>
                <w:sz w:val="17"/>
                <w:szCs w:val="17"/>
              </w:rPr>
              <w:t>s (including exposures resulting from direct transactions between a client and a CCP where the bank guarantees the performance of its clients’ derivative trade exposures to the CCP), net of cash variation margin received</w:t>
            </w:r>
            <w:r>
              <w:rPr>
                <w:sz w:val="17"/>
                <w:szCs w:val="17"/>
              </w:rPr>
              <w:t xml:space="preserve"> and</w:t>
            </w:r>
            <w:r w:rsidRPr="00210E61">
              <w:rPr>
                <w:sz w:val="17"/>
                <w:szCs w:val="17"/>
              </w:rPr>
              <w:t xml:space="preserve"> with</w:t>
            </w:r>
            <w:r>
              <w:rPr>
                <w:sz w:val="17"/>
                <w:szCs w:val="17"/>
              </w:rPr>
              <w:t>,</w:t>
            </w:r>
            <w:r w:rsidRPr="00210E61">
              <w:rPr>
                <w:sz w:val="17"/>
                <w:szCs w:val="17"/>
              </w:rPr>
              <w:t xml:space="preserve"> </w:t>
            </w:r>
            <w:r>
              <w:rPr>
                <w:sz w:val="17"/>
                <w:szCs w:val="17"/>
              </w:rPr>
              <w:t>w</w:t>
            </w:r>
            <w:r w:rsidRPr="00210E61">
              <w:rPr>
                <w:sz w:val="17"/>
                <w:szCs w:val="17"/>
              </w:rPr>
              <w:t>here applicable, bilateral net</w:t>
            </w:r>
            <w:r>
              <w:rPr>
                <w:sz w:val="17"/>
                <w:szCs w:val="17"/>
              </w:rPr>
              <w:t>ting under a valid bilateral netting agreement.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Add-on amount for the potential future exposure (</w:t>
            </w:r>
            <w:r>
              <w:rPr>
                <w:sz w:val="17"/>
                <w:szCs w:val="17"/>
              </w:rPr>
              <w:t>“</w:t>
            </w:r>
            <w:r w:rsidRPr="00210E61">
              <w:rPr>
                <w:sz w:val="17"/>
                <w:szCs w:val="17"/>
              </w:rPr>
              <w:t>PFE</w:t>
            </w:r>
            <w:r>
              <w:rPr>
                <w:sz w:val="17"/>
                <w:szCs w:val="17"/>
              </w:rPr>
              <w:t>”</w:t>
            </w:r>
            <w:r w:rsidRPr="00210E61">
              <w:rPr>
                <w:sz w:val="17"/>
                <w:szCs w:val="17"/>
              </w:rPr>
              <w:t>) of all exposures</w:t>
            </w:r>
            <w:r>
              <w:rPr>
                <w:sz w:val="17"/>
                <w:szCs w:val="17"/>
              </w:rPr>
              <w:t xml:space="preserve"> arising from</w:t>
            </w:r>
            <w:r w:rsidRPr="00210E61">
              <w:rPr>
                <w:sz w:val="17"/>
                <w:szCs w:val="17"/>
              </w:rPr>
              <w:t xml:space="preserve"> derivative </w:t>
            </w:r>
            <w:r>
              <w:rPr>
                <w:sz w:val="17"/>
                <w:szCs w:val="17"/>
              </w:rPr>
              <w:t>contracts</w:t>
            </w:r>
            <w:r w:rsidRPr="00210E61">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647" w:type="dxa"/>
          </w:tcPr>
          <w:p w:rsidR="00545554" w:rsidRPr="001B4B35"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Grossed-up amount of any collateral provided in relation to exposures </w:t>
            </w:r>
            <w:r>
              <w:rPr>
                <w:sz w:val="17"/>
                <w:szCs w:val="17"/>
              </w:rPr>
              <w:t xml:space="preserve">arising from </w:t>
            </w:r>
            <w:r w:rsidRPr="00210E61">
              <w:rPr>
                <w:sz w:val="17"/>
                <w:szCs w:val="17"/>
              </w:rPr>
              <w:t xml:space="preserve">derivative </w:t>
            </w:r>
            <w:r>
              <w:rPr>
                <w:sz w:val="17"/>
                <w:szCs w:val="17"/>
              </w:rPr>
              <w:t xml:space="preserve">contracts </w:t>
            </w:r>
            <w:r w:rsidRPr="00210E61">
              <w:rPr>
                <w:sz w:val="17"/>
                <w:szCs w:val="17"/>
              </w:rPr>
              <w:t xml:space="preserve">where the provision of that collateral has reduced the value of the balance sheet assets under the </w:t>
            </w:r>
            <w:r>
              <w:rPr>
                <w:sz w:val="17"/>
                <w:szCs w:val="17"/>
              </w:rPr>
              <w:t>AI</w:t>
            </w:r>
            <w:r w:rsidRPr="00210E61">
              <w:rPr>
                <w:sz w:val="17"/>
                <w:szCs w:val="17"/>
              </w:rPr>
              <w:t xml:space="preserve">’s </w:t>
            </w:r>
            <w:r>
              <w:rPr>
                <w:sz w:val="17"/>
                <w:szCs w:val="17"/>
              </w:rPr>
              <w:t>applicable</w:t>
            </w:r>
            <w:r w:rsidRPr="00210E61">
              <w:rPr>
                <w:sz w:val="17"/>
                <w:szCs w:val="17"/>
              </w:rPr>
              <w:t xml:space="preserve"> accounting framework.</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Deductions of receivable assets in </w:t>
            </w:r>
            <w:r>
              <w:rPr>
                <w:sz w:val="17"/>
                <w:szCs w:val="17"/>
              </w:rPr>
              <w:t>respect</w:t>
            </w:r>
            <w:r w:rsidRPr="00210E61">
              <w:rPr>
                <w:sz w:val="17"/>
                <w:szCs w:val="17"/>
              </w:rPr>
              <w:t xml:space="preserve"> of cash variation margin provided </w:t>
            </w:r>
            <w:r>
              <w:rPr>
                <w:sz w:val="17"/>
                <w:szCs w:val="17"/>
              </w:rPr>
              <w:t>under</w:t>
            </w:r>
            <w:r w:rsidRPr="00210E61">
              <w:rPr>
                <w:sz w:val="17"/>
                <w:szCs w:val="17"/>
              </w:rPr>
              <w:t xml:space="preserve"> derivative</w:t>
            </w:r>
            <w:r>
              <w:rPr>
                <w:sz w:val="17"/>
                <w:szCs w:val="17"/>
              </w:rPr>
              <w:t xml:space="preserve"> contract</w:t>
            </w:r>
            <w:r w:rsidRPr="00210E61">
              <w:rPr>
                <w:sz w:val="17"/>
                <w:szCs w:val="17"/>
              </w:rPr>
              <w:t xml:space="preserve">s where the posting of cash variation margin has resulted in the recognition of a receivable asset under the </w:t>
            </w:r>
            <w:r>
              <w:rPr>
                <w:sz w:val="17"/>
                <w:szCs w:val="17"/>
              </w:rPr>
              <w:t>AI</w:t>
            </w:r>
            <w:r w:rsidRPr="00210E61">
              <w:rPr>
                <w:sz w:val="17"/>
                <w:szCs w:val="17"/>
              </w:rPr>
              <w:t xml:space="preserve">’s </w:t>
            </w:r>
            <w:r>
              <w:rPr>
                <w:sz w:val="17"/>
                <w:szCs w:val="17"/>
              </w:rPr>
              <w:t>applicable</w:t>
            </w:r>
            <w:r w:rsidRPr="00210E61">
              <w:rPr>
                <w:sz w:val="17"/>
                <w:szCs w:val="17"/>
              </w:rPr>
              <w:t xml:space="preserve"> accounting framework.</w:t>
            </w:r>
            <w:r>
              <w:rPr>
                <w:sz w:val="17"/>
                <w:szCs w:val="17"/>
              </w:rPr>
              <w:t xml:space="preserve">  </w:t>
            </w:r>
            <w:r w:rsidRPr="00210E61">
              <w:rPr>
                <w:sz w:val="17"/>
                <w:szCs w:val="17"/>
              </w:rPr>
              <w:t xml:space="preserve">As the adjustments in row 7 reduce the exposure measure, they </w:t>
            </w:r>
            <w:r>
              <w:rPr>
                <w:sz w:val="17"/>
                <w:szCs w:val="17"/>
              </w:rPr>
              <w:t>should be</w:t>
            </w:r>
            <w:r w:rsidRPr="00210E61">
              <w:rPr>
                <w:sz w:val="17"/>
                <w:szCs w:val="17"/>
              </w:rPr>
              <w:t xml:space="preserve"> reported as negative figures.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Exempted t</w:t>
            </w:r>
            <w:r w:rsidRPr="00210E61">
              <w:rPr>
                <w:sz w:val="17"/>
                <w:szCs w:val="17"/>
              </w:rPr>
              <w:t xml:space="preserve">rade exposures associated with the CCP leg of derivatives </w:t>
            </w:r>
            <w:r>
              <w:rPr>
                <w:sz w:val="17"/>
                <w:szCs w:val="17"/>
              </w:rPr>
              <w:t>contract</w:t>
            </w:r>
            <w:r w:rsidRPr="00210E61">
              <w:rPr>
                <w:sz w:val="17"/>
                <w:szCs w:val="17"/>
              </w:rPr>
              <w:t>s resulting from client-cleared transactions or which the clearing member, based on the contractual arrangements with the client, is not obligated to reimburse the client for any losses suffered due to changes in the value of its transactions in the event that a QCCP defaults.</w:t>
            </w:r>
            <w:r>
              <w:rPr>
                <w:sz w:val="17"/>
                <w:szCs w:val="17"/>
              </w:rPr>
              <w:t xml:space="preserve">  </w:t>
            </w:r>
            <w:r w:rsidRPr="00210E61">
              <w:rPr>
                <w:sz w:val="17"/>
                <w:szCs w:val="17"/>
              </w:rPr>
              <w:t xml:space="preserve">As the adjustments in row 8 reduce the exposure measure, they </w:t>
            </w:r>
            <w:r>
              <w:rPr>
                <w:sz w:val="17"/>
                <w:szCs w:val="17"/>
              </w:rPr>
              <w:t>should be</w:t>
            </w:r>
            <w:r w:rsidRPr="00210E61">
              <w:rPr>
                <w:sz w:val="17"/>
                <w:szCs w:val="17"/>
              </w:rPr>
              <w:t xml:space="preserve"> reported as negative figures.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Adjustments relating to t</w:t>
            </w:r>
            <w:r w:rsidRPr="00210E61">
              <w:rPr>
                <w:sz w:val="17"/>
                <w:szCs w:val="17"/>
              </w:rPr>
              <w:t>he effective notional amount of written credit derivative</w:t>
            </w:r>
            <w:r>
              <w:rPr>
                <w:sz w:val="17"/>
                <w:szCs w:val="17"/>
              </w:rPr>
              <w:t xml:space="preserve"> contracts,</w:t>
            </w:r>
            <w:r w:rsidRPr="00210E61">
              <w:rPr>
                <w:sz w:val="17"/>
                <w:szCs w:val="17"/>
              </w:rPr>
              <w:t xml:space="preserve"> which may be reduced by the total amount of negative changes in fair value amounts that have been incorporated into the calculation of Tier 1 capital with respect to written credit derivative</w:t>
            </w:r>
            <w:r>
              <w:rPr>
                <w:sz w:val="17"/>
                <w:szCs w:val="17"/>
              </w:rPr>
              <w:t xml:space="preserve"> contracts</w:t>
            </w:r>
            <w:r w:rsidRPr="00210E61">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647" w:type="dxa"/>
          </w:tcPr>
          <w:p w:rsidR="00545554" w:rsidRPr="0092221A" w:rsidRDefault="00545554" w:rsidP="00545554">
            <w:pPr>
              <w:keepLines/>
              <w:widowControl w:val="0"/>
              <w:tabs>
                <w:tab w:val="left" w:pos="150"/>
                <w:tab w:val="left" w:pos="397"/>
                <w:tab w:val="left" w:pos="794"/>
                <w:tab w:val="left" w:pos="1191"/>
              </w:tabs>
              <w:spacing w:before="40" w:after="40"/>
              <w:jc w:val="both"/>
              <w:rPr>
                <w:rFonts w:cs="Segoe UI"/>
                <w:sz w:val="17"/>
                <w:szCs w:val="17"/>
              </w:rPr>
            </w:pPr>
            <w:r>
              <w:rPr>
                <w:sz w:val="17"/>
                <w:szCs w:val="17"/>
              </w:rPr>
              <w:t>Adjustments relatin</w:t>
            </w:r>
            <w:r w:rsidRPr="0092221A">
              <w:rPr>
                <w:rFonts w:cs="Segoe UI"/>
                <w:sz w:val="17"/>
                <w:szCs w:val="17"/>
              </w:rPr>
              <w:t>g to:</w:t>
            </w:r>
          </w:p>
          <w:p w:rsidR="00545554" w:rsidRPr="0092221A" w:rsidRDefault="00545554" w:rsidP="00545554">
            <w:pPr>
              <w:pStyle w:val="ListParagraph"/>
              <w:keepLines/>
              <w:numPr>
                <w:ilvl w:val="0"/>
                <w:numId w:val="28"/>
              </w:numPr>
              <w:spacing w:before="40" w:after="40"/>
              <w:ind w:leftChars="0" w:left="318" w:hanging="318"/>
              <w:jc w:val="both"/>
              <w:rPr>
                <w:rFonts w:ascii="Segoe UI" w:hAnsi="Segoe UI" w:cs="Segoe UI"/>
                <w:sz w:val="17"/>
                <w:szCs w:val="17"/>
              </w:rPr>
            </w:pPr>
            <w:r w:rsidRPr="0092221A">
              <w:rPr>
                <w:rFonts w:ascii="Segoe UI" w:hAnsi="Segoe UI" w:cs="Segoe UI"/>
                <w:sz w:val="17"/>
                <w:szCs w:val="17"/>
              </w:rPr>
              <w:t>The amount by which the notional amount of a written credit derivative is reduced by a purchased credit derivative contract on the same reference name; and</w:t>
            </w:r>
          </w:p>
          <w:p w:rsidR="00545554" w:rsidRPr="0092221A" w:rsidRDefault="00545554" w:rsidP="00545554">
            <w:pPr>
              <w:pStyle w:val="ListParagraph"/>
              <w:keepLines/>
              <w:numPr>
                <w:ilvl w:val="0"/>
                <w:numId w:val="28"/>
              </w:numPr>
              <w:spacing w:before="40" w:after="40"/>
              <w:ind w:leftChars="0" w:left="318" w:hanging="318"/>
              <w:jc w:val="both"/>
              <w:rPr>
                <w:rFonts w:ascii="Segoe UI" w:hAnsi="Segoe UI" w:cs="Segoe UI"/>
                <w:sz w:val="17"/>
                <w:szCs w:val="17"/>
              </w:rPr>
            </w:pPr>
            <w:r w:rsidRPr="0092221A">
              <w:rPr>
                <w:rFonts w:ascii="Segoe UI" w:hAnsi="Segoe UI" w:cs="Segoe UI"/>
                <w:sz w:val="17"/>
                <w:szCs w:val="17"/>
              </w:rPr>
              <w:t>The deduction of add-on amounts for PFE in relation to written credit derivative contracts.</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92221A">
              <w:rPr>
                <w:rFonts w:cs="Segoe UI"/>
                <w:sz w:val="17"/>
                <w:szCs w:val="17"/>
              </w:rPr>
              <w:t>As the adjustments in row 1</w:t>
            </w:r>
            <w:r w:rsidRPr="00210E61">
              <w:rPr>
                <w:sz w:val="17"/>
                <w:szCs w:val="17"/>
              </w:rPr>
              <w:t xml:space="preserve">0 reduce the exposure measure, they </w:t>
            </w:r>
            <w:r>
              <w:rPr>
                <w:sz w:val="17"/>
                <w:szCs w:val="17"/>
              </w:rPr>
              <w:t>should be</w:t>
            </w:r>
            <w:r w:rsidRPr="00210E61">
              <w:rPr>
                <w:sz w:val="17"/>
                <w:szCs w:val="17"/>
              </w:rPr>
              <w:t xml:space="preserve"> reported as negative figures.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11</w:t>
            </w:r>
          </w:p>
        </w:tc>
        <w:tc>
          <w:tcPr>
            <w:tcW w:w="8647" w:type="dxa"/>
          </w:tcPr>
          <w:p w:rsidR="00545554" w:rsidRPr="00E876D8"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Sum of </w:t>
            </w:r>
            <w:r>
              <w:rPr>
                <w:sz w:val="17"/>
                <w:szCs w:val="17"/>
              </w:rPr>
              <w:t xml:space="preserve">values in </w:t>
            </w:r>
            <w:r w:rsidRPr="00210E61">
              <w:rPr>
                <w:sz w:val="17"/>
                <w:szCs w:val="17"/>
              </w:rPr>
              <w:t>rows 4</w:t>
            </w:r>
            <w:r>
              <w:rPr>
                <w:sz w:val="17"/>
                <w:szCs w:val="17"/>
              </w:rPr>
              <w:t xml:space="preserve"> to </w:t>
            </w:r>
            <w:r w:rsidRPr="00210E61">
              <w:rPr>
                <w:sz w:val="17"/>
                <w:szCs w:val="17"/>
              </w:rPr>
              <w:t>10.</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12</w:t>
            </w:r>
          </w:p>
        </w:tc>
        <w:tc>
          <w:tcPr>
            <w:tcW w:w="8647" w:type="dxa"/>
          </w:tcPr>
          <w:p w:rsidR="00545554" w:rsidRPr="00AD0250" w:rsidRDefault="00545554" w:rsidP="00545554">
            <w:pPr>
              <w:keepLines/>
              <w:widowControl w:val="0"/>
              <w:spacing w:before="40" w:after="40"/>
              <w:jc w:val="both"/>
              <w:rPr>
                <w:sz w:val="17"/>
                <w:szCs w:val="17"/>
              </w:rPr>
            </w:pPr>
            <w:r w:rsidRPr="00210E61">
              <w:rPr>
                <w:sz w:val="17"/>
                <w:szCs w:val="17"/>
              </w:rPr>
              <w:t>The gross amount of SFT assets without recognition of netting, other than novation with QCCPs</w:t>
            </w:r>
            <w:r>
              <w:rPr>
                <w:sz w:val="17"/>
                <w:szCs w:val="17"/>
              </w:rPr>
              <w:t xml:space="preserve"> (in which case the final contractual exposure is to replace the gross SFT assets amount)</w:t>
            </w:r>
            <w:r w:rsidRPr="00210E61">
              <w:rPr>
                <w:sz w:val="17"/>
                <w:szCs w:val="17"/>
              </w:rPr>
              <w:t xml:space="preserve">, </w:t>
            </w:r>
            <w:r>
              <w:rPr>
                <w:sz w:val="17"/>
                <w:szCs w:val="17"/>
              </w:rPr>
              <w:t xml:space="preserve">determined in accordance with the LR framework in respect of SFT exposures (e.g. excluding </w:t>
            </w:r>
            <w:r w:rsidRPr="002F1EDF">
              <w:rPr>
                <w:sz w:val="17"/>
                <w:szCs w:val="17"/>
              </w:rPr>
              <w:t>any securities received</w:t>
            </w:r>
            <w:r>
              <w:rPr>
                <w:sz w:val="17"/>
                <w:szCs w:val="17"/>
              </w:rPr>
              <w:t xml:space="preserve"> </w:t>
            </w:r>
            <w:r w:rsidRPr="002F1EDF">
              <w:rPr>
                <w:sz w:val="17"/>
                <w:szCs w:val="17"/>
              </w:rPr>
              <w:t>under an SFT where the AI has recognised the</w:t>
            </w:r>
            <w:r>
              <w:rPr>
                <w:sz w:val="17"/>
                <w:szCs w:val="17"/>
              </w:rPr>
              <w:t xml:space="preserve"> </w:t>
            </w:r>
            <w:r w:rsidRPr="002F1EDF">
              <w:rPr>
                <w:sz w:val="17"/>
                <w:szCs w:val="17"/>
              </w:rPr>
              <w:t>securities as an asset on its balance sheet</w:t>
            </w:r>
            <w:r>
              <w:rPr>
                <w:sz w:val="17"/>
                <w:szCs w:val="17"/>
              </w:rPr>
              <w:t xml:space="preserve">), and </w:t>
            </w:r>
            <w:r w:rsidRPr="00210E61">
              <w:rPr>
                <w:sz w:val="17"/>
                <w:szCs w:val="17"/>
              </w:rPr>
              <w:t>adjust</w:t>
            </w:r>
            <w:r>
              <w:rPr>
                <w:sz w:val="17"/>
                <w:szCs w:val="17"/>
              </w:rPr>
              <w:t>ing</w:t>
            </w:r>
            <w:r w:rsidRPr="00210E61">
              <w:rPr>
                <w:sz w:val="17"/>
                <w:szCs w:val="17"/>
              </w:rPr>
              <w:t xml:space="preserve"> for any sales accounting transactions.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13</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 xml:space="preserve">Adjustments for </w:t>
            </w:r>
            <w:r w:rsidRPr="00210E61">
              <w:rPr>
                <w:sz w:val="17"/>
                <w:szCs w:val="17"/>
              </w:rPr>
              <w:t xml:space="preserve">cash payables and cash receivables of gross SFT assets with netting determined in accordance </w:t>
            </w:r>
            <w:r>
              <w:rPr>
                <w:sz w:val="17"/>
                <w:szCs w:val="17"/>
              </w:rPr>
              <w:t>with the LR framework in respect of SFT exposures</w:t>
            </w:r>
            <w:r w:rsidRPr="00210E61">
              <w:rPr>
                <w:sz w:val="17"/>
                <w:szCs w:val="17"/>
              </w:rPr>
              <w:t>.</w:t>
            </w:r>
            <w:r>
              <w:rPr>
                <w:sz w:val="17"/>
                <w:szCs w:val="17"/>
              </w:rPr>
              <w:t xml:space="preserve">  A</w:t>
            </w:r>
            <w:r w:rsidRPr="00210E61">
              <w:rPr>
                <w:sz w:val="17"/>
                <w:szCs w:val="17"/>
              </w:rPr>
              <w:t xml:space="preserve">s these adjustments reduce the exposure measure, they </w:t>
            </w:r>
            <w:r>
              <w:rPr>
                <w:sz w:val="17"/>
                <w:szCs w:val="17"/>
              </w:rPr>
              <w:t>should be</w:t>
            </w:r>
            <w:r w:rsidRPr="00210E61">
              <w:rPr>
                <w:sz w:val="17"/>
                <w:szCs w:val="17"/>
              </w:rPr>
              <w:t xml:space="preserve"> reported as a negative figure.</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14</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The amount of the counterparty credit risk add-on for SFTs determined in accordance with </w:t>
            </w:r>
            <w:r>
              <w:rPr>
                <w:sz w:val="17"/>
                <w:szCs w:val="17"/>
              </w:rPr>
              <w:t>the LR framework in respect of SFT exposures</w:t>
            </w:r>
            <w:r w:rsidRPr="00210E61">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647"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The amount for which the </w:t>
            </w:r>
            <w:r>
              <w:rPr>
                <w:sz w:val="17"/>
                <w:szCs w:val="17"/>
              </w:rPr>
              <w:t>AI</w:t>
            </w:r>
            <w:r w:rsidRPr="00210E61">
              <w:rPr>
                <w:sz w:val="17"/>
                <w:szCs w:val="17"/>
              </w:rPr>
              <w:t xml:space="preserve"> acting as an agent in an SFT has provided an indemnity or guarantee determined in accordance with </w:t>
            </w:r>
            <w:r>
              <w:rPr>
                <w:sz w:val="17"/>
                <w:szCs w:val="17"/>
              </w:rPr>
              <w:t>the LR framework in respect of SFT exposures</w:t>
            </w:r>
            <w:r w:rsidRPr="00210E61">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16</w:t>
            </w:r>
          </w:p>
        </w:tc>
        <w:tc>
          <w:tcPr>
            <w:tcW w:w="8647" w:type="dxa"/>
          </w:tcPr>
          <w:p w:rsidR="00545554" w:rsidRPr="003E0ED7"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Sum of </w:t>
            </w:r>
            <w:r>
              <w:rPr>
                <w:sz w:val="17"/>
                <w:szCs w:val="17"/>
              </w:rPr>
              <w:t xml:space="preserve">values in </w:t>
            </w:r>
            <w:r w:rsidRPr="00210E61">
              <w:rPr>
                <w:sz w:val="17"/>
                <w:szCs w:val="17"/>
              </w:rPr>
              <w:t>rows 12</w:t>
            </w:r>
            <w:r>
              <w:rPr>
                <w:sz w:val="17"/>
                <w:szCs w:val="17"/>
              </w:rPr>
              <w:t xml:space="preserve"> to </w:t>
            </w:r>
            <w:r w:rsidRPr="00210E61">
              <w:rPr>
                <w:sz w:val="17"/>
                <w:szCs w:val="17"/>
              </w:rPr>
              <w:t>15.</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647"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Total off-balance sheet exposure amounts (excluding off-balance sheet exposure amounts associated with SFT and derivative transactions) on a gross notional basis, before any adjustment for credit conversion factors (</w:t>
            </w:r>
            <w:r>
              <w:rPr>
                <w:sz w:val="17"/>
                <w:szCs w:val="17"/>
              </w:rPr>
              <w:t>“</w:t>
            </w:r>
            <w:r w:rsidRPr="00210E61">
              <w:rPr>
                <w:sz w:val="17"/>
                <w:szCs w:val="17"/>
              </w:rPr>
              <w:t>CCFs</w:t>
            </w:r>
            <w:r>
              <w:rPr>
                <w:sz w:val="17"/>
                <w:szCs w:val="17"/>
              </w:rPr>
              <w:t>”</w:t>
            </w:r>
            <w:r w:rsidRPr="00210E61">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18</w:t>
            </w:r>
          </w:p>
        </w:tc>
        <w:tc>
          <w:tcPr>
            <w:tcW w:w="8647"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210E61">
              <w:rPr>
                <w:sz w:val="17"/>
                <w:szCs w:val="17"/>
              </w:rPr>
              <w:t xml:space="preserve">Reduction in gross amount of off-balance sheet exposures due to the application of CCFs. </w:t>
            </w:r>
            <w:r>
              <w:rPr>
                <w:sz w:val="17"/>
                <w:szCs w:val="17"/>
              </w:rPr>
              <w:t xml:space="preserve"> </w:t>
            </w:r>
            <w:r w:rsidRPr="00210E61">
              <w:rPr>
                <w:sz w:val="17"/>
                <w:szCs w:val="17"/>
              </w:rPr>
              <w:t xml:space="preserve">This corresponds to the complement of CCFs of the </w:t>
            </w:r>
            <w:r>
              <w:rPr>
                <w:sz w:val="17"/>
                <w:szCs w:val="17"/>
              </w:rPr>
              <w:t>STC</w:t>
            </w:r>
            <w:r w:rsidRPr="00210E61">
              <w:rPr>
                <w:sz w:val="17"/>
                <w:szCs w:val="17"/>
              </w:rPr>
              <w:t xml:space="preserve"> approach, subject to a floor of 10%. </w:t>
            </w:r>
            <w:r>
              <w:rPr>
                <w:sz w:val="17"/>
                <w:szCs w:val="17"/>
              </w:rPr>
              <w:t xml:space="preserve"> </w:t>
            </w:r>
            <w:r w:rsidRPr="00210E61">
              <w:rPr>
                <w:sz w:val="17"/>
                <w:szCs w:val="17"/>
              </w:rPr>
              <w:t xml:space="preserve">The floor of 10% will affect commitments that are unconditionally cancellable at any time by the </w:t>
            </w:r>
            <w:r>
              <w:rPr>
                <w:sz w:val="17"/>
                <w:szCs w:val="17"/>
              </w:rPr>
              <w:t>AI</w:t>
            </w:r>
            <w:r w:rsidRPr="00210E61">
              <w:rPr>
                <w:sz w:val="17"/>
                <w:szCs w:val="17"/>
              </w:rPr>
              <w:t xml:space="preserve"> without prior notice, or that effectively provide for automatic cancellation due to deterioration in a borrower’s creditworthiness. </w:t>
            </w:r>
            <w:r>
              <w:rPr>
                <w:sz w:val="17"/>
                <w:szCs w:val="17"/>
              </w:rPr>
              <w:t xml:space="preserve"> </w:t>
            </w:r>
            <w:r w:rsidRPr="00210E61">
              <w:rPr>
                <w:sz w:val="17"/>
                <w:szCs w:val="17"/>
              </w:rPr>
              <w:t xml:space="preserve">As these adjustments reduce the exposure measure, they </w:t>
            </w:r>
            <w:r>
              <w:rPr>
                <w:sz w:val="17"/>
                <w:szCs w:val="17"/>
              </w:rPr>
              <w:t>should be</w:t>
            </w:r>
            <w:r w:rsidRPr="00210E61">
              <w:rPr>
                <w:sz w:val="17"/>
                <w:szCs w:val="17"/>
              </w:rPr>
              <w:t xml:space="preserve"> reported as negative figures.</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19</w:t>
            </w:r>
          </w:p>
        </w:tc>
        <w:tc>
          <w:tcPr>
            <w:tcW w:w="8647" w:type="dxa"/>
          </w:tcPr>
          <w:p w:rsidR="00545554" w:rsidRPr="00AD0250" w:rsidRDefault="00545554" w:rsidP="00545554">
            <w:pPr>
              <w:keepLines/>
              <w:widowControl w:val="0"/>
              <w:spacing w:before="40" w:after="40"/>
              <w:jc w:val="both"/>
              <w:rPr>
                <w:sz w:val="17"/>
                <w:szCs w:val="17"/>
              </w:rPr>
            </w:pPr>
            <w:r w:rsidRPr="00210E61">
              <w:rPr>
                <w:sz w:val="17"/>
                <w:szCs w:val="17"/>
              </w:rPr>
              <w:t xml:space="preserve">Sum of </w:t>
            </w:r>
            <w:r>
              <w:rPr>
                <w:sz w:val="17"/>
                <w:szCs w:val="17"/>
              </w:rPr>
              <w:t xml:space="preserve">values in </w:t>
            </w:r>
            <w:r w:rsidRPr="00210E61">
              <w:rPr>
                <w:sz w:val="17"/>
                <w:szCs w:val="17"/>
              </w:rPr>
              <w:t>rows 17 and 18.</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20</w:t>
            </w:r>
          </w:p>
        </w:tc>
        <w:tc>
          <w:tcPr>
            <w:tcW w:w="8647" w:type="dxa"/>
          </w:tcPr>
          <w:p w:rsidR="00545554" w:rsidRPr="00557575" w:rsidRDefault="00545554" w:rsidP="005E25C4">
            <w:pPr>
              <w:keepLines/>
              <w:widowControl w:val="0"/>
              <w:tabs>
                <w:tab w:val="left" w:pos="150"/>
                <w:tab w:val="left" w:pos="397"/>
                <w:tab w:val="left" w:pos="794"/>
                <w:tab w:val="left" w:pos="1191"/>
              </w:tabs>
              <w:spacing w:before="40" w:after="40"/>
              <w:jc w:val="both"/>
              <w:rPr>
                <w:sz w:val="17"/>
                <w:szCs w:val="17"/>
              </w:rPr>
            </w:pPr>
            <w:r w:rsidRPr="002E0D1C">
              <w:rPr>
                <w:sz w:val="17"/>
                <w:szCs w:val="17"/>
              </w:rPr>
              <w:t xml:space="preserve">The amount of Tier 1 capital </w:t>
            </w:r>
            <w:r>
              <w:rPr>
                <w:sz w:val="17"/>
                <w:szCs w:val="17"/>
              </w:rPr>
              <w:t>as determined under the BCR,</w:t>
            </w:r>
            <w:r w:rsidRPr="002E0D1C">
              <w:rPr>
                <w:sz w:val="17"/>
                <w:szCs w:val="17"/>
              </w:rPr>
              <w:t xml:space="preserve"> taking </w:t>
            </w:r>
            <w:r>
              <w:rPr>
                <w:sz w:val="17"/>
                <w:szCs w:val="17"/>
              </w:rPr>
              <w:t xml:space="preserve">into </w:t>
            </w:r>
            <w:r w:rsidRPr="002E0D1C">
              <w:rPr>
                <w:sz w:val="17"/>
                <w:szCs w:val="17"/>
              </w:rPr>
              <w:t>account of the transitional arrangements.</w:t>
            </w:r>
            <w:r>
              <w:rPr>
                <w:sz w:val="17"/>
                <w:szCs w:val="17"/>
              </w:rPr>
              <w:t xml:space="preserve">  The value in [</w:t>
            </w:r>
            <w:r w:rsidRPr="00654715">
              <w:rPr>
                <w:sz w:val="17"/>
                <w:szCs w:val="17"/>
              </w:rPr>
              <w:t>LR2:20/a</w:t>
            </w:r>
            <w:r>
              <w:rPr>
                <w:sz w:val="17"/>
                <w:szCs w:val="17"/>
              </w:rPr>
              <w:t>]</w:t>
            </w:r>
            <w:r w:rsidRPr="00654715">
              <w:rPr>
                <w:sz w:val="17"/>
                <w:szCs w:val="17"/>
              </w:rPr>
              <w:t xml:space="preserve"> is equal to </w:t>
            </w:r>
            <w:r>
              <w:rPr>
                <w:sz w:val="17"/>
                <w:szCs w:val="17"/>
              </w:rPr>
              <w:t>the value in [</w:t>
            </w:r>
            <w:r w:rsidRPr="00654715">
              <w:rPr>
                <w:sz w:val="17"/>
                <w:szCs w:val="17"/>
              </w:rPr>
              <w:t>KM1:2/a</w:t>
            </w:r>
            <w:r>
              <w:rPr>
                <w:sz w:val="17"/>
                <w:szCs w:val="17"/>
              </w:rPr>
              <w:t>].</w:t>
            </w:r>
          </w:p>
        </w:tc>
      </w:tr>
      <w:tr w:rsidR="00E70C18" w:rsidRPr="00280717" w:rsidTr="00545554">
        <w:trPr>
          <w:trHeight w:val="373"/>
        </w:trPr>
        <w:tc>
          <w:tcPr>
            <w:tcW w:w="567" w:type="dxa"/>
          </w:tcPr>
          <w:p w:rsidR="00E70C18" w:rsidRDefault="00E70C18"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20a</w:t>
            </w:r>
          </w:p>
        </w:tc>
        <w:tc>
          <w:tcPr>
            <w:tcW w:w="8647" w:type="dxa"/>
          </w:tcPr>
          <w:p w:rsidR="00E70C18" w:rsidRPr="002E0D1C" w:rsidRDefault="00E70C18" w:rsidP="005E25C4">
            <w:pPr>
              <w:keepLines/>
              <w:widowControl w:val="0"/>
              <w:tabs>
                <w:tab w:val="left" w:pos="150"/>
                <w:tab w:val="left" w:pos="397"/>
                <w:tab w:val="left" w:pos="794"/>
                <w:tab w:val="left" w:pos="1191"/>
              </w:tabs>
              <w:spacing w:before="40" w:after="40"/>
              <w:jc w:val="both"/>
              <w:rPr>
                <w:sz w:val="17"/>
                <w:szCs w:val="17"/>
              </w:rPr>
            </w:pPr>
            <w:r w:rsidRPr="002E0D1C">
              <w:rPr>
                <w:sz w:val="17"/>
                <w:szCs w:val="17"/>
              </w:rPr>
              <w:t xml:space="preserve">Sum of </w:t>
            </w:r>
            <w:r>
              <w:rPr>
                <w:sz w:val="17"/>
                <w:szCs w:val="17"/>
              </w:rPr>
              <w:t xml:space="preserve">values in </w:t>
            </w:r>
            <w:r w:rsidRPr="002E0D1C">
              <w:rPr>
                <w:sz w:val="17"/>
                <w:szCs w:val="17"/>
              </w:rPr>
              <w:t>rows 3, 11, 16 and 19.</w:t>
            </w:r>
          </w:p>
        </w:tc>
      </w:tr>
      <w:tr w:rsidR="00E70C18" w:rsidRPr="00280717" w:rsidTr="00545554">
        <w:trPr>
          <w:trHeight w:val="373"/>
        </w:trPr>
        <w:tc>
          <w:tcPr>
            <w:tcW w:w="567" w:type="dxa"/>
          </w:tcPr>
          <w:p w:rsidR="00E70C18" w:rsidRDefault="00E70C18"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20b</w:t>
            </w:r>
          </w:p>
        </w:tc>
        <w:tc>
          <w:tcPr>
            <w:tcW w:w="8647" w:type="dxa"/>
          </w:tcPr>
          <w:p w:rsidR="00E70C18" w:rsidRPr="00A047C6" w:rsidRDefault="00E70C18" w:rsidP="00E70C18">
            <w:pPr>
              <w:keepLines/>
              <w:widowControl w:val="0"/>
              <w:tabs>
                <w:tab w:val="left" w:pos="150"/>
                <w:tab w:val="left" w:pos="397"/>
                <w:tab w:val="left" w:pos="794"/>
                <w:tab w:val="left" w:pos="1191"/>
              </w:tabs>
              <w:spacing w:before="40" w:after="40"/>
              <w:jc w:val="both"/>
              <w:rPr>
                <w:rFonts w:eastAsiaTheme="minorEastAsia"/>
                <w:i/>
                <w:lang w:val="en-US" w:eastAsia="en-GB"/>
              </w:rPr>
            </w:pPr>
            <w:r w:rsidRPr="00E70C18">
              <w:rPr>
                <w:sz w:val="17"/>
                <w:szCs w:val="17"/>
              </w:rPr>
              <w:t>Specific and collective provisions</w:t>
            </w:r>
            <w:r>
              <w:rPr>
                <w:sz w:val="17"/>
                <w:szCs w:val="17"/>
              </w:rPr>
              <w:t>, if any,</w:t>
            </w:r>
            <w:r w:rsidRPr="00E70C18">
              <w:rPr>
                <w:sz w:val="17"/>
                <w:szCs w:val="17"/>
              </w:rPr>
              <w:t xml:space="preserve"> that reduce the on- and off-balance sheet exposure measures may be presented in this row, provided that such reductions from exposure measures are allowable under Part 1C of the BCR.</w:t>
            </w:r>
            <w:r>
              <w:rPr>
                <w:sz w:val="17"/>
                <w:szCs w:val="17"/>
              </w:rPr>
              <w:t xml:space="preserve">  </w:t>
            </w:r>
            <w:r w:rsidRPr="00210E61">
              <w:rPr>
                <w:sz w:val="17"/>
                <w:szCs w:val="17"/>
              </w:rPr>
              <w:t xml:space="preserve">As these adjustments reduce the exposure measure, they </w:t>
            </w:r>
            <w:r>
              <w:rPr>
                <w:sz w:val="17"/>
                <w:szCs w:val="17"/>
              </w:rPr>
              <w:t>should be</w:t>
            </w:r>
            <w:r w:rsidRPr="00210E61">
              <w:rPr>
                <w:sz w:val="17"/>
                <w:szCs w:val="17"/>
              </w:rPr>
              <w:t xml:space="preserve"> reported as negative figures.</w:t>
            </w:r>
          </w:p>
        </w:tc>
      </w:tr>
      <w:tr w:rsidR="00E70C18" w:rsidRPr="00280717" w:rsidTr="00545554">
        <w:trPr>
          <w:trHeight w:val="373"/>
        </w:trPr>
        <w:tc>
          <w:tcPr>
            <w:tcW w:w="567" w:type="dxa"/>
          </w:tcPr>
          <w:p w:rsidR="00E70C18" w:rsidRDefault="00E70C18"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21</w:t>
            </w:r>
          </w:p>
        </w:tc>
        <w:tc>
          <w:tcPr>
            <w:tcW w:w="8647" w:type="dxa"/>
          </w:tcPr>
          <w:p w:rsidR="00E70C18" w:rsidRPr="002E0D1C" w:rsidRDefault="00E70C18" w:rsidP="00E70C18">
            <w:pPr>
              <w:pStyle w:val="TableNote"/>
              <w:spacing w:before="40" w:after="40"/>
              <w:rPr>
                <w:sz w:val="17"/>
                <w:szCs w:val="17"/>
              </w:rPr>
            </w:pPr>
            <w:r w:rsidRPr="002E0D1C">
              <w:rPr>
                <w:sz w:val="17"/>
                <w:szCs w:val="17"/>
              </w:rPr>
              <w:t xml:space="preserve">Sum of </w:t>
            </w:r>
            <w:r>
              <w:rPr>
                <w:sz w:val="17"/>
                <w:szCs w:val="17"/>
              </w:rPr>
              <w:t xml:space="preserve">values in </w:t>
            </w:r>
            <w:r w:rsidRPr="002E0D1C">
              <w:rPr>
                <w:sz w:val="17"/>
                <w:szCs w:val="17"/>
              </w:rPr>
              <w:t xml:space="preserve">rows </w:t>
            </w:r>
            <w:r>
              <w:rPr>
                <w:sz w:val="17"/>
                <w:szCs w:val="17"/>
              </w:rPr>
              <w:t>20a</w:t>
            </w:r>
            <w:r w:rsidRPr="002E0D1C">
              <w:rPr>
                <w:sz w:val="17"/>
                <w:szCs w:val="17"/>
              </w:rPr>
              <w:t xml:space="preserve"> and </w:t>
            </w:r>
            <w:r>
              <w:rPr>
                <w:sz w:val="17"/>
                <w:szCs w:val="17"/>
              </w:rPr>
              <w:t>20b</w:t>
            </w:r>
            <w:r w:rsidRPr="002E0D1C">
              <w:rPr>
                <w:sz w:val="17"/>
                <w:szCs w:val="17"/>
              </w:rPr>
              <w:t>.</w:t>
            </w:r>
            <w:r w:rsidRPr="00654715">
              <w:rPr>
                <w:sz w:val="17"/>
                <w:szCs w:val="17"/>
              </w:rPr>
              <w:t xml:space="preserve"> </w:t>
            </w:r>
            <w:r>
              <w:rPr>
                <w:sz w:val="17"/>
                <w:szCs w:val="17"/>
              </w:rPr>
              <w:t xml:space="preserve"> The value in </w:t>
            </w:r>
            <w:r w:rsidRPr="00654715">
              <w:rPr>
                <w:sz w:val="17"/>
                <w:szCs w:val="17"/>
              </w:rPr>
              <w:t xml:space="preserve">[LR2:21/a] is equal to </w:t>
            </w:r>
            <w:r>
              <w:rPr>
                <w:sz w:val="17"/>
                <w:szCs w:val="17"/>
              </w:rPr>
              <w:t xml:space="preserve">the value in </w:t>
            </w:r>
            <w:r w:rsidRPr="00654715">
              <w:rPr>
                <w:sz w:val="17"/>
                <w:szCs w:val="17"/>
              </w:rPr>
              <w:t>[KM1:13/a]</w:t>
            </w:r>
            <w:r>
              <w:rPr>
                <w:sz w:val="17"/>
                <w:szCs w:val="17"/>
              </w:rPr>
              <w:t xml:space="preserve"> and in [LR1: 8/a].</w:t>
            </w:r>
          </w:p>
        </w:tc>
      </w:tr>
      <w:tr w:rsidR="00E70C18" w:rsidRPr="00280717" w:rsidTr="00545554">
        <w:trPr>
          <w:trHeight w:val="373"/>
        </w:trPr>
        <w:tc>
          <w:tcPr>
            <w:tcW w:w="567" w:type="dxa"/>
          </w:tcPr>
          <w:p w:rsidR="00E70C18" w:rsidRPr="00280717" w:rsidRDefault="00E70C18"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22</w:t>
            </w:r>
          </w:p>
        </w:tc>
        <w:tc>
          <w:tcPr>
            <w:tcW w:w="8647" w:type="dxa"/>
          </w:tcPr>
          <w:p w:rsidR="00E70C18" w:rsidRPr="002E0D1C" w:rsidRDefault="00E70C18" w:rsidP="00B50BEA">
            <w:pPr>
              <w:pStyle w:val="TableNote"/>
              <w:spacing w:before="40" w:after="40"/>
              <w:rPr>
                <w:sz w:val="17"/>
                <w:szCs w:val="17"/>
              </w:rPr>
            </w:pPr>
            <w:r>
              <w:rPr>
                <w:sz w:val="17"/>
                <w:szCs w:val="17"/>
              </w:rPr>
              <w:t>L</w:t>
            </w:r>
            <w:r w:rsidRPr="002E0D1C">
              <w:rPr>
                <w:sz w:val="17"/>
                <w:szCs w:val="17"/>
              </w:rPr>
              <w:t xml:space="preserve">everage ratio is defined as the Tier 1 capital measure of row 20 (the numerator) divided by the exposure </w:t>
            </w:r>
            <w:r>
              <w:rPr>
                <w:sz w:val="17"/>
                <w:szCs w:val="17"/>
              </w:rPr>
              <w:t>measure</w:t>
            </w:r>
            <w:r w:rsidRPr="002E0D1C">
              <w:rPr>
                <w:sz w:val="17"/>
                <w:szCs w:val="17"/>
              </w:rPr>
              <w:t xml:space="preserve"> of row 21</w:t>
            </w:r>
            <w:r>
              <w:rPr>
                <w:sz w:val="17"/>
                <w:szCs w:val="17"/>
              </w:rPr>
              <w:t xml:space="preserve"> </w:t>
            </w:r>
            <w:r w:rsidRPr="002E0D1C">
              <w:rPr>
                <w:sz w:val="17"/>
                <w:szCs w:val="17"/>
              </w:rPr>
              <w:t xml:space="preserve">(the denominator), </w:t>
            </w:r>
            <w:r>
              <w:rPr>
                <w:sz w:val="17"/>
                <w:szCs w:val="17"/>
              </w:rPr>
              <w:t xml:space="preserve">where the resultant </w:t>
            </w:r>
            <w:r w:rsidRPr="000E4C03">
              <w:rPr>
                <w:sz w:val="17"/>
                <w:szCs w:val="17"/>
              </w:rPr>
              <w:t>quotient</w:t>
            </w:r>
            <w:r w:rsidRPr="002E0D1C">
              <w:rPr>
                <w:sz w:val="17"/>
                <w:szCs w:val="17"/>
              </w:rPr>
              <w:t xml:space="preserve"> </w:t>
            </w:r>
            <w:r>
              <w:rPr>
                <w:sz w:val="17"/>
                <w:szCs w:val="17"/>
              </w:rPr>
              <w:t xml:space="preserve">be </w:t>
            </w:r>
            <w:r w:rsidRPr="002E0D1C">
              <w:rPr>
                <w:sz w:val="17"/>
                <w:szCs w:val="17"/>
              </w:rPr>
              <w:t>expressed as a percentage.</w:t>
            </w:r>
            <w:r w:rsidRPr="00654715">
              <w:rPr>
                <w:sz w:val="17"/>
                <w:szCs w:val="17"/>
              </w:rPr>
              <w:t xml:space="preserve"> </w:t>
            </w:r>
            <w:r>
              <w:rPr>
                <w:sz w:val="17"/>
                <w:szCs w:val="17"/>
              </w:rPr>
              <w:t xml:space="preserve"> The value in </w:t>
            </w:r>
            <w:r w:rsidRPr="00654715">
              <w:rPr>
                <w:sz w:val="17"/>
                <w:szCs w:val="17"/>
              </w:rPr>
              <w:t xml:space="preserve">[LR2:22/a] is equal to </w:t>
            </w:r>
            <w:r>
              <w:rPr>
                <w:sz w:val="17"/>
                <w:szCs w:val="17"/>
              </w:rPr>
              <w:t xml:space="preserve">the value in </w:t>
            </w:r>
            <w:r w:rsidRPr="00654715">
              <w:rPr>
                <w:sz w:val="17"/>
                <w:szCs w:val="17"/>
              </w:rPr>
              <w:t>[KM1:14/a]</w:t>
            </w:r>
            <w:r>
              <w:rPr>
                <w:sz w:val="17"/>
                <w:szCs w:val="17"/>
              </w:rPr>
              <w:t>.</w:t>
            </w:r>
          </w:p>
        </w:tc>
      </w:tr>
    </w:tbl>
    <w:p w:rsidR="00545554" w:rsidRDefault="00545554" w:rsidP="00545554">
      <w:pPr>
        <w:spacing w:before="120" w:after="120"/>
        <w:rPr>
          <w:sz w:val="22"/>
        </w:rPr>
      </w:pPr>
    </w:p>
    <w:p w:rsidR="00545554" w:rsidRDefault="00545554" w:rsidP="003F0A7B">
      <w:pPr>
        <w:pStyle w:val="Heading1"/>
        <w:tabs>
          <w:tab w:val="clear" w:pos="794"/>
          <w:tab w:val="left" w:pos="426"/>
        </w:tabs>
        <w:spacing w:before="0"/>
        <w:ind w:leftChars="-283" w:left="-566"/>
        <w:sectPr w:rsidR="00545554">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60"/>
        </w:sectPr>
      </w:pPr>
    </w:p>
    <w:p w:rsidR="00545554" w:rsidRPr="00844CB5" w:rsidRDefault="00545554" w:rsidP="00844CB5">
      <w:pPr>
        <w:keepNext/>
        <w:keepLines/>
        <w:tabs>
          <w:tab w:val="left" w:pos="567"/>
        </w:tabs>
        <w:spacing w:after="360"/>
        <w:ind w:leftChars="-283" w:left="-566" w:rightChars="-142" w:right="-284"/>
        <w:outlineLvl w:val="0"/>
        <w:rPr>
          <w:color w:val="984806" w:themeColor="accent6" w:themeShade="80"/>
          <w:sz w:val="28"/>
          <w:szCs w:val="28"/>
        </w:rPr>
      </w:pPr>
      <w:r w:rsidRPr="00844CB5">
        <w:rPr>
          <w:color w:val="984806" w:themeColor="accent6" w:themeShade="80"/>
          <w:sz w:val="28"/>
          <w:szCs w:val="28"/>
        </w:rPr>
        <w:lastRenderedPageBreak/>
        <w:t xml:space="preserve">Part </w:t>
      </w:r>
      <w:r w:rsidR="00844CB5">
        <w:rPr>
          <w:color w:val="984806" w:themeColor="accent6" w:themeShade="80"/>
          <w:sz w:val="28"/>
          <w:szCs w:val="28"/>
        </w:rPr>
        <w:t>IID</w:t>
      </w:r>
      <w:r w:rsidRPr="00844CB5">
        <w:rPr>
          <w:color w:val="984806" w:themeColor="accent6" w:themeShade="80"/>
          <w:sz w:val="28"/>
          <w:szCs w:val="28"/>
        </w:rPr>
        <w:t>:</w:t>
      </w:r>
      <w:r w:rsidRPr="00844CB5">
        <w:rPr>
          <w:color w:val="984806" w:themeColor="accent6" w:themeShade="80"/>
          <w:sz w:val="28"/>
          <w:szCs w:val="28"/>
        </w:rPr>
        <w:tab/>
        <w:t>Liquidity</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rPr>
                <w:noProof/>
                <w:sz w:val="17"/>
                <w:lang w:eastAsia="en-GB"/>
              </w:rPr>
            </w:pPr>
            <w:r w:rsidRPr="0023654F">
              <w:rPr>
                <w:sz w:val="22"/>
              </w:rPr>
              <w:t xml:space="preserve">Table </w:t>
            </w:r>
            <w:r>
              <w:rPr>
                <w:sz w:val="22"/>
              </w:rPr>
              <w:t>LIQ</w:t>
            </w:r>
            <w:r w:rsidRPr="0023654F">
              <w:rPr>
                <w:sz w:val="22"/>
              </w:rPr>
              <w:t xml:space="preserve">A: </w:t>
            </w:r>
            <w:r>
              <w:rPr>
                <w:sz w:val="22"/>
              </w:rPr>
              <w:t>Liquidity</w:t>
            </w:r>
            <w:r w:rsidRPr="0023654F">
              <w:rPr>
                <w:sz w:val="22"/>
              </w:rPr>
              <w:t xml:space="preserve"> risk management</w:t>
            </w:r>
          </w:p>
        </w:tc>
      </w:tr>
      <w:tr w:rsidR="00545554" w:rsidRPr="0023654F"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995A5E" w:rsidRDefault="00545554" w:rsidP="00545554">
            <w:pPr>
              <w:spacing w:before="40" w:after="40"/>
              <w:jc w:val="both"/>
              <w:rPr>
                <w:noProof/>
                <w:sz w:val="17"/>
                <w:lang w:val="en-US" w:eastAsia="en-GB"/>
              </w:rPr>
            </w:pPr>
            <w:r>
              <w:rPr>
                <w:sz w:val="17"/>
                <w:lang w:eastAsia="en-GB"/>
              </w:rPr>
              <w:t>To e</w:t>
            </w:r>
            <w:r w:rsidRPr="00995A5E">
              <w:rPr>
                <w:sz w:val="17"/>
                <w:lang w:eastAsia="en-GB"/>
              </w:rPr>
              <w:t>nable Pillar 3 data users to make an informed judgment about the soundness of a</w:t>
            </w:r>
            <w:r>
              <w:rPr>
                <w:sz w:val="17"/>
                <w:lang w:eastAsia="en-GB"/>
              </w:rPr>
              <w:t>n</w:t>
            </w:r>
            <w:r w:rsidRPr="00995A5E">
              <w:rPr>
                <w:sz w:val="17"/>
                <w:lang w:eastAsia="en-GB"/>
              </w:rPr>
              <w:t xml:space="preserve"> </w:t>
            </w:r>
            <w:r>
              <w:rPr>
                <w:sz w:val="17"/>
                <w:lang w:eastAsia="en-GB"/>
              </w:rPr>
              <w:t>AI’</w:t>
            </w:r>
            <w:r w:rsidRPr="00995A5E">
              <w:rPr>
                <w:sz w:val="17"/>
                <w:lang w:eastAsia="en-GB"/>
              </w:rPr>
              <w:t>s liquidity risk management framework and liquidity position.</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23654F" w:rsidRDefault="00545554" w:rsidP="00545554">
            <w:pPr>
              <w:spacing w:before="40" w:after="40"/>
              <w:jc w:val="both"/>
              <w:rPr>
                <w:b/>
                <w:sz w:val="17"/>
                <w:lang w:eastAsia="en-GB"/>
              </w:rPr>
            </w:pPr>
            <w:r w:rsidRPr="0023654F">
              <w:rPr>
                <w:rFonts w:eastAsiaTheme="minorEastAsia"/>
                <w:sz w:val="17"/>
                <w:lang w:eastAsia="en-GB"/>
              </w:rPr>
              <w:t xml:space="preserve">The </w:t>
            </w:r>
            <w:r>
              <w:rPr>
                <w:rFonts w:eastAsiaTheme="minorEastAsia"/>
                <w:sz w:val="17"/>
                <w:lang w:eastAsia="en-GB"/>
              </w:rPr>
              <w:t>table</w:t>
            </w:r>
            <w:r w:rsidRPr="0023654F">
              <w:rPr>
                <w:rFonts w:eastAsiaTheme="minorEastAsia"/>
                <w:sz w:val="17"/>
                <w:lang w:eastAsia="en-GB"/>
              </w:rPr>
              <w:t xml:space="preserve"> is mandatory for </w:t>
            </w:r>
            <w:r>
              <w:rPr>
                <w:rFonts w:eastAsiaTheme="minorEastAsia"/>
                <w:sz w:val="17"/>
                <w:lang w:eastAsia="en-GB"/>
              </w:rPr>
              <w:t>all AI</w:t>
            </w:r>
            <w:r w:rsidRPr="0023654F">
              <w:rPr>
                <w:rFonts w:eastAsiaTheme="minorEastAsia"/>
                <w:sz w:val="17"/>
                <w:lang w:eastAsia="en-GB"/>
              </w:rPr>
              <w:t>s</w:t>
            </w:r>
            <w:r>
              <w:rPr>
                <w:rFonts w:eastAsiaTheme="minorEastAsia"/>
                <w:sz w:val="17"/>
                <w:lang w:eastAsia="en-GB"/>
              </w:rPr>
              <w:t xml:space="preserve"> incorporated in and outside Hong Kong</w:t>
            </w:r>
            <w:r w:rsidRPr="0023654F">
              <w:rPr>
                <w:rFonts w:eastAsiaTheme="minorEastAsia"/>
                <w:sz w:val="17"/>
                <w:lang w:eastAsia="en-GB"/>
              </w:rPr>
              <w:t>.</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23654F" w:rsidRDefault="00545554" w:rsidP="00545554">
            <w:pPr>
              <w:spacing w:before="40" w:after="40"/>
              <w:jc w:val="both"/>
              <w:rPr>
                <w:b/>
                <w:sz w:val="17"/>
                <w:lang w:eastAsia="en-GB"/>
              </w:rPr>
            </w:pPr>
            <w:r w:rsidRPr="0023654F">
              <w:rPr>
                <w:sz w:val="17"/>
                <w:lang w:eastAsia="en-GB"/>
              </w:rPr>
              <w:t xml:space="preserve">Qualitative </w:t>
            </w:r>
            <w:r>
              <w:rPr>
                <w:sz w:val="17"/>
                <w:szCs w:val="17"/>
              </w:rPr>
              <w:t xml:space="preserve">and quantitative </w:t>
            </w:r>
            <w:r w:rsidRPr="0023654F">
              <w:rPr>
                <w:sz w:val="17"/>
                <w:lang w:eastAsia="en-GB"/>
              </w:rPr>
              <w:t>information.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spacing w:before="40" w:after="40"/>
              <w:jc w:val="both"/>
              <w:rPr>
                <w:sz w:val="17"/>
                <w:lang w:eastAsia="en-GB"/>
              </w:rPr>
            </w:pPr>
            <w:r w:rsidRPr="0023654F">
              <w:rPr>
                <w:sz w:val="17"/>
                <w:lang w:eastAsia="en-GB"/>
              </w:rPr>
              <w:t>Annual</w:t>
            </w:r>
            <w:r>
              <w:rPr>
                <w:sz w:val="17"/>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995A5E" w:rsidRDefault="00545554" w:rsidP="00545554">
            <w:pPr>
              <w:spacing w:before="40" w:after="40"/>
              <w:jc w:val="both"/>
              <w:rPr>
                <w:sz w:val="17"/>
                <w:lang w:val="en-US" w:eastAsia="en-GB"/>
              </w:rPr>
            </w:pPr>
            <w:r w:rsidRPr="0023654F">
              <w:rPr>
                <w:sz w:val="17"/>
                <w:lang w:eastAsia="en-GB"/>
              </w:rPr>
              <w:t>Flexible</w:t>
            </w:r>
            <w:r>
              <w:rPr>
                <w:sz w:val="17"/>
                <w:lang w:eastAsia="en-GB"/>
              </w:rPr>
              <w:t>.  An AI</w:t>
            </w:r>
            <w:r>
              <w:rPr>
                <w:sz w:val="17"/>
                <w:szCs w:val="17"/>
              </w:rPr>
              <w:t xml:space="preserve"> may choose the relevant information to be provided depending upon its business m</w:t>
            </w:r>
            <w:r w:rsidRPr="00910143">
              <w:rPr>
                <w:sz w:val="17"/>
                <w:szCs w:val="17"/>
              </w:rPr>
              <w:t>odel, liq</w:t>
            </w:r>
            <w:r>
              <w:rPr>
                <w:sz w:val="17"/>
                <w:szCs w:val="17"/>
              </w:rPr>
              <w:t>uidity risk profile, organisation structure and functions involved in liquidity risk management.</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Corresponding BDR section:</w:t>
            </w:r>
          </w:p>
        </w:tc>
        <w:tc>
          <w:tcPr>
            <w:tcW w:w="7234" w:type="dxa"/>
          </w:tcPr>
          <w:p w:rsidR="00545554" w:rsidRPr="0023654F" w:rsidRDefault="00545554" w:rsidP="00EB5F6A">
            <w:pPr>
              <w:spacing w:before="40" w:after="40"/>
              <w:jc w:val="both"/>
              <w:rPr>
                <w:sz w:val="17"/>
                <w:lang w:eastAsia="en-GB"/>
              </w:rPr>
            </w:pPr>
            <w:r w:rsidRPr="001B530B">
              <w:rPr>
                <w:sz w:val="17"/>
                <w:lang w:eastAsia="en-GB"/>
              </w:rPr>
              <w:t>16FJ and 103(4A)</w:t>
            </w:r>
          </w:p>
        </w:tc>
      </w:tr>
    </w:tbl>
    <w:p w:rsidR="00545554" w:rsidRPr="0023654F" w:rsidRDefault="00545554" w:rsidP="00545554">
      <w:pPr>
        <w:spacing w:before="120" w:after="120"/>
        <w:rPr>
          <w:sz w:val="22"/>
        </w:rPr>
      </w:pPr>
    </w:p>
    <w:tbl>
      <w:tblPr>
        <w:tblW w:w="9242" w:type="dxa"/>
        <w:jc w:val="center"/>
        <w:tblCellMar>
          <w:left w:w="70" w:type="dxa"/>
          <w:right w:w="70" w:type="dxa"/>
        </w:tblCellMar>
        <w:tblLook w:val="00A0" w:firstRow="1" w:lastRow="0" w:firstColumn="1" w:lastColumn="0" w:noHBand="0" w:noVBand="0"/>
      </w:tblPr>
      <w:tblGrid>
        <w:gridCol w:w="370"/>
        <w:gridCol w:w="8872"/>
      </w:tblGrid>
      <w:tr w:rsidR="00545554" w:rsidRPr="0082599A" w:rsidTr="00545554">
        <w:trPr>
          <w:trHeight w:val="448"/>
          <w:jc w:val="center"/>
        </w:trPr>
        <w:tc>
          <w:tcPr>
            <w:tcW w:w="9242" w:type="dxa"/>
            <w:gridSpan w:val="2"/>
            <w:tcBorders>
              <w:top w:val="single" w:sz="4" w:space="0" w:color="auto"/>
              <w:bottom w:val="single" w:sz="4" w:space="0" w:color="auto"/>
            </w:tcBorders>
            <w:vAlign w:val="center"/>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An AI should describe the following elements of liquidity risk management, where relevant:</w:t>
            </w:r>
          </w:p>
        </w:tc>
      </w:tr>
      <w:tr w:rsidR="00545554" w:rsidRPr="0082599A" w:rsidTr="00545554">
        <w:trPr>
          <w:trHeight w:val="355"/>
          <w:jc w:val="center"/>
        </w:trPr>
        <w:tc>
          <w:tcPr>
            <w:tcW w:w="9242" w:type="dxa"/>
            <w:gridSpan w:val="2"/>
            <w:tcBorders>
              <w:top w:val="single" w:sz="4" w:space="0" w:color="auto"/>
              <w:bottom w:val="single" w:sz="4" w:space="0" w:color="auto"/>
            </w:tcBorders>
            <w:shd w:val="clear" w:color="auto" w:fill="D9D9D9" w:themeFill="background1" w:themeFillShade="D9"/>
            <w:vAlign w:val="center"/>
          </w:tcPr>
          <w:p w:rsidR="00545554" w:rsidRPr="0082599A" w:rsidRDefault="00545554" w:rsidP="00545554">
            <w:pPr>
              <w:pStyle w:val="Default"/>
              <w:jc w:val="both"/>
              <w:rPr>
                <w:sz w:val="17"/>
                <w:szCs w:val="17"/>
              </w:rPr>
            </w:pPr>
            <w:r w:rsidRPr="0082599A">
              <w:rPr>
                <w:sz w:val="17"/>
                <w:szCs w:val="17"/>
              </w:rPr>
              <w:t>Qualitative disclosures</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(a)</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Governance of liquidity risk management, including:</w:t>
            </w:r>
          </w:p>
          <w:p w:rsidR="00545554" w:rsidRPr="0082599A" w:rsidRDefault="00545554" w:rsidP="00545554">
            <w:pPr>
              <w:pStyle w:val="ListParagraph"/>
              <w:numPr>
                <w:ilvl w:val="0"/>
                <w:numId w:val="29"/>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risk tolerance;</w:t>
            </w:r>
          </w:p>
          <w:p w:rsidR="00545554" w:rsidRPr="0082599A" w:rsidRDefault="00545554" w:rsidP="00545554">
            <w:pPr>
              <w:pStyle w:val="ListParagraph"/>
              <w:numPr>
                <w:ilvl w:val="0"/>
                <w:numId w:val="29"/>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structure and responsibilities for liquidity risk management;</w:t>
            </w:r>
          </w:p>
          <w:p w:rsidR="00545554" w:rsidRPr="0082599A" w:rsidRDefault="00545554" w:rsidP="00545554">
            <w:pPr>
              <w:pStyle w:val="ListParagraph"/>
              <w:numPr>
                <w:ilvl w:val="0"/>
                <w:numId w:val="29"/>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internal liquidity reporting; and</w:t>
            </w:r>
          </w:p>
          <w:p w:rsidR="00545554" w:rsidRPr="0082599A" w:rsidRDefault="00545554" w:rsidP="00545554">
            <w:pPr>
              <w:pStyle w:val="ListParagraph"/>
              <w:numPr>
                <w:ilvl w:val="0"/>
                <w:numId w:val="29"/>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communication of liquidity risk strategy, policies and practices across business lines and with the board of directors.</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(b)</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Funding strategy, including:</w:t>
            </w:r>
          </w:p>
          <w:p w:rsidR="00545554" w:rsidRPr="0082599A" w:rsidRDefault="00545554" w:rsidP="00545554">
            <w:pPr>
              <w:pStyle w:val="ListParagraph"/>
              <w:numPr>
                <w:ilvl w:val="0"/>
                <w:numId w:val="30"/>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policies on diversification in the sources and tenors of funding; and</w:t>
            </w:r>
          </w:p>
          <w:p w:rsidR="00545554" w:rsidRPr="0082599A" w:rsidRDefault="00545554" w:rsidP="00545554">
            <w:pPr>
              <w:pStyle w:val="ListParagraph"/>
              <w:numPr>
                <w:ilvl w:val="0"/>
                <w:numId w:val="30"/>
              </w:numPr>
              <w:tabs>
                <w:tab w:val="left" w:pos="454"/>
              </w:tabs>
              <w:spacing w:before="40" w:after="40"/>
              <w:ind w:leftChars="0" w:left="454" w:hanging="454"/>
              <w:jc w:val="both"/>
              <w:rPr>
                <w:rFonts w:ascii="Segoe UI" w:hAnsi="Segoe UI" w:cs="Segoe UI"/>
                <w:sz w:val="17"/>
                <w:szCs w:val="17"/>
              </w:rPr>
            </w:pPr>
            <w:r w:rsidRPr="0082599A">
              <w:rPr>
                <w:rFonts w:ascii="Segoe UI" w:hAnsi="Segoe UI" w:cs="Segoe UI"/>
                <w:sz w:val="17"/>
                <w:szCs w:val="17"/>
              </w:rPr>
              <w:t>whether the funding strategy is centralised or decentralised.</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(c)</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Liquidity risk mitigation techniques.</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(d)</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An explanation of how stress testing is used.</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(e)</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An outline of the AI’s contingency funding plan.</w:t>
            </w:r>
          </w:p>
        </w:tc>
      </w:tr>
      <w:tr w:rsidR="00545554" w:rsidRPr="0082599A" w:rsidTr="00545554">
        <w:trPr>
          <w:trHeight w:val="195"/>
          <w:jc w:val="center"/>
        </w:trPr>
        <w:tc>
          <w:tcPr>
            <w:tcW w:w="9242" w:type="dxa"/>
            <w:gridSpan w:val="2"/>
            <w:tcBorders>
              <w:top w:val="single" w:sz="4" w:space="0" w:color="auto"/>
              <w:bottom w:val="single" w:sz="4" w:space="0" w:color="auto"/>
            </w:tcBorders>
            <w:shd w:val="clear" w:color="auto" w:fill="D9D9D9" w:themeFill="background1" w:themeFillShade="D9"/>
            <w:noWrap/>
          </w:tcPr>
          <w:p w:rsidR="00545554" w:rsidRPr="0082599A" w:rsidRDefault="00545554" w:rsidP="00545554">
            <w:pPr>
              <w:pStyle w:val="Default"/>
              <w:jc w:val="both"/>
              <w:rPr>
                <w:sz w:val="17"/>
                <w:szCs w:val="17"/>
                <w:lang w:val="en-GB"/>
              </w:rPr>
            </w:pPr>
            <w:r w:rsidRPr="0082599A">
              <w:rPr>
                <w:sz w:val="17"/>
                <w:szCs w:val="17"/>
              </w:rPr>
              <w:t xml:space="preserve">Quantitative disclosures </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(f)</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Customised measurement tools or metrics that assess the structure of the AI’s balance sheet or that project cash flows and future liquidity positions, taking into account off-balance sheet risks which are specific to the AI.</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(g)</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Concentration limits on collateral pools and sources of funding (both products and counterparties).</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lastRenderedPageBreak/>
              <w:t>(h)</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Liquidity exposures and funding needs at the level of individual legal entities, foreign branches and subsidiaries, taking into account legal, regulatory and operational limitations on the transferability of liquidity.</w:t>
            </w:r>
          </w:p>
        </w:tc>
      </w:tr>
      <w:tr w:rsidR="00545554" w:rsidRPr="0082599A" w:rsidTr="00545554">
        <w:trPr>
          <w:trHeight w:val="318"/>
          <w:jc w:val="center"/>
        </w:trPr>
        <w:tc>
          <w:tcPr>
            <w:tcW w:w="370"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(i)</w:t>
            </w:r>
          </w:p>
        </w:tc>
        <w:tc>
          <w:tcPr>
            <w:tcW w:w="8872" w:type="dxa"/>
            <w:tcBorders>
              <w:top w:val="single" w:sz="4" w:space="0" w:color="auto"/>
              <w:bottom w:val="single" w:sz="4" w:space="0" w:color="auto"/>
            </w:tcBorders>
            <w:noWrap/>
          </w:tcPr>
          <w:p w:rsidR="00545554" w:rsidRPr="0082599A" w:rsidRDefault="00545554" w:rsidP="00545554">
            <w:pPr>
              <w:widowControl w:val="0"/>
              <w:spacing w:before="40" w:after="40"/>
              <w:jc w:val="both"/>
              <w:rPr>
                <w:rFonts w:cs="Segoe UI"/>
                <w:sz w:val="17"/>
                <w:szCs w:val="17"/>
              </w:rPr>
            </w:pPr>
            <w:r w:rsidRPr="0082599A">
              <w:rPr>
                <w:rFonts w:cs="Segoe UI"/>
                <w:sz w:val="17"/>
                <w:szCs w:val="17"/>
              </w:rPr>
              <w:t>On- and off-balance sheet items, broken down into maturity buckets and the resultant liquidity gaps.</w:t>
            </w:r>
          </w:p>
        </w:tc>
      </w:tr>
    </w:tbl>
    <w:p w:rsidR="00545554" w:rsidRDefault="00545554" w:rsidP="00545554"/>
    <w:p w:rsidR="00545554" w:rsidRDefault="00545554" w:rsidP="003F0A7B">
      <w:pPr>
        <w:pStyle w:val="Heading1"/>
        <w:tabs>
          <w:tab w:val="clear" w:pos="794"/>
          <w:tab w:val="left" w:pos="426"/>
        </w:tabs>
        <w:spacing w:before="0"/>
        <w:ind w:leftChars="-283" w:left="-566"/>
        <w:sectPr w:rsidR="00545554">
          <w:headerReference w:type="even" r:id="rId52"/>
          <w:headerReference w:type="default" r:id="rId53"/>
          <w:footerReference w:type="even" r:id="rId54"/>
          <w:footerReference w:type="default" r:id="rId55"/>
          <w:headerReference w:type="first" r:id="rId56"/>
          <w:footerReference w:type="first" r:id="rId57"/>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LIQ1</w:t>
            </w:r>
            <w:r w:rsidRPr="0023654F">
              <w:rPr>
                <w:sz w:val="22"/>
              </w:rPr>
              <w:t xml:space="preserve">: </w:t>
            </w:r>
            <w:r>
              <w:rPr>
                <w:sz w:val="22"/>
              </w:rPr>
              <w:t>Liquidity Coverage Ra</w:t>
            </w:r>
            <w:r w:rsidRPr="004529C6">
              <w:rPr>
                <w:sz w:val="22"/>
              </w:rPr>
              <w:t>tio(“LCR”) – for ca</w:t>
            </w:r>
            <w:r>
              <w:rPr>
                <w:sz w:val="22"/>
              </w:rPr>
              <w:t>tegory 1 institution</w:t>
            </w:r>
          </w:p>
        </w:tc>
      </w:tr>
      <w:tr w:rsidR="00545554" w:rsidRPr="0046600C"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23654F" w:rsidRDefault="00545554" w:rsidP="00545554">
            <w:pPr>
              <w:pStyle w:val="TableText"/>
              <w:jc w:val="both"/>
              <w:rPr>
                <w:lang w:eastAsia="en-GB"/>
              </w:rPr>
            </w:pPr>
            <w:r w:rsidRPr="0023654F">
              <w:rPr>
                <w:lang w:eastAsia="en-GB"/>
              </w:rPr>
              <w:t>T</w:t>
            </w:r>
            <w:r>
              <w:rPr>
                <w:lang w:eastAsia="en-GB"/>
              </w:rPr>
              <w:t>o</w:t>
            </w:r>
            <w:r w:rsidRPr="0023654F">
              <w:rPr>
                <w:lang w:eastAsia="en-GB"/>
              </w:rPr>
              <w:t xml:space="preserve"> </w:t>
            </w:r>
            <w:r>
              <w:rPr>
                <w:lang w:eastAsia="en-GB"/>
              </w:rPr>
              <w:t>p</w:t>
            </w:r>
            <w:r>
              <w:rPr>
                <w:szCs w:val="17"/>
              </w:rPr>
              <w:t>resent the det</w:t>
            </w:r>
            <w:r w:rsidRPr="004529C6">
              <w:rPr>
                <w:szCs w:val="17"/>
              </w:rPr>
              <w:t>ails of LCR, high quality liquid assets (“HQLA”), and a breakdown</w:t>
            </w:r>
            <w:r>
              <w:rPr>
                <w:szCs w:val="17"/>
              </w:rPr>
              <w:t xml:space="preserve"> of cash outflows and inflows.</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1F60AE" w:rsidRDefault="00545554" w:rsidP="00545554">
            <w:pPr>
              <w:pStyle w:val="TableText"/>
              <w:jc w:val="both"/>
              <w:rPr>
                <w:szCs w:val="17"/>
              </w:rPr>
            </w:pPr>
            <w:r>
              <w:rPr>
                <w:szCs w:val="17"/>
              </w:rPr>
              <w:t xml:space="preserve">The template is mandatory for </w:t>
            </w:r>
            <w:r w:rsidR="00841325">
              <w:rPr>
                <w:szCs w:val="17"/>
              </w:rPr>
              <w:t xml:space="preserve">locally incorporated and overseas incorporated </w:t>
            </w:r>
            <w:r>
              <w:rPr>
                <w:szCs w:val="17"/>
              </w:rPr>
              <w:t xml:space="preserve">AIs that are designated as category 1 institution.  </w:t>
            </w:r>
            <w:r w:rsidRPr="001F60AE">
              <w:rPr>
                <w:szCs w:val="17"/>
              </w:rPr>
              <w:t xml:space="preserve">A category 1 institution </w:t>
            </w:r>
            <w:r>
              <w:rPr>
                <w:szCs w:val="17"/>
              </w:rPr>
              <w:t>should</w:t>
            </w:r>
            <w:r w:rsidRPr="001F60AE">
              <w:rPr>
                <w:szCs w:val="17"/>
              </w:rPr>
              <w:t xml:space="preserve"> disclose the required disclosure items in th</w:t>
            </w:r>
            <w:r>
              <w:rPr>
                <w:szCs w:val="17"/>
              </w:rPr>
              <w:t>is</w:t>
            </w:r>
            <w:r w:rsidRPr="001F60AE">
              <w:rPr>
                <w:szCs w:val="17"/>
              </w:rPr>
              <w:t xml:space="preserve"> </w:t>
            </w:r>
            <w:r>
              <w:rPr>
                <w:szCs w:val="17"/>
              </w:rPr>
              <w:t>t</w:t>
            </w:r>
            <w:r w:rsidRPr="001F60AE">
              <w:rPr>
                <w:szCs w:val="17"/>
              </w:rPr>
              <w:t>emplate on</w:t>
            </w:r>
            <w:r>
              <w:rPr>
                <w:szCs w:val="17"/>
              </w:rPr>
              <w:t>:</w:t>
            </w:r>
            <w:r w:rsidRPr="001F60AE">
              <w:rPr>
                <w:szCs w:val="17"/>
              </w:rPr>
              <w:t>-</w:t>
            </w:r>
          </w:p>
          <w:p w:rsidR="00545554" w:rsidRPr="004529C6" w:rsidRDefault="00545554" w:rsidP="00545554">
            <w:pPr>
              <w:pStyle w:val="TableText"/>
              <w:numPr>
                <w:ilvl w:val="0"/>
                <w:numId w:val="14"/>
              </w:numPr>
              <w:tabs>
                <w:tab w:val="left" w:pos="436"/>
              </w:tabs>
              <w:ind w:left="436" w:hanging="436"/>
              <w:jc w:val="both"/>
              <w:rPr>
                <w:szCs w:val="17"/>
              </w:rPr>
            </w:pPr>
            <w:r w:rsidRPr="001F60AE">
              <w:rPr>
                <w:szCs w:val="17"/>
              </w:rPr>
              <w:t xml:space="preserve">a consolidated basis </w:t>
            </w:r>
            <w:r>
              <w:rPr>
                <w:szCs w:val="17"/>
              </w:rPr>
              <w:t>–</w:t>
            </w:r>
            <w:r w:rsidRPr="001F60AE">
              <w:rPr>
                <w:szCs w:val="17"/>
              </w:rPr>
              <w:t xml:space="preserve"> applicable to a category 1 institution incorporated in Hong Kong that is sub</w:t>
            </w:r>
            <w:r w:rsidRPr="004529C6">
              <w:rPr>
                <w:szCs w:val="17"/>
              </w:rPr>
              <w:t>ject to Banking (Liquidity) Rules (“BLR”) rule 11(1);</w:t>
            </w:r>
          </w:p>
          <w:p w:rsidR="00545554" w:rsidRDefault="00545554" w:rsidP="00545554">
            <w:pPr>
              <w:pStyle w:val="TableText"/>
              <w:numPr>
                <w:ilvl w:val="0"/>
                <w:numId w:val="14"/>
              </w:numPr>
              <w:tabs>
                <w:tab w:val="left" w:pos="436"/>
              </w:tabs>
              <w:ind w:left="436" w:hanging="436"/>
              <w:jc w:val="both"/>
              <w:rPr>
                <w:szCs w:val="17"/>
              </w:rPr>
            </w:pPr>
            <w:r w:rsidRPr="001F60AE">
              <w:rPr>
                <w:szCs w:val="17"/>
              </w:rPr>
              <w:t xml:space="preserve">an unconsolidated basis – applicable to a category 1 institution incorporated in Hong Kong that is </w:t>
            </w:r>
            <w:r>
              <w:rPr>
                <w:szCs w:val="17"/>
              </w:rPr>
              <w:t xml:space="preserve">not subject to BLR rule 11(1) but </w:t>
            </w:r>
            <w:r w:rsidRPr="001F60AE">
              <w:rPr>
                <w:szCs w:val="17"/>
              </w:rPr>
              <w:t xml:space="preserve">subject to </w:t>
            </w:r>
            <w:r>
              <w:rPr>
                <w:szCs w:val="17"/>
              </w:rPr>
              <w:t xml:space="preserve">BLR </w:t>
            </w:r>
            <w:r w:rsidRPr="001F60AE">
              <w:rPr>
                <w:szCs w:val="17"/>
              </w:rPr>
              <w:t>rule 10(1)(b); or</w:t>
            </w:r>
          </w:p>
          <w:p w:rsidR="00545554" w:rsidRPr="00D039E9" w:rsidRDefault="00545554" w:rsidP="00545554">
            <w:pPr>
              <w:pStyle w:val="TableText"/>
              <w:numPr>
                <w:ilvl w:val="0"/>
                <w:numId w:val="14"/>
              </w:numPr>
              <w:tabs>
                <w:tab w:val="left" w:pos="436"/>
              </w:tabs>
              <w:ind w:left="436" w:hanging="436"/>
              <w:jc w:val="both"/>
              <w:rPr>
                <w:szCs w:val="17"/>
              </w:rPr>
            </w:pPr>
            <w:r w:rsidRPr="001F60AE">
              <w:rPr>
                <w:szCs w:val="17"/>
              </w:rPr>
              <w:t>a Hong Kon</w:t>
            </w:r>
            <w:r w:rsidRPr="00D039E9">
              <w:rPr>
                <w:szCs w:val="17"/>
              </w:rPr>
              <w:t>g office basis – applicable to a category 1 institution:-</w:t>
            </w:r>
          </w:p>
          <w:p w:rsidR="00545554" w:rsidRPr="00D039E9" w:rsidRDefault="00545554" w:rsidP="00545554">
            <w:pPr>
              <w:pStyle w:val="TableText"/>
              <w:numPr>
                <w:ilvl w:val="1"/>
                <w:numId w:val="31"/>
              </w:numPr>
              <w:tabs>
                <w:tab w:val="left" w:pos="861"/>
              </w:tabs>
              <w:ind w:left="861" w:hanging="425"/>
              <w:jc w:val="both"/>
              <w:rPr>
                <w:szCs w:val="17"/>
              </w:rPr>
            </w:pPr>
            <w:r w:rsidRPr="00D039E9">
              <w:rPr>
                <w:szCs w:val="17"/>
              </w:rPr>
              <w:t>incorporated in Hong Kong that is not subject to BLR rule 10(1)(b) or 11 but subject to BLR rule 10(1)(a); and</w:t>
            </w:r>
          </w:p>
          <w:p w:rsidR="00545554" w:rsidRPr="00D039E9" w:rsidRDefault="00545554" w:rsidP="00545554">
            <w:pPr>
              <w:pStyle w:val="TableText"/>
              <w:numPr>
                <w:ilvl w:val="1"/>
                <w:numId w:val="31"/>
              </w:numPr>
              <w:tabs>
                <w:tab w:val="left" w:pos="861"/>
              </w:tabs>
              <w:ind w:left="861" w:hanging="425"/>
              <w:jc w:val="both"/>
              <w:rPr>
                <w:szCs w:val="17"/>
              </w:rPr>
            </w:pPr>
            <w:r w:rsidRPr="00D039E9">
              <w:rPr>
                <w:szCs w:val="17"/>
              </w:rPr>
              <w:t xml:space="preserve">incorporated outside Hong Kong that is subject to BLR rule 10(1)(a). </w:t>
            </w:r>
          </w:p>
          <w:p w:rsidR="00545554" w:rsidRPr="0046600C" w:rsidRDefault="00545554" w:rsidP="00545554">
            <w:pPr>
              <w:pStyle w:val="TableText"/>
              <w:jc w:val="both"/>
              <w:rPr>
                <w:rFonts w:eastAsiaTheme="minorEastAsia"/>
                <w:b/>
                <w:lang w:val="en-US" w:eastAsia="en-GB"/>
              </w:rPr>
            </w:pPr>
            <w:r w:rsidRPr="001F60AE">
              <w:rPr>
                <w:szCs w:val="17"/>
              </w:rPr>
              <w:t xml:space="preserve">A category 1 institution </w:t>
            </w:r>
            <w:r>
              <w:rPr>
                <w:szCs w:val="17"/>
              </w:rPr>
              <w:t>should</w:t>
            </w:r>
            <w:r w:rsidRPr="001F60AE">
              <w:rPr>
                <w:szCs w:val="17"/>
              </w:rPr>
              <w:t xml:space="preserve"> indicate the basis on which the required disclosure items in th</w:t>
            </w:r>
            <w:r>
              <w:rPr>
                <w:szCs w:val="17"/>
              </w:rPr>
              <w:t>is</w:t>
            </w:r>
            <w:r w:rsidRPr="001F60AE">
              <w:rPr>
                <w:szCs w:val="17"/>
              </w:rPr>
              <w:t xml:space="preserve"> </w:t>
            </w:r>
            <w:r>
              <w:rPr>
                <w:szCs w:val="17"/>
              </w:rPr>
              <w:t>t</w:t>
            </w:r>
            <w:r w:rsidRPr="001F60AE">
              <w:rPr>
                <w:szCs w:val="17"/>
              </w:rPr>
              <w:t>emplate are disclosed.</w:t>
            </w:r>
          </w:p>
        </w:tc>
      </w:tr>
      <w:tr w:rsidR="00545554" w:rsidRPr="004B58B9"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46600C" w:rsidRDefault="00545554" w:rsidP="00545554">
            <w:pPr>
              <w:pStyle w:val="TableText"/>
              <w:jc w:val="both"/>
              <w:rPr>
                <w:rFonts w:eastAsiaTheme="minorEastAsia"/>
                <w:b/>
                <w:lang w:val="en-US" w:eastAsia="en-GB"/>
              </w:rPr>
            </w:pPr>
            <w:r w:rsidRPr="004529C6">
              <w:rPr>
                <w:szCs w:val="17"/>
              </w:rPr>
              <w:t>Simple average values of all working days in the quarter.</w:t>
            </w:r>
            <w:r>
              <w:rPr>
                <w:szCs w:val="17"/>
              </w:rPr>
              <w:t xml:space="preserve">  Data should be presented in Hong Kong do</w:t>
            </w:r>
            <w:r w:rsidRPr="004529C6">
              <w:rPr>
                <w:szCs w:val="17"/>
              </w:rPr>
              <w:t xml:space="preserve">llars </w:t>
            </w:r>
            <w:r>
              <w:rPr>
                <w:szCs w:val="17"/>
              </w:rPr>
              <w:t>or the equivalent amounts in Hong Kong dollars</w:t>
            </w:r>
            <w:r w:rsidRPr="004529C6">
              <w:rPr>
                <w:szCs w:val="17"/>
              </w:rPr>
              <w:t>.</w:t>
            </w:r>
            <w:r>
              <w:rPr>
                <w:szCs w:val="17"/>
              </w:rPr>
              <w:t xml:space="preserve">  A</w:t>
            </w:r>
            <w:r w:rsidRPr="004529C6">
              <w:rPr>
                <w:szCs w:val="17"/>
              </w:rPr>
              <w:t>n AI should also specify the number of data points used in calculating the average values in the template</w:t>
            </w:r>
            <w:r>
              <w:rPr>
                <w:szCs w:val="17"/>
              </w:rPr>
              <w:t xml:space="preserve"> and the currency used for presentation.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pStyle w:val="TableText"/>
              <w:jc w:val="both"/>
              <w:rPr>
                <w:lang w:eastAsia="en-GB"/>
              </w:rPr>
            </w:pPr>
            <w:r>
              <w:rPr>
                <w:lang w:eastAsia="en-GB"/>
              </w:rPr>
              <w:t>Quarterly.</w:t>
            </w:r>
            <w:r w:rsidR="005B3DC3" w:rsidRPr="003B7769">
              <w:rPr>
                <w:lang w:eastAsia="en-GB"/>
              </w:rPr>
              <w:t xml:space="preserve">  </w:t>
            </w:r>
            <w:r w:rsidR="00375975" w:rsidRPr="003B7769">
              <w:rPr>
                <w:lang w:eastAsia="en-GB"/>
              </w:rPr>
              <w:t xml:space="preserve">AIs should </w:t>
            </w:r>
            <w:r w:rsidR="005B3DC3" w:rsidRPr="003B7769">
              <w:rPr>
                <w:lang w:eastAsia="en-GB"/>
              </w:rPr>
              <w:t xml:space="preserve">disclose both their first quarter and second quarter positions of LCR when they make the first </w:t>
            </w:r>
            <w:r w:rsidR="00354F22">
              <w:rPr>
                <w:lang w:eastAsia="en-GB"/>
              </w:rPr>
              <w:t>time</w:t>
            </w:r>
            <w:r w:rsidR="005B3DC3" w:rsidRPr="003B7769">
              <w:rPr>
                <w:lang w:eastAsia="en-GB"/>
              </w:rPr>
              <w:t xml:space="preserve"> disclosure that ends at the close of the semi-annual reporting period of their 2018 financial year</w:t>
            </w:r>
            <w:r w:rsidR="00375975" w:rsidRPr="003B7769">
              <w:rPr>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sidRPr="0023654F">
              <w:rPr>
                <w:lang w:eastAsia="en-GB"/>
              </w:rPr>
              <w:t>Fixed.</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AC37F2" w:rsidRDefault="00545554" w:rsidP="00545554">
            <w:pPr>
              <w:pStyle w:val="TableText"/>
              <w:jc w:val="both"/>
              <w:rPr>
                <w:szCs w:val="17"/>
              </w:rPr>
            </w:pPr>
            <w:r w:rsidRPr="004529C6">
              <w:rPr>
                <w:szCs w:val="17"/>
                <w:lang w:eastAsia="en-GB"/>
              </w:rPr>
              <w:t xml:space="preserve">An </w:t>
            </w:r>
            <w:r w:rsidRPr="00AC37F2">
              <w:rPr>
                <w:szCs w:val="17"/>
              </w:rPr>
              <w:t xml:space="preserve">AI should provide sufficient qualitative discussion to facilitate </w:t>
            </w:r>
            <w:r>
              <w:rPr>
                <w:szCs w:val="17"/>
              </w:rPr>
              <w:t xml:space="preserve">Pillar 3 data </w:t>
            </w:r>
            <w:r w:rsidRPr="00AC37F2">
              <w:rPr>
                <w:szCs w:val="17"/>
              </w:rPr>
              <w:t xml:space="preserve">users’ understanding of its LCR calculation.  For example, where significant to the LCR, the AI </w:t>
            </w:r>
            <w:r>
              <w:rPr>
                <w:szCs w:val="17"/>
              </w:rPr>
              <w:t>sh</w:t>
            </w:r>
            <w:r w:rsidRPr="00AC37F2">
              <w:rPr>
                <w:szCs w:val="17"/>
              </w:rPr>
              <w:t>ould discuss:</w:t>
            </w:r>
          </w:p>
          <w:p w:rsidR="00545554" w:rsidRPr="00AC37F2" w:rsidRDefault="00545554" w:rsidP="00545554">
            <w:pPr>
              <w:pStyle w:val="Default"/>
              <w:numPr>
                <w:ilvl w:val="0"/>
                <w:numId w:val="11"/>
              </w:numPr>
              <w:tabs>
                <w:tab w:val="left" w:pos="294"/>
              </w:tabs>
              <w:ind w:left="294" w:hanging="294"/>
              <w:jc w:val="both"/>
              <w:rPr>
                <w:sz w:val="17"/>
                <w:szCs w:val="17"/>
              </w:rPr>
            </w:pPr>
            <w:r w:rsidRPr="00AC37F2">
              <w:rPr>
                <w:sz w:val="17"/>
                <w:szCs w:val="17"/>
              </w:rPr>
              <w:t xml:space="preserve">the main drivers of </w:t>
            </w:r>
            <w:r>
              <w:rPr>
                <w:sz w:val="17"/>
                <w:szCs w:val="17"/>
              </w:rPr>
              <w:t>its</w:t>
            </w:r>
            <w:r w:rsidRPr="00AC37F2">
              <w:rPr>
                <w:sz w:val="17"/>
                <w:szCs w:val="17"/>
              </w:rPr>
              <w:t xml:space="preserve"> LCR results and the evolution of the contribution of inputs to t</w:t>
            </w:r>
            <w:r>
              <w:rPr>
                <w:sz w:val="17"/>
                <w:szCs w:val="17"/>
              </w:rPr>
              <w:t>he LCR’s calculation over time;</w:t>
            </w:r>
          </w:p>
          <w:p w:rsidR="00545554" w:rsidRPr="00AC37F2" w:rsidRDefault="00545554" w:rsidP="00545554">
            <w:pPr>
              <w:pStyle w:val="Default"/>
              <w:numPr>
                <w:ilvl w:val="0"/>
                <w:numId w:val="11"/>
              </w:numPr>
              <w:tabs>
                <w:tab w:val="left" w:pos="294"/>
              </w:tabs>
              <w:ind w:left="294" w:hanging="294"/>
              <w:jc w:val="both"/>
              <w:rPr>
                <w:sz w:val="17"/>
                <w:szCs w:val="17"/>
              </w:rPr>
            </w:pPr>
            <w:r w:rsidRPr="00AC37F2">
              <w:rPr>
                <w:sz w:val="17"/>
                <w:szCs w:val="17"/>
              </w:rPr>
              <w:t>intra-period change</w:t>
            </w:r>
            <w:r>
              <w:rPr>
                <w:sz w:val="17"/>
                <w:szCs w:val="17"/>
              </w:rPr>
              <w:t>s as well as changes over time;</w:t>
            </w:r>
          </w:p>
          <w:p w:rsidR="00545554" w:rsidRPr="00AC37F2" w:rsidRDefault="00545554" w:rsidP="00545554">
            <w:pPr>
              <w:pStyle w:val="Default"/>
              <w:numPr>
                <w:ilvl w:val="0"/>
                <w:numId w:val="11"/>
              </w:numPr>
              <w:tabs>
                <w:tab w:val="left" w:pos="294"/>
              </w:tabs>
              <w:ind w:left="294" w:hanging="294"/>
              <w:jc w:val="both"/>
              <w:rPr>
                <w:sz w:val="17"/>
                <w:szCs w:val="17"/>
              </w:rPr>
            </w:pPr>
            <w:r w:rsidRPr="00AC37F2">
              <w:rPr>
                <w:sz w:val="17"/>
                <w:szCs w:val="17"/>
              </w:rPr>
              <w:t>the com</w:t>
            </w:r>
            <w:r>
              <w:rPr>
                <w:sz w:val="17"/>
                <w:szCs w:val="17"/>
              </w:rPr>
              <w:t>position of HQLA;</w:t>
            </w:r>
          </w:p>
          <w:p w:rsidR="00545554" w:rsidRPr="00AC37F2" w:rsidRDefault="00545554" w:rsidP="00545554">
            <w:pPr>
              <w:pStyle w:val="Default"/>
              <w:numPr>
                <w:ilvl w:val="0"/>
                <w:numId w:val="11"/>
              </w:numPr>
              <w:tabs>
                <w:tab w:val="left" w:pos="294"/>
              </w:tabs>
              <w:ind w:left="294" w:hanging="294"/>
              <w:jc w:val="both"/>
              <w:rPr>
                <w:sz w:val="17"/>
                <w:szCs w:val="17"/>
              </w:rPr>
            </w:pPr>
            <w:r w:rsidRPr="00AC37F2">
              <w:rPr>
                <w:sz w:val="17"/>
                <w:szCs w:val="17"/>
              </w:rPr>
              <w:t>co</w:t>
            </w:r>
            <w:r>
              <w:rPr>
                <w:sz w:val="17"/>
                <w:szCs w:val="17"/>
              </w:rPr>
              <w:t>ncentration of funding sources;</w:t>
            </w:r>
          </w:p>
          <w:p w:rsidR="00545554" w:rsidRDefault="00545554" w:rsidP="00545554">
            <w:pPr>
              <w:pStyle w:val="Default"/>
              <w:numPr>
                <w:ilvl w:val="0"/>
                <w:numId w:val="11"/>
              </w:numPr>
              <w:tabs>
                <w:tab w:val="left" w:pos="294"/>
              </w:tabs>
              <w:ind w:left="294" w:hanging="294"/>
              <w:jc w:val="both"/>
              <w:rPr>
                <w:sz w:val="17"/>
                <w:szCs w:val="17"/>
              </w:rPr>
            </w:pPr>
            <w:r w:rsidRPr="00AC37F2">
              <w:rPr>
                <w:sz w:val="17"/>
                <w:szCs w:val="17"/>
              </w:rPr>
              <w:t>cu</w:t>
            </w:r>
            <w:r>
              <w:rPr>
                <w:sz w:val="17"/>
                <w:szCs w:val="17"/>
              </w:rPr>
              <w:t>rrency mismatch in the LCR;</w:t>
            </w:r>
          </w:p>
          <w:p w:rsidR="00545554" w:rsidRDefault="00545554" w:rsidP="00545554">
            <w:pPr>
              <w:pStyle w:val="Default"/>
              <w:numPr>
                <w:ilvl w:val="0"/>
                <w:numId w:val="11"/>
              </w:numPr>
              <w:tabs>
                <w:tab w:val="left" w:pos="294"/>
              </w:tabs>
              <w:ind w:left="294" w:hanging="294"/>
              <w:jc w:val="both"/>
              <w:rPr>
                <w:sz w:val="17"/>
                <w:szCs w:val="17"/>
              </w:rPr>
            </w:pPr>
            <w:r w:rsidRPr="002A4C18">
              <w:rPr>
                <w:sz w:val="17"/>
                <w:szCs w:val="17"/>
              </w:rPr>
              <w:t>the degree of centralization of liquidity management and the interaction between members of the consolidated group</w:t>
            </w:r>
            <w:r>
              <w:rPr>
                <w:sz w:val="17"/>
                <w:szCs w:val="17"/>
              </w:rPr>
              <w:t>;</w:t>
            </w:r>
          </w:p>
          <w:p w:rsidR="00545554" w:rsidRPr="00AC37F2" w:rsidRDefault="00545554" w:rsidP="00545554">
            <w:pPr>
              <w:pStyle w:val="Default"/>
              <w:numPr>
                <w:ilvl w:val="0"/>
                <w:numId w:val="11"/>
              </w:numPr>
              <w:tabs>
                <w:tab w:val="left" w:pos="294"/>
              </w:tabs>
              <w:ind w:left="294" w:hanging="294"/>
              <w:jc w:val="both"/>
              <w:rPr>
                <w:sz w:val="17"/>
                <w:szCs w:val="17"/>
              </w:rPr>
            </w:pPr>
            <w:r>
              <w:rPr>
                <w:sz w:val="17"/>
                <w:szCs w:val="17"/>
              </w:rPr>
              <w:t xml:space="preserve">the exposures under its derivative contracts and the potential for it to be required to post </w:t>
            </w:r>
            <w:r>
              <w:rPr>
                <w:sz w:val="17"/>
                <w:szCs w:val="17"/>
              </w:rPr>
              <w:lastRenderedPageBreak/>
              <w:t>collateral under the contracts; and</w:t>
            </w:r>
          </w:p>
          <w:p w:rsidR="00545554" w:rsidRPr="00AC37F2" w:rsidRDefault="00545554" w:rsidP="00545554">
            <w:pPr>
              <w:pStyle w:val="Default"/>
              <w:numPr>
                <w:ilvl w:val="0"/>
                <w:numId w:val="11"/>
              </w:numPr>
              <w:tabs>
                <w:tab w:val="left" w:pos="294"/>
              </w:tabs>
              <w:ind w:left="294" w:hanging="294"/>
              <w:jc w:val="both"/>
              <w:rPr>
                <w:noProof/>
                <w:sz w:val="17"/>
                <w:szCs w:val="17"/>
                <w:lang w:eastAsia="en-GB"/>
              </w:rPr>
            </w:pPr>
            <w:r w:rsidRPr="00AC37F2">
              <w:rPr>
                <w:sz w:val="17"/>
                <w:szCs w:val="17"/>
              </w:rPr>
              <w:t>other inflows and outflows in the LCR calculation that are n</w:t>
            </w:r>
            <w:r w:rsidRPr="004529C6">
              <w:rPr>
                <w:sz w:val="17"/>
                <w:szCs w:val="17"/>
              </w:rPr>
              <w:t>ot captured in the template but the AI considers relevant for its liquidity profile.</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lastRenderedPageBreak/>
              <w:t>Corresponding BDR section:</w:t>
            </w:r>
          </w:p>
        </w:tc>
        <w:tc>
          <w:tcPr>
            <w:tcW w:w="7234" w:type="dxa"/>
          </w:tcPr>
          <w:p w:rsidR="00545554" w:rsidRPr="00AC37F2" w:rsidRDefault="00545554" w:rsidP="00545554">
            <w:pPr>
              <w:pStyle w:val="TableText"/>
              <w:jc w:val="both"/>
              <w:rPr>
                <w:szCs w:val="17"/>
                <w:lang w:eastAsia="en-GB"/>
              </w:rPr>
            </w:pPr>
            <w:r w:rsidRPr="001B530B">
              <w:rPr>
                <w:szCs w:val="17"/>
                <w:lang w:eastAsia="en-GB"/>
              </w:rPr>
              <w:t>16FK and 103A</w:t>
            </w:r>
          </w:p>
        </w:tc>
      </w:tr>
    </w:tbl>
    <w:p w:rsidR="00545554" w:rsidRDefault="00545554" w:rsidP="00545554">
      <w:pPr>
        <w:rPr>
          <w:sz w:val="22"/>
        </w:rPr>
      </w:pPr>
    </w:p>
    <w:tbl>
      <w:tblPr>
        <w:tblStyle w:val="TableGrid"/>
        <w:tblW w:w="9214" w:type="dxa"/>
        <w:tblInd w:w="-459" w:type="dxa"/>
        <w:tblLook w:val="04A0" w:firstRow="1" w:lastRow="0" w:firstColumn="1" w:lastColumn="0" w:noHBand="0" w:noVBand="1"/>
      </w:tblPr>
      <w:tblGrid>
        <w:gridCol w:w="6521"/>
        <w:gridCol w:w="2693"/>
      </w:tblGrid>
      <w:tr w:rsidR="00545554" w:rsidTr="00545554">
        <w:tc>
          <w:tcPr>
            <w:tcW w:w="6521" w:type="dxa"/>
            <w:tcBorders>
              <w:left w:val="nil"/>
              <w:bottom w:val="nil"/>
            </w:tcBorders>
          </w:tcPr>
          <w:p w:rsidR="00545554" w:rsidRDefault="00545554" w:rsidP="00545554">
            <w:pPr>
              <w:pStyle w:val="TableText"/>
              <w:snapToGrid w:val="0"/>
              <w:ind w:leftChars="-54" w:left="-108" w:rightChars="71" w:right="142"/>
              <w:rPr>
                <w:sz w:val="22"/>
              </w:rPr>
            </w:pPr>
            <w:r w:rsidRPr="00E960C4">
              <w:rPr>
                <w:lang w:eastAsia="it-IT"/>
              </w:rPr>
              <w:t>Number of data points used in calculating the average value of the LCR and related components set out in this</w:t>
            </w:r>
            <w:r>
              <w:rPr>
                <w:lang w:eastAsia="it-IT"/>
              </w:rPr>
              <w:t xml:space="preserve"> t</w:t>
            </w:r>
            <w:r w:rsidRPr="00E960C4">
              <w:rPr>
                <w:lang w:eastAsia="it-IT"/>
              </w:rPr>
              <w:t xml:space="preserve">emplate: ( </w:t>
            </w:r>
            <w:r>
              <w:rPr>
                <w:lang w:eastAsia="it-IT"/>
              </w:rPr>
              <w:t xml:space="preserve">   </w:t>
            </w:r>
            <w:r w:rsidRPr="00E960C4">
              <w:rPr>
                <w:lang w:eastAsia="it-IT"/>
              </w:rPr>
              <w:t>)</w:t>
            </w:r>
          </w:p>
        </w:tc>
        <w:tc>
          <w:tcPr>
            <w:tcW w:w="2693" w:type="dxa"/>
            <w:tcBorders>
              <w:bottom w:val="nil"/>
            </w:tcBorders>
          </w:tcPr>
          <w:p w:rsidR="00545554" w:rsidRDefault="00545554" w:rsidP="00545554">
            <w:pPr>
              <w:pStyle w:val="TableText"/>
              <w:snapToGrid w:val="0"/>
              <w:ind w:left="57" w:rightChars="71" w:right="142"/>
              <w:jc w:val="center"/>
              <w:rPr>
                <w:sz w:val="22"/>
              </w:rPr>
            </w:pPr>
            <w:r>
              <w:rPr>
                <w:lang w:eastAsia="it-IT"/>
              </w:rPr>
              <w:t>HK$ equivalent</w:t>
            </w:r>
          </w:p>
        </w:tc>
      </w:tr>
    </w:tbl>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67"/>
        <w:gridCol w:w="5954"/>
        <w:gridCol w:w="1346"/>
        <w:gridCol w:w="1347"/>
      </w:tblGrid>
      <w:tr w:rsidR="00545554" w:rsidRPr="0023654F" w:rsidTr="00545554">
        <w:trPr>
          <w:trHeight w:val="264"/>
          <w:tblHeader/>
        </w:trPr>
        <w:tc>
          <w:tcPr>
            <w:tcW w:w="6521" w:type="dxa"/>
            <w:gridSpan w:val="2"/>
            <w:tcBorders>
              <w:top w:val="nil"/>
              <w:left w:val="nil"/>
              <w:bottom w:val="single" w:sz="4" w:space="0" w:color="auto"/>
              <w:right w:val="single" w:sz="4" w:space="0" w:color="auto"/>
            </w:tcBorders>
            <w:vAlign w:val="center"/>
          </w:tcPr>
          <w:p w:rsidR="00545554" w:rsidRDefault="00545554" w:rsidP="00545554">
            <w:pPr>
              <w:pStyle w:val="Default"/>
              <w:rPr>
                <w:b/>
                <w:bCs/>
                <w:sz w:val="20"/>
                <w:szCs w:val="20"/>
              </w:rPr>
            </w:pPr>
          </w:p>
        </w:tc>
        <w:tc>
          <w:tcPr>
            <w:tcW w:w="1346" w:type="dxa"/>
            <w:tcBorders>
              <w:top w:val="single" w:sz="6" w:space="0" w:color="auto"/>
              <w:left w:val="single" w:sz="6" w:space="0" w:color="auto"/>
              <w:bottom w:val="single" w:sz="6" w:space="0" w:color="auto"/>
              <w:right w:val="single" w:sz="6" w:space="0" w:color="auto"/>
            </w:tcBorders>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a</w:t>
            </w:r>
            <w:r>
              <w:rPr>
                <w:bCs/>
                <w:lang w:eastAsia="it-IT"/>
              </w:rPr>
              <w:t>)</w:t>
            </w:r>
          </w:p>
        </w:tc>
        <w:tc>
          <w:tcPr>
            <w:tcW w:w="1347" w:type="dxa"/>
            <w:tcBorders>
              <w:top w:val="single" w:sz="6" w:space="0" w:color="auto"/>
              <w:left w:val="single" w:sz="6" w:space="0" w:color="auto"/>
              <w:bottom w:val="single" w:sz="6" w:space="0" w:color="auto"/>
              <w:right w:val="single" w:sz="4" w:space="0" w:color="auto"/>
            </w:tcBorders>
            <w:vAlign w:val="center"/>
          </w:tcPr>
          <w:p w:rsidR="00545554" w:rsidRPr="0023654F" w:rsidRDefault="00545554" w:rsidP="00545554">
            <w:pPr>
              <w:pStyle w:val="TableText"/>
              <w:snapToGrid w:val="0"/>
              <w:jc w:val="center"/>
              <w:rPr>
                <w:bCs/>
                <w:lang w:eastAsia="it-IT"/>
              </w:rPr>
            </w:pPr>
            <w:r>
              <w:rPr>
                <w:bCs/>
                <w:lang w:eastAsia="it-IT"/>
              </w:rPr>
              <w:t>(</w:t>
            </w:r>
            <w:r w:rsidRPr="0023654F">
              <w:rPr>
                <w:bCs/>
                <w:lang w:eastAsia="it-IT"/>
              </w:rPr>
              <w:t>b</w:t>
            </w:r>
            <w:r>
              <w:rPr>
                <w:bCs/>
                <w:lang w:eastAsia="it-IT"/>
              </w:rPr>
              <w:t>)</w:t>
            </w:r>
          </w:p>
        </w:tc>
      </w:tr>
      <w:tr w:rsidR="00545554" w:rsidRPr="0023654F" w:rsidTr="00545554">
        <w:trPr>
          <w:trHeight w:val="528"/>
        </w:trPr>
        <w:tc>
          <w:tcPr>
            <w:tcW w:w="6521" w:type="dxa"/>
            <w:gridSpan w:val="2"/>
            <w:tcBorders>
              <w:top w:val="single" w:sz="4" w:space="0" w:color="auto"/>
              <w:left w:val="nil"/>
              <w:bottom w:val="single" w:sz="6" w:space="0" w:color="auto"/>
              <w:right w:val="single" w:sz="6" w:space="0" w:color="auto"/>
            </w:tcBorders>
            <w:vAlign w:val="center"/>
          </w:tcPr>
          <w:p w:rsidR="00545554" w:rsidRPr="00E960C4" w:rsidRDefault="00545554" w:rsidP="00545554">
            <w:pPr>
              <w:pStyle w:val="TableText"/>
              <w:snapToGrid w:val="0"/>
              <w:ind w:rightChars="71" w:right="142"/>
              <w:rPr>
                <w:lang w:eastAsia="it-IT"/>
              </w:rPr>
            </w:pPr>
            <w:r w:rsidRPr="00E960C4">
              <w:rPr>
                <w:lang w:eastAsia="it-IT"/>
              </w:rPr>
              <w:t>Basis of disclosure: consolidated / unconsolidated / Hong Kong office (delete as appropriate)</w:t>
            </w:r>
          </w:p>
          <w:p w:rsidR="00545554" w:rsidRPr="00E960C4" w:rsidRDefault="00545554" w:rsidP="00545554">
            <w:pPr>
              <w:pStyle w:val="TableText"/>
              <w:snapToGrid w:val="0"/>
              <w:rPr>
                <w:lang w:val="en-US" w:eastAsia="it-IT"/>
              </w:rPr>
            </w:pPr>
          </w:p>
        </w:tc>
        <w:tc>
          <w:tcPr>
            <w:tcW w:w="1346" w:type="dxa"/>
            <w:tcBorders>
              <w:top w:val="single" w:sz="6" w:space="0" w:color="auto"/>
              <w:left w:val="single" w:sz="6" w:space="0" w:color="auto"/>
              <w:bottom w:val="single" w:sz="6" w:space="0" w:color="auto"/>
              <w:right w:val="single" w:sz="6" w:space="0" w:color="auto"/>
            </w:tcBorders>
            <w:vAlign w:val="center"/>
          </w:tcPr>
          <w:p w:rsidR="00545554" w:rsidRPr="00445B4A" w:rsidRDefault="00545554" w:rsidP="00545554">
            <w:pPr>
              <w:pStyle w:val="TableText"/>
              <w:snapToGrid w:val="0"/>
              <w:ind w:left="57"/>
              <w:jc w:val="center"/>
              <w:rPr>
                <w:b/>
                <w:lang w:eastAsia="it-IT"/>
              </w:rPr>
            </w:pPr>
            <w:r>
              <w:rPr>
                <w:b/>
                <w:lang w:eastAsia="it-IT"/>
              </w:rPr>
              <w:t>U</w:t>
            </w:r>
            <w:r w:rsidRPr="00445B4A">
              <w:rPr>
                <w:b/>
                <w:lang w:eastAsia="it-IT"/>
              </w:rPr>
              <w:t>nweighted value</w:t>
            </w:r>
          </w:p>
          <w:p w:rsidR="00545554" w:rsidRPr="00445B4A" w:rsidRDefault="00545554" w:rsidP="00545554">
            <w:pPr>
              <w:pStyle w:val="TableText"/>
              <w:snapToGrid w:val="0"/>
              <w:ind w:left="57"/>
              <w:jc w:val="center"/>
              <w:rPr>
                <w:lang w:eastAsia="it-IT"/>
              </w:rPr>
            </w:pPr>
            <w:r w:rsidRPr="00445B4A">
              <w:rPr>
                <w:lang w:eastAsia="it-IT"/>
              </w:rPr>
              <w:t>(average)</w:t>
            </w:r>
          </w:p>
        </w:tc>
        <w:tc>
          <w:tcPr>
            <w:tcW w:w="1347" w:type="dxa"/>
            <w:tcBorders>
              <w:top w:val="single" w:sz="6" w:space="0" w:color="auto"/>
              <w:left w:val="single" w:sz="6" w:space="0" w:color="auto"/>
              <w:bottom w:val="single" w:sz="6" w:space="0" w:color="auto"/>
              <w:right w:val="single" w:sz="4" w:space="0" w:color="auto"/>
            </w:tcBorders>
            <w:vAlign w:val="center"/>
          </w:tcPr>
          <w:p w:rsidR="00545554" w:rsidRPr="00445B4A" w:rsidRDefault="00545554" w:rsidP="00545554">
            <w:pPr>
              <w:pStyle w:val="TableText"/>
              <w:snapToGrid w:val="0"/>
              <w:ind w:left="213" w:rightChars="71" w:right="142"/>
              <w:jc w:val="center"/>
              <w:rPr>
                <w:b/>
                <w:lang w:eastAsia="it-IT"/>
              </w:rPr>
            </w:pPr>
            <w:r>
              <w:rPr>
                <w:b/>
                <w:lang w:eastAsia="it-IT"/>
              </w:rPr>
              <w:t>W</w:t>
            </w:r>
            <w:r w:rsidRPr="00445B4A">
              <w:rPr>
                <w:b/>
                <w:lang w:eastAsia="it-IT"/>
              </w:rPr>
              <w:t>eighted value</w:t>
            </w:r>
          </w:p>
          <w:p w:rsidR="00545554" w:rsidRPr="00445B4A" w:rsidRDefault="00545554" w:rsidP="00545554">
            <w:pPr>
              <w:pStyle w:val="TableText"/>
              <w:snapToGrid w:val="0"/>
              <w:ind w:left="213" w:rightChars="71" w:right="142"/>
              <w:jc w:val="center"/>
              <w:rPr>
                <w:lang w:eastAsia="it-IT"/>
              </w:rPr>
            </w:pPr>
            <w:r w:rsidRPr="00445B4A">
              <w:rPr>
                <w:lang w:eastAsia="it-IT"/>
              </w:rPr>
              <w:t>(average)</w:t>
            </w:r>
          </w:p>
        </w:tc>
      </w:tr>
      <w:tr w:rsidR="00545554" w:rsidRPr="0023654F" w:rsidTr="00545554">
        <w:trPr>
          <w:cantSplit/>
          <w:trHeight w:val="285"/>
        </w:trPr>
        <w:tc>
          <w:tcPr>
            <w:tcW w:w="6521" w:type="dxa"/>
            <w:gridSpan w:val="2"/>
            <w:tcBorders>
              <w:top w:val="single" w:sz="6" w:space="0" w:color="auto"/>
              <w:left w:val="nil"/>
              <w:bottom w:val="single" w:sz="6" w:space="0" w:color="BCBDBC"/>
              <w:right w:val="nil"/>
            </w:tcBorders>
            <w:shd w:val="clear" w:color="auto" w:fill="A6A6A6" w:themeFill="background1" w:themeFillShade="A6"/>
          </w:tcPr>
          <w:p w:rsidR="00545554" w:rsidRPr="00445B4A" w:rsidRDefault="00545554" w:rsidP="00545554">
            <w:pPr>
              <w:pStyle w:val="TableText"/>
              <w:numPr>
                <w:ilvl w:val="0"/>
                <w:numId w:val="13"/>
              </w:numPr>
              <w:snapToGrid w:val="0"/>
              <w:ind w:rightChars="71" w:right="142"/>
              <w:rPr>
                <w:b/>
                <w:lang w:eastAsia="it-IT"/>
              </w:rPr>
            </w:pPr>
            <w:r w:rsidRPr="00445B4A">
              <w:rPr>
                <w:b/>
                <w:lang w:eastAsia="it-IT"/>
              </w:rPr>
              <w:t>H</w:t>
            </w:r>
            <w:r>
              <w:rPr>
                <w:b/>
                <w:lang w:eastAsia="it-IT"/>
              </w:rPr>
              <w:t>QLA</w:t>
            </w:r>
          </w:p>
        </w:tc>
        <w:tc>
          <w:tcPr>
            <w:tcW w:w="1346" w:type="dxa"/>
            <w:tcBorders>
              <w:top w:val="single" w:sz="6" w:space="0" w:color="auto"/>
              <w:left w:val="nil"/>
              <w:bottom w:val="single" w:sz="6" w:space="0" w:color="BCBDBC"/>
              <w:right w:val="nil"/>
            </w:tcBorders>
            <w:shd w:val="clear" w:color="auto" w:fill="A6A6A6" w:themeFill="background1" w:themeFillShade="A6"/>
          </w:tcPr>
          <w:p w:rsidR="00545554" w:rsidRPr="0023654F" w:rsidRDefault="00545554" w:rsidP="00545554">
            <w:pPr>
              <w:pStyle w:val="TableText"/>
              <w:snapToGrid w:val="0"/>
              <w:rPr>
                <w:lang w:eastAsia="it-IT"/>
              </w:rPr>
            </w:pPr>
          </w:p>
        </w:tc>
        <w:tc>
          <w:tcPr>
            <w:tcW w:w="1347" w:type="dxa"/>
            <w:tcBorders>
              <w:top w:val="single" w:sz="6" w:space="0" w:color="auto"/>
              <w:left w:val="nil"/>
              <w:bottom w:val="single" w:sz="6" w:space="0" w:color="BCBDBC"/>
              <w:right w:val="single" w:sz="4" w:space="0" w:color="auto"/>
            </w:tcBorders>
            <w:shd w:val="clear" w:color="auto" w:fill="A6A6A6" w:themeFill="background1" w:themeFillShade="A6"/>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567" w:type="dxa"/>
            <w:tcBorders>
              <w:top w:val="single" w:sz="6" w:space="0" w:color="auto"/>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1</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E960C4" w:rsidRDefault="00545554" w:rsidP="00545554">
            <w:pPr>
              <w:pStyle w:val="TableText"/>
              <w:snapToGrid w:val="0"/>
              <w:ind w:left="57" w:rightChars="71" w:right="142"/>
              <w:rPr>
                <w:lang w:val="en-US" w:eastAsia="it-IT"/>
              </w:rPr>
            </w:pPr>
            <w:r w:rsidRPr="00E960C4">
              <w:rPr>
                <w:lang w:eastAsia="it-IT"/>
              </w:rPr>
              <w:t>Total HQLA</w:t>
            </w:r>
          </w:p>
        </w:tc>
        <w:tc>
          <w:tcPr>
            <w:tcW w:w="1346" w:type="dxa"/>
            <w:tcBorders>
              <w:top w:val="single" w:sz="6" w:space="0" w:color="auto"/>
              <w:left w:val="single" w:sz="6" w:space="0" w:color="auto"/>
              <w:bottom w:val="single" w:sz="6" w:space="0" w:color="auto"/>
              <w:right w:val="single" w:sz="6"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85"/>
        </w:trPr>
        <w:tc>
          <w:tcPr>
            <w:tcW w:w="6521" w:type="dxa"/>
            <w:gridSpan w:val="2"/>
            <w:tcBorders>
              <w:top w:val="single" w:sz="6" w:space="0" w:color="auto"/>
              <w:left w:val="nil"/>
              <w:bottom w:val="single" w:sz="4" w:space="0" w:color="auto"/>
              <w:right w:val="nil"/>
            </w:tcBorders>
            <w:shd w:val="clear" w:color="auto" w:fill="A6A6A6" w:themeFill="background1" w:themeFillShade="A6"/>
          </w:tcPr>
          <w:p w:rsidR="00545554" w:rsidRPr="008B2E9C" w:rsidRDefault="00545554" w:rsidP="00545554">
            <w:pPr>
              <w:pStyle w:val="TableText"/>
              <w:numPr>
                <w:ilvl w:val="0"/>
                <w:numId w:val="13"/>
              </w:numPr>
              <w:snapToGrid w:val="0"/>
              <w:ind w:rightChars="71" w:right="142"/>
              <w:rPr>
                <w:b/>
                <w:szCs w:val="17"/>
                <w:lang w:eastAsia="it-IT"/>
              </w:rPr>
            </w:pPr>
            <w:r w:rsidRPr="008B2E9C">
              <w:rPr>
                <w:b/>
                <w:szCs w:val="17"/>
                <w:lang w:eastAsia="it-IT"/>
              </w:rPr>
              <w:t>Cash outflows</w:t>
            </w:r>
          </w:p>
        </w:tc>
        <w:tc>
          <w:tcPr>
            <w:tcW w:w="1346" w:type="dxa"/>
            <w:tcBorders>
              <w:top w:val="single" w:sz="6" w:space="0" w:color="auto"/>
              <w:left w:val="nil"/>
              <w:bottom w:val="single" w:sz="4" w:space="0" w:color="auto"/>
              <w:right w:val="nil"/>
            </w:tcBorders>
            <w:shd w:val="clear" w:color="auto" w:fill="A6A6A6" w:themeFill="background1" w:themeFillShade="A6"/>
          </w:tcPr>
          <w:p w:rsidR="00545554" w:rsidRPr="0023654F" w:rsidRDefault="00545554" w:rsidP="00545554">
            <w:pPr>
              <w:pStyle w:val="TableText"/>
              <w:snapToGrid w:val="0"/>
              <w:rPr>
                <w:lang w:eastAsia="it-IT"/>
              </w:rPr>
            </w:pPr>
          </w:p>
        </w:tc>
        <w:tc>
          <w:tcPr>
            <w:tcW w:w="1347" w:type="dxa"/>
            <w:tcBorders>
              <w:top w:val="single" w:sz="6" w:space="0" w:color="auto"/>
              <w:left w:val="nil"/>
              <w:bottom w:val="single" w:sz="4" w:space="0" w:color="auto"/>
              <w:right w:val="single" w:sz="4" w:space="0" w:color="auto"/>
            </w:tcBorders>
            <w:shd w:val="clear" w:color="auto" w:fill="A6A6A6" w:themeFill="background1" w:themeFillShade="A6"/>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4" w:space="0" w:color="auto"/>
              <w:left w:val="nil"/>
              <w:bottom w:val="single" w:sz="6" w:space="0" w:color="BCBDBC"/>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2</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A3109D" w:rsidRDefault="00545554" w:rsidP="00545554">
            <w:pPr>
              <w:pStyle w:val="TableText"/>
              <w:snapToGrid w:val="0"/>
              <w:ind w:left="57" w:rightChars="71" w:right="142"/>
              <w:rPr>
                <w:lang w:eastAsia="it-IT"/>
              </w:rPr>
            </w:pPr>
            <w:r w:rsidRPr="00A3109D">
              <w:rPr>
                <w:lang w:eastAsia="it-IT"/>
              </w:rPr>
              <w:t>Retail deposits and small business funding, of which:</w:t>
            </w:r>
          </w:p>
        </w:tc>
        <w:tc>
          <w:tcPr>
            <w:tcW w:w="1346" w:type="dxa"/>
            <w:tcBorders>
              <w:top w:val="single" w:sz="4"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4"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3</w:t>
            </w:r>
          </w:p>
        </w:tc>
        <w:tc>
          <w:tcPr>
            <w:tcW w:w="5954" w:type="dxa"/>
            <w:tcBorders>
              <w:top w:val="single" w:sz="6" w:space="0" w:color="auto"/>
              <w:left w:val="single" w:sz="6" w:space="0" w:color="auto"/>
              <w:bottom w:val="single" w:sz="6" w:space="0" w:color="BCBDBC"/>
              <w:right w:val="single" w:sz="6" w:space="0" w:color="auto"/>
            </w:tcBorders>
          </w:tcPr>
          <w:p w:rsidR="00545554" w:rsidRPr="00B62B9C" w:rsidRDefault="00545554" w:rsidP="00545554">
            <w:pPr>
              <w:pStyle w:val="TableText"/>
              <w:snapToGrid w:val="0"/>
              <w:ind w:left="284" w:rightChars="71" w:right="142"/>
              <w:rPr>
                <w:lang w:val="en-US" w:eastAsia="it-IT"/>
              </w:rPr>
            </w:pPr>
            <w:r w:rsidRPr="00475528">
              <w:rPr>
                <w:i/>
                <w:lang w:eastAsia="it-IT"/>
              </w:rPr>
              <w:t>Stable retail deposits and stable small business funding</w:t>
            </w:r>
          </w:p>
        </w:tc>
        <w:tc>
          <w:tcPr>
            <w:tcW w:w="1346" w:type="dxa"/>
            <w:tcBorders>
              <w:top w:val="single" w:sz="6" w:space="0" w:color="auto"/>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4</w:t>
            </w:r>
          </w:p>
        </w:tc>
        <w:tc>
          <w:tcPr>
            <w:tcW w:w="5954" w:type="dxa"/>
            <w:tcBorders>
              <w:top w:val="single" w:sz="6" w:space="0" w:color="BCBDBC"/>
              <w:left w:val="single" w:sz="6" w:space="0" w:color="auto"/>
              <w:bottom w:val="single" w:sz="6" w:space="0" w:color="BCBDBC"/>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Less stable retail deposits and less stable small business funding</w:t>
            </w:r>
          </w:p>
        </w:tc>
        <w:tc>
          <w:tcPr>
            <w:tcW w:w="1346" w:type="dxa"/>
            <w:tcBorders>
              <w:top w:val="single" w:sz="6" w:space="0" w:color="BCBDBC"/>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4a</w:t>
            </w:r>
          </w:p>
        </w:tc>
        <w:tc>
          <w:tcPr>
            <w:tcW w:w="5954" w:type="dxa"/>
            <w:tcBorders>
              <w:top w:val="single" w:sz="6" w:space="0" w:color="BCBDBC"/>
              <w:left w:val="single" w:sz="6" w:space="0" w:color="auto"/>
              <w:bottom w:val="single" w:sz="6" w:space="0" w:color="auto"/>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Retail term deposits and small business term funding</w:t>
            </w:r>
          </w:p>
        </w:tc>
        <w:tc>
          <w:tcPr>
            <w:tcW w:w="1346" w:type="dxa"/>
            <w:tcBorders>
              <w:top w:val="single" w:sz="6" w:space="0" w:color="BCBDBC"/>
              <w:left w:val="single" w:sz="6" w:space="0" w:color="auto"/>
              <w:bottom w:val="single" w:sz="6" w:space="0" w:color="auto"/>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5</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62513D" w:rsidRDefault="00545554" w:rsidP="00545554">
            <w:pPr>
              <w:pStyle w:val="TableText"/>
              <w:snapToGrid w:val="0"/>
              <w:ind w:left="57" w:rightChars="71" w:right="142"/>
              <w:rPr>
                <w:lang w:val="en-US" w:eastAsia="it-IT"/>
              </w:rPr>
            </w:pPr>
            <w:r w:rsidRPr="00475528">
              <w:rPr>
                <w:lang w:eastAsia="it-IT"/>
              </w:rPr>
              <w:t>Unsecured wholesale funding (other than small business funding)</w:t>
            </w:r>
            <w:r w:rsidR="00560DF8">
              <w:rPr>
                <w:lang w:eastAsia="it-IT"/>
              </w:rPr>
              <w:t>,</w:t>
            </w:r>
            <w:r w:rsidRPr="00475528">
              <w:rPr>
                <w:lang w:eastAsia="it-IT"/>
              </w:rPr>
              <w:t xml:space="preserve"> and debt securities and prescribed instruments issued by the </w:t>
            </w:r>
            <w:r>
              <w:rPr>
                <w:lang w:eastAsia="it-IT"/>
              </w:rPr>
              <w:t>AI</w:t>
            </w:r>
            <w:r w:rsidRPr="00475528">
              <w:rPr>
                <w:lang w:eastAsia="it-IT"/>
              </w:rPr>
              <w:t>, of which:</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6</w:t>
            </w:r>
          </w:p>
        </w:tc>
        <w:tc>
          <w:tcPr>
            <w:tcW w:w="5954" w:type="dxa"/>
            <w:tcBorders>
              <w:top w:val="single" w:sz="6" w:space="0" w:color="auto"/>
              <w:left w:val="single" w:sz="6" w:space="0" w:color="auto"/>
              <w:bottom w:val="single" w:sz="6" w:space="0" w:color="BCBDBC"/>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Operational deposits</w:t>
            </w:r>
          </w:p>
        </w:tc>
        <w:tc>
          <w:tcPr>
            <w:tcW w:w="1346" w:type="dxa"/>
            <w:tcBorders>
              <w:top w:val="single" w:sz="6" w:space="0" w:color="auto"/>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7</w:t>
            </w:r>
          </w:p>
        </w:tc>
        <w:tc>
          <w:tcPr>
            <w:tcW w:w="5954" w:type="dxa"/>
            <w:tcBorders>
              <w:top w:val="single" w:sz="6" w:space="0" w:color="BCBDBC"/>
              <w:left w:val="single" w:sz="6" w:space="0" w:color="auto"/>
              <w:bottom w:val="single" w:sz="6" w:space="0" w:color="BCBDBC"/>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 xml:space="preserve">Unsecured wholesale funding (other than small business funding) not covered in </w:t>
            </w:r>
            <w:r>
              <w:rPr>
                <w:i/>
                <w:lang w:eastAsia="it-IT"/>
              </w:rPr>
              <w:t>row 6</w:t>
            </w:r>
          </w:p>
        </w:tc>
        <w:tc>
          <w:tcPr>
            <w:tcW w:w="1346" w:type="dxa"/>
            <w:tcBorders>
              <w:top w:val="single" w:sz="6" w:space="0" w:color="BCBDBC"/>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8</w:t>
            </w:r>
          </w:p>
        </w:tc>
        <w:tc>
          <w:tcPr>
            <w:tcW w:w="5954" w:type="dxa"/>
            <w:tcBorders>
              <w:top w:val="single" w:sz="6" w:space="0" w:color="BCBDBC"/>
              <w:left w:val="single" w:sz="6" w:space="0" w:color="auto"/>
              <w:bottom w:val="single" w:sz="6" w:space="0" w:color="auto"/>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 xml:space="preserve">Debt securities and prescribed instruments issued by the </w:t>
            </w:r>
            <w:r>
              <w:rPr>
                <w:i/>
                <w:lang w:eastAsia="it-IT"/>
              </w:rPr>
              <w:t>AI</w:t>
            </w:r>
            <w:r w:rsidRPr="00475528">
              <w:rPr>
                <w:i/>
                <w:lang w:eastAsia="it-IT"/>
              </w:rPr>
              <w:t xml:space="preserve"> and redeemable within the LCR period</w:t>
            </w:r>
          </w:p>
        </w:tc>
        <w:tc>
          <w:tcPr>
            <w:tcW w:w="1346" w:type="dxa"/>
            <w:tcBorders>
              <w:top w:val="single" w:sz="6" w:space="0" w:color="BCBDBC"/>
              <w:left w:val="single" w:sz="6" w:space="0" w:color="auto"/>
              <w:bottom w:val="single" w:sz="6" w:space="0" w:color="auto"/>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9</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475528" w:rsidRDefault="00545554" w:rsidP="00545554">
            <w:pPr>
              <w:pStyle w:val="TableText"/>
              <w:snapToGrid w:val="0"/>
              <w:ind w:left="57" w:rightChars="71" w:right="142"/>
              <w:rPr>
                <w:lang w:eastAsia="it-IT"/>
              </w:rPr>
            </w:pPr>
            <w:r w:rsidRPr="00475528">
              <w:rPr>
                <w:lang w:eastAsia="it-IT"/>
              </w:rPr>
              <w:t>Secured funding transactions (including securities swap transactions)</w:t>
            </w:r>
          </w:p>
        </w:tc>
        <w:tc>
          <w:tcPr>
            <w:tcW w:w="1346" w:type="dxa"/>
            <w:tcBorders>
              <w:top w:val="single" w:sz="6" w:space="0" w:color="auto"/>
              <w:left w:val="single" w:sz="6" w:space="0" w:color="auto"/>
              <w:bottom w:val="single" w:sz="6" w:space="0" w:color="auto"/>
              <w:right w:val="single" w:sz="6"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10</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4D2FAD" w:rsidRDefault="00545554" w:rsidP="00545554">
            <w:pPr>
              <w:pStyle w:val="TableText"/>
              <w:snapToGrid w:val="0"/>
              <w:ind w:left="57" w:rightChars="71" w:right="142"/>
              <w:rPr>
                <w:lang w:eastAsia="it-IT"/>
              </w:rPr>
            </w:pPr>
            <w:r w:rsidRPr="00475528">
              <w:rPr>
                <w:lang w:eastAsia="it-IT"/>
              </w:rPr>
              <w:t>Additional requirements, of which:</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11</w:t>
            </w:r>
          </w:p>
        </w:tc>
        <w:tc>
          <w:tcPr>
            <w:tcW w:w="5954" w:type="dxa"/>
            <w:tcBorders>
              <w:top w:val="single" w:sz="6" w:space="0" w:color="auto"/>
              <w:left w:val="single" w:sz="6" w:space="0" w:color="auto"/>
              <w:bottom w:val="single" w:sz="6" w:space="0" w:color="BCBDBC"/>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Cash outflows arising from derivative contracts and other transactions, and additional liquidity needs arising from related collateral requirements</w:t>
            </w:r>
          </w:p>
        </w:tc>
        <w:tc>
          <w:tcPr>
            <w:tcW w:w="1346" w:type="dxa"/>
            <w:tcBorders>
              <w:top w:val="single" w:sz="6" w:space="0" w:color="auto"/>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12</w:t>
            </w:r>
          </w:p>
        </w:tc>
        <w:tc>
          <w:tcPr>
            <w:tcW w:w="5954" w:type="dxa"/>
            <w:tcBorders>
              <w:top w:val="single" w:sz="6" w:space="0" w:color="BCBDBC"/>
              <w:left w:val="single" w:sz="6" w:space="0" w:color="auto"/>
              <w:bottom w:val="single" w:sz="6" w:space="0" w:color="BCBDBC"/>
              <w:right w:val="single" w:sz="6" w:space="0" w:color="auto"/>
            </w:tcBorders>
          </w:tcPr>
          <w:p w:rsidR="00545554" w:rsidRPr="00475528" w:rsidRDefault="00545554" w:rsidP="00545554">
            <w:pPr>
              <w:pStyle w:val="TableText"/>
              <w:snapToGrid w:val="0"/>
              <w:ind w:left="284" w:rightChars="71" w:right="142"/>
              <w:rPr>
                <w:i/>
                <w:lang w:eastAsia="it-IT"/>
              </w:rPr>
            </w:pPr>
            <w:r w:rsidRPr="00475528">
              <w:rPr>
                <w:i/>
                <w:lang w:eastAsia="it-IT"/>
              </w:rPr>
              <w:t>Cash outflows arising from obligations under structured financing transactions and repayment of funding obtained from</w:t>
            </w:r>
            <w:r>
              <w:rPr>
                <w:i/>
                <w:lang w:eastAsia="it-IT"/>
              </w:rPr>
              <w:t xml:space="preserve"> </w:t>
            </w:r>
            <w:r w:rsidRPr="00475528">
              <w:rPr>
                <w:i/>
                <w:lang w:eastAsia="it-IT"/>
              </w:rPr>
              <w:t>such transactions</w:t>
            </w:r>
          </w:p>
        </w:tc>
        <w:tc>
          <w:tcPr>
            <w:tcW w:w="1346" w:type="dxa"/>
            <w:tcBorders>
              <w:top w:val="single" w:sz="6" w:space="0" w:color="BCBDBC"/>
              <w:left w:val="single" w:sz="6" w:space="0" w:color="auto"/>
              <w:bottom w:val="single" w:sz="6" w:space="0" w:color="BCBDBC"/>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BCBDBC"/>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13</w:t>
            </w:r>
          </w:p>
        </w:tc>
        <w:tc>
          <w:tcPr>
            <w:tcW w:w="5954" w:type="dxa"/>
            <w:tcBorders>
              <w:top w:val="single" w:sz="6" w:space="0" w:color="BCBDBC"/>
              <w:left w:val="single" w:sz="6" w:space="0" w:color="auto"/>
              <w:bottom w:val="single" w:sz="6" w:space="0" w:color="auto"/>
              <w:right w:val="single" w:sz="6" w:space="0" w:color="auto"/>
            </w:tcBorders>
          </w:tcPr>
          <w:p w:rsidR="00545554" w:rsidRPr="00475528" w:rsidDel="001C71B9" w:rsidRDefault="00545554" w:rsidP="00545554">
            <w:pPr>
              <w:pStyle w:val="TableText"/>
              <w:snapToGrid w:val="0"/>
              <w:ind w:left="284" w:rightChars="71" w:right="142"/>
              <w:rPr>
                <w:i/>
                <w:lang w:eastAsia="it-IT"/>
              </w:rPr>
            </w:pPr>
            <w:r w:rsidRPr="00475528">
              <w:rPr>
                <w:i/>
                <w:lang w:eastAsia="it-IT"/>
              </w:rPr>
              <w:t>Potential drawdown of undrawn committed facilities (including committed credit facilities and committed liquidity</w:t>
            </w:r>
            <w:r>
              <w:rPr>
                <w:i/>
                <w:lang w:eastAsia="it-IT"/>
              </w:rPr>
              <w:t xml:space="preserve"> </w:t>
            </w:r>
            <w:r w:rsidRPr="00475528">
              <w:rPr>
                <w:i/>
                <w:lang w:eastAsia="it-IT"/>
              </w:rPr>
              <w:t>facilities)</w:t>
            </w:r>
          </w:p>
        </w:tc>
        <w:tc>
          <w:tcPr>
            <w:tcW w:w="1346" w:type="dxa"/>
            <w:tcBorders>
              <w:top w:val="single" w:sz="6" w:space="0" w:color="BCBDBC"/>
              <w:left w:val="single" w:sz="6" w:space="0" w:color="auto"/>
              <w:bottom w:val="single" w:sz="6" w:space="0" w:color="auto"/>
              <w:right w:val="single" w:sz="6" w:space="0" w:color="auto"/>
            </w:tcBorders>
          </w:tcPr>
          <w:p w:rsidR="00545554" w:rsidRPr="0023654F" w:rsidRDefault="00545554" w:rsidP="00545554">
            <w:pPr>
              <w:pStyle w:val="TableText"/>
              <w:snapToGrid w:val="0"/>
              <w:rPr>
                <w:lang w:eastAsia="it-IT"/>
              </w:rPr>
            </w:pPr>
          </w:p>
        </w:tc>
        <w:tc>
          <w:tcPr>
            <w:tcW w:w="1347" w:type="dxa"/>
            <w:tcBorders>
              <w:top w:val="single" w:sz="6" w:space="0" w:color="BCBDBC"/>
              <w:left w:val="single" w:sz="6" w:space="0" w:color="auto"/>
              <w:bottom w:val="single" w:sz="6"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14</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62513D" w:rsidRDefault="00545554" w:rsidP="00545554">
            <w:pPr>
              <w:pStyle w:val="TableText"/>
              <w:snapToGrid w:val="0"/>
              <w:ind w:left="57" w:rightChars="71" w:right="142"/>
              <w:rPr>
                <w:lang w:val="en-US" w:eastAsia="it-IT"/>
              </w:rPr>
            </w:pPr>
            <w:r w:rsidRPr="00595C1F">
              <w:rPr>
                <w:lang w:eastAsia="it-IT"/>
              </w:rPr>
              <w:t>Contractual lending obligations (not otherwise covered in Section B) and other contractual cash outflows</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15</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62513D" w:rsidRDefault="00545554" w:rsidP="00545554">
            <w:pPr>
              <w:pStyle w:val="TableText"/>
              <w:snapToGrid w:val="0"/>
              <w:ind w:left="57" w:rightChars="71" w:right="142"/>
              <w:rPr>
                <w:lang w:val="en-US" w:eastAsia="it-IT"/>
              </w:rPr>
            </w:pPr>
            <w:r w:rsidRPr="00595C1F">
              <w:rPr>
                <w:lang w:eastAsia="it-IT"/>
              </w:rPr>
              <w:t>Other contingent funding obligations (whether contractual or non-contractual)</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16</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sidRPr="00595C1F">
              <w:rPr>
                <w:b/>
                <w:lang w:eastAsia="it-IT"/>
              </w:rPr>
              <w:t>Total Cash Outflows</w:t>
            </w:r>
          </w:p>
        </w:tc>
        <w:tc>
          <w:tcPr>
            <w:tcW w:w="1346" w:type="dxa"/>
            <w:tcBorders>
              <w:top w:val="single" w:sz="6" w:space="0" w:color="auto"/>
              <w:left w:val="single" w:sz="6" w:space="0" w:color="auto"/>
              <w:bottom w:val="single" w:sz="6" w:space="0" w:color="auto"/>
              <w:right w:val="single" w:sz="6"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6521" w:type="dxa"/>
            <w:gridSpan w:val="2"/>
            <w:tcBorders>
              <w:top w:val="single" w:sz="6" w:space="0" w:color="auto"/>
              <w:left w:val="nil"/>
              <w:bottom w:val="single" w:sz="6" w:space="0" w:color="auto"/>
              <w:right w:val="nil"/>
            </w:tcBorders>
            <w:shd w:val="clear" w:color="auto" w:fill="A6A6A6" w:themeFill="background1" w:themeFillShade="A6"/>
          </w:tcPr>
          <w:p w:rsidR="00545554" w:rsidRPr="008B2E9C" w:rsidRDefault="00545554" w:rsidP="00545554">
            <w:pPr>
              <w:pStyle w:val="TableText"/>
              <w:numPr>
                <w:ilvl w:val="0"/>
                <w:numId w:val="13"/>
              </w:numPr>
              <w:snapToGrid w:val="0"/>
              <w:ind w:rightChars="71" w:right="142"/>
              <w:rPr>
                <w:b/>
                <w:bCs/>
                <w:szCs w:val="17"/>
              </w:rPr>
            </w:pPr>
            <w:r w:rsidRPr="008B2E9C">
              <w:rPr>
                <w:b/>
                <w:szCs w:val="17"/>
                <w:lang w:eastAsia="it-IT"/>
              </w:rPr>
              <w:t>Cash Inflows</w:t>
            </w:r>
          </w:p>
        </w:tc>
        <w:tc>
          <w:tcPr>
            <w:tcW w:w="1346" w:type="dxa"/>
            <w:tcBorders>
              <w:top w:val="single" w:sz="6" w:space="0" w:color="auto"/>
              <w:left w:val="nil"/>
              <w:bottom w:val="single" w:sz="6" w:space="0" w:color="auto"/>
              <w:right w:val="nil"/>
            </w:tcBorders>
            <w:shd w:val="clear" w:color="auto" w:fill="A6A6A6" w:themeFill="background1" w:themeFillShade="A6"/>
          </w:tcPr>
          <w:p w:rsidR="00545554" w:rsidRPr="0023654F" w:rsidRDefault="00545554" w:rsidP="00545554">
            <w:pPr>
              <w:pStyle w:val="TableText"/>
              <w:snapToGrid w:val="0"/>
              <w:rPr>
                <w:lang w:eastAsia="it-IT"/>
              </w:rPr>
            </w:pPr>
          </w:p>
        </w:tc>
        <w:tc>
          <w:tcPr>
            <w:tcW w:w="1347" w:type="dxa"/>
            <w:tcBorders>
              <w:top w:val="single" w:sz="6" w:space="0" w:color="auto"/>
              <w:left w:val="nil"/>
              <w:bottom w:val="single" w:sz="6" w:space="0" w:color="auto"/>
              <w:right w:val="single" w:sz="4" w:space="0" w:color="auto"/>
            </w:tcBorders>
            <w:shd w:val="clear" w:color="auto" w:fill="A6A6A6" w:themeFill="background1" w:themeFillShade="A6"/>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auto"/>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17</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lang w:eastAsia="it-IT"/>
              </w:rPr>
            </w:pPr>
            <w:r w:rsidRPr="00595C1F">
              <w:rPr>
                <w:lang w:eastAsia="it-IT"/>
              </w:rPr>
              <w:t>Secured lending transactions (including securities swap transactions)</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18</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lang w:eastAsia="it-IT"/>
              </w:rPr>
            </w:pPr>
            <w:r w:rsidRPr="00595C1F">
              <w:rPr>
                <w:lang w:eastAsia="it-IT"/>
              </w:rPr>
              <w:t xml:space="preserve">Secured and unsecured loans (other than secured lending transactions covered in </w:t>
            </w:r>
            <w:r>
              <w:rPr>
                <w:lang w:eastAsia="it-IT"/>
              </w:rPr>
              <w:t>r</w:t>
            </w:r>
            <w:r w:rsidRPr="00595C1F">
              <w:rPr>
                <w:lang w:eastAsia="it-IT"/>
              </w:rPr>
              <w:t>ow 1</w:t>
            </w:r>
            <w:r>
              <w:rPr>
                <w:lang w:eastAsia="it-IT"/>
              </w:rPr>
              <w:t>7</w:t>
            </w:r>
            <w:r w:rsidRPr="00595C1F">
              <w:rPr>
                <w:lang w:eastAsia="it-IT"/>
              </w:rPr>
              <w:t>) and operational deposits placed at other financial institutions</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BCBDBC"/>
              <w:right w:val="single" w:sz="6" w:space="0" w:color="auto"/>
            </w:tcBorders>
          </w:tcPr>
          <w:p w:rsidR="00545554" w:rsidRPr="008B2E9C" w:rsidRDefault="00545554" w:rsidP="00545554">
            <w:pPr>
              <w:pStyle w:val="TableText"/>
              <w:snapToGrid w:val="0"/>
              <w:ind w:left="57"/>
              <w:rPr>
                <w:szCs w:val="17"/>
                <w:lang w:eastAsia="en-GB"/>
              </w:rPr>
            </w:pPr>
            <w:r w:rsidRPr="008B2E9C">
              <w:rPr>
                <w:szCs w:val="17"/>
                <w:lang w:eastAsia="en-GB"/>
              </w:rPr>
              <w:t>19</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lang w:eastAsia="it-IT"/>
              </w:rPr>
            </w:pPr>
            <w:r w:rsidRPr="00595C1F">
              <w:rPr>
                <w:lang w:eastAsia="it-IT"/>
              </w:rPr>
              <w:t>Other cash inflows</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BCBDBC"/>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lastRenderedPageBreak/>
              <w:t>20</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3B53ED" w:rsidRDefault="00545554" w:rsidP="00545554">
            <w:pPr>
              <w:pStyle w:val="TableText"/>
              <w:snapToGrid w:val="0"/>
              <w:ind w:left="57" w:rightChars="71" w:right="142"/>
              <w:rPr>
                <w:lang w:eastAsia="it-IT"/>
              </w:rPr>
            </w:pPr>
            <w:r w:rsidRPr="003D2EA7">
              <w:rPr>
                <w:b/>
                <w:lang w:eastAsia="it-IT"/>
              </w:rPr>
              <w:t>Total Cash Inflows</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6521" w:type="dxa"/>
            <w:gridSpan w:val="2"/>
            <w:tcBorders>
              <w:top w:val="single" w:sz="6" w:space="0" w:color="auto"/>
              <w:left w:val="nil"/>
              <w:bottom w:val="single" w:sz="6" w:space="0" w:color="auto"/>
              <w:right w:val="nil"/>
            </w:tcBorders>
            <w:shd w:val="clear" w:color="auto" w:fill="A6A6A6" w:themeFill="background1" w:themeFillShade="A6"/>
          </w:tcPr>
          <w:p w:rsidR="00545554" w:rsidRPr="008B2E9C" w:rsidRDefault="00545554" w:rsidP="00545554">
            <w:pPr>
              <w:pStyle w:val="TableText"/>
              <w:numPr>
                <w:ilvl w:val="0"/>
                <w:numId w:val="13"/>
              </w:numPr>
              <w:snapToGrid w:val="0"/>
              <w:ind w:rightChars="71" w:right="142"/>
              <w:rPr>
                <w:b/>
                <w:szCs w:val="17"/>
                <w:lang w:eastAsia="it-IT"/>
              </w:rPr>
            </w:pPr>
            <w:r w:rsidRPr="008B2E9C">
              <w:rPr>
                <w:b/>
                <w:szCs w:val="17"/>
                <w:lang w:eastAsia="it-IT"/>
              </w:rPr>
              <w:t>Liquidity Coverage Ratio</w:t>
            </w:r>
          </w:p>
        </w:tc>
        <w:tc>
          <w:tcPr>
            <w:tcW w:w="1346" w:type="dxa"/>
            <w:tcBorders>
              <w:top w:val="single" w:sz="6" w:space="0" w:color="auto"/>
              <w:left w:val="nil"/>
              <w:bottom w:val="single" w:sz="6" w:space="0" w:color="auto"/>
              <w:right w:val="nil"/>
            </w:tcBorders>
            <w:shd w:val="clear" w:color="auto" w:fill="A6A6A6" w:themeFill="background1" w:themeFillShade="A6"/>
          </w:tcPr>
          <w:p w:rsidR="00545554" w:rsidRPr="003B53ED" w:rsidRDefault="00545554" w:rsidP="00545554">
            <w:pPr>
              <w:pStyle w:val="TableText"/>
              <w:snapToGrid w:val="0"/>
              <w:ind w:left="57"/>
              <w:rPr>
                <w:lang w:eastAsia="it-IT"/>
              </w:rPr>
            </w:pPr>
          </w:p>
        </w:tc>
        <w:tc>
          <w:tcPr>
            <w:tcW w:w="1347" w:type="dxa"/>
            <w:tcBorders>
              <w:top w:val="single" w:sz="6" w:space="0" w:color="auto"/>
              <w:left w:val="nil"/>
              <w:bottom w:val="single" w:sz="6" w:space="0" w:color="auto"/>
              <w:right w:val="single" w:sz="6" w:space="0" w:color="auto"/>
            </w:tcBorders>
            <w:shd w:val="clear" w:color="auto" w:fill="A6A6A6" w:themeFill="background1" w:themeFillShade="A6"/>
          </w:tcPr>
          <w:p w:rsidR="00545554" w:rsidRPr="0023654F" w:rsidRDefault="00545554" w:rsidP="00545554">
            <w:pPr>
              <w:pStyle w:val="TableText"/>
              <w:snapToGrid w:val="0"/>
              <w:jc w:val="center"/>
              <w:rPr>
                <w:lang w:eastAsia="it-IT"/>
              </w:rPr>
            </w:pPr>
            <w:r w:rsidRPr="00595C1F">
              <w:rPr>
                <w:b/>
                <w:lang w:eastAsia="it-IT"/>
              </w:rPr>
              <w:t>Adjusted value</w:t>
            </w:r>
          </w:p>
        </w:tc>
      </w:tr>
      <w:tr w:rsidR="00545554" w:rsidRPr="0023654F" w:rsidTr="00545554">
        <w:trPr>
          <w:cantSplit/>
          <w:trHeight w:val="270"/>
        </w:trPr>
        <w:tc>
          <w:tcPr>
            <w:tcW w:w="567" w:type="dxa"/>
            <w:tcBorders>
              <w:top w:val="single" w:sz="6" w:space="0" w:color="auto"/>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21</w:t>
            </w:r>
          </w:p>
        </w:tc>
        <w:tc>
          <w:tcPr>
            <w:tcW w:w="5954" w:type="dxa"/>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sidRPr="00595C1F">
              <w:rPr>
                <w:b/>
                <w:lang w:eastAsia="it-IT"/>
              </w:rPr>
              <w:t>T</w:t>
            </w:r>
            <w:r>
              <w:rPr>
                <w:b/>
                <w:lang w:eastAsia="it-IT"/>
              </w:rPr>
              <w:t>otal</w:t>
            </w:r>
            <w:r w:rsidRPr="00595C1F">
              <w:rPr>
                <w:b/>
                <w:lang w:eastAsia="it-IT"/>
              </w:rPr>
              <w:t xml:space="preserve"> HQLA</w:t>
            </w:r>
          </w:p>
        </w:tc>
        <w:tc>
          <w:tcPr>
            <w:tcW w:w="1346"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567" w:type="dxa"/>
            <w:tcBorders>
              <w:top w:val="single" w:sz="6" w:space="0" w:color="auto"/>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22</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Pr>
                <w:b/>
                <w:lang w:eastAsia="it-IT"/>
              </w:rPr>
              <w:t>Total</w:t>
            </w:r>
            <w:r w:rsidRPr="00595C1F">
              <w:rPr>
                <w:b/>
                <w:lang w:eastAsia="it-IT"/>
              </w:rPr>
              <w:t xml:space="preserve"> N</w:t>
            </w:r>
            <w:r>
              <w:rPr>
                <w:b/>
                <w:lang w:eastAsia="it-IT"/>
              </w:rPr>
              <w:t>et</w:t>
            </w:r>
            <w:r w:rsidRPr="00595C1F">
              <w:rPr>
                <w:b/>
                <w:lang w:eastAsia="it-IT"/>
              </w:rPr>
              <w:t xml:space="preserve"> C</w:t>
            </w:r>
            <w:r>
              <w:rPr>
                <w:b/>
                <w:lang w:eastAsia="it-IT"/>
              </w:rPr>
              <w:t>ash</w:t>
            </w:r>
            <w:r w:rsidRPr="00595C1F">
              <w:rPr>
                <w:b/>
                <w:lang w:eastAsia="it-IT"/>
              </w:rPr>
              <w:t xml:space="preserve"> O</w:t>
            </w:r>
            <w:r>
              <w:rPr>
                <w:b/>
                <w:lang w:eastAsia="it-IT"/>
              </w:rPr>
              <w:t>utflows</w:t>
            </w:r>
          </w:p>
        </w:tc>
        <w:tc>
          <w:tcPr>
            <w:tcW w:w="1346" w:type="dxa"/>
            <w:tcBorders>
              <w:top w:val="single" w:sz="6" w:space="0" w:color="auto"/>
              <w:left w:val="single" w:sz="6" w:space="0" w:color="auto"/>
              <w:bottom w:val="single" w:sz="6" w:space="0" w:color="auto"/>
              <w:right w:val="single" w:sz="6"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23654F" w:rsidTr="00545554">
        <w:trPr>
          <w:cantSplit/>
          <w:trHeight w:val="230"/>
        </w:trPr>
        <w:tc>
          <w:tcPr>
            <w:tcW w:w="567" w:type="dxa"/>
            <w:tcBorders>
              <w:top w:val="single" w:sz="6" w:space="0" w:color="auto"/>
              <w:left w:val="nil"/>
              <w:bottom w:val="single" w:sz="6" w:space="0" w:color="auto"/>
              <w:right w:val="single" w:sz="6" w:space="0" w:color="auto"/>
            </w:tcBorders>
            <w:shd w:val="clear" w:color="auto" w:fill="F2F2F2" w:themeFill="background1" w:themeFillShade="F2"/>
          </w:tcPr>
          <w:p w:rsidR="00545554" w:rsidRPr="008B2E9C" w:rsidRDefault="00545554" w:rsidP="00545554">
            <w:pPr>
              <w:pStyle w:val="TableText"/>
              <w:snapToGrid w:val="0"/>
              <w:ind w:left="57"/>
              <w:rPr>
                <w:szCs w:val="17"/>
                <w:lang w:eastAsia="en-GB"/>
              </w:rPr>
            </w:pPr>
            <w:r w:rsidRPr="008B2E9C">
              <w:rPr>
                <w:szCs w:val="17"/>
                <w:lang w:eastAsia="en-GB"/>
              </w:rPr>
              <w:t>23</w:t>
            </w:r>
          </w:p>
        </w:tc>
        <w:tc>
          <w:tcPr>
            <w:tcW w:w="59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595C1F" w:rsidRDefault="00545554" w:rsidP="00545554">
            <w:pPr>
              <w:pStyle w:val="TableText"/>
              <w:snapToGrid w:val="0"/>
              <w:ind w:left="57" w:rightChars="71" w:right="142"/>
              <w:rPr>
                <w:b/>
                <w:lang w:eastAsia="it-IT"/>
              </w:rPr>
            </w:pPr>
            <w:r w:rsidRPr="00595C1F">
              <w:rPr>
                <w:b/>
                <w:lang w:eastAsia="it-IT"/>
              </w:rPr>
              <w:t>LCR (%)</w:t>
            </w:r>
          </w:p>
        </w:tc>
        <w:tc>
          <w:tcPr>
            <w:tcW w:w="1346" w:type="dxa"/>
            <w:tcBorders>
              <w:top w:val="single" w:sz="6" w:space="0" w:color="auto"/>
              <w:left w:val="single" w:sz="6" w:space="0" w:color="auto"/>
              <w:bottom w:val="single" w:sz="6" w:space="0" w:color="auto"/>
              <w:right w:val="single" w:sz="6"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3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45554" w:rsidRPr="0023654F" w:rsidRDefault="00545554" w:rsidP="00545554">
            <w:pPr>
              <w:pStyle w:val="TableText"/>
              <w:snapToGrid w:val="0"/>
              <w:rPr>
                <w:lang w:eastAsia="it-IT"/>
              </w:rPr>
            </w:pPr>
          </w:p>
        </w:tc>
      </w:tr>
      <w:tr w:rsidR="00545554" w:rsidRPr="00B529EF" w:rsidTr="00545554">
        <w:trPr>
          <w:cantSplit/>
          <w:trHeight w:val="230"/>
        </w:trPr>
        <w:tc>
          <w:tcPr>
            <w:tcW w:w="9214" w:type="dxa"/>
            <w:gridSpan w:val="4"/>
            <w:tcBorders>
              <w:top w:val="single" w:sz="6" w:space="0" w:color="auto"/>
              <w:left w:val="nil"/>
              <w:bottom w:val="single" w:sz="6" w:space="0" w:color="auto"/>
              <w:right w:val="single" w:sz="6" w:space="0" w:color="auto"/>
            </w:tcBorders>
            <w:shd w:val="clear" w:color="auto" w:fill="FFFFFF" w:themeFill="background1"/>
          </w:tcPr>
          <w:p w:rsidR="00545554" w:rsidRPr="008438FE" w:rsidRDefault="00545554" w:rsidP="00545554">
            <w:pPr>
              <w:pStyle w:val="TableText"/>
              <w:snapToGrid w:val="0"/>
              <w:spacing w:line="240" w:lineRule="exact"/>
              <w:rPr>
                <w:rFonts w:cs="Segoe UI"/>
                <w:i/>
                <w:szCs w:val="17"/>
                <w:lang w:eastAsia="it-IT"/>
              </w:rPr>
            </w:pPr>
            <w:r w:rsidRPr="008438FE">
              <w:rPr>
                <w:rFonts w:cs="Segoe UI"/>
                <w:i/>
                <w:szCs w:val="17"/>
                <w:lang w:eastAsia="it-IT"/>
              </w:rPr>
              <w:t>Points to note:</w:t>
            </w:r>
          </w:p>
          <w:p w:rsidR="00545554" w:rsidRPr="000672DA" w:rsidRDefault="00545554" w:rsidP="000672DA">
            <w:pPr>
              <w:pStyle w:val="ListParagraph"/>
              <w:numPr>
                <w:ilvl w:val="0"/>
                <w:numId w:val="17"/>
              </w:numPr>
              <w:autoSpaceDE w:val="0"/>
              <w:autoSpaceDN w:val="0"/>
              <w:adjustRightInd w:val="0"/>
              <w:spacing w:line="240" w:lineRule="exact"/>
              <w:ind w:leftChars="0" w:left="425" w:rightChars="71" w:right="142" w:hanging="425"/>
              <w:jc w:val="both"/>
              <w:rPr>
                <w:rFonts w:ascii="Segoe UI" w:hAnsi="Segoe UI" w:cs="Segoe UI"/>
                <w:i/>
                <w:sz w:val="17"/>
                <w:szCs w:val="17"/>
                <w:lang w:eastAsia="it-IT"/>
              </w:rPr>
            </w:pPr>
            <w:r w:rsidRPr="000672DA">
              <w:rPr>
                <w:rFonts w:ascii="Segoe UI" w:hAnsi="Segoe UI" w:cs="Segoe UI"/>
                <w:i/>
                <w:sz w:val="17"/>
                <w:szCs w:val="17"/>
                <w:lang w:eastAsia="it-IT"/>
              </w:rPr>
              <w:t xml:space="preserve">the rows </w:t>
            </w:r>
            <w:r w:rsidR="000672DA" w:rsidRPr="000672DA">
              <w:rPr>
                <w:rFonts w:ascii="Segoe UI" w:hAnsi="Segoe UI" w:cs="Segoe UI"/>
                <w:i/>
                <w:sz w:val="17"/>
                <w:szCs w:val="17"/>
                <w:lang w:eastAsia="it-IT"/>
              </w:rPr>
              <w:t>A, B, C and D</w:t>
            </w:r>
            <w:r w:rsidRPr="000672DA">
              <w:rPr>
                <w:rFonts w:ascii="Segoe UI" w:hAnsi="Segoe UI" w:cs="Segoe UI"/>
                <w:i/>
                <w:sz w:val="17"/>
                <w:szCs w:val="17"/>
                <w:lang w:eastAsia="it-IT"/>
              </w:rPr>
              <w:t xml:space="preserve"> introduce respectively the 4 sections of the Template (i.e. HQLA, cash outflows, cash inflows and LCR) and do not require any value to be input;</w:t>
            </w:r>
          </w:p>
          <w:p w:rsidR="00545554" w:rsidRPr="008438FE" w:rsidRDefault="00545554" w:rsidP="00545554">
            <w:pPr>
              <w:pStyle w:val="ListParagraph"/>
              <w:numPr>
                <w:ilvl w:val="0"/>
                <w:numId w:val="17"/>
              </w:numPr>
              <w:autoSpaceDE w:val="0"/>
              <w:autoSpaceDN w:val="0"/>
              <w:adjustRightInd w:val="0"/>
              <w:spacing w:line="240" w:lineRule="exact"/>
              <w:ind w:leftChars="0" w:left="425" w:rightChars="71" w:right="142" w:hanging="425"/>
              <w:jc w:val="both"/>
              <w:rPr>
                <w:rFonts w:ascii="Segoe UI" w:hAnsi="Segoe UI" w:cs="Segoe UI"/>
                <w:i/>
                <w:sz w:val="17"/>
                <w:szCs w:val="17"/>
                <w:lang w:eastAsia="it-IT"/>
              </w:rPr>
            </w:pPr>
            <w:r w:rsidRPr="008438FE">
              <w:rPr>
                <w:rFonts w:ascii="Segoe UI" w:hAnsi="Segoe UI" w:cs="Segoe UI"/>
                <w:i/>
                <w:sz w:val="17"/>
                <w:szCs w:val="17"/>
                <w:lang w:eastAsia="it-IT"/>
              </w:rPr>
              <w:t>the disclosure items shaded in light grey (e.g. rows 2, 5, 9, 10, 14</w:t>
            </w:r>
            <w:r w:rsidR="00560DF8">
              <w:rPr>
                <w:rFonts w:ascii="Segoe UI" w:hAnsi="Segoe UI" w:cs="Segoe UI"/>
                <w:i/>
                <w:sz w:val="17"/>
                <w:szCs w:val="17"/>
                <w:lang w:eastAsia="it-IT"/>
              </w:rPr>
              <w:t xml:space="preserve"> and</w:t>
            </w:r>
            <w:r w:rsidRPr="008438FE">
              <w:rPr>
                <w:rFonts w:ascii="Segoe UI" w:hAnsi="Segoe UI" w:cs="Segoe UI"/>
                <w:i/>
                <w:sz w:val="17"/>
                <w:szCs w:val="17"/>
                <w:lang w:eastAsia="it-IT"/>
              </w:rPr>
              <w:t xml:space="preserve"> 15 under Section B) represent the components, if any,  within the respective sections;</w:t>
            </w:r>
          </w:p>
          <w:p w:rsidR="00545554" w:rsidRPr="008438FE" w:rsidRDefault="00545554" w:rsidP="00545554">
            <w:pPr>
              <w:pStyle w:val="ListParagraph"/>
              <w:numPr>
                <w:ilvl w:val="0"/>
                <w:numId w:val="17"/>
              </w:numPr>
              <w:autoSpaceDE w:val="0"/>
              <w:autoSpaceDN w:val="0"/>
              <w:adjustRightInd w:val="0"/>
              <w:spacing w:line="240" w:lineRule="exact"/>
              <w:ind w:leftChars="0" w:left="425" w:rightChars="71" w:right="142" w:hanging="425"/>
              <w:jc w:val="both"/>
              <w:rPr>
                <w:rFonts w:ascii="Segoe UI" w:hAnsi="Segoe UI" w:cs="Segoe UI"/>
                <w:i/>
                <w:sz w:val="17"/>
                <w:szCs w:val="17"/>
                <w:lang w:eastAsia="it-IT"/>
              </w:rPr>
            </w:pPr>
            <w:r w:rsidRPr="008438FE">
              <w:rPr>
                <w:rFonts w:ascii="Segoe UI" w:hAnsi="Segoe UI" w:cs="Segoe UI"/>
                <w:i/>
                <w:sz w:val="17"/>
                <w:szCs w:val="17"/>
                <w:lang w:eastAsia="it-IT"/>
              </w:rPr>
              <w:t>the unshaded disclosure items represent sub-components within the components of cash outflows (Section B).  See explanatory note below for a more detailed explanation of the composition of such sub-components;</w:t>
            </w:r>
          </w:p>
          <w:p w:rsidR="00545554" w:rsidRPr="00B529EF" w:rsidRDefault="00545554" w:rsidP="00545554">
            <w:pPr>
              <w:pStyle w:val="ListParagraph"/>
              <w:numPr>
                <w:ilvl w:val="0"/>
                <w:numId w:val="17"/>
              </w:numPr>
              <w:autoSpaceDE w:val="0"/>
              <w:autoSpaceDN w:val="0"/>
              <w:adjustRightInd w:val="0"/>
              <w:spacing w:after="60" w:line="240" w:lineRule="exact"/>
              <w:ind w:leftChars="0" w:left="425" w:rightChars="71" w:right="142" w:hanging="425"/>
              <w:jc w:val="both"/>
              <w:rPr>
                <w:i/>
                <w:sz w:val="17"/>
                <w:szCs w:val="17"/>
                <w:lang w:eastAsia="it-IT"/>
              </w:rPr>
            </w:pPr>
            <w:r w:rsidRPr="008438FE">
              <w:rPr>
                <w:rFonts w:ascii="Segoe UI" w:hAnsi="Segoe UI" w:cs="Segoe UI"/>
                <w:i/>
                <w:sz w:val="17"/>
                <w:szCs w:val="17"/>
                <w:lang w:eastAsia="it-IT"/>
              </w:rPr>
              <w:t>no disclosure is required for items shaded in</w:t>
            </w:r>
            <w:r w:rsidRPr="008438FE" w:rsidDel="00C758DA">
              <w:rPr>
                <w:rFonts w:ascii="Segoe UI" w:hAnsi="Segoe UI" w:cs="Segoe UI"/>
                <w:i/>
                <w:sz w:val="17"/>
                <w:szCs w:val="17"/>
                <w:lang w:eastAsia="it-IT"/>
              </w:rPr>
              <w:t xml:space="preserve"> </w:t>
            </w:r>
            <w:r w:rsidRPr="008438FE">
              <w:rPr>
                <w:rFonts w:ascii="Segoe UI" w:hAnsi="Segoe UI" w:cs="Segoe UI"/>
                <w:i/>
                <w:sz w:val="17"/>
                <w:szCs w:val="17"/>
                <w:lang w:eastAsia="it-IT"/>
              </w:rPr>
              <w:t>dark grey (i.e. cells 1/a, 9/a, 16/a, 21/a, 22/a and 23/a).</w:t>
            </w: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567"/>
        <w:gridCol w:w="8647"/>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153"/>
        </w:trPr>
        <w:tc>
          <w:tcPr>
            <w:tcW w:w="9214" w:type="dxa"/>
            <w:gridSpan w:val="2"/>
            <w:shd w:val="clear" w:color="auto" w:fill="F2F2F2" w:themeFill="background1" w:themeFillShade="F2"/>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545554" w:rsidRPr="00280717" w:rsidTr="00545554">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280717">
              <w:rPr>
                <w:rFonts w:cs="Segoe UI"/>
                <w:sz w:val="17"/>
                <w:szCs w:val="17"/>
                <w:lang w:eastAsia="en-GB"/>
              </w:rPr>
              <w:t>(a)</w:t>
            </w:r>
          </w:p>
        </w:tc>
        <w:tc>
          <w:tcPr>
            <w:tcW w:w="8647" w:type="dxa"/>
          </w:tcPr>
          <w:p w:rsidR="00545554" w:rsidRDefault="00545554" w:rsidP="00545554">
            <w:pPr>
              <w:pStyle w:val="TableText"/>
              <w:keepNext/>
              <w:jc w:val="both"/>
              <w:rPr>
                <w:szCs w:val="17"/>
              </w:rPr>
            </w:pPr>
            <w:r>
              <w:rPr>
                <w:i/>
                <w:szCs w:val="17"/>
              </w:rPr>
              <w:t>Unweighted value</w:t>
            </w:r>
            <w:r w:rsidRPr="00A539ED">
              <w:rPr>
                <w:szCs w:val="17"/>
              </w:rPr>
              <w:t>:</w:t>
            </w:r>
            <w:r>
              <w:t xml:space="preserve"> </w:t>
            </w:r>
            <w:r>
              <w:rPr>
                <w:szCs w:val="17"/>
              </w:rPr>
              <w:t>I</w:t>
            </w:r>
            <w:r w:rsidRPr="00F235BB">
              <w:rPr>
                <w:szCs w:val="17"/>
              </w:rPr>
              <w:t xml:space="preserve">n relation to a disclosure item under cash outflows (Section B) and cash inflows (Section C), </w:t>
            </w:r>
            <w:r>
              <w:rPr>
                <w:szCs w:val="17"/>
              </w:rPr>
              <w:t xml:space="preserve">it </w:t>
            </w:r>
            <w:r w:rsidRPr="00F235BB">
              <w:rPr>
                <w:szCs w:val="17"/>
              </w:rPr>
              <w:t xml:space="preserve">means the outstanding balance of the item maturing or callable within 30 days. </w:t>
            </w:r>
            <w:r>
              <w:rPr>
                <w:szCs w:val="17"/>
              </w:rPr>
              <w:t xml:space="preserve"> </w:t>
            </w:r>
            <w:r w:rsidRPr="00F235BB">
              <w:rPr>
                <w:szCs w:val="17"/>
              </w:rPr>
              <w:t>Such outstanding balance is to be calculated as the principal amount of an asset, liability or off-balance sheet item included in the calculation of the LCR</w:t>
            </w:r>
            <w:r>
              <w:rPr>
                <w:szCs w:val="17"/>
              </w:rPr>
              <w:t xml:space="preserve"> </w:t>
            </w:r>
            <w:r w:rsidRPr="002C290A">
              <w:rPr>
                <w:szCs w:val="17"/>
                <w:u w:val="single"/>
              </w:rPr>
              <w:t>before</w:t>
            </w:r>
            <w:r>
              <w:rPr>
                <w:szCs w:val="17"/>
              </w:rPr>
              <w:t xml:space="preserve"> applying</w:t>
            </w:r>
            <w:r w:rsidRPr="00F235BB">
              <w:rPr>
                <w:szCs w:val="17"/>
              </w:rPr>
              <w:t xml:space="preserve"> the outflow rate(s) or inflow rate(s) applicable to them, as required under the </w:t>
            </w:r>
            <w:r>
              <w:rPr>
                <w:szCs w:val="17"/>
              </w:rPr>
              <w:t>BLR</w:t>
            </w:r>
            <w:r w:rsidRPr="00F235BB">
              <w:rPr>
                <w:szCs w:val="17"/>
              </w:rPr>
              <w:t xml:space="preserve"> (</w:t>
            </w:r>
            <w:r>
              <w:rPr>
                <w:szCs w:val="17"/>
              </w:rPr>
              <w:t>as read in conjunction with</w:t>
            </w:r>
            <w:r w:rsidRPr="00F235BB">
              <w:rPr>
                <w:szCs w:val="17"/>
              </w:rPr>
              <w:t xml:space="preserve"> </w:t>
            </w:r>
            <w:r>
              <w:rPr>
                <w:szCs w:val="17"/>
              </w:rPr>
              <w:t>the Banking (Liquidity Coverage Ratio – Calculation of To</w:t>
            </w:r>
            <w:r w:rsidRPr="0025626C">
              <w:rPr>
                <w:szCs w:val="17"/>
              </w:rPr>
              <w:t>tal Net Cash Ou</w:t>
            </w:r>
            <w:r>
              <w:rPr>
                <w:szCs w:val="17"/>
              </w:rPr>
              <w:t>tflows) Code (“the Code”</w:t>
            </w:r>
            <w:r w:rsidRPr="00F235BB">
              <w:rPr>
                <w:szCs w:val="17"/>
              </w:rPr>
              <w:t>).</w:t>
            </w:r>
            <w:r>
              <w:rPr>
                <w:szCs w:val="17"/>
              </w:rPr>
              <w:t xml:space="preserve">  </w:t>
            </w:r>
            <w:r w:rsidRPr="00F235BB">
              <w:rPr>
                <w:szCs w:val="17"/>
              </w:rPr>
              <w:t>For example, in the case of stable retail deposits and stable small business funding (“SDF”)</w:t>
            </w:r>
            <w:r>
              <w:rPr>
                <w:szCs w:val="17"/>
              </w:rPr>
              <w:t>:</w:t>
            </w:r>
          </w:p>
          <w:p w:rsidR="00545554" w:rsidRPr="0076771A" w:rsidRDefault="00545554" w:rsidP="00545554">
            <w:pPr>
              <w:pStyle w:val="TableText"/>
              <w:keepNext/>
              <w:jc w:val="both"/>
              <w:rPr>
                <w:rFonts w:cs="Segoe UI"/>
                <w:i/>
                <w:szCs w:val="17"/>
              </w:rPr>
            </w:pPr>
            <m:oMathPara>
              <m:oMath>
                <m:r>
                  <w:rPr>
                    <w:rFonts w:ascii="Cambria Math" w:hAnsi="Cambria Math" w:cs="Segoe UI"/>
                    <w:szCs w:val="17"/>
                  </w:rPr>
                  <m:t xml:space="preserve">average value of SDF in unweighted amount </m:t>
                </m:r>
                <m:r>
                  <w:rPr>
                    <w:rFonts w:ascii="Cambria Math" w:hAnsi="Cambria Math"/>
                    <w:sz w:val="14"/>
                    <w:szCs w:val="17"/>
                  </w:rPr>
                  <m:t>Q</m:t>
                </m:r>
                <m:r>
                  <w:rPr>
                    <w:rFonts w:ascii="Cambria Math" w:hAnsi="Cambria Math"/>
                    <w:sz w:val="12"/>
                    <w:szCs w:val="17"/>
                  </w:rPr>
                  <m:t>i</m:t>
                </m:r>
                <m:r>
                  <w:rPr>
                    <w:rFonts w:ascii="Cambria Math" w:hAnsi="Cambria Math" w:cs="Segoe UI"/>
                    <w:szCs w:val="17"/>
                  </w:rPr>
                  <m:t>=</m:t>
                </m:r>
                <m:d>
                  <m:dPr>
                    <m:ctrlPr>
                      <w:rPr>
                        <w:rFonts w:ascii="Cambria Math" w:hAnsi="Cambria Math" w:cs="Segoe UI"/>
                        <w:i/>
                        <w:szCs w:val="17"/>
                      </w:rPr>
                    </m:ctrlPr>
                  </m:dPr>
                  <m:e>
                    <m:func>
                      <m:funcPr>
                        <m:ctrlPr>
                          <w:rPr>
                            <w:rFonts w:ascii="Cambria Math" w:hAnsi="Cambria Math" w:cs="Segoe UI"/>
                            <w:i/>
                            <w:szCs w:val="17"/>
                          </w:rPr>
                        </m:ctrlPr>
                      </m:funcPr>
                      <m:fName>
                        <m:r>
                          <w:rPr>
                            <w:rFonts w:ascii="Cambria Math" w:hAnsi="Cambria Math" w:cs="Segoe UI"/>
                            <w:szCs w:val="17"/>
                          </w:rPr>
                          <m:t xml:space="preserve"> </m:t>
                        </m:r>
                      </m:fName>
                      <m:e>
                        <m:f>
                          <m:fPr>
                            <m:ctrlPr>
                              <w:rPr>
                                <w:rFonts w:ascii="Cambria Math" w:hAnsi="Cambria Math" w:cs="Segoe UI"/>
                                <w:i/>
                                <w:szCs w:val="17"/>
                              </w:rPr>
                            </m:ctrlPr>
                          </m:fPr>
                          <m:num>
                            <m:r>
                              <w:rPr>
                                <w:rFonts w:ascii="Cambria Math" w:eastAsia="Cambria Math" w:hAnsi="Cambria Math" w:cs="Segoe UI"/>
                                <w:szCs w:val="17"/>
                              </w:rPr>
                              <m:t>1</m:t>
                            </m:r>
                          </m:num>
                          <m:den>
                            <m:r>
                              <w:rPr>
                                <w:rFonts w:ascii="Cambria Math" w:eastAsia="Cambria Math" w:hAnsi="Cambria Math" w:cs="Segoe UI"/>
                                <w:szCs w:val="17"/>
                              </w:rPr>
                              <m:t>N</m:t>
                            </m:r>
                          </m:den>
                        </m:f>
                      </m:e>
                    </m:func>
                    <m:r>
                      <w:rPr>
                        <w:rFonts w:ascii="Cambria Math" w:hAnsi="Cambria Math" w:cs="Segoe UI"/>
                        <w:szCs w:val="17"/>
                      </w:rPr>
                      <m:t xml:space="preserve">  </m:t>
                    </m:r>
                  </m:e>
                </m:d>
                <m:nary>
                  <m:naryPr>
                    <m:chr m:val="∑"/>
                    <m:grow m:val="1"/>
                    <m:ctrlPr>
                      <w:rPr>
                        <w:rFonts w:ascii="Cambria Math" w:hAnsi="Cambria Math" w:cs="Segoe UI"/>
                        <w:i/>
                        <w:szCs w:val="17"/>
                      </w:rPr>
                    </m:ctrlPr>
                  </m:naryPr>
                  <m:sub>
                    <m:r>
                      <w:rPr>
                        <w:rFonts w:ascii="Cambria Math" w:hAnsi="Cambria Math" w:cs="Segoe UI"/>
                        <w:szCs w:val="17"/>
                      </w:rPr>
                      <m:t>n=1</m:t>
                    </m:r>
                  </m:sub>
                  <m:sup>
                    <m:r>
                      <w:rPr>
                        <w:rFonts w:ascii="Cambria Math" w:hAnsi="Cambria Math" w:cs="Segoe UI"/>
                        <w:szCs w:val="17"/>
                      </w:rPr>
                      <m:t>N</m:t>
                    </m:r>
                  </m:sup>
                  <m:e>
                    <m:r>
                      <w:rPr>
                        <w:rFonts w:ascii="Cambria Math" w:hAnsi="Cambria Math" w:cs="Segoe UI"/>
                        <w:szCs w:val="17"/>
                      </w:rPr>
                      <m:t>uSDF</m:t>
                    </m:r>
                    <m:r>
                      <w:rPr>
                        <w:rFonts w:ascii="Cambria Math" w:hAnsi="Cambria Math"/>
                        <w:sz w:val="14"/>
                        <w:szCs w:val="17"/>
                      </w:rPr>
                      <m:t>n</m:t>
                    </m:r>
                  </m:e>
                </m:nary>
              </m:oMath>
            </m:oMathPara>
          </w:p>
          <w:p w:rsidR="00545554" w:rsidRPr="00A539ED" w:rsidRDefault="00545554" w:rsidP="00545554">
            <w:pPr>
              <w:pStyle w:val="TableText"/>
              <w:keepNext/>
              <w:jc w:val="both"/>
              <w:rPr>
                <w:szCs w:val="17"/>
              </w:rPr>
            </w:pPr>
            <w:r w:rsidRPr="00F235BB">
              <w:rPr>
                <w:szCs w:val="17"/>
              </w:rPr>
              <w:t>where N is the number of data points used in calculating such value for quarter Q</w:t>
            </w:r>
            <w:r w:rsidRPr="00F235BB">
              <w:rPr>
                <w:sz w:val="14"/>
                <w:szCs w:val="17"/>
              </w:rPr>
              <w:t>i</w:t>
            </w:r>
            <w:r w:rsidRPr="00F235BB">
              <w:rPr>
                <w:szCs w:val="17"/>
              </w:rPr>
              <w:t>; and uSDF</w:t>
            </w:r>
            <w:r w:rsidRPr="00F235BB">
              <w:rPr>
                <w:sz w:val="14"/>
                <w:szCs w:val="17"/>
              </w:rPr>
              <w:t>n</w:t>
            </w:r>
            <w:r w:rsidRPr="00F235BB">
              <w:rPr>
                <w:szCs w:val="17"/>
              </w:rPr>
              <w:t xml:space="preserve"> means the unweighted amount of SDF at data point n</w:t>
            </w:r>
            <w:r>
              <w:rPr>
                <w:szCs w:val="17"/>
              </w:rPr>
              <w:t>.</w:t>
            </w:r>
          </w:p>
        </w:tc>
      </w:tr>
      <w:tr w:rsidR="00545554" w:rsidRPr="00280717" w:rsidTr="00545554">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sidRPr="00280717">
              <w:rPr>
                <w:rFonts w:cs="Segoe UI"/>
                <w:sz w:val="17"/>
                <w:szCs w:val="17"/>
                <w:lang w:eastAsia="en-GB"/>
              </w:rPr>
              <w:t>(b)</w:t>
            </w:r>
          </w:p>
        </w:tc>
        <w:tc>
          <w:tcPr>
            <w:tcW w:w="8647" w:type="dxa"/>
          </w:tcPr>
          <w:p w:rsidR="00545554" w:rsidRDefault="00545554" w:rsidP="00545554">
            <w:pPr>
              <w:pStyle w:val="TableNote"/>
              <w:spacing w:before="40" w:after="40"/>
              <w:rPr>
                <w:sz w:val="17"/>
                <w:szCs w:val="17"/>
              </w:rPr>
            </w:pPr>
            <w:r>
              <w:rPr>
                <w:i/>
                <w:sz w:val="17"/>
                <w:szCs w:val="17"/>
              </w:rPr>
              <w:t>W</w:t>
            </w:r>
            <w:r w:rsidRPr="003A2225">
              <w:rPr>
                <w:i/>
                <w:sz w:val="17"/>
                <w:szCs w:val="17"/>
              </w:rPr>
              <w:t>eighted value</w:t>
            </w:r>
            <w:r w:rsidRPr="00A539ED">
              <w:rPr>
                <w:sz w:val="17"/>
                <w:szCs w:val="17"/>
              </w:rPr>
              <w:t>:</w:t>
            </w:r>
            <w:r>
              <w:t xml:space="preserve"> </w:t>
            </w:r>
            <w:r>
              <w:rPr>
                <w:sz w:val="17"/>
                <w:szCs w:val="17"/>
              </w:rPr>
              <w:t>I</w:t>
            </w:r>
            <w:r w:rsidRPr="00F235BB">
              <w:rPr>
                <w:sz w:val="17"/>
                <w:szCs w:val="17"/>
              </w:rPr>
              <w:t xml:space="preserve">n relation to a disclosure item under cash outflows (Section B) and cash inflows (Section C), </w:t>
            </w:r>
            <w:r>
              <w:rPr>
                <w:sz w:val="17"/>
                <w:szCs w:val="17"/>
              </w:rPr>
              <w:t xml:space="preserve">it </w:t>
            </w:r>
            <w:r w:rsidRPr="00F235BB">
              <w:rPr>
                <w:sz w:val="17"/>
                <w:szCs w:val="17"/>
              </w:rPr>
              <w:t xml:space="preserve">means the amount </w:t>
            </w:r>
            <w:r w:rsidRPr="002C290A">
              <w:rPr>
                <w:sz w:val="17"/>
                <w:szCs w:val="17"/>
                <w:u w:val="single"/>
              </w:rPr>
              <w:t>after</w:t>
            </w:r>
            <w:r w:rsidRPr="00F235BB">
              <w:rPr>
                <w:sz w:val="17"/>
                <w:szCs w:val="17"/>
              </w:rPr>
              <w:t xml:space="preserve"> applying the outflow rate(s) or inflow rate(s) applicable to the item, as required under the </w:t>
            </w:r>
            <w:r>
              <w:rPr>
                <w:sz w:val="17"/>
                <w:szCs w:val="17"/>
              </w:rPr>
              <w:t>BLR</w:t>
            </w:r>
            <w:r w:rsidRPr="00F235BB">
              <w:rPr>
                <w:sz w:val="17"/>
                <w:szCs w:val="17"/>
              </w:rPr>
              <w:t xml:space="preserve"> (</w:t>
            </w:r>
            <w:r>
              <w:rPr>
                <w:sz w:val="17"/>
                <w:szCs w:val="17"/>
              </w:rPr>
              <w:t>as read in conjunction with</w:t>
            </w:r>
            <w:r w:rsidRPr="00F235BB">
              <w:rPr>
                <w:sz w:val="17"/>
                <w:szCs w:val="17"/>
              </w:rPr>
              <w:t xml:space="preserve"> the Code). </w:t>
            </w:r>
            <w:r>
              <w:rPr>
                <w:sz w:val="17"/>
                <w:szCs w:val="17"/>
              </w:rPr>
              <w:t xml:space="preserve"> </w:t>
            </w:r>
            <w:r w:rsidRPr="00F235BB">
              <w:rPr>
                <w:sz w:val="17"/>
                <w:szCs w:val="17"/>
              </w:rPr>
              <w:t>For example, in the case of SDF:</w:t>
            </w:r>
          </w:p>
          <w:p w:rsidR="00545554" w:rsidRDefault="00545554" w:rsidP="00545554">
            <w:pPr>
              <w:pStyle w:val="TableNote"/>
              <w:spacing w:before="40" w:after="40"/>
              <w:rPr>
                <w:sz w:val="17"/>
                <w:szCs w:val="17"/>
              </w:rPr>
            </w:pPr>
            <m:oMathPara>
              <m:oMath>
                <m:r>
                  <w:rPr>
                    <w:rFonts w:ascii="Cambria Math" w:hAnsi="Cambria Math" w:cs="Segoe UI"/>
                    <w:sz w:val="17"/>
                    <w:szCs w:val="17"/>
                  </w:rPr>
                  <m:t xml:space="preserve">average value of SDF in weighted amount </m:t>
                </m:r>
                <m:r>
                  <w:rPr>
                    <w:rFonts w:ascii="Cambria Math" w:hAnsi="Cambria Math"/>
                    <w:sz w:val="14"/>
                    <w:szCs w:val="17"/>
                  </w:rPr>
                  <m:t>Q</m:t>
                </m:r>
                <m:r>
                  <w:rPr>
                    <w:rFonts w:ascii="Cambria Math" w:hAnsi="Cambria Math"/>
                    <w:sz w:val="12"/>
                    <w:szCs w:val="17"/>
                  </w:rPr>
                  <m:t>i</m:t>
                </m:r>
                <m:r>
                  <m:rPr>
                    <m:sty m:val="p"/>
                  </m:rPr>
                  <w:rPr>
                    <w:rFonts w:ascii="Cambria Math" w:hAnsi="Cambria Math" w:cs="Segoe UI"/>
                    <w:sz w:val="17"/>
                    <w:szCs w:val="17"/>
                  </w:rPr>
                  <m:t>=</m:t>
                </m:r>
                <m:d>
                  <m:dPr>
                    <m:ctrlPr>
                      <w:rPr>
                        <w:rFonts w:ascii="Cambria Math" w:hAnsi="Cambria Math" w:cs="Segoe UI"/>
                        <w:sz w:val="17"/>
                        <w:szCs w:val="17"/>
                      </w:rPr>
                    </m:ctrlPr>
                  </m:dPr>
                  <m:e>
                    <m:func>
                      <m:funcPr>
                        <m:ctrlPr>
                          <w:rPr>
                            <w:rFonts w:ascii="Cambria Math" w:hAnsi="Cambria Math" w:cs="Segoe UI"/>
                            <w:sz w:val="17"/>
                            <w:szCs w:val="17"/>
                          </w:rPr>
                        </m:ctrlPr>
                      </m:funcPr>
                      <m:fName>
                        <m:r>
                          <m:rPr>
                            <m:sty m:val="p"/>
                          </m:rPr>
                          <w:rPr>
                            <w:rFonts w:ascii="Cambria Math" w:hAnsi="Cambria Math" w:cs="Segoe UI"/>
                            <w:sz w:val="17"/>
                            <w:szCs w:val="17"/>
                          </w:rPr>
                          <m:t xml:space="preserve"> </m:t>
                        </m:r>
                      </m:fName>
                      <m:e>
                        <m:f>
                          <m:fPr>
                            <m:ctrlPr>
                              <w:rPr>
                                <w:rFonts w:ascii="Cambria Math" w:hAnsi="Cambria Math" w:cs="Segoe UI"/>
                                <w:sz w:val="17"/>
                                <w:szCs w:val="17"/>
                              </w:rPr>
                            </m:ctrlPr>
                          </m:fPr>
                          <m:num>
                            <m:r>
                              <m:rPr>
                                <m:sty m:val="p"/>
                              </m:rPr>
                              <w:rPr>
                                <w:rFonts w:ascii="Cambria Math" w:eastAsia="Cambria Math" w:hAnsi="Cambria Math" w:cs="Segoe UI"/>
                                <w:sz w:val="17"/>
                                <w:szCs w:val="17"/>
                              </w:rPr>
                              <m:t>1</m:t>
                            </m:r>
                          </m:num>
                          <m:den>
                            <m:r>
                              <w:rPr>
                                <w:rFonts w:ascii="Cambria Math" w:eastAsia="Cambria Math" w:hAnsi="Cambria Math" w:cs="Segoe UI"/>
                                <w:sz w:val="17"/>
                                <w:szCs w:val="17"/>
                              </w:rPr>
                              <m:t>N</m:t>
                            </m:r>
                          </m:den>
                        </m:f>
                      </m:e>
                    </m:func>
                    <m:r>
                      <m:rPr>
                        <m:sty m:val="p"/>
                      </m:rPr>
                      <w:rPr>
                        <w:rFonts w:ascii="Cambria Math" w:hAnsi="Cambria Math" w:cs="Segoe UI"/>
                        <w:sz w:val="17"/>
                        <w:szCs w:val="17"/>
                      </w:rPr>
                      <m:t xml:space="preserve">  </m:t>
                    </m:r>
                  </m:e>
                </m:d>
                <m:nary>
                  <m:naryPr>
                    <m:chr m:val="∑"/>
                    <m:grow m:val="1"/>
                    <m:ctrlPr>
                      <w:rPr>
                        <w:rFonts w:ascii="Cambria Math" w:hAnsi="Cambria Math" w:cs="Segoe UI"/>
                        <w:sz w:val="17"/>
                        <w:szCs w:val="17"/>
                      </w:rPr>
                    </m:ctrlPr>
                  </m:naryPr>
                  <m:sub>
                    <m:r>
                      <w:rPr>
                        <w:rFonts w:ascii="Cambria Math" w:hAnsi="Cambria Math" w:cs="Segoe UI"/>
                        <w:sz w:val="17"/>
                        <w:szCs w:val="17"/>
                      </w:rPr>
                      <m:t>n</m:t>
                    </m:r>
                    <m:r>
                      <m:rPr>
                        <m:sty m:val="p"/>
                      </m:rPr>
                      <w:rPr>
                        <w:rFonts w:ascii="Cambria Math" w:hAnsi="Cambria Math" w:cs="Segoe UI"/>
                        <w:sz w:val="17"/>
                        <w:szCs w:val="17"/>
                      </w:rPr>
                      <m:t>=1</m:t>
                    </m:r>
                  </m:sub>
                  <m:sup>
                    <m:r>
                      <w:rPr>
                        <w:rFonts w:ascii="Cambria Math" w:hAnsi="Cambria Math" w:cs="Segoe UI"/>
                        <w:sz w:val="17"/>
                        <w:szCs w:val="17"/>
                      </w:rPr>
                      <m:t>N</m:t>
                    </m:r>
                  </m:sup>
                  <m:e>
                    <m:r>
                      <w:rPr>
                        <w:rFonts w:ascii="Cambria Math" w:hAnsi="Cambria Math" w:cs="Segoe UI"/>
                        <w:sz w:val="17"/>
                        <w:szCs w:val="17"/>
                      </w:rPr>
                      <m:t>wSDF</m:t>
                    </m:r>
                    <m:r>
                      <m:rPr>
                        <m:sty m:val="p"/>
                      </m:rPr>
                      <w:rPr>
                        <w:rFonts w:ascii="Cambria Math" w:hAnsi="Cambria Math"/>
                        <w:sz w:val="14"/>
                        <w:szCs w:val="17"/>
                      </w:rPr>
                      <m:t>n</m:t>
                    </m:r>
                  </m:e>
                </m:nary>
              </m:oMath>
            </m:oMathPara>
          </w:p>
          <w:p w:rsidR="00545554" w:rsidRPr="00A539ED" w:rsidRDefault="00545554" w:rsidP="00545554">
            <w:pPr>
              <w:pStyle w:val="TableNote"/>
              <w:spacing w:before="40" w:after="40"/>
              <w:rPr>
                <w:sz w:val="17"/>
                <w:szCs w:val="17"/>
              </w:rPr>
            </w:pPr>
            <w:r>
              <w:rPr>
                <w:sz w:val="17"/>
                <w:szCs w:val="17"/>
              </w:rPr>
              <w:t>where</w:t>
            </w:r>
            <w:r w:rsidRPr="00F235BB">
              <w:rPr>
                <w:sz w:val="17"/>
                <w:szCs w:val="17"/>
              </w:rPr>
              <w:t xml:space="preserve"> N is the number of data points used in calculating such value for quarter Q</w:t>
            </w:r>
            <w:r w:rsidRPr="00F235BB">
              <w:rPr>
                <w:sz w:val="14"/>
                <w:szCs w:val="17"/>
              </w:rPr>
              <w:t>i</w:t>
            </w:r>
            <w:r w:rsidRPr="00F235BB">
              <w:rPr>
                <w:sz w:val="17"/>
                <w:szCs w:val="17"/>
              </w:rPr>
              <w:t>; and wSDF</w:t>
            </w:r>
            <w:r w:rsidRPr="00F235BB">
              <w:rPr>
                <w:sz w:val="14"/>
                <w:szCs w:val="17"/>
              </w:rPr>
              <w:t>n</w:t>
            </w:r>
            <w:r w:rsidRPr="00F235BB">
              <w:rPr>
                <w:sz w:val="17"/>
                <w:szCs w:val="17"/>
              </w:rPr>
              <w:t xml:space="preserve"> means the weighted amount of SDF at data point n.</w:t>
            </w:r>
          </w:p>
        </w:tc>
      </w:tr>
      <w:tr w:rsidR="00545554" w:rsidRPr="00280717" w:rsidTr="00545554">
        <w:trPr>
          <w:trHeight w:val="373"/>
        </w:trPr>
        <w:tc>
          <w:tcPr>
            <w:tcW w:w="567" w:type="dxa"/>
          </w:tcPr>
          <w:p w:rsidR="00545554" w:rsidRPr="0044095C" w:rsidRDefault="00545554" w:rsidP="00545554">
            <w:pPr>
              <w:keepLines/>
              <w:widowControl w:val="0"/>
              <w:tabs>
                <w:tab w:val="left" w:pos="150"/>
                <w:tab w:val="left" w:pos="397"/>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(a) </w:t>
            </w:r>
            <w:r w:rsidRPr="0044095C">
              <w:rPr>
                <w:rFonts w:cs="Segoe UI"/>
                <w:sz w:val="17"/>
                <w:szCs w:val="17"/>
                <w:lang w:eastAsia="en-GB"/>
              </w:rPr>
              <w:t>&amp; (b)</w:t>
            </w:r>
          </w:p>
        </w:tc>
        <w:tc>
          <w:tcPr>
            <w:tcW w:w="8647" w:type="dxa"/>
          </w:tcPr>
          <w:p w:rsidR="00545554" w:rsidRPr="0044095C" w:rsidRDefault="00545554" w:rsidP="00545554">
            <w:pPr>
              <w:keepLines/>
              <w:widowControl w:val="0"/>
              <w:tabs>
                <w:tab w:val="left" w:pos="150"/>
                <w:tab w:val="left" w:pos="397"/>
                <w:tab w:val="left" w:pos="794"/>
                <w:tab w:val="left" w:pos="1191"/>
              </w:tabs>
              <w:spacing w:before="40" w:after="40"/>
              <w:jc w:val="both"/>
              <w:rPr>
                <w:i/>
                <w:sz w:val="17"/>
                <w:szCs w:val="17"/>
              </w:rPr>
            </w:pPr>
            <w:r w:rsidRPr="00AA6FEB">
              <w:rPr>
                <w:i/>
                <w:sz w:val="17"/>
                <w:szCs w:val="17"/>
              </w:rPr>
              <w:t>(average)</w:t>
            </w:r>
            <w:r w:rsidRPr="0044095C">
              <w:rPr>
                <w:sz w:val="17"/>
                <w:szCs w:val="17"/>
              </w:rPr>
              <w:t xml:space="preserve">: the “average value” of each disclosure item </w:t>
            </w:r>
            <w:r>
              <w:rPr>
                <w:sz w:val="17"/>
                <w:szCs w:val="17"/>
              </w:rPr>
              <w:t>should</w:t>
            </w:r>
            <w:r w:rsidRPr="0044095C">
              <w:rPr>
                <w:sz w:val="17"/>
                <w:szCs w:val="17"/>
              </w:rPr>
              <w:t xml:space="preserve"> be calculated </w:t>
            </w:r>
            <w:r>
              <w:rPr>
                <w:sz w:val="17"/>
                <w:szCs w:val="17"/>
              </w:rPr>
              <w:t xml:space="preserve">(i) </w:t>
            </w:r>
            <w:r w:rsidRPr="0044095C">
              <w:rPr>
                <w:sz w:val="17"/>
                <w:szCs w:val="17"/>
              </w:rPr>
              <w:t xml:space="preserve">based on the arithmetic mean of the item </w:t>
            </w:r>
            <w:r>
              <w:rPr>
                <w:sz w:val="17"/>
                <w:szCs w:val="17"/>
              </w:rPr>
              <w:t>(</w:t>
            </w:r>
            <w:r w:rsidRPr="005C328F">
              <w:rPr>
                <w:sz w:val="17"/>
                <w:szCs w:val="17"/>
              </w:rPr>
              <w:t>in “unweighted amount”, “weighted amount” and “adjusted value” as applicable</w:t>
            </w:r>
            <w:r>
              <w:rPr>
                <w:sz w:val="17"/>
                <w:szCs w:val="17"/>
              </w:rPr>
              <w:t xml:space="preserve">) </w:t>
            </w:r>
            <w:r w:rsidRPr="0044095C">
              <w:rPr>
                <w:sz w:val="17"/>
                <w:szCs w:val="17"/>
              </w:rPr>
              <w:t xml:space="preserve">as at the end of each working day for </w:t>
            </w:r>
            <w:r>
              <w:rPr>
                <w:sz w:val="17"/>
                <w:szCs w:val="17"/>
              </w:rPr>
              <w:t xml:space="preserve">a </w:t>
            </w:r>
            <w:r w:rsidRPr="0044095C">
              <w:rPr>
                <w:sz w:val="17"/>
                <w:szCs w:val="17"/>
              </w:rPr>
              <w:t xml:space="preserve">reporting </w:t>
            </w:r>
            <w:r>
              <w:rPr>
                <w:sz w:val="17"/>
                <w:szCs w:val="17"/>
              </w:rPr>
              <w:t xml:space="preserve">quarter; and (ii) </w:t>
            </w:r>
            <w:r w:rsidRPr="005C328F">
              <w:rPr>
                <w:sz w:val="17"/>
                <w:szCs w:val="17"/>
              </w:rPr>
              <w:t xml:space="preserve">according to the calculation methodology and instructions set out in the </w:t>
            </w:r>
            <w:r>
              <w:rPr>
                <w:sz w:val="17"/>
                <w:szCs w:val="17"/>
              </w:rPr>
              <w:t>Return of Liquidity Position (MA(BS)1E)</w:t>
            </w:r>
            <w:r w:rsidRPr="005C328F">
              <w:rPr>
                <w:sz w:val="17"/>
                <w:szCs w:val="17"/>
              </w:rPr>
              <w:t xml:space="preserve">. </w:t>
            </w:r>
            <w:r>
              <w:rPr>
                <w:sz w:val="17"/>
                <w:szCs w:val="17"/>
              </w:rPr>
              <w:t xml:space="preserve"> </w:t>
            </w:r>
            <w:r w:rsidRPr="005C328F">
              <w:rPr>
                <w:sz w:val="17"/>
                <w:szCs w:val="17"/>
              </w:rPr>
              <w:t>This recognises that the day-end positions of each disclosure item for the specified quarter cannot all be extracted or derived from the</w:t>
            </w:r>
            <w:r>
              <w:rPr>
                <w:sz w:val="17"/>
                <w:szCs w:val="17"/>
              </w:rPr>
              <w:t xml:space="preserve"> r</w:t>
            </w:r>
            <w:r w:rsidRPr="005C328F">
              <w:rPr>
                <w:sz w:val="17"/>
                <w:szCs w:val="17"/>
              </w:rPr>
              <w:t xml:space="preserve">eturn which is submitted on a monthly </w:t>
            </w:r>
            <w:r w:rsidRPr="005C328F">
              <w:rPr>
                <w:sz w:val="17"/>
                <w:szCs w:val="17"/>
              </w:rPr>
              <w:lastRenderedPageBreak/>
              <w:t>basis</w:t>
            </w:r>
            <w:r w:rsidR="00560DF8">
              <w:rPr>
                <w:sz w:val="17"/>
                <w:szCs w:val="17"/>
              </w:rPr>
              <w:t xml:space="preserve"> </w:t>
            </w:r>
            <w:r w:rsidR="00560DF8" w:rsidRPr="00DC15B0">
              <w:rPr>
                <w:sz w:val="17"/>
                <w:szCs w:val="17"/>
              </w:rPr>
              <w:t>(instead of daily)</w:t>
            </w:r>
            <w:r w:rsidRPr="00DC15B0">
              <w:rPr>
                <w:sz w:val="17"/>
                <w:szCs w:val="17"/>
              </w:rPr>
              <w:t>.</w:t>
            </w:r>
            <w:r w:rsidRPr="005C328F">
              <w:rPr>
                <w:sz w:val="17"/>
                <w:szCs w:val="17"/>
              </w:rPr>
              <w:t xml:space="preserve"> </w:t>
            </w:r>
            <w:r>
              <w:rPr>
                <w:sz w:val="17"/>
                <w:szCs w:val="17"/>
              </w:rPr>
              <w:t xml:space="preserve"> </w:t>
            </w:r>
            <w:r w:rsidRPr="005C328F">
              <w:rPr>
                <w:sz w:val="17"/>
                <w:szCs w:val="17"/>
              </w:rPr>
              <w:t xml:space="preserve">Therefore, a category 1 institution </w:t>
            </w:r>
            <w:r>
              <w:rPr>
                <w:sz w:val="17"/>
                <w:szCs w:val="17"/>
              </w:rPr>
              <w:t>should</w:t>
            </w:r>
            <w:r w:rsidRPr="005C328F">
              <w:rPr>
                <w:sz w:val="17"/>
                <w:szCs w:val="17"/>
              </w:rPr>
              <w:t xml:space="preserve"> follow the calculation methodologies and instructions specified in the </w:t>
            </w:r>
            <w:r>
              <w:rPr>
                <w:sz w:val="17"/>
                <w:szCs w:val="17"/>
              </w:rPr>
              <w:t>r</w:t>
            </w:r>
            <w:r w:rsidRPr="005C328F">
              <w:rPr>
                <w:sz w:val="17"/>
                <w:szCs w:val="17"/>
              </w:rPr>
              <w:t>eturn for the calculation of the day-end positions of each such item</w:t>
            </w:r>
            <w:r>
              <w:rPr>
                <w:sz w:val="17"/>
                <w:szCs w:val="17"/>
              </w:rPr>
              <w:t>.</w:t>
            </w:r>
          </w:p>
        </w:tc>
      </w:tr>
      <w:tr w:rsidR="00545554" w:rsidRPr="00280717" w:rsidTr="00545554">
        <w:trPr>
          <w:trHeight w:val="373"/>
        </w:trPr>
        <w:tc>
          <w:tcPr>
            <w:tcW w:w="9214" w:type="dxa"/>
            <w:gridSpan w:val="2"/>
            <w:shd w:val="clear" w:color="auto" w:fill="F2F2F2" w:themeFill="background1" w:themeFillShade="F2"/>
          </w:tcPr>
          <w:p w:rsidR="00545554" w:rsidRPr="00A539ED" w:rsidRDefault="00545554" w:rsidP="00545554">
            <w:pPr>
              <w:pStyle w:val="TableNote"/>
              <w:spacing w:before="40" w:after="40"/>
              <w:rPr>
                <w:i/>
                <w:sz w:val="17"/>
                <w:szCs w:val="17"/>
              </w:rPr>
            </w:pPr>
            <w:r>
              <w:rPr>
                <w:rFonts w:eastAsiaTheme="minorEastAsia"/>
                <w:b/>
                <w:sz w:val="17"/>
                <w:szCs w:val="17"/>
                <w:lang w:eastAsia="en-GB"/>
              </w:rPr>
              <w:lastRenderedPageBreak/>
              <w:t>Row</w:t>
            </w:r>
            <w:r w:rsidRPr="00280717">
              <w:rPr>
                <w:rFonts w:eastAsiaTheme="minorEastAsia"/>
                <w:b/>
                <w:sz w:val="17"/>
                <w:szCs w:val="17"/>
                <w:lang w:eastAsia="en-GB"/>
              </w:rPr>
              <w:t>s</w:t>
            </w:r>
            <w:r>
              <w:rPr>
                <w:rStyle w:val="FootnoteReference"/>
                <w:rFonts w:eastAsiaTheme="minorEastAsia"/>
                <w:b/>
                <w:sz w:val="17"/>
                <w:szCs w:val="17"/>
                <w:lang w:eastAsia="en-GB"/>
              </w:rPr>
              <w:footnoteReference w:id="7"/>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w:t>
            </w:r>
          </w:p>
        </w:tc>
        <w:tc>
          <w:tcPr>
            <w:tcW w:w="8647" w:type="dxa"/>
          </w:tcPr>
          <w:p w:rsidR="00545554" w:rsidRPr="00D603B5" w:rsidRDefault="00545554" w:rsidP="00545554">
            <w:pPr>
              <w:keepLines/>
              <w:widowControl w:val="0"/>
              <w:tabs>
                <w:tab w:val="left" w:pos="150"/>
                <w:tab w:val="left" w:pos="397"/>
                <w:tab w:val="left" w:pos="794"/>
                <w:tab w:val="left" w:pos="1191"/>
              </w:tabs>
              <w:spacing w:before="40" w:after="40"/>
              <w:jc w:val="both"/>
              <w:rPr>
                <w:sz w:val="17"/>
                <w:szCs w:val="17"/>
              </w:rPr>
            </w:pPr>
            <w:r w:rsidRPr="00D603B5">
              <w:rPr>
                <w:sz w:val="17"/>
                <w:szCs w:val="17"/>
              </w:rPr>
              <w:t xml:space="preserve">All HQLA that satisfy the applicable requirements under </w:t>
            </w:r>
            <w:r>
              <w:rPr>
                <w:sz w:val="17"/>
                <w:szCs w:val="17"/>
              </w:rPr>
              <w:t xml:space="preserve">BLR </w:t>
            </w:r>
            <w:r w:rsidRPr="00D603B5">
              <w:rPr>
                <w:sz w:val="17"/>
                <w:szCs w:val="17"/>
              </w:rPr>
              <w:t>rule 25, after applying any applicable haircuts but before applying any applicable ceilings</w:t>
            </w:r>
            <w:r>
              <w:rPr>
                <w:rStyle w:val="FootnoteReference"/>
                <w:sz w:val="17"/>
                <w:szCs w:val="17"/>
              </w:rPr>
              <w:footnoteReference w:id="8"/>
            </w:r>
            <w:r w:rsidRPr="00D603B5">
              <w:rPr>
                <w:sz w:val="17"/>
                <w:szCs w:val="17"/>
              </w:rPr>
              <w:t xml:space="preserve"> (as required under the </w:t>
            </w:r>
            <w:r>
              <w:rPr>
                <w:sz w:val="17"/>
                <w:szCs w:val="17"/>
              </w:rPr>
              <w:t>BLR</w:t>
            </w:r>
            <w:r w:rsidRPr="00D603B5">
              <w:rPr>
                <w:sz w:val="17"/>
                <w:szCs w:val="17"/>
              </w:rPr>
              <w:t>)</w:t>
            </w:r>
            <w:r>
              <w:rPr>
                <w:sz w:val="17"/>
                <w:szCs w:val="17"/>
              </w:rPr>
              <w:t>.</w:t>
            </w:r>
          </w:p>
          <w:p w:rsidR="00545554" w:rsidRDefault="00545554" w:rsidP="00545554">
            <w:pPr>
              <w:pStyle w:val="TableNote"/>
              <w:spacing w:before="40" w:after="40"/>
              <w:rPr>
                <w:sz w:val="17"/>
                <w:szCs w:val="17"/>
              </w:rPr>
            </w:pPr>
            <w:r w:rsidRPr="0014673B">
              <w:rPr>
                <w:sz w:val="17"/>
                <w:szCs w:val="17"/>
              </w:rPr>
              <w:t>The weighted amount</w:t>
            </w:r>
            <w:r>
              <w:rPr>
                <w:sz w:val="17"/>
                <w:szCs w:val="17"/>
              </w:rPr>
              <w:t xml:space="preserve"> of</w:t>
            </w:r>
            <w:r w:rsidRPr="0014673B">
              <w:rPr>
                <w:sz w:val="17"/>
                <w:szCs w:val="17"/>
              </w:rPr>
              <w:t xml:space="preserve"> total HQLA is to be calculated as the total principal amount of such HQLA, net of any haircuts applicable to the assets concerned (in accordance with </w:t>
            </w:r>
            <w:r w:rsidRPr="008A28F9">
              <w:rPr>
                <w:sz w:val="17"/>
                <w:szCs w:val="17"/>
              </w:rPr>
              <w:t xml:space="preserve">BLR </w:t>
            </w:r>
            <w:r w:rsidRPr="0014673B">
              <w:rPr>
                <w:sz w:val="17"/>
                <w:szCs w:val="17"/>
              </w:rPr>
              <w:t xml:space="preserve">rule 35 and, if applicable, </w:t>
            </w:r>
            <w:r w:rsidRPr="008A28F9">
              <w:rPr>
                <w:sz w:val="17"/>
                <w:szCs w:val="17"/>
              </w:rPr>
              <w:t xml:space="preserve">BLR </w:t>
            </w:r>
            <w:r w:rsidRPr="0014673B">
              <w:rPr>
                <w:sz w:val="17"/>
                <w:szCs w:val="17"/>
              </w:rPr>
              <w:t xml:space="preserve">rule 38), but before the application of the 15% ceiling on level 2B assets and the 40% ceiling on the sum of level 2A assets and level 2B assets (in accordance with </w:t>
            </w:r>
            <w:r>
              <w:rPr>
                <w:sz w:val="17"/>
                <w:szCs w:val="17"/>
              </w:rPr>
              <w:t xml:space="preserve">BLR </w:t>
            </w:r>
            <w:r w:rsidRPr="0014673B">
              <w:rPr>
                <w:sz w:val="17"/>
                <w:szCs w:val="17"/>
              </w:rPr>
              <w:t>rules 33 and 34 as applicable).</w:t>
            </w:r>
          </w:p>
          <w:p w:rsidR="00545554" w:rsidRPr="0014673B" w:rsidRDefault="00545554" w:rsidP="00545554">
            <w:pPr>
              <w:pStyle w:val="TableNote"/>
              <w:spacing w:before="40" w:after="40"/>
              <w:rPr>
                <w:sz w:val="17"/>
                <w:szCs w:val="17"/>
              </w:rPr>
            </w:pPr>
            <w:r>
              <w:rPr>
                <w:sz w:val="17"/>
                <w:szCs w:val="17"/>
              </w:rPr>
              <w:t>{</w:t>
            </w:r>
            <w:r w:rsidRPr="008669AD">
              <w:rPr>
                <w:sz w:val="17"/>
                <w:szCs w:val="17"/>
              </w:rPr>
              <w:t>Item A4 (minus item A6 if applicable)</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BE7677">
              <w:rPr>
                <w:sz w:val="17"/>
                <w:szCs w:val="17"/>
              </w:rPr>
              <w:t xml:space="preserve">Retail deposits and small business funding (as defined in </w:t>
            </w:r>
            <w:r>
              <w:rPr>
                <w:sz w:val="17"/>
                <w:szCs w:val="17"/>
              </w:rPr>
              <w:t xml:space="preserve">BLR </w:t>
            </w:r>
            <w:r w:rsidRPr="00BE7677">
              <w:rPr>
                <w:sz w:val="17"/>
                <w:szCs w:val="17"/>
              </w:rPr>
              <w:t>rule 3</w:t>
            </w:r>
            <w:r w:rsidRPr="00214DD4">
              <w:rPr>
                <w:sz w:val="17"/>
                <w:szCs w:val="17"/>
              </w:rPr>
              <w:t>9) (i.e. the sum of values in ro</w:t>
            </w:r>
            <w:r w:rsidRPr="00BE7677">
              <w:rPr>
                <w:sz w:val="17"/>
                <w:szCs w:val="17"/>
              </w:rPr>
              <w:t xml:space="preserve">ws 3 to </w:t>
            </w:r>
            <w:r>
              <w:rPr>
                <w:sz w:val="17"/>
                <w:szCs w:val="17"/>
              </w:rPr>
              <w:t>4a).</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items B1 to B4</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BE7677">
              <w:rPr>
                <w:sz w:val="17"/>
                <w:szCs w:val="17"/>
              </w:rPr>
              <w:t xml:space="preserve">Stable retail deposits (as defined in </w:t>
            </w:r>
            <w:r>
              <w:rPr>
                <w:sz w:val="17"/>
                <w:szCs w:val="17"/>
              </w:rPr>
              <w:t xml:space="preserve">BLR </w:t>
            </w:r>
            <w:r w:rsidRPr="00BE7677">
              <w:rPr>
                <w:sz w:val="17"/>
                <w:szCs w:val="17"/>
              </w:rPr>
              <w:t>rule 39) and small business funding (that is akin to stable retail deposits), calculated in accordance with</w:t>
            </w:r>
            <w:r>
              <w:rPr>
                <w:sz w:val="17"/>
                <w:szCs w:val="17"/>
              </w:rPr>
              <w:t>,</w:t>
            </w:r>
            <w:r w:rsidRPr="00BE7677">
              <w:rPr>
                <w:sz w:val="17"/>
                <w:szCs w:val="17"/>
              </w:rPr>
              <w:t xml:space="preserve"> respectively</w:t>
            </w:r>
            <w:r>
              <w:rPr>
                <w:sz w:val="17"/>
                <w:szCs w:val="17"/>
              </w:rPr>
              <w:t>,</w:t>
            </w:r>
            <w:r w:rsidRPr="00BE7677">
              <w:rPr>
                <w:sz w:val="17"/>
                <w:szCs w:val="17"/>
              </w:rPr>
              <w:t xml:space="preserve"> clauses 3 and 6 </w:t>
            </w:r>
            <w:r>
              <w:rPr>
                <w:sz w:val="17"/>
                <w:szCs w:val="17"/>
              </w:rPr>
              <w:t xml:space="preserve">of the Code. </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sub-items B1(a), B2(a), B3(a) and B4(a)</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3E1934">
              <w:rPr>
                <w:sz w:val="17"/>
                <w:szCs w:val="17"/>
              </w:rPr>
              <w:t>Less stable retail deposits (as defined in BLR rule 39) and small business funding (that is akin to less stable retail deposits), calculated in accordance with</w:t>
            </w:r>
            <w:r>
              <w:rPr>
                <w:sz w:val="17"/>
                <w:szCs w:val="17"/>
              </w:rPr>
              <w:t>,</w:t>
            </w:r>
            <w:r w:rsidRPr="003E1934">
              <w:rPr>
                <w:sz w:val="17"/>
                <w:szCs w:val="17"/>
              </w:rPr>
              <w:t xml:space="preserve"> </w:t>
            </w:r>
            <w:r>
              <w:rPr>
                <w:sz w:val="17"/>
                <w:szCs w:val="17"/>
              </w:rPr>
              <w:t>respectively,</w:t>
            </w:r>
            <w:r w:rsidRPr="003E1934">
              <w:rPr>
                <w:sz w:val="17"/>
                <w:szCs w:val="17"/>
              </w:rPr>
              <w:t xml:space="preserve"> clauses 4 and 6 of the Code</w:t>
            </w:r>
            <w:r>
              <w:rPr>
                <w:sz w:val="17"/>
                <w:szCs w:val="17"/>
              </w:rPr>
              <w:t xml:space="preserve">. </w:t>
            </w:r>
          </w:p>
          <w:p w:rsidR="00545554" w:rsidRPr="003E1934"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sub-items B1(b), B2(b), B3(b) and B4(b)</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4a</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4D12A1">
              <w:rPr>
                <w:sz w:val="17"/>
                <w:szCs w:val="17"/>
              </w:rPr>
              <w:t>Retail term deposits (as defined in BLR rule 39) and small business term funding (that is akin to retail term deposits), calculated in accordance with, respectively, clauses 5 and 6 of the Code.</w:t>
            </w:r>
            <w:r>
              <w:rPr>
                <w:sz w:val="17"/>
                <w:szCs w:val="17"/>
              </w:rPr>
              <w:t xml:space="preserve"> </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sub-items B1(c), B2(c), B3(c) and B4(c)</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4D12A1">
              <w:rPr>
                <w:sz w:val="17"/>
                <w:szCs w:val="17"/>
              </w:rPr>
              <w:t>Unsecured wholesale funding (as defined in BLR rule 39) (other than small business funding) and debt securities and presc</w:t>
            </w:r>
            <w:r w:rsidRPr="00214DD4">
              <w:rPr>
                <w:sz w:val="17"/>
                <w:szCs w:val="17"/>
              </w:rPr>
              <w:t>ribed instruments issued by the category 1 institution and redeemable within the LCR period (i.e. the sum of valu</w:t>
            </w:r>
            <w:r>
              <w:rPr>
                <w:sz w:val="17"/>
                <w:szCs w:val="17"/>
              </w:rPr>
              <w:t xml:space="preserve">es in </w:t>
            </w:r>
            <w:r w:rsidRPr="004D12A1">
              <w:rPr>
                <w:sz w:val="17"/>
                <w:szCs w:val="17"/>
              </w:rPr>
              <w:t>r</w:t>
            </w:r>
            <w:r>
              <w:rPr>
                <w:sz w:val="17"/>
                <w:szCs w:val="17"/>
              </w:rPr>
              <w:t xml:space="preserve">ows 6 to 8). </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items B5, B6 and B7</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4D12A1">
              <w:rPr>
                <w:sz w:val="17"/>
                <w:szCs w:val="17"/>
              </w:rPr>
              <w:t xml:space="preserve">Operational deposits (as defined in </w:t>
            </w:r>
            <w:r>
              <w:rPr>
                <w:sz w:val="17"/>
                <w:szCs w:val="17"/>
              </w:rPr>
              <w:t xml:space="preserve">BLR </w:t>
            </w:r>
            <w:r w:rsidRPr="004D12A1">
              <w:rPr>
                <w:sz w:val="17"/>
                <w:szCs w:val="17"/>
              </w:rPr>
              <w:t xml:space="preserve">rule 39), calculated in accordance with clause 7 and meeting the </w:t>
            </w:r>
            <w:r w:rsidRPr="004D12A1">
              <w:rPr>
                <w:sz w:val="17"/>
                <w:szCs w:val="17"/>
              </w:rPr>
              <w:lastRenderedPageBreak/>
              <w:t xml:space="preserve">qualifying criteria under clause 7(2) </w:t>
            </w:r>
            <w:r>
              <w:rPr>
                <w:sz w:val="17"/>
                <w:szCs w:val="17"/>
              </w:rPr>
              <w:t>of the Code.</w:t>
            </w:r>
          </w:p>
          <w:p w:rsidR="00545554" w:rsidRPr="001B4B35"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sub-items B5(a) and B5(b)</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7</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1B4B35">
              <w:rPr>
                <w:sz w:val="17"/>
                <w:szCs w:val="17"/>
              </w:rPr>
              <w:t>Unsecured wholesale funding (other than small business funding and operational deposits), calculated in accordance with clauses 8 and 9 of the Code.</w:t>
            </w:r>
            <w:r>
              <w:rPr>
                <w:rStyle w:val="FootnoteReference"/>
                <w:sz w:val="17"/>
                <w:szCs w:val="17"/>
              </w:rPr>
              <w:footnoteReference w:id="9"/>
            </w:r>
          </w:p>
          <w:p w:rsidR="00545554" w:rsidRPr="00BE7677" w:rsidRDefault="00545554" w:rsidP="002462DA">
            <w:pPr>
              <w:keepLines/>
              <w:widowControl w:val="0"/>
              <w:tabs>
                <w:tab w:val="left" w:pos="150"/>
                <w:tab w:val="left" w:pos="397"/>
                <w:tab w:val="left" w:pos="794"/>
                <w:tab w:val="left" w:pos="1191"/>
              </w:tabs>
              <w:spacing w:before="40" w:after="40"/>
              <w:jc w:val="both"/>
              <w:rPr>
                <w:sz w:val="17"/>
                <w:szCs w:val="17"/>
              </w:rPr>
            </w:pPr>
            <w:r>
              <w:rPr>
                <w:sz w:val="17"/>
                <w:szCs w:val="17"/>
              </w:rPr>
              <w:t>{</w:t>
            </w:r>
            <w:r w:rsidR="002462DA" w:rsidRPr="008669AD">
              <w:rPr>
                <w:sz w:val="17"/>
                <w:szCs w:val="17"/>
              </w:rPr>
              <w:t xml:space="preserve">Sum of sub-items </w:t>
            </w:r>
            <w:r w:rsidRPr="008669AD">
              <w:rPr>
                <w:sz w:val="17"/>
                <w:szCs w:val="17"/>
              </w:rPr>
              <w:t>B6(a)(i), B6(a)(ii) and B6(b)</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552C51">
              <w:rPr>
                <w:sz w:val="17"/>
                <w:szCs w:val="17"/>
              </w:rPr>
              <w:t>Debt securities and prescribed instruments (as defined in BLR rule 2(1)) issued by the category 1 institution and redeemable within the LCR period, irrespective of the type of investors holding such securities and instruments, calculated in accordance with clause 10 of the Code.</w:t>
            </w:r>
            <w:r>
              <w:rPr>
                <w:rStyle w:val="FootnoteReference"/>
                <w:sz w:val="17"/>
                <w:szCs w:val="17"/>
              </w:rPr>
              <w:footnoteReference w:id="10"/>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Item B7</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AA6FEB">
              <w:rPr>
                <w:sz w:val="17"/>
                <w:szCs w:val="17"/>
              </w:rPr>
              <w:t>Liabilities</w:t>
            </w:r>
            <w:r w:rsidRPr="00AE7E1D">
              <w:rPr>
                <w:sz w:val="17"/>
                <w:szCs w:val="17"/>
              </w:rPr>
              <w:t xml:space="preserve"> and obligations arising from secured funding transactions (including securities swap transactions) (as defined in BLR rule 39) due for settlement within the LCR period, calculated in accordance with clause 11 of the Code.</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items B8 and B9</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AA6FEB">
              <w:rPr>
                <w:sz w:val="17"/>
                <w:szCs w:val="17"/>
              </w:rPr>
              <w:t>Liabilities and obligations (and any additional liquidity requirements) arising from (</w:t>
            </w:r>
            <w:r>
              <w:rPr>
                <w:sz w:val="17"/>
                <w:szCs w:val="17"/>
              </w:rPr>
              <w:t>1</w:t>
            </w:r>
            <w:r w:rsidRPr="00AA6FEB">
              <w:rPr>
                <w:sz w:val="17"/>
                <w:szCs w:val="17"/>
              </w:rPr>
              <w:t>) derivative contracts and other transactions (and any related collateral requirements); (</w:t>
            </w:r>
            <w:r>
              <w:rPr>
                <w:sz w:val="17"/>
                <w:szCs w:val="17"/>
              </w:rPr>
              <w:t>2</w:t>
            </w:r>
            <w:r w:rsidRPr="00AA6FEB">
              <w:rPr>
                <w:sz w:val="17"/>
                <w:szCs w:val="17"/>
              </w:rPr>
              <w:t>) structured financing transactions; and (</w:t>
            </w:r>
            <w:r>
              <w:rPr>
                <w:sz w:val="17"/>
                <w:szCs w:val="17"/>
              </w:rPr>
              <w:t>3</w:t>
            </w:r>
            <w:r w:rsidRPr="00AA6FEB">
              <w:rPr>
                <w:sz w:val="17"/>
                <w:szCs w:val="17"/>
              </w:rPr>
              <w:t>) potential drawdown of undrawn committed facilities</w:t>
            </w:r>
            <w:r>
              <w:rPr>
                <w:sz w:val="17"/>
                <w:szCs w:val="17"/>
              </w:rPr>
              <w:t xml:space="preserve"> </w:t>
            </w:r>
            <w:r w:rsidRPr="00214DD4">
              <w:rPr>
                <w:sz w:val="17"/>
                <w:szCs w:val="17"/>
              </w:rPr>
              <w:t>(i.e. the sum of value</w:t>
            </w:r>
            <w:r>
              <w:rPr>
                <w:sz w:val="17"/>
                <w:szCs w:val="17"/>
              </w:rPr>
              <w:t xml:space="preserve">s in </w:t>
            </w:r>
            <w:r w:rsidRPr="00AA6FEB">
              <w:rPr>
                <w:sz w:val="17"/>
                <w:szCs w:val="17"/>
              </w:rPr>
              <w:t>r</w:t>
            </w:r>
            <w:r>
              <w:rPr>
                <w:sz w:val="17"/>
                <w:szCs w:val="17"/>
              </w:rPr>
              <w:t>ows 11 to 13).</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8669AD">
              <w:rPr>
                <w:sz w:val="17"/>
                <w:szCs w:val="17"/>
              </w:rPr>
              <w:t>Sum of items B10 to B19</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11</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38286F">
              <w:rPr>
                <w:sz w:val="17"/>
                <w:szCs w:val="17"/>
              </w:rPr>
              <w:t xml:space="preserve">Liabilities and obligations arising from derivative contracts and other transactions. </w:t>
            </w:r>
            <w:r>
              <w:rPr>
                <w:sz w:val="17"/>
                <w:szCs w:val="17"/>
              </w:rPr>
              <w:t xml:space="preserve"> </w:t>
            </w:r>
            <w:r w:rsidRPr="0038286F">
              <w:rPr>
                <w:sz w:val="17"/>
                <w:szCs w:val="17"/>
              </w:rPr>
              <w:t>These include</w:t>
            </w:r>
            <w:r>
              <w:rPr>
                <w:sz w:val="17"/>
                <w:szCs w:val="17"/>
              </w:rPr>
              <w:t>:</w:t>
            </w:r>
            <w:r w:rsidRPr="0038286F">
              <w:rPr>
                <w:sz w:val="17"/>
                <w:szCs w:val="17"/>
              </w:rPr>
              <w:t>-</w:t>
            </w:r>
          </w:p>
          <w:p w:rsidR="00545554" w:rsidRDefault="00545554" w:rsidP="00545554">
            <w:pPr>
              <w:pStyle w:val="ListParagraph"/>
              <w:keepLines/>
              <w:numPr>
                <w:ilvl w:val="0"/>
                <w:numId w:val="18"/>
              </w:numPr>
              <w:spacing w:before="40" w:after="40"/>
              <w:ind w:leftChars="0" w:left="459" w:hanging="459"/>
              <w:jc w:val="both"/>
              <w:rPr>
                <w:sz w:val="17"/>
                <w:szCs w:val="17"/>
              </w:rPr>
            </w:pPr>
            <w:r w:rsidRPr="0038286F">
              <w:rPr>
                <w:sz w:val="17"/>
                <w:szCs w:val="17"/>
              </w:rPr>
              <w:t xml:space="preserve">Contractual net cash outflows arising from derivative contracts (as defined in </w:t>
            </w:r>
            <w:r>
              <w:rPr>
                <w:sz w:val="17"/>
                <w:szCs w:val="17"/>
              </w:rPr>
              <w:t xml:space="preserve">BLR </w:t>
            </w:r>
            <w:r w:rsidRPr="0038286F">
              <w:rPr>
                <w:sz w:val="17"/>
                <w:szCs w:val="17"/>
              </w:rPr>
              <w:t>rule 39), calculated in accordance with clause 12</w:t>
            </w:r>
            <w:r>
              <w:rPr>
                <w:sz w:val="17"/>
                <w:szCs w:val="17"/>
              </w:rPr>
              <w:t xml:space="preserve"> of the Code</w:t>
            </w:r>
            <w:r w:rsidRPr="0038286F">
              <w:rPr>
                <w:sz w:val="17"/>
                <w:szCs w:val="17"/>
              </w:rPr>
              <w:t>; and</w:t>
            </w:r>
          </w:p>
          <w:p w:rsidR="00545554" w:rsidRPr="0038286F" w:rsidRDefault="00545554" w:rsidP="00545554">
            <w:pPr>
              <w:pStyle w:val="ListParagraph"/>
              <w:keepLines/>
              <w:numPr>
                <w:ilvl w:val="0"/>
                <w:numId w:val="18"/>
              </w:numPr>
              <w:spacing w:before="40" w:after="40"/>
              <w:ind w:leftChars="0" w:left="459" w:hanging="459"/>
              <w:jc w:val="both"/>
              <w:rPr>
                <w:sz w:val="17"/>
                <w:szCs w:val="17"/>
              </w:rPr>
            </w:pPr>
            <w:r w:rsidRPr="0038286F">
              <w:rPr>
                <w:sz w:val="17"/>
                <w:szCs w:val="17"/>
              </w:rPr>
              <w:t>Additional liquidity needs arising from</w:t>
            </w:r>
            <w:r>
              <w:rPr>
                <w:sz w:val="17"/>
                <w:szCs w:val="17"/>
              </w:rPr>
              <w:t>:</w:t>
            </w:r>
            <w:r w:rsidRPr="0038286F">
              <w:rPr>
                <w:sz w:val="17"/>
                <w:szCs w:val="17"/>
              </w:rPr>
              <w:t>-</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38286F">
              <w:rPr>
                <w:rFonts w:eastAsia="Times New Roman" w:cs="Times New Roman"/>
                <w:color w:val="auto"/>
                <w:sz w:val="17"/>
                <w:szCs w:val="17"/>
                <w:lang w:val="en-GB" w:eastAsia="en-US"/>
              </w:rPr>
              <w:t>derivative contracts or other transactions with material adverse event clauses, calculated in accordance with clause 13</w:t>
            </w:r>
            <w:r>
              <w:rPr>
                <w:rFonts w:eastAsia="Times New Roman" w:cs="Times New Roman"/>
                <w:color w:val="auto"/>
                <w:sz w:val="17"/>
                <w:szCs w:val="17"/>
                <w:lang w:val="en-GB" w:eastAsia="en-US"/>
              </w:rPr>
              <w:t xml:space="preserve"> of the Code</w:t>
            </w:r>
            <w:r w:rsidRPr="0038286F">
              <w:rPr>
                <w:rFonts w:eastAsia="Times New Roman" w:cs="Times New Roman"/>
                <w:color w:val="auto"/>
                <w:sz w:val="17"/>
                <w:szCs w:val="17"/>
                <w:lang w:val="en-GB" w:eastAsia="en-US"/>
              </w:rPr>
              <w:t>;</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E876D8">
              <w:rPr>
                <w:rFonts w:eastAsia="Times New Roman" w:cs="Times New Roman"/>
                <w:color w:val="auto"/>
                <w:sz w:val="17"/>
                <w:szCs w:val="17"/>
                <w:lang w:val="en-GB" w:eastAsia="en-US"/>
              </w:rPr>
              <w:t>potential loss in market value of posted collateral securing derivative contracts or other transactions, calculated in accordance with clause 14</w:t>
            </w:r>
            <w:r>
              <w:rPr>
                <w:rFonts w:eastAsia="Times New Roman" w:cs="Times New Roman"/>
                <w:color w:val="auto"/>
                <w:sz w:val="17"/>
                <w:szCs w:val="17"/>
                <w:lang w:val="en-GB" w:eastAsia="en-US"/>
              </w:rPr>
              <w:t xml:space="preserve"> of the Code</w:t>
            </w:r>
            <w:r w:rsidRPr="00E876D8">
              <w:rPr>
                <w:rFonts w:eastAsia="Times New Roman" w:cs="Times New Roman"/>
                <w:color w:val="auto"/>
                <w:sz w:val="17"/>
                <w:szCs w:val="17"/>
                <w:lang w:val="en-GB" w:eastAsia="en-US"/>
              </w:rPr>
              <w:t>;</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38286F">
              <w:rPr>
                <w:rFonts w:eastAsia="Times New Roman" w:cs="Times New Roman"/>
                <w:color w:val="auto"/>
                <w:sz w:val="17"/>
                <w:szCs w:val="17"/>
                <w:lang w:val="en-GB" w:eastAsia="en-US"/>
              </w:rPr>
              <w:t>excess non-segregated collateral callable by counterparty under derivative contracts or other transactions, calculated in accordance with clause 15</w:t>
            </w:r>
            <w:r>
              <w:rPr>
                <w:rFonts w:eastAsia="Times New Roman" w:cs="Times New Roman"/>
                <w:color w:val="auto"/>
                <w:sz w:val="17"/>
                <w:szCs w:val="17"/>
                <w:lang w:val="en-GB" w:eastAsia="en-US"/>
              </w:rPr>
              <w:t xml:space="preserve"> of the Code</w:t>
            </w:r>
            <w:r w:rsidRPr="0038286F">
              <w:rPr>
                <w:rFonts w:eastAsia="Times New Roman" w:cs="Times New Roman"/>
                <w:color w:val="auto"/>
                <w:sz w:val="17"/>
                <w:szCs w:val="17"/>
                <w:lang w:val="en-GB" w:eastAsia="en-US"/>
              </w:rPr>
              <w:t>;</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38286F">
              <w:rPr>
                <w:rFonts w:eastAsia="Times New Roman" w:cs="Times New Roman"/>
                <w:color w:val="auto"/>
                <w:sz w:val="17"/>
                <w:szCs w:val="17"/>
                <w:lang w:val="en-GB" w:eastAsia="en-US"/>
              </w:rPr>
              <w:t>collateral substitution under derivative contracts or other transactions, calculated in accordance with clause 16</w:t>
            </w:r>
            <w:r>
              <w:rPr>
                <w:rFonts w:eastAsia="Times New Roman" w:cs="Times New Roman"/>
                <w:color w:val="auto"/>
                <w:sz w:val="17"/>
                <w:szCs w:val="17"/>
                <w:lang w:val="en-GB" w:eastAsia="en-US"/>
              </w:rPr>
              <w:t xml:space="preserve"> of the Code</w:t>
            </w:r>
            <w:r w:rsidRPr="0038286F">
              <w:rPr>
                <w:rFonts w:eastAsia="Times New Roman" w:cs="Times New Roman"/>
                <w:color w:val="auto"/>
                <w:sz w:val="17"/>
                <w:szCs w:val="17"/>
                <w:lang w:val="en-GB" w:eastAsia="en-US"/>
              </w:rPr>
              <w:t>;</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38286F">
              <w:rPr>
                <w:rFonts w:eastAsia="Times New Roman" w:cs="Times New Roman"/>
                <w:color w:val="auto"/>
                <w:sz w:val="17"/>
                <w:szCs w:val="17"/>
                <w:lang w:val="en-GB" w:eastAsia="en-US"/>
              </w:rPr>
              <w:t>contractual obligations to post collateral to counterparty under derivative contracts or other transactions, calculated in accordance with clause 17</w:t>
            </w:r>
            <w:r>
              <w:rPr>
                <w:rFonts w:eastAsia="Times New Roman" w:cs="Times New Roman"/>
                <w:color w:val="auto"/>
                <w:sz w:val="17"/>
                <w:szCs w:val="17"/>
                <w:lang w:val="en-GB" w:eastAsia="en-US"/>
              </w:rPr>
              <w:t xml:space="preserve"> of the Code</w:t>
            </w:r>
            <w:r w:rsidRPr="0038286F">
              <w:rPr>
                <w:rFonts w:eastAsia="Times New Roman" w:cs="Times New Roman"/>
                <w:color w:val="auto"/>
                <w:sz w:val="17"/>
                <w:szCs w:val="17"/>
                <w:lang w:val="en-GB" w:eastAsia="en-US"/>
              </w:rPr>
              <w:t>; and</w:t>
            </w:r>
          </w:p>
          <w:p w:rsidR="00545554" w:rsidRDefault="00545554" w:rsidP="00545554">
            <w:pPr>
              <w:pStyle w:val="Default"/>
              <w:numPr>
                <w:ilvl w:val="0"/>
                <w:numId w:val="19"/>
              </w:numPr>
              <w:tabs>
                <w:tab w:val="left" w:pos="884"/>
              </w:tabs>
              <w:ind w:left="884" w:hanging="425"/>
              <w:jc w:val="both"/>
              <w:rPr>
                <w:rFonts w:eastAsia="Times New Roman" w:cs="Times New Roman"/>
                <w:color w:val="auto"/>
                <w:sz w:val="17"/>
                <w:szCs w:val="17"/>
                <w:lang w:val="en-GB" w:eastAsia="en-US"/>
              </w:rPr>
            </w:pPr>
            <w:r w:rsidRPr="0038286F">
              <w:rPr>
                <w:rFonts w:eastAsia="Times New Roman" w:cs="Times New Roman"/>
                <w:color w:val="auto"/>
                <w:sz w:val="17"/>
                <w:szCs w:val="17"/>
                <w:lang w:val="en-GB" w:eastAsia="en-US"/>
              </w:rPr>
              <w:lastRenderedPageBreak/>
              <w:t>increase in collateral needs arising from adverse changes in market value of derivative contracts or other transactions, calculated in accordance with clause 18</w:t>
            </w:r>
            <w:r>
              <w:rPr>
                <w:rFonts w:eastAsia="Times New Roman" w:cs="Times New Roman"/>
                <w:color w:val="auto"/>
                <w:sz w:val="17"/>
                <w:szCs w:val="17"/>
                <w:lang w:val="en-GB" w:eastAsia="en-US"/>
              </w:rPr>
              <w:t xml:space="preserve"> of the Code.</w:t>
            </w:r>
          </w:p>
          <w:p w:rsidR="00545554" w:rsidRPr="00E876D8" w:rsidRDefault="00545554" w:rsidP="00545554">
            <w:pPr>
              <w:pStyle w:val="Default"/>
              <w:tabs>
                <w:tab w:val="left" w:pos="884"/>
              </w:tabs>
              <w:jc w:val="both"/>
              <w:rPr>
                <w:rFonts w:eastAsia="Times New Roman" w:cs="Times New Roman"/>
                <w:color w:val="auto"/>
                <w:sz w:val="17"/>
                <w:szCs w:val="17"/>
                <w:lang w:val="en-GB" w:eastAsia="en-US"/>
              </w:rPr>
            </w:pPr>
            <w:r>
              <w:rPr>
                <w:rFonts w:eastAsia="Times New Roman" w:cs="Times New Roman"/>
                <w:color w:val="auto"/>
                <w:sz w:val="17"/>
                <w:szCs w:val="17"/>
                <w:lang w:val="en-GB" w:eastAsia="en-US"/>
              </w:rPr>
              <w:t>{</w:t>
            </w:r>
            <w:r w:rsidRPr="008669AD">
              <w:rPr>
                <w:rFonts w:eastAsia="Times New Roman" w:cs="Times New Roman"/>
                <w:color w:val="auto"/>
                <w:sz w:val="17"/>
                <w:szCs w:val="17"/>
                <w:lang w:val="en-GB" w:eastAsia="en-US"/>
              </w:rPr>
              <w:t>Sum of items B10, B11, B12, B13, B14, B15 and B16</w:t>
            </w:r>
            <w:r>
              <w:rPr>
                <w:rFonts w:eastAsia="Times New Roman" w:cs="Times New Roman"/>
                <w:color w:val="auto"/>
                <w:sz w:val="17"/>
                <w:szCs w:val="17"/>
                <w:lang w:val="en-GB" w:eastAsia="en-US"/>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12</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BE5C5B">
              <w:rPr>
                <w:sz w:val="17"/>
                <w:szCs w:val="17"/>
              </w:rPr>
              <w:t>Expected cash outflows arising from</w:t>
            </w:r>
            <w:r>
              <w:rPr>
                <w:sz w:val="17"/>
                <w:szCs w:val="17"/>
              </w:rPr>
              <w:t>:</w:t>
            </w:r>
            <w:r w:rsidRPr="00BE5C5B">
              <w:rPr>
                <w:sz w:val="17"/>
                <w:szCs w:val="17"/>
              </w:rPr>
              <w:t>-</w:t>
            </w:r>
          </w:p>
          <w:p w:rsidR="00545554" w:rsidRPr="00BE5C5B" w:rsidRDefault="00545554" w:rsidP="00545554">
            <w:pPr>
              <w:pStyle w:val="ListParagraph"/>
              <w:keepLines/>
              <w:numPr>
                <w:ilvl w:val="0"/>
                <w:numId w:val="20"/>
              </w:numPr>
              <w:spacing w:before="40" w:after="40"/>
              <w:ind w:leftChars="0" w:left="459" w:hanging="459"/>
              <w:jc w:val="both"/>
              <w:rPr>
                <w:sz w:val="17"/>
                <w:szCs w:val="17"/>
              </w:rPr>
            </w:pPr>
            <w:r w:rsidRPr="00BE5C5B">
              <w:rPr>
                <w:sz w:val="17"/>
                <w:szCs w:val="17"/>
              </w:rPr>
              <w:t>repayment of funding obtained from structured financial instruments issued by the category 1 institution and redeemable within the LCR period, calculated in accordance with clause 19</w:t>
            </w:r>
            <w:r>
              <w:rPr>
                <w:sz w:val="17"/>
                <w:szCs w:val="17"/>
              </w:rPr>
              <w:t xml:space="preserve"> of the Code</w:t>
            </w:r>
            <w:r w:rsidRPr="00BE5C5B">
              <w:rPr>
                <w:sz w:val="17"/>
                <w:szCs w:val="17"/>
              </w:rPr>
              <w:t>; and</w:t>
            </w:r>
          </w:p>
          <w:p w:rsidR="00545554" w:rsidRDefault="00545554" w:rsidP="00545554">
            <w:pPr>
              <w:pStyle w:val="ListParagraph"/>
              <w:keepLines/>
              <w:numPr>
                <w:ilvl w:val="0"/>
                <w:numId w:val="20"/>
              </w:numPr>
              <w:spacing w:before="40" w:after="40"/>
              <w:ind w:leftChars="0" w:left="459" w:hanging="459"/>
              <w:jc w:val="both"/>
              <w:rPr>
                <w:sz w:val="17"/>
                <w:szCs w:val="17"/>
              </w:rPr>
            </w:pPr>
            <w:r w:rsidRPr="00BE5C5B">
              <w:rPr>
                <w:sz w:val="17"/>
                <w:szCs w:val="17"/>
              </w:rPr>
              <w:t>obligations for repayment of maturing debt or provision of funding or assets arising from any embedded option in structured financing transaction (as defined in BLR rule 39), calculated in accordance with clause 20 of the Code.</w:t>
            </w:r>
          </w:p>
          <w:p w:rsidR="00545554" w:rsidRPr="008669AD" w:rsidRDefault="00545554" w:rsidP="00545554">
            <w:pPr>
              <w:keepLines/>
              <w:widowControl w:val="0"/>
              <w:spacing w:before="40" w:after="40"/>
              <w:jc w:val="both"/>
              <w:rPr>
                <w:sz w:val="17"/>
                <w:szCs w:val="17"/>
              </w:rPr>
            </w:pPr>
            <w:r>
              <w:rPr>
                <w:sz w:val="17"/>
                <w:szCs w:val="17"/>
              </w:rPr>
              <w:t>{</w:t>
            </w:r>
            <w:r w:rsidRPr="009D02BE">
              <w:rPr>
                <w:sz w:val="17"/>
                <w:szCs w:val="17"/>
              </w:rPr>
              <w:t>Sum of items B17 and B18</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13</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2E5759">
              <w:rPr>
                <w:sz w:val="17"/>
                <w:szCs w:val="17"/>
              </w:rPr>
              <w:t>Expected cash outflow</w:t>
            </w:r>
            <w:r>
              <w:rPr>
                <w:sz w:val="17"/>
                <w:szCs w:val="17"/>
              </w:rPr>
              <w:t>s</w:t>
            </w:r>
            <w:r w:rsidRPr="002E5759">
              <w:rPr>
                <w:sz w:val="17"/>
                <w:szCs w:val="17"/>
              </w:rPr>
              <w:t xml:space="preserve"> arising from potential drawdown of undrawn committed credit facilities and committed liquidity facilities (as defined in </w:t>
            </w:r>
            <w:r>
              <w:rPr>
                <w:sz w:val="17"/>
                <w:szCs w:val="17"/>
              </w:rPr>
              <w:t xml:space="preserve">BLR </w:t>
            </w:r>
            <w:r w:rsidRPr="002E5759">
              <w:rPr>
                <w:sz w:val="17"/>
                <w:szCs w:val="17"/>
              </w:rPr>
              <w:t xml:space="preserve">rule 39) within the LCR period, calculated in accordance with clause 21 </w:t>
            </w:r>
            <w:r>
              <w:rPr>
                <w:sz w:val="17"/>
                <w:szCs w:val="17"/>
              </w:rPr>
              <w:t xml:space="preserve">of the Code. </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Item B19</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14</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2E5759">
              <w:rPr>
                <w:sz w:val="17"/>
                <w:szCs w:val="17"/>
              </w:rPr>
              <w:t>Expected cash outflows arising from contractual lending obligations not otherwise included in Section B of the Template, calculated in accordance with clause 22 of the Code; and other contractual cash outflows (as defined in BLR rule 39), calculated in accordance with clause 24 of the Code.</w:t>
            </w:r>
            <w:r>
              <w:rPr>
                <w:sz w:val="17"/>
                <w:szCs w:val="17"/>
              </w:rPr>
              <w:t xml:space="preserve"> </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Sum of items B20 and B22</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3E0ED7">
              <w:rPr>
                <w:sz w:val="17"/>
                <w:szCs w:val="17"/>
              </w:rPr>
              <w:t>Other contingent funding obligations (as defined in BLR rule 39) (whether contractual or non-contractual), calculated in accordance with clause 23 of the Code.</w:t>
            </w:r>
          </w:p>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Item B21</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16</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3E0ED7">
              <w:rPr>
                <w:sz w:val="17"/>
                <w:szCs w:val="17"/>
              </w:rPr>
              <w:t>Total cash outflow</w:t>
            </w:r>
            <w:r w:rsidRPr="00214DD4">
              <w:rPr>
                <w:sz w:val="17"/>
                <w:szCs w:val="17"/>
              </w:rPr>
              <w:t>s (i.e. the sum of values in ro</w:t>
            </w:r>
            <w:r>
              <w:rPr>
                <w:sz w:val="17"/>
                <w:szCs w:val="17"/>
              </w:rPr>
              <w:t xml:space="preserve">ws 2, 5, 9, 10, 14 &amp; 15). </w:t>
            </w:r>
          </w:p>
          <w:p w:rsidR="00545554" w:rsidRPr="003E0ED7"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Item B23</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A66751">
              <w:rPr>
                <w:sz w:val="17"/>
                <w:szCs w:val="17"/>
              </w:rPr>
              <w:t>Expected cash inflows arising from maturing secured lending transactions (including securities swap transactions) (as defined in BLR rule 39), calculated in accordance with clause 25 of the Code.</w:t>
            </w:r>
            <w:r>
              <w:rPr>
                <w:sz w:val="17"/>
                <w:szCs w:val="17"/>
              </w:rPr>
              <w:t xml:space="preserve"> </w:t>
            </w:r>
          </w:p>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Sum of items C1, C2 and C3</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18</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A66751">
              <w:rPr>
                <w:sz w:val="17"/>
                <w:szCs w:val="17"/>
              </w:rPr>
              <w:t>Expected cash inflows arising from (</w:t>
            </w:r>
            <w:r>
              <w:rPr>
                <w:sz w:val="17"/>
                <w:szCs w:val="17"/>
              </w:rPr>
              <w:t>1</w:t>
            </w:r>
            <w:r w:rsidRPr="00A66751">
              <w:rPr>
                <w:sz w:val="17"/>
                <w:szCs w:val="17"/>
              </w:rPr>
              <w:t>) secured or unsecured loans (other than secured lending transactions) that are contractually due within the LCR period; and (</w:t>
            </w:r>
            <w:r>
              <w:rPr>
                <w:sz w:val="17"/>
                <w:szCs w:val="17"/>
              </w:rPr>
              <w:t>2</w:t>
            </w:r>
            <w:r w:rsidRPr="00A66751">
              <w:rPr>
                <w:sz w:val="17"/>
                <w:szCs w:val="17"/>
              </w:rPr>
              <w:t>) operational deposits placed at other financial institutions, calculated in accordance with, respectively, clauses 26 and 29(b) of the Code.</w:t>
            </w:r>
            <w:r>
              <w:rPr>
                <w:sz w:val="17"/>
                <w:szCs w:val="17"/>
              </w:rPr>
              <w:t xml:space="preserve"> </w:t>
            </w:r>
          </w:p>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Pr>
                <w:sz w:val="17"/>
                <w:szCs w:val="17"/>
              </w:rPr>
              <w:t>{</w:t>
            </w:r>
            <w:r w:rsidRPr="009D02BE">
              <w:rPr>
                <w:sz w:val="17"/>
                <w:szCs w:val="17"/>
              </w:rPr>
              <w:t>Sum of items C4 and C8</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19</w:t>
            </w:r>
          </w:p>
        </w:tc>
        <w:tc>
          <w:tcPr>
            <w:tcW w:w="8647"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A66751">
              <w:rPr>
                <w:sz w:val="17"/>
                <w:szCs w:val="17"/>
              </w:rPr>
              <w:t>Expected cash inflows arising from</w:t>
            </w:r>
            <w:r>
              <w:rPr>
                <w:sz w:val="17"/>
                <w:szCs w:val="17"/>
              </w:rPr>
              <w:t>:</w:t>
            </w:r>
            <w:r w:rsidRPr="00A66751">
              <w:rPr>
                <w:sz w:val="17"/>
                <w:szCs w:val="17"/>
              </w:rPr>
              <w:t>-</w:t>
            </w:r>
          </w:p>
          <w:p w:rsidR="00545554" w:rsidRPr="00A66751" w:rsidRDefault="00545554" w:rsidP="00545554">
            <w:pPr>
              <w:pStyle w:val="ListParagraph"/>
              <w:keepLines/>
              <w:numPr>
                <w:ilvl w:val="0"/>
                <w:numId w:val="21"/>
              </w:numPr>
              <w:spacing w:before="40" w:after="40"/>
              <w:ind w:leftChars="0" w:left="459" w:hanging="459"/>
              <w:jc w:val="both"/>
              <w:rPr>
                <w:sz w:val="17"/>
                <w:szCs w:val="17"/>
              </w:rPr>
            </w:pPr>
            <w:r w:rsidRPr="00A66751">
              <w:rPr>
                <w:sz w:val="17"/>
                <w:szCs w:val="17"/>
              </w:rPr>
              <w:t>release of balances (whether in money or other assets) maintained by the category 1 institution in segregated accounts in accordance with requirements for protection of customer assets, calculated in accordance with clause 27 of the Code;</w:t>
            </w:r>
          </w:p>
          <w:p w:rsidR="00545554" w:rsidRPr="00A66751" w:rsidRDefault="00545554" w:rsidP="00545554">
            <w:pPr>
              <w:pStyle w:val="ListParagraph"/>
              <w:keepLines/>
              <w:numPr>
                <w:ilvl w:val="0"/>
                <w:numId w:val="21"/>
              </w:numPr>
              <w:spacing w:before="40" w:after="40"/>
              <w:ind w:leftChars="0" w:left="459" w:hanging="459"/>
              <w:jc w:val="both"/>
              <w:rPr>
                <w:sz w:val="17"/>
                <w:szCs w:val="17"/>
              </w:rPr>
            </w:pPr>
            <w:r w:rsidRPr="00A66751">
              <w:rPr>
                <w:sz w:val="17"/>
                <w:szCs w:val="17"/>
              </w:rPr>
              <w:t xml:space="preserve">maturing securities not included by the </w:t>
            </w:r>
            <w:r w:rsidRPr="00655FEA">
              <w:rPr>
                <w:sz w:val="17"/>
                <w:szCs w:val="17"/>
              </w:rPr>
              <w:t>category 1 institution in i</w:t>
            </w:r>
            <w:r w:rsidRPr="00A66751">
              <w:rPr>
                <w:sz w:val="17"/>
                <w:szCs w:val="17"/>
              </w:rPr>
              <w:t xml:space="preserve">ts HQLA, calculated in accordance with clause 28 </w:t>
            </w:r>
            <w:r w:rsidRPr="00A66751">
              <w:rPr>
                <w:sz w:val="17"/>
                <w:szCs w:val="17"/>
              </w:rPr>
              <w:lastRenderedPageBreak/>
              <w:t>of the Code</w:t>
            </w:r>
            <w:r>
              <w:rPr>
                <w:sz w:val="17"/>
                <w:szCs w:val="17"/>
              </w:rPr>
              <w:t>;</w:t>
            </w:r>
          </w:p>
          <w:p w:rsidR="00545554" w:rsidRPr="00A66751" w:rsidRDefault="00545554" w:rsidP="00545554">
            <w:pPr>
              <w:pStyle w:val="ListParagraph"/>
              <w:keepLines/>
              <w:numPr>
                <w:ilvl w:val="0"/>
                <w:numId w:val="21"/>
              </w:numPr>
              <w:spacing w:before="40" w:after="40"/>
              <w:ind w:leftChars="0" w:left="459" w:hanging="459"/>
              <w:jc w:val="both"/>
              <w:rPr>
                <w:sz w:val="17"/>
                <w:szCs w:val="17"/>
              </w:rPr>
            </w:pPr>
            <w:r w:rsidRPr="00A66751">
              <w:rPr>
                <w:sz w:val="17"/>
                <w:szCs w:val="17"/>
              </w:rPr>
              <w:t>undrawn facilities grante</w:t>
            </w:r>
            <w:r w:rsidRPr="00655FEA">
              <w:rPr>
                <w:sz w:val="17"/>
                <w:szCs w:val="17"/>
              </w:rPr>
              <w:t>d by the category 1 institution, calculated in accordance with clause 29(a)</w:t>
            </w:r>
            <w:r w:rsidRPr="00A66751">
              <w:rPr>
                <w:sz w:val="17"/>
                <w:szCs w:val="17"/>
              </w:rPr>
              <w:t xml:space="preserve"> of the Code</w:t>
            </w:r>
            <w:r>
              <w:rPr>
                <w:sz w:val="17"/>
                <w:szCs w:val="17"/>
              </w:rPr>
              <w:t>;</w:t>
            </w:r>
          </w:p>
          <w:p w:rsidR="00545554" w:rsidRPr="00A66751" w:rsidRDefault="00545554" w:rsidP="00545554">
            <w:pPr>
              <w:pStyle w:val="ListParagraph"/>
              <w:keepLines/>
              <w:numPr>
                <w:ilvl w:val="0"/>
                <w:numId w:val="21"/>
              </w:numPr>
              <w:spacing w:before="40" w:after="40"/>
              <w:ind w:leftChars="0" w:left="459" w:hanging="459"/>
              <w:jc w:val="both"/>
              <w:rPr>
                <w:sz w:val="17"/>
                <w:szCs w:val="17"/>
              </w:rPr>
            </w:pPr>
            <w:r w:rsidRPr="00A66751">
              <w:rPr>
                <w:sz w:val="17"/>
                <w:szCs w:val="17"/>
              </w:rPr>
              <w:t>contractual net cash inflows arising from derivative contracts, calculated in accordance with clause 30 of the Code</w:t>
            </w:r>
            <w:r>
              <w:rPr>
                <w:sz w:val="17"/>
                <w:szCs w:val="17"/>
              </w:rPr>
              <w:t>; and</w:t>
            </w:r>
          </w:p>
          <w:p w:rsidR="00545554" w:rsidRDefault="00545554" w:rsidP="00545554">
            <w:pPr>
              <w:pStyle w:val="ListParagraph"/>
              <w:keepLines/>
              <w:numPr>
                <w:ilvl w:val="0"/>
                <w:numId w:val="21"/>
              </w:numPr>
              <w:spacing w:before="40" w:after="40"/>
              <w:ind w:leftChars="0" w:left="459" w:hanging="459"/>
              <w:jc w:val="both"/>
              <w:rPr>
                <w:sz w:val="17"/>
                <w:szCs w:val="17"/>
              </w:rPr>
            </w:pPr>
            <w:r w:rsidRPr="00A66751">
              <w:rPr>
                <w:sz w:val="17"/>
                <w:szCs w:val="17"/>
              </w:rPr>
              <w:t>other contractual cash inflows arising from assets, transactions or activities not otherwise covered in Section C of the Template, calculated in accordance with clause 31 of the Code.</w:t>
            </w:r>
          </w:p>
          <w:p w:rsidR="00545554" w:rsidRPr="008669AD" w:rsidRDefault="00545554" w:rsidP="00545554">
            <w:pPr>
              <w:keepLines/>
              <w:widowControl w:val="0"/>
              <w:spacing w:before="40" w:after="40"/>
              <w:jc w:val="both"/>
              <w:rPr>
                <w:sz w:val="17"/>
                <w:szCs w:val="17"/>
              </w:rPr>
            </w:pPr>
            <w:r>
              <w:rPr>
                <w:sz w:val="17"/>
                <w:szCs w:val="17"/>
              </w:rPr>
              <w:t>{</w:t>
            </w:r>
            <w:r w:rsidRPr="009D02BE">
              <w:rPr>
                <w:sz w:val="17"/>
                <w:szCs w:val="17"/>
              </w:rPr>
              <w:t>Sum of items C5, C6, C7, C9 and C10</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20</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424AA9">
              <w:rPr>
                <w:sz w:val="17"/>
                <w:szCs w:val="17"/>
              </w:rPr>
              <w:t>Total cash inflows</w:t>
            </w:r>
            <w:r>
              <w:rPr>
                <w:sz w:val="17"/>
                <w:szCs w:val="17"/>
              </w:rPr>
              <w:t xml:space="preserve"> </w:t>
            </w:r>
            <w:r w:rsidRPr="00214DD4">
              <w:rPr>
                <w:sz w:val="17"/>
                <w:szCs w:val="17"/>
              </w:rPr>
              <w:t>(i.e. the sum of value</w:t>
            </w:r>
            <w:r>
              <w:rPr>
                <w:sz w:val="17"/>
                <w:szCs w:val="17"/>
              </w:rPr>
              <w:t xml:space="preserve">s in </w:t>
            </w:r>
            <w:r w:rsidRPr="003E0ED7">
              <w:rPr>
                <w:sz w:val="17"/>
                <w:szCs w:val="17"/>
              </w:rPr>
              <w:t>r</w:t>
            </w:r>
            <w:r>
              <w:rPr>
                <w:sz w:val="17"/>
                <w:szCs w:val="17"/>
              </w:rPr>
              <w:t>ows 17 to 19).</w:t>
            </w:r>
          </w:p>
          <w:p w:rsidR="00545554" w:rsidRPr="00A539ED" w:rsidRDefault="00545554" w:rsidP="00545554">
            <w:pPr>
              <w:keepLines/>
              <w:widowControl w:val="0"/>
              <w:tabs>
                <w:tab w:val="left" w:pos="150"/>
                <w:tab w:val="left" w:pos="397"/>
                <w:tab w:val="left" w:pos="794"/>
                <w:tab w:val="left" w:pos="1191"/>
              </w:tabs>
              <w:spacing w:before="40" w:after="40"/>
              <w:jc w:val="both"/>
              <w:rPr>
                <w:i/>
                <w:sz w:val="17"/>
                <w:szCs w:val="17"/>
              </w:rPr>
            </w:pPr>
            <w:r>
              <w:rPr>
                <w:sz w:val="17"/>
                <w:szCs w:val="17"/>
              </w:rPr>
              <w:t>{</w:t>
            </w:r>
            <w:r w:rsidRPr="009D02BE">
              <w:rPr>
                <w:sz w:val="17"/>
                <w:szCs w:val="17"/>
              </w:rPr>
              <w:t>Item C11</w:t>
            </w:r>
            <w:r>
              <w:rPr>
                <w:sz w:val="17"/>
                <w:szCs w:val="17"/>
              </w:rPr>
              <w:t>}</w:t>
            </w:r>
          </w:p>
        </w:tc>
      </w:tr>
      <w:tr w:rsidR="00545554" w:rsidRPr="00280717" w:rsidTr="00545554">
        <w:trPr>
          <w:trHeight w:val="373"/>
        </w:trPr>
        <w:tc>
          <w:tcPr>
            <w:tcW w:w="567"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21</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14673B">
              <w:rPr>
                <w:i/>
                <w:sz w:val="17"/>
                <w:lang w:eastAsia="it-IT"/>
              </w:rPr>
              <w:t>Total HQLA</w:t>
            </w:r>
            <w:r>
              <w:rPr>
                <w:i/>
                <w:sz w:val="17"/>
                <w:lang w:eastAsia="it-IT"/>
              </w:rPr>
              <w:t xml:space="preserve"> (adjusted value)</w:t>
            </w:r>
            <w:r w:rsidRPr="00497BA2">
              <w:rPr>
                <w:sz w:val="17"/>
                <w:lang w:eastAsia="it-IT"/>
              </w:rPr>
              <w:t xml:space="preserve">: </w:t>
            </w:r>
            <w:r w:rsidRPr="00497BA2">
              <w:rPr>
                <w:sz w:val="17"/>
                <w:szCs w:val="17"/>
              </w:rPr>
              <w:t>the weighted amount of total HQLA (net of any haircuts applicable to the assets concerned</w:t>
            </w:r>
            <w:r>
              <w:rPr>
                <w:sz w:val="17"/>
                <w:szCs w:val="17"/>
              </w:rPr>
              <w:t xml:space="preserve"> </w:t>
            </w:r>
            <w:r w:rsidRPr="00424AA9">
              <w:rPr>
                <w:sz w:val="17"/>
                <w:szCs w:val="17"/>
              </w:rPr>
              <w:t xml:space="preserve">under </w:t>
            </w:r>
            <w:r>
              <w:rPr>
                <w:sz w:val="17"/>
                <w:szCs w:val="17"/>
              </w:rPr>
              <w:t xml:space="preserve">BLR </w:t>
            </w:r>
            <w:r w:rsidRPr="00424AA9">
              <w:rPr>
                <w:sz w:val="17"/>
                <w:szCs w:val="17"/>
              </w:rPr>
              <w:t xml:space="preserve">rule 35 and, if applicable, </w:t>
            </w:r>
            <w:r>
              <w:rPr>
                <w:sz w:val="17"/>
                <w:szCs w:val="17"/>
              </w:rPr>
              <w:t xml:space="preserve">BLR </w:t>
            </w:r>
            <w:r w:rsidRPr="00424AA9">
              <w:rPr>
                <w:sz w:val="17"/>
                <w:szCs w:val="17"/>
              </w:rPr>
              <w:t>rule 38</w:t>
            </w:r>
            <w:r w:rsidRPr="00497BA2">
              <w:rPr>
                <w:sz w:val="17"/>
                <w:szCs w:val="17"/>
              </w:rPr>
              <w:t>), after the application of the 15% ceiling on level 2B assets and the 40% ceiling on the sum of level 2A and level 2B assets</w:t>
            </w:r>
            <w:r>
              <w:rPr>
                <w:sz w:val="17"/>
                <w:szCs w:val="17"/>
              </w:rPr>
              <w:t xml:space="preserve"> </w:t>
            </w:r>
            <w:r w:rsidRPr="00424AA9">
              <w:rPr>
                <w:sz w:val="17"/>
                <w:szCs w:val="17"/>
              </w:rPr>
              <w:t xml:space="preserve">in accordance with </w:t>
            </w:r>
            <w:r>
              <w:rPr>
                <w:sz w:val="17"/>
                <w:szCs w:val="17"/>
              </w:rPr>
              <w:t xml:space="preserve">BLR </w:t>
            </w:r>
            <w:r w:rsidRPr="00424AA9">
              <w:rPr>
                <w:sz w:val="17"/>
                <w:szCs w:val="17"/>
              </w:rPr>
              <w:t>rules 33 and 34 as applicable</w:t>
            </w:r>
            <w:r>
              <w:rPr>
                <w:sz w:val="17"/>
                <w:szCs w:val="17"/>
              </w:rPr>
              <w:t>.</w:t>
            </w:r>
          </w:p>
          <w:p w:rsidR="00545554" w:rsidRPr="00A539ED" w:rsidRDefault="00545554" w:rsidP="00545554">
            <w:pPr>
              <w:pStyle w:val="TableNote"/>
              <w:spacing w:before="40" w:after="40"/>
              <w:rPr>
                <w:i/>
                <w:sz w:val="17"/>
                <w:szCs w:val="17"/>
              </w:rPr>
            </w:pPr>
            <w:r>
              <w:rPr>
                <w:sz w:val="17"/>
                <w:szCs w:val="17"/>
              </w:rPr>
              <w:t>{</w:t>
            </w:r>
            <w:r w:rsidRPr="009D02BE">
              <w:rPr>
                <w:sz w:val="17"/>
                <w:szCs w:val="17"/>
              </w:rPr>
              <w:t>Item A7</w:t>
            </w:r>
            <w:r>
              <w:rPr>
                <w:sz w:val="17"/>
                <w:szCs w:val="17"/>
              </w:rPr>
              <w:t>}</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22</w:t>
            </w:r>
          </w:p>
        </w:tc>
        <w:tc>
          <w:tcPr>
            <w:tcW w:w="8647" w:type="dxa"/>
          </w:tcPr>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497BA2">
              <w:rPr>
                <w:i/>
                <w:sz w:val="17"/>
                <w:lang w:eastAsia="it-IT"/>
              </w:rPr>
              <w:t xml:space="preserve">Total Net Cash Outflows </w:t>
            </w:r>
            <w:r>
              <w:rPr>
                <w:i/>
                <w:sz w:val="17"/>
                <w:lang w:eastAsia="it-IT"/>
              </w:rPr>
              <w:t>(adjusted value)</w:t>
            </w:r>
            <w:r w:rsidRPr="00497BA2">
              <w:rPr>
                <w:sz w:val="17"/>
                <w:lang w:eastAsia="it-IT"/>
              </w:rPr>
              <w:t xml:space="preserve">: </w:t>
            </w:r>
            <w:r w:rsidRPr="00497BA2">
              <w:rPr>
                <w:sz w:val="17"/>
                <w:szCs w:val="17"/>
              </w:rPr>
              <w:t>the adjusted value of total net cash outflows means the weighted amount of total net cash outflows (with outflow and inflow rates applied to respective cash outflow and inflow items), after the application of the 75% inflow cap</w:t>
            </w:r>
            <w:r>
              <w:rPr>
                <w:sz w:val="17"/>
                <w:szCs w:val="17"/>
              </w:rPr>
              <w:t xml:space="preserve"> as</w:t>
            </w:r>
            <w:r w:rsidRPr="00497BA2">
              <w:rPr>
                <w:sz w:val="17"/>
                <w:szCs w:val="17"/>
              </w:rPr>
              <w:t xml:space="preserve"> applicable</w:t>
            </w:r>
            <w:r>
              <w:rPr>
                <w:sz w:val="17"/>
                <w:szCs w:val="17"/>
              </w:rPr>
              <w:t xml:space="preserve"> </w:t>
            </w:r>
            <w:r w:rsidRPr="0097113A">
              <w:rPr>
                <w:sz w:val="17"/>
                <w:szCs w:val="17"/>
              </w:rPr>
              <w:t xml:space="preserve">in accordance with </w:t>
            </w:r>
            <w:r>
              <w:rPr>
                <w:sz w:val="17"/>
                <w:szCs w:val="17"/>
              </w:rPr>
              <w:t xml:space="preserve">BLR </w:t>
            </w:r>
            <w:r w:rsidRPr="0097113A">
              <w:rPr>
                <w:sz w:val="17"/>
                <w:szCs w:val="17"/>
              </w:rPr>
              <w:t>rule 40</w:t>
            </w:r>
            <w:r>
              <w:rPr>
                <w:rStyle w:val="FootnoteReference"/>
                <w:sz w:val="17"/>
                <w:szCs w:val="17"/>
              </w:rPr>
              <w:footnoteReference w:id="11"/>
            </w:r>
            <w:r w:rsidRPr="0097113A">
              <w:rPr>
                <w:sz w:val="17"/>
                <w:szCs w:val="17"/>
              </w:rPr>
              <w:t xml:space="preserve"> </w:t>
            </w:r>
            <w:r w:rsidRPr="00497BA2">
              <w:rPr>
                <w:sz w:val="17"/>
                <w:szCs w:val="17"/>
              </w:rPr>
              <w:t>(</w:t>
            </w:r>
            <w:r>
              <w:rPr>
                <w:sz w:val="17"/>
                <w:szCs w:val="17"/>
              </w:rPr>
              <w:t>as read in conjunction with</w:t>
            </w:r>
            <w:r w:rsidRPr="00497BA2">
              <w:rPr>
                <w:sz w:val="17"/>
                <w:szCs w:val="17"/>
              </w:rPr>
              <w:t xml:space="preserve"> the Code).</w:t>
            </w:r>
            <w:r>
              <w:rPr>
                <w:sz w:val="17"/>
                <w:szCs w:val="17"/>
              </w:rPr>
              <w:t xml:space="preserve"> </w:t>
            </w:r>
          </w:p>
          <w:p w:rsidR="00545554" w:rsidRPr="00A539ED" w:rsidRDefault="00545554" w:rsidP="00545554">
            <w:pPr>
              <w:pStyle w:val="TableNote"/>
              <w:spacing w:before="40" w:after="40"/>
              <w:rPr>
                <w:i/>
                <w:sz w:val="17"/>
                <w:szCs w:val="17"/>
              </w:rPr>
            </w:pPr>
            <w:r>
              <w:rPr>
                <w:sz w:val="17"/>
                <w:szCs w:val="17"/>
              </w:rPr>
              <w:t>{</w:t>
            </w:r>
            <w:r w:rsidRPr="009D02BE">
              <w:rPr>
                <w:sz w:val="17"/>
                <w:szCs w:val="17"/>
              </w:rPr>
              <w:t>Item B23 minus item C12</w:t>
            </w:r>
            <w:r>
              <w:rPr>
                <w:sz w:val="17"/>
                <w:szCs w:val="17"/>
              </w:rPr>
              <w:t>}</w:t>
            </w:r>
          </w:p>
        </w:tc>
      </w:tr>
      <w:tr w:rsidR="00545554" w:rsidRPr="00280717" w:rsidTr="00545554">
        <w:trPr>
          <w:trHeight w:val="373"/>
        </w:trPr>
        <w:tc>
          <w:tcPr>
            <w:tcW w:w="567"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23</w:t>
            </w:r>
          </w:p>
        </w:tc>
        <w:tc>
          <w:tcPr>
            <w:tcW w:w="8647" w:type="dxa"/>
          </w:tcPr>
          <w:p w:rsidR="00545554" w:rsidRDefault="00545554" w:rsidP="00545554">
            <w:pPr>
              <w:pStyle w:val="TableNote"/>
              <w:spacing w:before="40" w:after="40"/>
              <w:rPr>
                <w:sz w:val="17"/>
                <w:szCs w:val="17"/>
              </w:rPr>
            </w:pPr>
            <w:r w:rsidRPr="00F9152E">
              <w:rPr>
                <w:i/>
                <w:sz w:val="17"/>
                <w:szCs w:val="17"/>
              </w:rPr>
              <w:t>LCR (%)</w:t>
            </w:r>
            <w:r>
              <w:rPr>
                <w:sz w:val="17"/>
                <w:szCs w:val="17"/>
              </w:rPr>
              <w:t xml:space="preserve">: </w:t>
            </w:r>
            <w:r w:rsidRPr="00F9152E">
              <w:rPr>
                <w:sz w:val="17"/>
                <w:szCs w:val="17"/>
              </w:rPr>
              <w:t xml:space="preserve">the calculation of the “average value” of its LCR </w:t>
            </w:r>
            <w:r>
              <w:rPr>
                <w:sz w:val="17"/>
                <w:szCs w:val="17"/>
              </w:rPr>
              <w:t>in this row should be</w:t>
            </w:r>
            <w:r w:rsidRPr="00F9152E">
              <w:rPr>
                <w:sz w:val="17"/>
                <w:szCs w:val="17"/>
              </w:rPr>
              <w:t xml:space="preserve"> based on the arithmetic mean of the LCR as at the end of each working day during the quarter. </w:t>
            </w:r>
            <w:r>
              <w:rPr>
                <w:sz w:val="17"/>
                <w:szCs w:val="17"/>
              </w:rPr>
              <w:t xml:space="preserve"> </w:t>
            </w:r>
            <w:r w:rsidRPr="00F9152E">
              <w:rPr>
                <w:sz w:val="17"/>
                <w:szCs w:val="17"/>
              </w:rPr>
              <w:t xml:space="preserve">Accordingly, the average value of the </w:t>
            </w:r>
            <w:r>
              <w:rPr>
                <w:sz w:val="17"/>
                <w:szCs w:val="17"/>
              </w:rPr>
              <w:t>AI</w:t>
            </w:r>
            <w:r w:rsidRPr="00F9152E">
              <w:rPr>
                <w:sz w:val="17"/>
                <w:szCs w:val="17"/>
              </w:rPr>
              <w:t>’s LCR for quarter Q</w:t>
            </w:r>
            <w:r w:rsidRPr="00F9152E">
              <w:rPr>
                <w:sz w:val="14"/>
                <w:szCs w:val="17"/>
              </w:rPr>
              <w:t>i</w:t>
            </w:r>
            <w:r>
              <w:rPr>
                <w:sz w:val="17"/>
                <w:szCs w:val="17"/>
              </w:rPr>
              <w:t xml:space="preserve"> should be calculated as:</w:t>
            </w:r>
          </w:p>
          <w:p w:rsidR="00545554" w:rsidRDefault="00545554" w:rsidP="00545554">
            <w:pPr>
              <w:widowControl w:val="0"/>
              <w:autoSpaceDE w:val="0"/>
              <w:autoSpaceDN w:val="0"/>
              <w:adjustRightInd w:val="0"/>
              <w:rPr>
                <w:sz w:val="17"/>
                <w:szCs w:val="17"/>
              </w:rPr>
            </w:pPr>
            <m:oMathPara>
              <m:oMath>
                <m:r>
                  <w:rPr>
                    <w:rFonts w:ascii="Cambria Math" w:hAnsi="Cambria Math" w:cs="Segoe UI"/>
                    <w:sz w:val="17"/>
                    <w:szCs w:val="17"/>
                  </w:rPr>
                  <m:t>LCR</m:t>
                </m:r>
                <m:r>
                  <m:rPr>
                    <m:sty m:val="p"/>
                  </m:rPr>
                  <w:rPr>
                    <w:rFonts w:ascii="Cambria Math" w:hAnsi="Cambria Math"/>
                    <w:sz w:val="14"/>
                    <w:szCs w:val="17"/>
                  </w:rPr>
                  <m:t>Q</m:t>
                </m:r>
                <m:r>
                  <m:rPr>
                    <m:sty m:val="p"/>
                  </m:rPr>
                  <w:rPr>
                    <w:rFonts w:ascii="Cambria Math" w:hAnsi="Cambria Math"/>
                    <w:sz w:val="12"/>
                    <w:szCs w:val="17"/>
                  </w:rPr>
                  <m:t>i</m:t>
                </m:r>
                <m:r>
                  <m:rPr>
                    <m:sty m:val="p"/>
                  </m:rPr>
                  <w:rPr>
                    <w:rFonts w:ascii="Cambria Math" w:hAnsi="Cambria Math" w:cs="Segoe UI"/>
                    <w:sz w:val="17"/>
                    <w:szCs w:val="17"/>
                  </w:rPr>
                  <m:t>=</m:t>
                </m:r>
                <m:d>
                  <m:dPr>
                    <m:ctrlPr>
                      <w:rPr>
                        <w:rFonts w:ascii="Cambria Math" w:hAnsi="Cambria Math" w:cs="Segoe UI"/>
                        <w:sz w:val="17"/>
                        <w:szCs w:val="17"/>
                      </w:rPr>
                    </m:ctrlPr>
                  </m:dPr>
                  <m:e>
                    <m:func>
                      <m:funcPr>
                        <m:ctrlPr>
                          <w:rPr>
                            <w:rFonts w:ascii="Cambria Math" w:hAnsi="Cambria Math" w:cs="Segoe UI"/>
                            <w:sz w:val="17"/>
                            <w:szCs w:val="17"/>
                          </w:rPr>
                        </m:ctrlPr>
                      </m:funcPr>
                      <m:fName>
                        <m:r>
                          <m:rPr>
                            <m:sty m:val="p"/>
                          </m:rPr>
                          <w:rPr>
                            <w:rFonts w:ascii="Cambria Math" w:hAnsi="Cambria Math" w:cs="Segoe UI"/>
                            <w:sz w:val="17"/>
                            <w:szCs w:val="17"/>
                          </w:rPr>
                          <m:t xml:space="preserve"> </m:t>
                        </m:r>
                      </m:fName>
                      <m:e>
                        <m:f>
                          <m:fPr>
                            <m:ctrlPr>
                              <w:rPr>
                                <w:rFonts w:ascii="Cambria Math" w:hAnsi="Cambria Math" w:cs="Segoe UI"/>
                                <w:sz w:val="17"/>
                                <w:szCs w:val="17"/>
                              </w:rPr>
                            </m:ctrlPr>
                          </m:fPr>
                          <m:num>
                            <m:r>
                              <m:rPr>
                                <m:sty m:val="p"/>
                              </m:rPr>
                              <w:rPr>
                                <w:rFonts w:ascii="Cambria Math" w:eastAsia="Cambria Math" w:hAnsi="Cambria Math" w:cs="Segoe UI"/>
                                <w:sz w:val="17"/>
                                <w:szCs w:val="17"/>
                              </w:rPr>
                              <m:t>1</m:t>
                            </m:r>
                          </m:num>
                          <m:den>
                            <m:r>
                              <w:rPr>
                                <w:rFonts w:ascii="Cambria Math" w:eastAsia="Cambria Math" w:hAnsi="Cambria Math" w:cs="Segoe UI"/>
                                <w:sz w:val="17"/>
                                <w:szCs w:val="17"/>
                              </w:rPr>
                              <m:t>N</m:t>
                            </m:r>
                          </m:den>
                        </m:f>
                      </m:e>
                    </m:func>
                    <m:r>
                      <m:rPr>
                        <m:sty m:val="p"/>
                      </m:rPr>
                      <w:rPr>
                        <w:rFonts w:ascii="Cambria Math" w:hAnsi="Cambria Math" w:cs="Segoe UI"/>
                        <w:sz w:val="17"/>
                        <w:szCs w:val="17"/>
                      </w:rPr>
                      <m:t xml:space="preserve">  </m:t>
                    </m:r>
                  </m:e>
                </m:d>
                <m:nary>
                  <m:naryPr>
                    <m:chr m:val="∑"/>
                    <m:grow m:val="1"/>
                    <m:ctrlPr>
                      <w:rPr>
                        <w:rFonts w:ascii="Cambria Math" w:hAnsi="Cambria Math" w:cs="Segoe UI"/>
                        <w:sz w:val="17"/>
                        <w:szCs w:val="17"/>
                      </w:rPr>
                    </m:ctrlPr>
                  </m:naryPr>
                  <m:sub>
                    <m:r>
                      <w:rPr>
                        <w:rFonts w:ascii="Cambria Math" w:hAnsi="Cambria Math" w:cs="Segoe UI"/>
                        <w:sz w:val="17"/>
                        <w:szCs w:val="17"/>
                      </w:rPr>
                      <m:t>n</m:t>
                    </m:r>
                    <m:r>
                      <m:rPr>
                        <m:sty m:val="p"/>
                      </m:rPr>
                      <w:rPr>
                        <w:rFonts w:ascii="Cambria Math" w:hAnsi="Cambria Math" w:cs="Segoe UI"/>
                        <w:sz w:val="17"/>
                        <w:szCs w:val="17"/>
                      </w:rPr>
                      <m:t>=1</m:t>
                    </m:r>
                  </m:sub>
                  <m:sup>
                    <m:r>
                      <w:rPr>
                        <w:rFonts w:ascii="Cambria Math" w:hAnsi="Cambria Math" w:cs="Segoe UI"/>
                        <w:sz w:val="17"/>
                        <w:szCs w:val="17"/>
                      </w:rPr>
                      <m:t>N</m:t>
                    </m:r>
                  </m:sup>
                  <m:e>
                    <m:r>
                      <w:rPr>
                        <w:rFonts w:ascii="Cambria Math" w:hAnsi="Cambria Math" w:cs="Segoe UI"/>
                        <w:sz w:val="17"/>
                        <w:szCs w:val="17"/>
                      </w:rPr>
                      <m:t>LCR</m:t>
                    </m:r>
                    <m:r>
                      <m:rPr>
                        <m:sty m:val="p"/>
                      </m:rPr>
                      <w:rPr>
                        <w:rFonts w:ascii="Cambria Math" w:hAnsi="Cambria Math"/>
                        <w:sz w:val="14"/>
                        <w:szCs w:val="17"/>
                      </w:rPr>
                      <m:t>n</m:t>
                    </m:r>
                  </m:e>
                </m:nary>
              </m:oMath>
            </m:oMathPara>
          </w:p>
          <w:p w:rsidR="00545554" w:rsidRPr="00F9152E" w:rsidRDefault="00545554" w:rsidP="00545554">
            <w:pPr>
              <w:pStyle w:val="TableNote"/>
              <w:spacing w:before="40" w:after="40"/>
              <w:rPr>
                <w:sz w:val="17"/>
                <w:szCs w:val="17"/>
              </w:rPr>
            </w:pPr>
            <w:r w:rsidRPr="00F9152E">
              <w:rPr>
                <w:sz w:val="17"/>
                <w:szCs w:val="17"/>
              </w:rPr>
              <w:t>where (a) N is the number of data points used in calculating such value for the quarter; and (b) LCR</w:t>
            </w:r>
            <w:r w:rsidRPr="00F9152E">
              <w:rPr>
                <w:sz w:val="14"/>
                <w:szCs w:val="17"/>
              </w:rPr>
              <w:t>n</w:t>
            </w:r>
            <w:r w:rsidRPr="00F9152E">
              <w:rPr>
                <w:sz w:val="17"/>
                <w:szCs w:val="17"/>
              </w:rPr>
              <w:t xml:space="preserve"> means the LCR at data point n.</w:t>
            </w:r>
          </w:p>
          <w:p w:rsidR="00545554" w:rsidRDefault="00545554" w:rsidP="00545554">
            <w:pPr>
              <w:keepLines/>
              <w:widowControl w:val="0"/>
              <w:tabs>
                <w:tab w:val="left" w:pos="150"/>
                <w:tab w:val="left" w:pos="397"/>
                <w:tab w:val="left" w:pos="794"/>
                <w:tab w:val="left" w:pos="1191"/>
              </w:tabs>
              <w:spacing w:before="40" w:after="40"/>
              <w:jc w:val="both"/>
              <w:rPr>
                <w:sz w:val="17"/>
                <w:szCs w:val="17"/>
              </w:rPr>
            </w:pPr>
            <w:r w:rsidRPr="00F9152E">
              <w:rPr>
                <w:sz w:val="17"/>
                <w:szCs w:val="17"/>
              </w:rPr>
              <w:t xml:space="preserve">For the avoidance of doubt, the “average value” of the </w:t>
            </w:r>
            <w:r>
              <w:rPr>
                <w:sz w:val="17"/>
                <w:szCs w:val="17"/>
              </w:rPr>
              <w:t>AI</w:t>
            </w:r>
            <w:r w:rsidRPr="00F9152E">
              <w:rPr>
                <w:sz w:val="17"/>
                <w:szCs w:val="17"/>
              </w:rPr>
              <w:t xml:space="preserve">’s LCR for the quarter </w:t>
            </w:r>
            <w:r>
              <w:rPr>
                <w:sz w:val="17"/>
                <w:szCs w:val="17"/>
              </w:rPr>
              <w:t>should</w:t>
            </w:r>
            <w:r w:rsidRPr="00F9152E">
              <w:rPr>
                <w:sz w:val="17"/>
                <w:szCs w:val="17"/>
              </w:rPr>
              <w:t xml:space="preserve"> not be </w:t>
            </w:r>
            <w:r>
              <w:rPr>
                <w:sz w:val="17"/>
                <w:szCs w:val="17"/>
              </w:rPr>
              <w:t xml:space="preserve">simply </w:t>
            </w:r>
            <w:r w:rsidRPr="00F9152E">
              <w:rPr>
                <w:sz w:val="17"/>
                <w:szCs w:val="17"/>
              </w:rPr>
              <w:t>calculated by dividing (i) the “average value” of its total HQLA for the quarter (</w:t>
            </w:r>
            <w:r>
              <w:rPr>
                <w:sz w:val="17"/>
                <w:szCs w:val="17"/>
              </w:rPr>
              <w:t>r</w:t>
            </w:r>
            <w:r w:rsidRPr="00F9152E">
              <w:rPr>
                <w:sz w:val="17"/>
                <w:szCs w:val="17"/>
              </w:rPr>
              <w:t>ow 2</w:t>
            </w:r>
            <w:r>
              <w:rPr>
                <w:sz w:val="17"/>
                <w:szCs w:val="17"/>
              </w:rPr>
              <w:t>1</w:t>
            </w:r>
            <w:r w:rsidRPr="00F9152E">
              <w:rPr>
                <w:sz w:val="17"/>
                <w:szCs w:val="17"/>
              </w:rPr>
              <w:t>) by (ii) the “average value” of its total net cash outflows for the quarter (</w:t>
            </w:r>
            <w:r>
              <w:rPr>
                <w:sz w:val="17"/>
                <w:szCs w:val="17"/>
              </w:rPr>
              <w:t>r</w:t>
            </w:r>
            <w:r w:rsidRPr="00F9152E">
              <w:rPr>
                <w:sz w:val="17"/>
                <w:szCs w:val="17"/>
              </w:rPr>
              <w:t>ow 2</w:t>
            </w:r>
            <w:r>
              <w:rPr>
                <w:sz w:val="17"/>
                <w:szCs w:val="17"/>
              </w:rPr>
              <w:t>2</w:t>
            </w:r>
            <w:r w:rsidRPr="00F9152E">
              <w:rPr>
                <w:sz w:val="17"/>
                <w:szCs w:val="17"/>
              </w:rPr>
              <w:t>).</w:t>
            </w:r>
          </w:p>
          <w:p w:rsidR="00545554" w:rsidRPr="00A539ED" w:rsidRDefault="00545554" w:rsidP="00545554">
            <w:pPr>
              <w:pStyle w:val="TableNote"/>
              <w:spacing w:before="40" w:after="40"/>
              <w:rPr>
                <w:i/>
                <w:sz w:val="17"/>
                <w:szCs w:val="17"/>
              </w:rPr>
            </w:pPr>
            <w:r>
              <w:rPr>
                <w:sz w:val="17"/>
                <w:szCs w:val="17"/>
              </w:rPr>
              <w:t>{</w:t>
            </w:r>
            <w:r w:rsidRPr="009D02BE">
              <w:rPr>
                <w:sz w:val="17"/>
                <w:szCs w:val="17"/>
              </w:rPr>
              <w:t>Item D</w:t>
            </w:r>
            <w:r>
              <w:rPr>
                <w:sz w:val="17"/>
                <w:szCs w:val="17"/>
              </w:rPr>
              <w:t>}</w:t>
            </w:r>
          </w:p>
        </w:tc>
      </w:tr>
    </w:tbl>
    <w:p w:rsidR="00545554" w:rsidRDefault="00545554" w:rsidP="00545554">
      <w:pPr>
        <w:spacing w:before="120" w:after="120"/>
        <w:rPr>
          <w:sz w:val="22"/>
        </w:rPr>
      </w:pPr>
    </w:p>
    <w:p w:rsidR="00545554" w:rsidRDefault="00545554" w:rsidP="003F0A7B">
      <w:pPr>
        <w:pStyle w:val="Heading1"/>
        <w:tabs>
          <w:tab w:val="clear" w:pos="794"/>
          <w:tab w:val="left" w:pos="426"/>
        </w:tabs>
        <w:spacing w:before="0"/>
        <w:ind w:leftChars="-283" w:left="-566"/>
        <w:sectPr w:rsidR="00545554">
          <w:headerReference w:type="even" r:id="rId58"/>
          <w:headerReference w:type="default" r:id="rId59"/>
          <w:footerReference w:type="even" r:id="rId60"/>
          <w:footerReference w:type="default" r:id="rId61"/>
          <w:headerReference w:type="first" r:id="rId62"/>
          <w:footerReference w:type="first" r:id="rId63"/>
          <w:pgSz w:w="11906" w:h="16838"/>
          <w:pgMar w:top="1440" w:right="1800" w:bottom="1440" w:left="1800" w:header="851" w:footer="992" w:gutter="0"/>
          <w:cols w:space="425"/>
          <w:docGrid w:type="lines" w:linePitch="360"/>
        </w:sectPr>
      </w:pPr>
    </w:p>
    <w:tbl>
      <w:tblPr>
        <w:tblW w:w="9101" w:type="dxa"/>
        <w:tblInd w:w="-318"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1986"/>
        <w:gridCol w:w="7115"/>
      </w:tblGrid>
      <w:tr w:rsidR="00545554" w:rsidRPr="0023654F" w:rsidTr="00545554">
        <w:tc>
          <w:tcPr>
            <w:tcW w:w="9101"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LIQ2</w:t>
            </w:r>
            <w:r w:rsidRPr="0023654F">
              <w:rPr>
                <w:sz w:val="22"/>
              </w:rPr>
              <w:t xml:space="preserve">: </w:t>
            </w:r>
            <w:r>
              <w:rPr>
                <w:sz w:val="22"/>
              </w:rPr>
              <w:t>Net Stable Funding Ratio – for category 1 institution</w:t>
            </w:r>
          </w:p>
        </w:tc>
      </w:tr>
      <w:tr w:rsidR="00545554" w:rsidRPr="0046600C" w:rsidTr="00545554">
        <w:tc>
          <w:tcPr>
            <w:tcW w:w="1986"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115" w:type="dxa"/>
          </w:tcPr>
          <w:p w:rsidR="00545554" w:rsidRPr="00F0052E" w:rsidRDefault="00545554" w:rsidP="00545554">
            <w:pPr>
              <w:pStyle w:val="TableText"/>
              <w:jc w:val="both"/>
              <w:rPr>
                <w:lang w:val="en-US" w:eastAsia="en-GB"/>
              </w:rPr>
            </w:pPr>
            <w:r w:rsidRPr="0023654F">
              <w:rPr>
                <w:lang w:eastAsia="en-GB"/>
              </w:rPr>
              <w:t>T</w:t>
            </w:r>
            <w:r>
              <w:rPr>
                <w:lang w:eastAsia="en-GB"/>
              </w:rPr>
              <w:t>o</w:t>
            </w:r>
            <w:r w:rsidRPr="0023654F">
              <w:rPr>
                <w:lang w:eastAsia="en-GB"/>
              </w:rPr>
              <w:t xml:space="preserve"> </w:t>
            </w:r>
            <w:r w:rsidRPr="00F0052E">
              <w:rPr>
                <w:lang w:eastAsia="en-GB"/>
              </w:rPr>
              <w:t xml:space="preserve">provide details of NSFR and details of </w:t>
            </w:r>
            <w:r>
              <w:rPr>
                <w:lang w:eastAsia="en-GB"/>
              </w:rPr>
              <w:t>ASF and RSF</w:t>
            </w:r>
            <w:r w:rsidRPr="00F0052E">
              <w:rPr>
                <w:lang w:eastAsia="en-GB"/>
              </w:rPr>
              <w:t xml:space="preserve"> components.</w:t>
            </w:r>
          </w:p>
        </w:tc>
      </w:tr>
      <w:tr w:rsidR="00545554" w:rsidRPr="005B71C7" w:rsidTr="00545554">
        <w:tc>
          <w:tcPr>
            <w:tcW w:w="1986" w:type="dxa"/>
          </w:tcPr>
          <w:p w:rsidR="00545554" w:rsidRPr="0023654F" w:rsidRDefault="00545554" w:rsidP="00545554">
            <w:pPr>
              <w:spacing w:before="40" w:after="40"/>
              <w:rPr>
                <w:b/>
                <w:sz w:val="17"/>
                <w:lang w:eastAsia="en-GB"/>
              </w:rPr>
            </w:pPr>
            <w:r w:rsidRPr="0023654F">
              <w:rPr>
                <w:b/>
                <w:sz w:val="17"/>
                <w:lang w:eastAsia="en-GB"/>
              </w:rPr>
              <w:t xml:space="preserve">Scope of application: </w:t>
            </w:r>
          </w:p>
        </w:tc>
        <w:tc>
          <w:tcPr>
            <w:tcW w:w="7115" w:type="dxa"/>
          </w:tcPr>
          <w:p w:rsidR="00545554" w:rsidRPr="001F60AE" w:rsidRDefault="00545554" w:rsidP="00545554">
            <w:pPr>
              <w:pStyle w:val="TableText"/>
              <w:jc w:val="both"/>
              <w:rPr>
                <w:szCs w:val="17"/>
              </w:rPr>
            </w:pPr>
            <w:r>
              <w:rPr>
                <w:szCs w:val="17"/>
              </w:rPr>
              <w:t xml:space="preserve">The template is mandatory for </w:t>
            </w:r>
            <w:r w:rsidR="00375975">
              <w:rPr>
                <w:szCs w:val="17"/>
              </w:rPr>
              <w:t xml:space="preserve">locally incorporated and overseas incorporated </w:t>
            </w:r>
            <w:r>
              <w:rPr>
                <w:szCs w:val="17"/>
              </w:rPr>
              <w:t xml:space="preserve">AIs that are designated as category 1 institution.  </w:t>
            </w:r>
            <w:r w:rsidRPr="001F60AE">
              <w:rPr>
                <w:szCs w:val="17"/>
              </w:rPr>
              <w:t xml:space="preserve">A category 1 institution </w:t>
            </w:r>
            <w:r>
              <w:rPr>
                <w:szCs w:val="17"/>
              </w:rPr>
              <w:t>should</w:t>
            </w:r>
            <w:r w:rsidRPr="001F60AE">
              <w:rPr>
                <w:szCs w:val="17"/>
              </w:rPr>
              <w:t xml:space="preserve"> disclose the required items in th</w:t>
            </w:r>
            <w:r>
              <w:rPr>
                <w:szCs w:val="17"/>
              </w:rPr>
              <w:t>is</w:t>
            </w:r>
            <w:r w:rsidRPr="001F60AE">
              <w:rPr>
                <w:szCs w:val="17"/>
              </w:rPr>
              <w:t xml:space="preserve"> </w:t>
            </w:r>
            <w:r>
              <w:rPr>
                <w:szCs w:val="17"/>
              </w:rPr>
              <w:t>t</w:t>
            </w:r>
            <w:r w:rsidRPr="001F60AE">
              <w:rPr>
                <w:szCs w:val="17"/>
              </w:rPr>
              <w:t>emplate on</w:t>
            </w:r>
            <w:r>
              <w:rPr>
                <w:szCs w:val="17"/>
              </w:rPr>
              <w:t>:</w:t>
            </w:r>
            <w:r w:rsidRPr="001F60AE">
              <w:rPr>
                <w:szCs w:val="17"/>
              </w:rPr>
              <w:t>-</w:t>
            </w:r>
          </w:p>
          <w:p w:rsidR="00545554" w:rsidRPr="000B03B8" w:rsidRDefault="00545554" w:rsidP="00932940">
            <w:pPr>
              <w:pStyle w:val="TableText"/>
              <w:numPr>
                <w:ilvl w:val="0"/>
                <w:numId w:val="48"/>
              </w:numPr>
              <w:tabs>
                <w:tab w:val="left" w:pos="436"/>
              </w:tabs>
              <w:ind w:left="459" w:hanging="459"/>
              <w:jc w:val="both"/>
              <w:rPr>
                <w:szCs w:val="17"/>
              </w:rPr>
            </w:pPr>
            <w:r w:rsidRPr="000B03B8">
              <w:rPr>
                <w:szCs w:val="17"/>
              </w:rPr>
              <w:t xml:space="preserve">a consolidated basis – applicable to a category 1 institution incorporated in Hong Kong that is subject to BLR rule </w:t>
            </w:r>
            <w:r w:rsidRPr="00F0762B">
              <w:rPr>
                <w:szCs w:val="17"/>
              </w:rPr>
              <w:t>11(1)</w:t>
            </w:r>
            <w:r w:rsidRPr="000B03B8">
              <w:rPr>
                <w:szCs w:val="17"/>
              </w:rPr>
              <w:t>;</w:t>
            </w:r>
          </w:p>
          <w:p w:rsidR="00545554" w:rsidRPr="000B03B8" w:rsidRDefault="00545554" w:rsidP="00932940">
            <w:pPr>
              <w:pStyle w:val="TableText"/>
              <w:numPr>
                <w:ilvl w:val="0"/>
                <w:numId w:val="48"/>
              </w:numPr>
              <w:tabs>
                <w:tab w:val="left" w:pos="436"/>
              </w:tabs>
              <w:ind w:left="459" w:hanging="459"/>
              <w:jc w:val="both"/>
              <w:rPr>
                <w:szCs w:val="17"/>
              </w:rPr>
            </w:pPr>
            <w:r w:rsidRPr="000B03B8">
              <w:rPr>
                <w:szCs w:val="17"/>
              </w:rPr>
              <w:t xml:space="preserve">an unconsolidated basis – applicable to a category 1 institution incorporated in Hong Kong that is </w:t>
            </w:r>
            <w:r>
              <w:rPr>
                <w:szCs w:val="17"/>
              </w:rPr>
              <w:t xml:space="preserve">not subject to BLR rule 11(1) but </w:t>
            </w:r>
            <w:r w:rsidRPr="000B03B8">
              <w:rPr>
                <w:szCs w:val="17"/>
              </w:rPr>
              <w:t xml:space="preserve">subject to BLR rule </w:t>
            </w:r>
            <w:r w:rsidRPr="00F0762B">
              <w:rPr>
                <w:szCs w:val="17"/>
              </w:rPr>
              <w:t>10(1)(b)</w:t>
            </w:r>
            <w:r w:rsidRPr="000B03B8">
              <w:rPr>
                <w:szCs w:val="17"/>
              </w:rPr>
              <w:t>; or</w:t>
            </w:r>
          </w:p>
          <w:p w:rsidR="00545554" w:rsidRDefault="00545554" w:rsidP="00932940">
            <w:pPr>
              <w:pStyle w:val="TableText"/>
              <w:numPr>
                <w:ilvl w:val="0"/>
                <w:numId w:val="48"/>
              </w:numPr>
              <w:tabs>
                <w:tab w:val="left" w:pos="436"/>
              </w:tabs>
              <w:ind w:left="459" w:hanging="459"/>
              <w:jc w:val="both"/>
              <w:rPr>
                <w:szCs w:val="17"/>
              </w:rPr>
            </w:pPr>
            <w:r w:rsidRPr="000B03B8">
              <w:rPr>
                <w:szCs w:val="17"/>
              </w:rPr>
              <w:t>a Hong Kong office basis – applicable to a category 1 institution</w:t>
            </w:r>
            <w:r>
              <w:rPr>
                <w:szCs w:val="17"/>
              </w:rPr>
              <w:t>:-</w:t>
            </w:r>
          </w:p>
          <w:p w:rsidR="00545554" w:rsidRDefault="00545554" w:rsidP="00545554">
            <w:pPr>
              <w:pStyle w:val="TableText"/>
              <w:numPr>
                <w:ilvl w:val="1"/>
                <w:numId w:val="33"/>
              </w:numPr>
              <w:tabs>
                <w:tab w:val="left" w:pos="436"/>
              </w:tabs>
              <w:ind w:left="884" w:hanging="425"/>
              <w:jc w:val="both"/>
              <w:rPr>
                <w:szCs w:val="17"/>
              </w:rPr>
            </w:pPr>
            <w:r w:rsidRPr="000B03B8">
              <w:rPr>
                <w:szCs w:val="17"/>
              </w:rPr>
              <w:t>incorporated in Hong Kong that</w:t>
            </w:r>
            <w:r w:rsidRPr="001F60AE">
              <w:rPr>
                <w:szCs w:val="17"/>
              </w:rPr>
              <w:t xml:space="preserve"> </w:t>
            </w:r>
            <w:r>
              <w:rPr>
                <w:szCs w:val="17"/>
              </w:rPr>
              <w:t>is not subject to BLR rule 10(1)(b) or 11 but subject to BLR rule 10(1)(a)</w:t>
            </w:r>
            <w:r w:rsidRPr="000B03B8">
              <w:rPr>
                <w:szCs w:val="17"/>
              </w:rPr>
              <w:t>; and</w:t>
            </w:r>
          </w:p>
          <w:p w:rsidR="00545554" w:rsidRPr="000B03B8" w:rsidRDefault="00545554" w:rsidP="00545554">
            <w:pPr>
              <w:pStyle w:val="TableText"/>
              <w:numPr>
                <w:ilvl w:val="1"/>
                <w:numId w:val="33"/>
              </w:numPr>
              <w:tabs>
                <w:tab w:val="left" w:pos="436"/>
              </w:tabs>
              <w:ind w:left="884" w:hanging="425"/>
              <w:jc w:val="both"/>
              <w:rPr>
                <w:szCs w:val="17"/>
              </w:rPr>
            </w:pPr>
            <w:r>
              <w:rPr>
                <w:szCs w:val="17"/>
              </w:rPr>
              <w:t xml:space="preserve">incorporated </w:t>
            </w:r>
            <w:r w:rsidRPr="000B03B8">
              <w:rPr>
                <w:szCs w:val="17"/>
              </w:rPr>
              <w:t>outside Hong Kong</w:t>
            </w:r>
            <w:r>
              <w:rPr>
                <w:szCs w:val="17"/>
              </w:rPr>
              <w:t xml:space="preserve"> that is subject to BLR rule 10(1)(a)</w:t>
            </w:r>
            <w:r w:rsidRPr="000B03B8">
              <w:rPr>
                <w:szCs w:val="17"/>
              </w:rPr>
              <w:t>.</w:t>
            </w:r>
          </w:p>
          <w:p w:rsidR="00545554" w:rsidRPr="0046600C" w:rsidRDefault="00545554" w:rsidP="00545554">
            <w:pPr>
              <w:pStyle w:val="TableText"/>
              <w:jc w:val="both"/>
              <w:rPr>
                <w:rFonts w:eastAsiaTheme="minorEastAsia"/>
                <w:b/>
                <w:lang w:val="en-US" w:eastAsia="en-GB"/>
              </w:rPr>
            </w:pPr>
            <w:r w:rsidRPr="001F60AE">
              <w:rPr>
                <w:szCs w:val="17"/>
              </w:rPr>
              <w:t xml:space="preserve">A category 1 institution </w:t>
            </w:r>
            <w:r>
              <w:rPr>
                <w:szCs w:val="17"/>
              </w:rPr>
              <w:t>should</w:t>
            </w:r>
            <w:r w:rsidRPr="001F60AE">
              <w:rPr>
                <w:szCs w:val="17"/>
              </w:rPr>
              <w:t xml:space="preserve"> indicate the basis on which the required disclosure items in th</w:t>
            </w:r>
            <w:r>
              <w:rPr>
                <w:szCs w:val="17"/>
              </w:rPr>
              <w:t>is</w:t>
            </w:r>
            <w:r w:rsidRPr="001F60AE">
              <w:rPr>
                <w:szCs w:val="17"/>
              </w:rPr>
              <w:t xml:space="preserve"> </w:t>
            </w:r>
            <w:r>
              <w:rPr>
                <w:szCs w:val="17"/>
              </w:rPr>
              <w:t>t</w:t>
            </w:r>
            <w:r w:rsidRPr="001F60AE">
              <w:rPr>
                <w:szCs w:val="17"/>
              </w:rPr>
              <w:t>emplate are disclosed.</w:t>
            </w:r>
          </w:p>
        </w:tc>
      </w:tr>
      <w:tr w:rsidR="00545554" w:rsidRPr="004B58B9" w:rsidTr="00545554">
        <w:tc>
          <w:tcPr>
            <w:tcW w:w="1986" w:type="dxa"/>
          </w:tcPr>
          <w:p w:rsidR="00545554" w:rsidRPr="0023654F" w:rsidRDefault="00545554" w:rsidP="00545554">
            <w:pPr>
              <w:spacing w:before="40" w:after="40"/>
              <w:rPr>
                <w:b/>
                <w:sz w:val="17"/>
                <w:lang w:eastAsia="en-GB"/>
              </w:rPr>
            </w:pPr>
            <w:r w:rsidRPr="0023654F">
              <w:rPr>
                <w:b/>
                <w:sz w:val="17"/>
                <w:lang w:eastAsia="en-GB"/>
              </w:rPr>
              <w:t xml:space="preserve">Content: </w:t>
            </w:r>
          </w:p>
        </w:tc>
        <w:tc>
          <w:tcPr>
            <w:tcW w:w="7115" w:type="dxa"/>
          </w:tcPr>
          <w:p w:rsidR="00545554" w:rsidRPr="0046600C" w:rsidRDefault="00545554" w:rsidP="00545554">
            <w:pPr>
              <w:pStyle w:val="TableText"/>
              <w:jc w:val="both"/>
              <w:rPr>
                <w:rFonts w:eastAsiaTheme="minorEastAsia"/>
                <w:b/>
                <w:lang w:val="en-US" w:eastAsia="en-GB"/>
              </w:rPr>
            </w:pPr>
            <w:r>
              <w:rPr>
                <w:szCs w:val="17"/>
              </w:rPr>
              <w:t>Items disclosed should be measured and defined according to the methodology and instructions set out in the Stable Funding Position Return (MA(BS)26).  Data should be presented as quarter-end observations and in Hong Kong dollars or the equivalent amount of Hong Kong dollars.</w:t>
            </w:r>
          </w:p>
        </w:tc>
      </w:tr>
      <w:tr w:rsidR="00545554" w:rsidRPr="0023654F" w:rsidTr="00545554">
        <w:tc>
          <w:tcPr>
            <w:tcW w:w="1986" w:type="dxa"/>
          </w:tcPr>
          <w:p w:rsidR="00545554" w:rsidRPr="0023654F" w:rsidRDefault="00545554" w:rsidP="00545554">
            <w:pPr>
              <w:spacing w:before="40" w:after="40"/>
              <w:rPr>
                <w:sz w:val="17"/>
                <w:lang w:eastAsia="en-GB"/>
              </w:rPr>
            </w:pPr>
            <w:r w:rsidRPr="0023654F">
              <w:rPr>
                <w:b/>
                <w:sz w:val="17"/>
                <w:lang w:eastAsia="en-GB"/>
              </w:rPr>
              <w:t>Frequency:</w:t>
            </w:r>
            <w:r w:rsidRPr="0023654F">
              <w:rPr>
                <w:sz w:val="17"/>
                <w:lang w:eastAsia="en-GB"/>
              </w:rPr>
              <w:t xml:space="preserve"> </w:t>
            </w:r>
          </w:p>
        </w:tc>
        <w:tc>
          <w:tcPr>
            <w:tcW w:w="7115" w:type="dxa"/>
          </w:tcPr>
          <w:p w:rsidR="00545554" w:rsidRPr="0023654F" w:rsidRDefault="00545554" w:rsidP="00545554">
            <w:pPr>
              <w:pStyle w:val="TableText"/>
              <w:jc w:val="both"/>
              <w:rPr>
                <w:lang w:eastAsia="en-GB"/>
              </w:rPr>
            </w:pPr>
            <w:r>
              <w:rPr>
                <w:lang w:eastAsia="en-GB"/>
              </w:rPr>
              <w:t>Semi-annual (</w:t>
            </w:r>
            <w:r w:rsidRPr="0024355C">
              <w:rPr>
                <w:lang w:eastAsia="en-GB"/>
              </w:rPr>
              <w:t>including two data sets covering the latest and the pre</w:t>
            </w:r>
            <w:r>
              <w:rPr>
                <w:lang w:eastAsia="en-GB"/>
              </w:rPr>
              <w:t>ceding</w:t>
            </w:r>
            <w:r w:rsidRPr="0024355C">
              <w:rPr>
                <w:lang w:eastAsia="en-GB"/>
              </w:rPr>
              <w:t xml:space="preserve"> quarter-ends</w:t>
            </w:r>
            <w:r>
              <w:rPr>
                <w:lang w:eastAsia="en-GB"/>
              </w:rPr>
              <w:t>).</w:t>
            </w:r>
          </w:p>
        </w:tc>
      </w:tr>
      <w:tr w:rsidR="00545554" w:rsidRPr="0023654F" w:rsidTr="00545554">
        <w:tc>
          <w:tcPr>
            <w:tcW w:w="1986" w:type="dxa"/>
          </w:tcPr>
          <w:p w:rsidR="00545554" w:rsidRPr="0023654F" w:rsidRDefault="00545554" w:rsidP="00545554">
            <w:pPr>
              <w:spacing w:before="40" w:after="40"/>
              <w:rPr>
                <w:sz w:val="17"/>
                <w:lang w:eastAsia="en-GB"/>
              </w:rPr>
            </w:pPr>
            <w:r w:rsidRPr="0023654F">
              <w:rPr>
                <w:b/>
                <w:sz w:val="17"/>
                <w:lang w:eastAsia="en-GB"/>
              </w:rPr>
              <w:t>Format:</w:t>
            </w:r>
            <w:r w:rsidRPr="0023654F">
              <w:rPr>
                <w:sz w:val="17"/>
                <w:lang w:eastAsia="en-GB"/>
              </w:rPr>
              <w:t xml:space="preserve"> </w:t>
            </w:r>
          </w:p>
        </w:tc>
        <w:tc>
          <w:tcPr>
            <w:tcW w:w="7115" w:type="dxa"/>
          </w:tcPr>
          <w:p w:rsidR="00545554" w:rsidRPr="0023654F" w:rsidRDefault="00545554" w:rsidP="00545554">
            <w:pPr>
              <w:pStyle w:val="TableText"/>
              <w:jc w:val="both"/>
              <w:rPr>
                <w:lang w:eastAsia="en-GB"/>
              </w:rPr>
            </w:pPr>
            <w:r w:rsidRPr="0023654F">
              <w:rPr>
                <w:lang w:eastAsia="en-GB"/>
              </w:rPr>
              <w:t>Fixed.</w:t>
            </w:r>
          </w:p>
        </w:tc>
      </w:tr>
      <w:tr w:rsidR="00545554" w:rsidRPr="0023654F" w:rsidTr="00545554">
        <w:tc>
          <w:tcPr>
            <w:tcW w:w="1986"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115" w:type="dxa"/>
          </w:tcPr>
          <w:p w:rsidR="00545554" w:rsidRPr="0024355C" w:rsidRDefault="00545554" w:rsidP="00545554">
            <w:pPr>
              <w:pStyle w:val="TableText"/>
              <w:jc w:val="both"/>
              <w:rPr>
                <w:szCs w:val="17"/>
                <w:lang w:eastAsia="en-GB"/>
              </w:rPr>
            </w:pPr>
            <w:r>
              <w:rPr>
                <w:szCs w:val="17"/>
                <w:lang w:eastAsia="en-GB"/>
              </w:rPr>
              <w:t>An AI</w:t>
            </w:r>
            <w:r w:rsidRPr="0024355C">
              <w:rPr>
                <w:szCs w:val="17"/>
                <w:lang w:eastAsia="en-GB"/>
              </w:rPr>
              <w:t xml:space="preserve"> should provide a sufficient qualitative discussion on the NSFR to facilitate an understanding of the results and the accompanying data. </w:t>
            </w:r>
            <w:r>
              <w:rPr>
                <w:szCs w:val="17"/>
                <w:lang w:eastAsia="en-GB"/>
              </w:rPr>
              <w:t xml:space="preserve"> </w:t>
            </w:r>
            <w:r w:rsidRPr="0024355C">
              <w:rPr>
                <w:szCs w:val="17"/>
                <w:lang w:eastAsia="en-GB"/>
              </w:rPr>
              <w:t xml:space="preserve">For example, where significant, </w:t>
            </w:r>
            <w:r>
              <w:rPr>
                <w:szCs w:val="17"/>
                <w:lang w:eastAsia="en-GB"/>
              </w:rPr>
              <w:t>the AI</w:t>
            </w:r>
            <w:r w:rsidRPr="0024355C">
              <w:rPr>
                <w:szCs w:val="17"/>
                <w:lang w:eastAsia="en-GB"/>
              </w:rPr>
              <w:t xml:space="preserve"> </w:t>
            </w:r>
            <w:r>
              <w:rPr>
                <w:szCs w:val="17"/>
                <w:lang w:eastAsia="en-GB"/>
              </w:rPr>
              <w:t>sh</w:t>
            </w:r>
            <w:r w:rsidRPr="0024355C">
              <w:rPr>
                <w:szCs w:val="17"/>
                <w:lang w:eastAsia="en-GB"/>
              </w:rPr>
              <w:t>ould discuss:</w:t>
            </w:r>
          </w:p>
          <w:p w:rsidR="00545554" w:rsidRPr="00965ADD" w:rsidRDefault="00545554" w:rsidP="00545554">
            <w:pPr>
              <w:pStyle w:val="Default"/>
              <w:numPr>
                <w:ilvl w:val="0"/>
                <w:numId w:val="11"/>
              </w:numPr>
              <w:tabs>
                <w:tab w:val="left" w:pos="294"/>
              </w:tabs>
              <w:ind w:left="294" w:hanging="294"/>
              <w:jc w:val="both"/>
              <w:rPr>
                <w:sz w:val="17"/>
                <w:szCs w:val="17"/>
              </w:rPr>
            </w:pPr>
            <w:r w:rsidRPr="00965ADD">
              <w:rPr>
                <w:sz w:val="17"/>
                <w:szCs w:val="17"/>
              </w:rPr>
              <w:t xml:space="preserve">the drivers of </w:t>
            </w:r>
            <w:r>
              <w:rPr>
                <w:sz w:val="17"/>
                <w:szCs w:val="17"/>
              </w:rPr>
              <w:t>i</w:t>
            </w:r>
            <w:r w:rsidRPr="00965ADD">
              <w:rPr>
                <w:sz w:val="17"/>
                <w:szCs w:val="17"/>
              </w:rPr>
              <w:t>t</w:t>
            </w:r>
            <w:r>
              <w:rPr>
                <w:sz w:val="17"/>
                <w:szCs w:val="17"/>
              </w:rPr>
              <w:t>s</w:t>
            </w:r>
            <w:r w:rsidRPr="00965ADD">
              <w:rPr>
                <w:sz w:val="17"/>
                <w:szCs w:val="17"/>
              </w:rPr>
              <w:t xml:space="preserve"> NSFR results</w:t>
            </w:r>
            <w:r>
              <w:rPr>
                <w:sz w:val="17"/>
                <w:szCs w:val="17"/>
              </w:rPr>
              <w:t>,</w:t>
            </w:r>
            <w:r w:rsidRPr="00965ADD">
              <w:rPr>
                <w:sz w:val="17"/>
                <w:szCs w:val="17"/>
              </w:rPr>
              <w:t xml:space="preserve"> the reasons for intra-period changes </w:t>
            </w:r>
            <w:r>
              <w:rPr>
                <w:sz w:val="17"/>
                <w:szCs w:val="17"/>
              </w:rPr>
              <w:t>and</w:t>
            </w:r>
            <w:r w:rsidRPr="00965ADD">
              <w:rPr>
                <w:sz w:val="17"/>
                <w:szCs w:val="17"/>
              </w:rPr>
              <w:t xml:space="preserve"> the changes over time (e.g. changes in strategies, funding structure, circumstances); and</w:t>
            </w:r>
          </w:p>
          <w:p w:rsidR="00545554" w:rsidRPr="00965ADD" w:rsidRDefault="00545554" w:rsidP="00545554">
            <w:pPr>
              <w:pStyle w:val="Default"/>
              <w:numPr>
                <w:ilvl w:val="0"/>
                <w:numId w:val="11"/>
              </w:numPr>
              <w:tabs>
                <w:tab w:val="left" w:pos="294"/>
              </w:tabs>
              <w:ind w:left="317" w:hanging="317"/>
              <w:jc w:val="both"/>
              <w:rPr>
                <w:sz w:val="17"/>
                <w:szCs w:val="17"/>
                <w:lang w:eastAsia="en-GB"/>
              </w:rPr>
            </w:pPr>
            <w:r w:rsidRPr="00965ADD">
              <w:rPr>
                <w:sz w:val="17"/>
                <w:szCs w:val="17"/>
              </w:rPr>
              <w:t>the</w:t>
            </w:r>
            <w:r w:rsidRPr="00965ADD">
              <w:rPr>
                <w:sz w:val="17"/>
                <w:szCs w:val="17"/>
                <w:lang w:eastAsia="en-GB"/>
              </w:rPr>
              <w:t xml:space="preserve"> composition of the AI’s interdependent assets and liabilities (as defined </w:t>
            </w:r>
            <w:r>
              <w:rPr>
                <w:sz w:val="17"/>
                <w:szCs w:val="17"/>
                <w:lang w:eastAsia="en-GB"/>
              </w:rPr>
              <w:t xml:space="preserve">under Division 2 of </w:t>
            </w:r>
            <w:r w:rsidRPr="00ED2632">
              <w:rPr>
                <w:sz w:val="17"/>
                <w:szCs w:val="17"/>
              </w:rPr>
              <w:t>Part 9 of the BLR</w:t>
            </w:r>
            <w:r w:rsidRPr="00ED2632">
              <w:rPr>
                <w:sz w:val="17"/>
                <w:szCs w:val="17"/>
                <w:lang w:eastAsia="en-GB"/>
              </w:rPr>
              <w:t>) an</w:t>
            </w:r>
            <w:r w:rsidRPr="00965ADD">
              <w:rPr>
                <w:sz w:val="17"/>
                <w:szCs w:val="17"/>
                <w:lang w:eastAsia="en-GB"/>
              </w:rPr>
              <w:t>d to what extent these transactions are interrelated.</w:t>
            </w:r>
          </w:p>
        </w:tc>
      </w:tr>
      <w:tr w:rsidR="00545554" w:rsidRPr="0023654F" w:rsidTr="00545554">
        <w:tc>
          <w:tcPr>
            <w:tcW w:w="1986"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115" w:type="dxa"/>
          </w:tcPr>
          <w:p w:rsidR="00545554" w:rsidRPr="00AC37F2" w:rsidRDefault="00545554" w:rsidP="0092221A">
            <w:pPr>
              <w:pStyle w:val="TableText"/>
              <w:jc w:val="both"/>
              <w:rPr>
                <w:szCs w:val="17"/>
                <w:lang w:eastAsia="en-GB"/>
              </w:rPr>
            </w:pPr>
            <w:r w:rsidRPr="001B530B">
              <w:rPr>
                <w:szCs w:val="17"/>
                <w:lang w:eastAsia="en-GB"/>
              </w:rPr>
              <w:t>16FL and 103AB</w:t>
            </w:r>
          </w:p>
        </w:tc>
      </w:tr>
    </w:tbl>
    <w:p w:rsidR="00545554" w:rsidRDefault="00545554" w:rsidP="00545554">
      <w:pPr>
        <w:rPr>
          <w:sz w:val="22"/>
        </w:rPr>
      </w:pPr>
    </w:p>
    <w:tbl>
      <w:tblPr>
        <w:tblW w:w="9073" w:type="dxa"/>
        <w:tblInd w:w="-426"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466"/>
        <w:gridCol w:w="3642"/>
        <w:gridCol w:w="994"/>
        <w:gridCol w:w="985"/>
        <w:gridCol w:w="992"/>
        <w:gridCol w:w="993"/>
        <w:gridCol w:w="1001"/>
      </w:tblGrid>
      <w:tr w:rsidR="00545554" w:rsidRPr="0023654F" w:rsidTr="00545554">
        <w:trPr>
          <w:trHeight w:val="324"/>
          <w:tblHeader/>
        </w:trPr>
        <w:tc>
          <w:tcPr>
            <w:tcW w:w="4110" w:type="dxa"/>
            <w:gridSpan w:val="2"/>
            <w:tcBorders>
              <w:top w:val="nil"/>
              <w:left w:val="nil"/>
              <w:bottom w:val="single" w:sz="4" w:space="0" w:color="auto"/>
              <w:right w:val="single" w:sz="4" w:space="0" w:color="auto"/>
            </w:tcBorders>
            <w:vAlign w:val="center"/>
          </w:tcPr>
          <w:p w:rsidR="00545554" w:rsidRDefault="00545554" w:rsidP="00545554">
            <w:pPr>
              <w:pStyle w:val="Default"/>
              <w:rPr>
                <w:b/>
                <w:bCs/>
                <w:sz w:val="20"/>
                <w:szCs w:val="20"/>
              </w:rPr>
            </w:pPr>
          </w:p>
        </w:tc>
        <w:tc>
          <w:tcPr>
            <w:tcW w:w="992" w:type="dxa"/>
            <w:tcBorders>
              <w:top w:val="single" w:sz="6" w:space="0" w:color="auto"/>
              <w:left w:val="single" w:sz="6" w:space="0" w:color="auto"/>
              <w:bottom w:val="single" w:sz="6" w:space="0" w:color="auto"/>
              <w:right w:val="single" w:sz="4" w:space="0" w:color="auto"/>
            </w:tcBorders>
            <w:vAlign w:val="center"/>
          </w:tcPr>
          <w:p w:rsidR="00545554" w:rsidRPr="00790743" w:rsidRDefault="00545554" w:rsidP="00545554">
            <w:pPr>
              <w:pStyle w:val="TableText"/>
              <w:spacing w:before="0" w:after="0"/>
              <w:jc w:val="center"/>
              <w:rPr>
                <w:bCs/>
                <w:szCs w:val="17"/>
                <w:lang w:eastAsia="it-IT"/>
              </w:rPr>
            </w:pPr>
            <w:r w:rsidRPr="00790743">
              <w:rPr>
                <w:bCs/>
                <w:szCs w:val="17"/>
                <w:lang w:eastAsia="it-IT"/>
              </w:rPr>
              <w:t>(a)</w:t>
            </w:r>
          </w:p>
        </w:tc>
        <w:tc>
          <w:tcPr>
            <w:tcW w:w="985" w:type="dxa"/>
            <w:tcBorders>
              <w:top w:val="single" w:sz="6" w:space="0" w:color="auto"/>
              <w:left w:val="single" w:sz="4" w:space="0" w:color="auto"/>
              <w:bottom w:val="single" w:sz="6" w:space="0" w:color="auto"/>
              <w:right w:val="single" w:sz="4" w:space="0" w:color="auto"/>
            </w:tcBorders>
            <w:vAlign w:val="center"/>
          </w:tcPr>
          <w:p w:rsidR="00545554" w:rsidRPr="00790743" w:rsidRDefault="00545554" w:rsidP="00545554">
            <w:pPr>
              <w:pStyle w:val="TableText"/>
              <w:spacing w:before="0" w:after="0"/>
              <w:jc w:val="center"/>
              <w:rPr>
                <w:bCs/>
                <w:szCs w:val="17"/>
                <w:lang w:eastAsia="it-IT"/>
              </w:rPr>
            </w:pPr>
            <w:r w:rsidRPr="00790743">
              <w:rPr>
                <w:bCs/>
                <w:szCs w:val="17"/>
                <w:lang w:eastAsia="it-IT"/>
              </w:rPr>
              <w:t>(b)</w:t>
            </w:r>
          </w:p>
        </w:tc>
        <w:tc>
          <w:tcPr>
            <w:tcW w:w="992" w:type="dxa"/>
            <w:tcBorders>
              <w:top w:val="single" w:sz="6" w:space="0" w:color="auto"/>
              <w:left w:val="single" w:sz="4" w:space="0" w:color="auto"/>
              <w:bottom w:val="single" w:sz="6" w:space="0" w:color="auto"/>
              <w:right w:val="single" w:sz="4" w:space="0" w:color="auto"/>
            </w:tcBorders>
          </w:tcPr>
          <w:p w:rsidR="00545554" w:rsidRPr="00790743" w:rsidRDefault="00545554" w:rsidP="00545554">
            <w:pPr>
              <w:jc w:val="center"/>
              <w:rPr>
                <w:sz w:val="17"/>
                <w:szCs w:val="17"/>
              </w:rPr>
            </w:pPr>
            <w:r w:rsidRPr="00790743">
              <w:rPr>
                <w:bCs/>
                <w:sz w:val="17"/>
                <w:szCs w:val="17"/>
                <w:lang w:eastAsia="it-IT"/>
              </w:rPr>
              <w:t>(c)</w:t>
            </w:r>
          </w:p>
        </w:tc>
        <w:tc>
          <w:tcPr>
            <w:tcW w:w="993" w:type="dxa"/>
            <w:tcBorders>
              <w:top w:val="single" w:sz="6" w:space="0" w:color="auto"/>
              <w:left w:val="single" w:sz="4" w:space="0" w:color="auto"/>
              <w:bottom w:val="single" w:sz="6" w:space="0" w:color="auto"/>
              <w:right w:val="single" w:sz="6" w:space="0" w:color="auto"/>
            </w:tcBorders>
          </w:tcPr>
          <w:p w:rsidR="00545554" w:rsidRPr="00790743" w:rsidRDefault="00545554" w:rsidP="00545554">
            <w:pPr>
              <w:jc w:val="center"/>
              <w:rPr>
                <w:sz w:val="17"/>
                <w:szCs w:val="17"/>
              </w:rPr>
            </w:pPr>
            <w:r w:rsidRPr="00790743">
              <w:rPr>
                <w:bCs/>
                <w:sz w:val="17"/>
                <w:szCs w:val="17"/>
                <w:lang w:eastAsia="it-IT"/>
              </w:rPr>
              <w:t>(d)</w:t>
            </w:r>
          </w:p>
        </w:tc>
        <w:tc>
          <w:tcPr>
            <w:tcW w:w="1001" w:type="dxa"/>
            <w:tcBorders>
              <w:top w:val="single" w:sz="6" w:space="0" w:color="auto"/>
              <w:left w:val="single" w:sz="6" w:space="0" w:color="auto"/>
              <w:bottom w:val="single" w:sz="6" w:space="0" w:color="auto"/>
              <w:right w:val="single" w:sz="4" w:space="0" w:color="auto"/>
            </w:tcBorders>
          </w:tcPr>
          <w:p w:rsidR="00545554" w:rsidRPr="00790743" w:rsidRDefault="00545554" w:rsidP="00545554">
            <w:pPr>
              <w:jc w:val="center"/>
              <w:rPr>
                <w:sz w:val="17"/>
                <w:szCs w:val="17"/>
              </w:rPr>
            </w:pPr>
            <w:r w:rsidRPr="00790743">
              <w:rPr>
                <w:bCs/>
                <w:sz w:val="17"/>
                <w:szCs w:val="17"/>
                <w:lang w:eastAsia="it-IT"/>
              </w:rPr>
              <w:t>(e)</w:t>
            </w:r>
          </w:p>
        </w:tc>
      </w:tr>
      <w:tr w:rsidR="00545554" w:rsidRPr="0023654F" w:rsidTr="00545554">
        <w:trPr>
          <w:trHeight w:val="241"/>
          <w:tblHeader/>
        </w:trPr>
        <w:tc>
          <w:tcPr>
            <w:tcW w:w="4110" w:type="dxa"/>
            <w:gridSpan w:val="2"/>
            <w:vMerge w:val="restart"/>
            <w:tcBorders>
              <w:top w:val="single" w:sz="4" w:space="0" w:color="auto"/>
              <w:left w:val="nil"/>
              <w:right w:val="single" w:sz="6" w:space="0" w:color="auto"/>
            </w:tcBorders>
            <w:vAlign w:val="center"/>
          </w:tcPr>
          <w:p w:rsidR="00545554" w:rsidRPr="000B6342" w:rsidRDefault="00545554" w:rsidP="00545554">
            <w:pPr>
              <w:pStyle w:val="TableText"/>
              <w:snapToGrid w:val="0"/>
              <w:ind w:rightChars="71" w:right="142"/>
              <w:rPr>
                <w:lang w:eastAsia="it-IT"/>
              </w:rPr>
            </w:pPr>
            <w:r w:rsidRPr="00E960C4">
              <w:rPr>
                <w:lang w:eastAsia="it-IT"/>
              </w:rPr>
              <w:t>Basis of disclosure: consolidated / unconsolidated / Hong Kong office (delete as appropriate)</w:t>
            </w:r>
          </w:p>
        </w:tc>
        <w:tc>
          <w:tcPr>
            <w:tcW w:w="3962" w:type="dxa"/>
            <w:gridSpan w:val="4"/>
            <w:tcBorders>
              <w:top w:val="single" w:sz="6" w:space="0" w:color="auto"/>
              <w:left w:val="single" w:sz="6" w:space="0" w:color="auto"/>
              <w:bottom w:val="single" w:sz="4" w:space="0" w:color="auto"/>
              <w:right w:val="single" w:sz="6" w:space="0" w:color="auto"/>
            </w:tcBorders>
            <w:vAlign w:val="center"/>
          </w:tcPr>
          <w:p w:rsidR="00545554" w:rsidRPr="00350593" w:rsidRDefault="00545554" w:rsidP="00545554">
            <w:pPr>
              <w:pStyle w:val="TableText"/>
              <w:snapToGrid w:val="0"/>
              <w:jc w:val="center"/>
              <w:rPr>
                <w:b/>
                <w:lang w:eastAsia="it-IT"/>
              </w:rPr>
            </w:pPr>
            <w:r w:rsidRPr="00350593">
              <w:rPr>
                <w:b/>
                <w:lang w:eastAsia="it-IT"/>
              </w:rPr>
              <w:t>Unweighted value by residual maturity</w:t>
            </w:r>
          </w:p>
        </w:tc>
        <w:tc>
          <w:tcPr>
            <w:tcW w:w="1001" w:type="dxa"/>
            <w:vMerge w:val="restart"/>
            <w:tcBorders>
              <w:top w:val="single" w:sz="6" w:space="0" w:color="auto"/>
              <w:left w:val="single" w:sz="6" w:space="0" w:color="auto"/>
              <w:right w:val="single" w:sz="4" w:space="0" w:color="auto"/>
            </w:tcBorders>
            <w:vAlign w:val="center"/>
          </w:tcPr>
          <w:p w:rsidR="00545554" w:rsidRPr="00350593" w:rsidRDefault="00545554" w:rsidP="00545554">
            <w:pPr>
              <w:pStyle w:val="TableText"/>
              <w:snapToGrid w:val="0"/>
              <w:jc w:val="center"/>
              <w:rPr>
                <w:b/>
                <w:lang w:eastAsia="it-IT"/>
              </w:rPr>
            </w:pPr>
            <w:r>
              <w:rPr>
                <w:b/>
                <w:lang w:eastAsia="it-IT"/>
              </w:rPr>
              <w:t>W</w:t>
            </w:r>
            <w:r w:rsidRPr="00445B4A">
              <w:rPr>
                <w:b/>
                <w:lang w:eastAsia="it-IT"/>
              </w:rPr>
              <w:t xml:space="preserve">eighted </w:t>
            </w:r>
            <w:r>
              <w:rPr>
                <w:b/>
                <w:lang w:eastAsia="it-IT"/>
              </w:rPr>
              <w:t>amount</w:t>
            </w:r>
          </w:p>
        </w:tc>
      </w:tr>
      <w:tr w:rsidR="00545554" w:rsidRPr="0023654F" w:rsidTr="00545554">
        <w:trPr>
          <w:trHeight w:val="553"/>
          <w:tblHeader/>
        </w:trPr>
        <w:tc>
          <w:tcPr>
            <w:tcW w:w="4110" w:type="dxa"/>
            <w:gridSpan w:val="2"/>
            <w:vMerge/>
            <w:tcBorders>
              <w:left w:val="nil"/>
              <w:bottom w:val="single" w:sz="4" w:space="0" w:color="auto"/>
              <w:right w:val="single" w:sz="6" w:space="0" w:color="auto"/>
            </w:tcBorders>
            <w:vAlign w:val="center"/>
          </w:tcPr>
          <w:p w:rsidR="00545554" w:rsidRPr="00E960C4" w:rsidRDefault="00545554" w:rsidP="00545554">
            <w:pPr>
              <w:pStyle w:val="TableText"/>
              <w:snapToGrid w:val="0"/>
              <w:ind w:rightChars="71" w:right="142"/>
              <w:rPr>
                <w:lang w:eastAsia="it-IT"/>
              </w:rPr>
            </w:pPr>
          </w:p>
        </w:tc>
        <w:tc>
          <w:tcPr>
            <w:tcW w:w="992" w:type="dxa"/>
            <w:tcBorders>
              <w:top w:val="single" w:sz="4" w:space="0" w:color="auto"/>
              <w:left w:val="single" w:sz="6" w:space="0" w:color="auto"/>
              <w:bottom w:val="single" w:sz="4" w:space="0" w:color="auto"/>
              <w:right w:val="single" w:sz="4" w:space="0" w:color="auto"/>
            </w:tcBorders>
            <w:vAlign w:val="center"/>
          </w:tcPr>
          <w:p w:rsidR="00545554" w:rsidRPr="00350593" w:rsidRDefault="00545554" w:rsidP="00545554">
            <w:pPr>
              <w:pStyle w:val="TableText"/>
              <w:snapToGrid w:val="0"/>
              <w:jc w:val="center"/>
              <w:rPr>
                <w:lang w:eastAsia="it-IT"/>
              </w:rPr>
            </w:pPr>
            <w:r>
              <w:rPr>
                <w:lang w:eastAsia="it-IT"/>
              </w:rPr>
              <w:t xml:space="preserve"> </w:t>
            </w:r>
            <w:r w:rsidRPr="00350593">
              <w:rPr>
                <w:lang w:eastAsia="it-IT"/>
              </w:rPr>
              <w:t>No</w:t>
            </w:r>
            <w:r>
              <w:rPr>
                <w:lang w:eastAsia="it-IT"/>
              </w:rPr>
              <w:t xml:space="preserve"> specified term to</w:t>
            </w:r>
            <w:r w:rsidRPr="00350593">
              <w:rPr>
                <w:lang w:eastAsia="it-IT"/>
              </w:rPr>
              <w:t xml:space="preserve"> maturity</w:t>
            </w:r>
          </w:p>
        </w:tc>
        <w:tc>
          <w:tcPr>
            <w:tcW w:w="985" w:type="dxa"/>
            <w:tcBorders>
              <w:top w:val="single" w:sz="4" w:space="0" w:color="auto"/>
              <w:left w:val="single" w:sz="4" w:space="0" w:color="auto"/>
              <w:bottom w:val="single" w:sz="4" w:space="0" w:color="auto"/>
              <w:right w:val="single" w:sz="4" w:space="0" w:color="auto"/>
            </w:tcBorders>
            <w:vAlign w:val="center"/>
          </w:tcPr>
          <w:p w:rsidR="00545554" w:rsidRPr="00350593" w:rsidRDefault="00545554" w:rsidP="00545554">
            <w:pPr>
              <w:pStyle w:val="TableText"/>
              <w:snapToGrid w:val="0"/>
              <w:jc w:val="center"/>
              <w:rPr>
                <w:lang w:eastAsia="it-IT"/>
              </w:rPr>
            </w:pPr>
            <w:r>
              <w:rPr>
                <w:lang w:eastAsia="it-IT"/>
              </w:rPr>
              <w:t>&lt;6 months or repayable on demand</w:t>
            </w:r>
          </w:p>
        </w:tc>
        <w:tc>
          <w:tcPr>
            <w:tcW w:w="992" w:type="dxa"/>
            <w:tcBorders>
              <w:top w:val="single" w:sz="4" w:space="0" w:color="auto"/>
              <w:left w:val="single" w:sz="4" w:space="0" w:color="auto"/>
              <w:bottom w:val="single" w:sz="6" w:space="0" w:color="auto"/>
              <w:right w:val="single" w:sz="4" w:space="0" w:color="auto"/>
            </w:tcBorders>
            <w:vAlign w:val="center"/>
          </w:tcPr>
          <w:p w:rsidR="00545554" w:rsidRPr="00350593" w:rsidRDefault="00545554" w:rsidP="00545554">
            <w:pPr>
              <w:pStyle w:val="TableText"/>
              <w:snapToGrid w:val="0"/>
              <w:jc w:val="center"/>
              <w:rPr>
                <w:lang w:eastAsia="it-IT"/>
              </w:rPr>
            </w:pPr>
            <w:r>
              <w:rPr>
                <w:lang w:eastAsia="it-IT"/>
              </w:rPr>
              <w:t xml:space="preserve">6 months to &lt; 12 months </w:t>
            </w:r>
          </w:p>
        </w:tc>
        <w:tc>
          <w:tcPr>
            <w:tcW w:w="993" w:type="dxa"/>
            <w:tcBorders>
              <w:top w:val="single" w:sz="4" w:space="0" w:color="auto"/>
              <w:left w:val="single" w:sz="4" w:space="0" w:color="auto"/>
              <w:bottom w:val="single" w:sz="6" w:space="0" w:color="auto"/>
              <w:right w:val="single" w:sz="6" w:space="0" w:color="auto"/>
            </w:tcBorders>
            <w:vAlign w:val="center"/>
          </w:tcPr>
          <w:p w:rsidR="00545554" w:rsidRPr="00350593" w:rsidRDefault="00545554" w:rsidP="00545554">
            <w:pPr>
              <w:pStyle w:val="TableText"/>
              <w:snapToGrid w:val="0"/>
              <w:jc w:val="center"/>
              <w:rPr>
                <w:lang w:eastAsia="it-IT"/>
              </w:rPr>
            </w:pPr>
            <w:r>
              <w:rPr>
                <w:lang w:eastAsia="it-IT"/>
              </w:rPr>
              <w:t xml:space="preserve">12 months or more </w:t>
            </w:r>
          </w:p>
        </w:tc>
        <w:tc>
          <w:tcPr>
            <w:tcW w:w="1001" w:type="dxa"/>
            <w:vMerge/>
            <w:tcBorders>
              <w:left w:val="single" w:sz="6" w:space="0" w:color="auto"/>
              <w:bottom w:val="single" w:sz="6" w:space="0" w:color="auto"/>
              <w:right w:val="single" w:sz="4" w:space="0" w:color="auto"/>
            </w:tcBorders>
            <w:vAlign w:val="center"/>
          </w:tcPr>
          <w:p w:rsidR="00545554" w:rsidRDefault="00545554" w:rsidP="00545554">
            <w:pPr>
              <w:pStyle w:val="TableText"/>
              <w:snapToGrid w:val="0"/>
              <w:jc w:val="center"/>
              <w:rPr>
                <w:b/>
                <w:lang w:eastAsia="it-IT"/>
              </w:rPr>
            </w:pPr>
          </w:p>
        </w:tc>
      </w:tr>
      <w:tr w:rsidR="00545554" w:rsidRPr="0023654F" w:rsidTr="0092221A">
        <w:trPr>
          <w:cantSplit/>
          <w:trHeight w:val="285"/>
        </w:trPr>
        <w:tc>
          <w:tcPr>
            <w:tcW w:w="4110" w:type="dxa"/>
            <w:gridSpan w:val="2"/>
            <w:tcBorders>
              <w:top w:val="single" w:sz="4" w:space="0" w:color="auto"/>
              <w:left w:val="nil"/>
              <w:bottom w:val="single" w:sz="4" w:space="0" w:color="auto"/>
              <w:right w:val="nil"/>
            </w:tcBorders>
            <w:shd w:val="clear" w:color="auto" w:fill="BFBFBF" w:themeFill="background1" w:themeFillShade="BF"/>
          </w:tcPr>
          <w:p w:rsidR="00545554" w:rsidRPr="00445B4A" w:rsidRDefault="00545554" w:rsidP="0092221A">
            <w:pPr>
              <w:pStyle w:val="TableText"/>
              <w:numPr>
                <w:ilvl w:val="0"/>
                <w:numId w:val="47"/>
              </w:numPr>
              <w:snapToGrid w:val="0"/>
              <w:ind w:rightChars="71" w:right="142"/>
              <w:rPr>
                <w:b/>
                <w:lang w:eastAsia="it-IT"/>
              </w:rPr>
            </w:pPr>
            <w:r>
              <w:rPr>
                <w:b/>
                <w:lang w:eastAsia="it-IT"/>
              </w:rPr>
              <w:lastRenderedPageBreak/>
              <w:t>Available stable funding (“ASF”) item</w:t>
            </w:r>
          </w:p>
        </w:tc>
        <w:tc>
          <w:tcPr>
            <w:tcW w:w="992"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85"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92" w:type="dxa"/>
            <w:tcBorders>
              <w:top w:val="single" w:sz="6"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93" w:type="dxa"/>
            <w:tcBorders>
              <w:top w:val="single" w:sz="6"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1001" w:type="dxa"/>
            <w:tcBorders>
              <w:top w:val="single" w:sz="6" w:space="0" w:color="auto"/>
              <w:left w:val="nil"/>
              <w:bottom w:val="single" w:sz="4" w:space="0" w:color="auto"/>
              <w:right w:val="single" w:sz="4" w:space="0" w:color="auto"/>
            </w:tcBorders>
            <w:shd w:val="clear" w:color="auto" w:fill="BFBFBF" w:themeFill="background1" w:themeFillShade="BF"/>
          </w:tcPr>
          <w:p w:rsidR="00545554" w:rsidRPr="0023654F" w:rsidRDefault="00545554" w:rsidP="00545554">
            <w:pPr>
              <w:pStyle w:val="TableText"/>
              <w:snapToGrid w:val="0"/>
              <w:rPr>
                <w:lang w:eastAsia="it-IT"/>
              </w:rPr>
            </w:pPr>
          </w:p>
        </w:tc>
      </w:tr>
      <w:tr w:rsidR="00545554" w:rsidRPr="0023654F" w:rsidTr="0092221A">
        <w:trPr>
          <w:cantSplit/>
          <w:trHeight w:val="285"/>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1</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E960C4" w:rsidRDefault="00545554" w:rsidP="00545554">
            <w:pPr>
              <w:pStyle w:val="TableText"/>
              <w:snapToGrid w:val="0"/>
              <w:ind w:left="57" w:rightChars="71" w:right="142"/>
              <w:rPr>
                <w:lang w:val="en-US" w:eastAsia="it-IT"/>
              </w:rPr>
            </w:pPr>
            <w:r>
              <w:rPr>
                <w:lang w:eastAsia="it-IT"/>
              </w:rPr>
              <w:t>Capital:</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2</w:t>
            </w:r>
          </w:p>
        </w:tc>
        <w:tc>
          <w:tcPr>
            <w:tcW w:w="3643" w:type="dxa"/>
            <w:tcBorders>
              <w:top w:val="single" w:sz="4" w:space="0" w:color="auto"/>
              <w:left w:val="single" w:sz="4" w:space="0" w:color="auto"/>
              <w:bottom w:val="single" w:sz="4" w:space="0" w:color="auto"/>
              <w:right w:val="single" w:sz="4" w:space="0" w:color="auto"/>
            </w:tcBorders>
          </w:tcPr>
          <w:p w:rsidR="00545554" w:rsidRPr="00C940CE" w:rsidRDefault="00545554" w:rsidP="00545554">
            <w:pPr>
              <w:pStyle w:val="TableText"/>
              <w:snapToGrid w:val="0"/>
              <w:ind w:leftChars="28" w:left="382" w:rightChars="71" w:right="142" w:hangingChars="192" w:hanging="326"/>
              <w:rPr>
                <w:i/>
                <w:lang w:eastAsia="it-IT"/>
              </w:rPr>
            </w:pPr>
            <w:r>
              <w:rPr>
                <w:i/>
                <w:lang w:eastAsia="it-IT"/>
              </w:rPr>
              <w:tab/>
              <w:t>Regulatory capital</w:t>
            </w: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Default="00545554" w:rsidP="00545554">
            <w:pPr>
              <w:pStyle w:val="TableText"/>
              <w:snapToGrid w:val="0"/>
              <w:ind w:left="57"/>
              <w:rPr>
                <w:sz w:val="16"/>
                <w:szCs w:val="16"/>
                <w:lang w:eastAsia="en-GB"/>
              </w:rPr>
            </w:pPr>
            <w:r>
              <w:rPr>
                <w:sz w:val="16"/>
                <w:szCs w:val="16"/>
                <w:lang w:eastAsia="en-GB"/>
              </w:rPr>
              <w:t>2a</w:t>
            </w:r>
          </w:p>
        </w:tc>
        <w:tc>
          <w:tcPr>
            <w:tcW w:w="3643" w:type="dxa"/>
            <w:tcBorders>
              <w:top w:val="single" w:sz="4" w:space="0" w:color="auto"/>
              <w:left w:val="single" w:sz="4" w:space="0" w:color="auto"/>
              <w:bottom w:val="single" w:sz="4" w:space="0" w:color="auto"/>
              <w:right w:val="single" w:sz="4" w:space="0" w:color="auto"/>
            </w:tcBorders>
          </w:tcPr>
          <w:p w:rsidR="00545554" w:rsidRDefault="00545554" w:rsidP="00545554">
            <w:pPr>
              <w:pStyle w:val="TableText"/>
              <w:snapToGrid w:val="0"/>
              <w:ind w:leftChars="28" w:left="382" w:rightChars="71" w:right="142" w:hangingChars="192" w:hanging="326"/>
              <w:rPr>
                <w:i/>
                <w:lang w:eastAsia="it-IT"/>
              </w:rPr>
            </w:pPr>
            <w:r>
              <w:rPr>
                <w:i/>
                <w:lang w:eastAsia="it-IT"/>
              </w:rPr>
              <w:tab/>
              <w:t>Minority interests not covered by row 2</w:t>
            </w: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3</w:t>
            </w:r>
          </w:p>
        </w:tc>
        <w:tc>
          <w:tcPr>
            <w:tcW w:w="3643" w:type="dxa"/>
            <w:tcBorders>
              <w:top w:val="single" w:sz="4" w:space="0" w:color="auto"/>
              <w:left w:val="single" w:sz="4" w:space="0" w:color="auto"/>
              <w:bottom w:val="single" w:sz="4" w:space="0" w:color="auto"/>
              <w:right w:val="single" w:sz="4" w:space="0" w:color="auto"/>
            </w:tcBorders>
          </w:tcPr>
          <w:p w:rsidR="00545554" w:rsidRPr="00475528" w:rsidRDefault="00545554" w:rsidP="00545554">
            <w:pPr>
              <w:pStyle w:val="TableText"/>
              <w:tabs>
                <w:tab w:val="left" w:pos="384"/>
              </w:tabs>
              <w:snapToGrid w:val="0"/>
              <w:ind w:left="57" w:rightChars="71" w:right="142"/>
              <w:rPr>
                <w:i/>
                <w:lang w:eastAsia="it-IT"/>
              </w:rPr>
            </w:pPr>
            <w:r>
              <w:rPr>
                <w:i/>
                <w:lang w:eastAsia="it-IT"/>
              </w:rPr>
              <w:tab/>
              <w:t>Other capital instruments</w:t>
            </w: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4</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62513D" w:rsidRDefault="00545554" w:rsidP="00545554">
            <w:pPr>
              <w:pStyle w:val="TableText"/>
              <w:snapToGrid w:val="0"/>
              <w:ind w:left="57" w:rightChars="71" w:right="142"/>
              <w:rPr>
                <w:lang w:val="en-US" w:eastAsia="it-IT"/>
              </w:rPr>
            </w:pPr>
            <w:r>
              <w:rPr>
                <w:lang w:eastAsia="it-IT"/>
              </w:rPr>
              <w:t xml:space="preserve">Retail deposits and </w:t>
            </w:r>
            <w:r w:rsidRPr="00475528">
              <w:rPr>
                <w:lang w:eastAsia="it-IT"/>
              </w:rPr>
              <w:t xml:space="preserve">small business </w:t>
            </w:r>
            <w:r>
              <w:rPr>
                <w:lang w:eastAsia="it-IT"/>
              </w:rPr>
              <w:t>funding</w:t>
            </w:r>
            <w:r w:rsidRPr="00475528">
              <w:rPr>
                <w:lang w:eastAsia="it-IT"/>
              </w:rPr>
              <w:t>:</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5</w:t>
            </w:r>
          </w:p>
        </w:tc>
        <w:tc>
          <w:tcPr>
            <w:tcW w:w="3643" w:type="dxa"/>
            <w:tcBorders>
              <w:top w:val="single" w:sz="4" w:space="0" w:color="auto"/>
              <w:left w:val="single" w:sz="4" w:space="0" w:color="auto"/>
              <w:bottom w:val="single" w:sz="4" w:space="0" w:color="auto"/>
              <w:right w:val="single" w:sz="4" w:space="0" w:color="auto"/>
            </w:tcBorders>
          </w:tcPr>
          <w:p w:rsidR="00545554" w:rsidRPr="00475528" w:rsidRDefault="00545554" w:rsidP="00545554">
            <w:pPr>
              <w:pStyle w:val="TableText"/>
              <w:tabs>
                <w:tab w:val="left" w:pos="384"/>
              </w:tabs>
              <w:snapToGrid w:val="0"/>
              <w:ind w:left="57" w:rightChars="71" w:right="142"/>
              <w:rPr>
                <w:i/>
                <w:lang w:eastAsia="it-IT"/>
              </w:rPr>
            </w:pPr>
            <w:r>
              <w:rPr>
                <w:i/>
                <w:lang w:eastAsia="it-IT"/>
              </w:rPr>
              <w:tab/>
              <w:t>Stable</w:t>
            </w:r>
            <w:r w:rsidRPr="00475528">
              <w:rPr>
                <w:i/>
                <w:lang w:eastAsia="it-IT"/>
              </w:rPr>
              <w:t xml:space="preserve">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6</w:t>
            </w:r>
          </w:p>
        </w:tc>
        <w:tc>
          <w:tcPr>
            <w:tcW w:w="3643" w:type="dxa"/>
            <w:tcBorders>
              <w:top w:val="single" w:sz="4" w:space="0" w:color="auto"/>
              <w:left w:val="single" w:sz="4" w:space="0" w:color="auto"/>
              <w:bottom w:val="single" w:sz="4" w:space="0" w:color="auto"/>
              <w:right w:val="single" w:sz="4" w:space="0" w:color="auto"/>
            </w:tcBorders>
          </w:tcPr>
          <w:p w:rsidR="00545554" w:rsidRPr="00475528" w:rsidRDefault="00545554" w:rsidP="00545554">
            <w:pPr>
              <w:pStyle w:val="TableText"/>
              <w:tabs>
                <w:tab w:val="left" w:pos="384"/>
              </w:tabs>
              <w:snapToGrid w:val="0"/>
              <w:ind w:left="57" w:rightChars="71" w:right="142"/>
              <w:rPr>
                <w:i/>
                <w:lang w:eastAsia="it-IT"/>
              </w:rPr>
            </w:pPr>
            <w:r>
              <w:rPr>
                <w:i/>
                <w:lang w:eastAsia="it-IT"/>
              </w:rPr>
              <w:tab/>
              <w:t>Less stable</w:t>
            </w:r>
            <w:r w:rsidRPr="00475528">
              <w:rPr>
                <w:i/>
                <w:lang w:eastAsia="it-IT"/>
              </w:rPr>
              <w:t xml:space="preserve">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7</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475528" w:rsidRDefault="00545554" w:rsidP="00545554">
            <w:pPr>
              <w:pStyle w:val="TableText"/>
              <w:snapToGrid w:val="0"/>
              <w:ind w:left="57" w:rightChars="71" w:right="142"/>
              <w:rPr>
                <w:lang w:eastAsia="it-IT"/>
              </w:rPr>
            </w:pPr>
            <w:r>
              <w:rPr>
                <w:lang w:eastAsia="it-IT"/>
              </w:rPr>
              <w:t>Wholesale funding: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ind w:left="57"/>
              <w:rPr>
                <w:sz w:val="16"/>
                <w:szCs w:val="16"/>
                <w:lang w:eastAsia="en-GB"/>
              </w:rPr>
            </w:pPr>
            <w:r>
              <w:rPr>
                <w:sz w:val="16"/>
                <w:szCs w:val="16"/>
                <w:lang w:eastAsia="en-GB"/>
              </w:rPr>
              <w:t>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50593" w:rsidRDefault="00545554" w:rsidP="00545554">
            <w:pPr>
              <w:pStyle w:val="TableText"/>
              <w:tabs>
                <w:tab w:val="left" w:pos="384"/>
              </w:tabs>
              <w:snapToGrid w:val="0"/>
              <w:ind w:left="57" w:rightChars="71" w:right="142"/>
              <w:rPr>
                <w:i/>
                <w:lang w:eastAsia="it-IT"/>
              </w:rPr>
            </w:pPr>
            <w:r>
              <w:rPr>
                <w:i/>
                <w:lang w:eastAsia="it-IT"/>
              </w:rPr>
              <w:tab/>
            </w:r>
            <w:r w:rsidRPr="00350593">
              <w:rPr>
                <w:i/>
                <w:lang w:eastAsia="it-IT"/>
              </w:rPr>
              <w:t>Operational deposits</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ind w:left="57"/>
              <w:rPr>
                <w:sz w:val="16"/>
                <w:szCs w:val="16"/>
                <w:lang w:eastAsia="en-GB"/>
              </w:rPr>
            </w:pPr>
            <w:r>
              <w:rPr>
                <w:sz w:val="16"/>
                <w:szCs w:val="16"/>
                <w:lang w:eastAsia="en-GB"/>
              </w:rPr>
              <w:t>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50593" w:rsidRDefault="00545554" w:rsidP="00545554">
            <w:pPr>
              <w:pStyle w:val="TableText"/>
              <w:tabs>
                <w:tab w:val="left" w:pos="384"/>
              </w:tabs>
              <w:snapToGrid w:val="0"/>
              <w:ind w:left="57" w:rightChars="71" w:right="142"/>
              <w:rPr>
                <w:i/>
                <w:lang w:eastAsia="it-IT"/>
              </w:rPr>
            </w:pPr>
            <w:r>
              <w:rPr>
                <w:i/>
                <w:lang w:eastAsia="it-IT"/>
              </w:rPr>
              <w:tab/>
            </w:r>
            <w:r w:rsidRPr="00350593">
              <w:rPr>
                <w:i/>
                <w:lang w:eastAsia="it-IT"/>
              </w:rPr>
              <w:t>Other wholesale funding</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10</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4D2FAD" w:rsidRDefault="00545554" w:rsidP="00545554">
            <w:pPr>
              <w:pStyle w:val="TableText"/>
              <w:snapToGrid w:val="0"/>
              <w:ind w:left="57" w:rightChars="71" w:right="142"/>
              <w:rPr>
                <w:lang w:eastAsia="it-IT"/>
              </w:rPr>
            </w:pPr>
            <w:r w:rsidRPr="00350593">
              <w:rPr>
                <w:lang w:eastAsia="it-IT"/>
              </w:rPr>
              <w:t>Liabilities with</w:t>
            </w:r>
            <w:r>
              <w:rPr>
                <w:lang w:eastAsia="it-IT"/>
              </w:rPr>
              <w:t xml:space="preserve"> matching interdependent assets</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Default="00545554" w:rsidP="00545554">
            <w:pPr>
              <w:pStyle w:val="TableText"/>
              <w:snapToGrid w:val="0"/>
              <w:ind w:left="57"/>
              <w:rPr>
                <w:sz w:val="16"/>
                <w:szCs w:val="16"/>
                <w:lang w:eastAsia="en-GB"/>
              </w:rPr>
            </w:pPr>
            <w:r>
              <w:rPr>
                <w:sz w:val="16"/>
                <w:szCs w:val="16"/>
                <w:lang w:eastAsia="en-GB"/>
              </w:rPr>
              <w:t>11</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50593" w:rsidRDefault="00545554" w:rsidP="00545554">
            <w:pPr>
              <w:pStyle w:val="TableText"/>
              <w:snapToGrid w:val="0"/>
              <w:ind w:left="57" w:rightChars="71" w:right="142"/>
              <w:rPr>
                <w:lang w:eastAsia="it-IT"/>
              </w:rPr>
            </w:pPr>
            <w:r>
              <w:rPr>
                <w:lang w:eastAsia="it-IT"/>
              </w:rPr>
              <w:t>Other liabilities:</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12</w:t>
            </w:r>
          </w:p>
        </w:tc>
        <w:tc>
          <w:tcPr>
            <w:tcW w:w="3643" w:type="dxa"/>
            <w:tcBorders>
              <w:top w:val="single" w:sz="4" w:space="0" w:color="auto"/>
              <w:left w:val="single" w:sz="4" w:space="0" w:color="auto"/>
              <w:bottom w:val="single" w:sz="4" w:space="0" w:color="auto"/>
              <w:right w:val="single" w:sz="4" w:space="0" w:color="auto"/>
            </w:tcBorders>
          </w:tcPr>
          <w:p w:rsidR="00545554" w:rsidRPr="00475528" w:rsidRDefault="00545554" w:rsidP="00545554">
            <w:pPr>
              <w:pStyle w:val="TableText"/>
              <w:tabs>
                <w:tab w:val="left" w:pos="384"/>
              </w:tabs>
              <w:snapToGrid w:val="0"/>
              <w:ind w:left="57" w:rightChars="71" w:right="142"/>
              <w:rPr>
                <w:i/>
                <w:lang w:eastAsia="it-IT"/>
              </w:rPr>
            </w:pPr>
            <w:r>
              <w:rPr>
                <w:i/>
                <w:lang w:eastAsia="it-IT"/>
              </w:rPr>
              <w:tab/>
              <w:t xml:space="preserve">Net </w:t>
            </w:r>
            <w:r w:rsidRPr="00C940CE">
              <w:rPr>
                <w:i/>
                <w:lang w:eastAsia="it-IT"/>
              </w:rPr>
              <w:t>derivative liabilities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13</w:t>
            </w:r>
          </w:p>
        </w:tc>
        <w:tc>
          <w:tcPr>
            <w:tcW w:w="3643" w:type="dxa"/>
            <w:tcBorders>
              <w:top w:val="single" w:sz="4" w:space="0" w:color="auto"/>
              <w:left w:val="single" w:sz="4" w:space="0" w:color="auto"/>
              <w:bottom w:val="single" w:sz="4" w:space="0" w:color="auto"/>
              <w:right w:val="single" w:sz="4" w:space="0" w:color="auto"/>
            </w:tcBorders>
          </w:tcPr>
          <w:p w:rsidR="00545554" w:rsidRPr="00C940CE" w:rsidRDefault="00545554" w:rsidP="00545554">
            <w:pPr>
              <w:pStyle w:val="TableText"/>
              <w:snapToGrid w:val="0"/>
              <w:ind w:leftChars="28" w:left="382" w:rightChars="71" w:right="142" w:hangingChars="192" w:hanging="326"/>
              <w:rPr>
                <w:i/>
                <w:lang w:eastAsia="it-IT"/>
              </w:rPr>
            </w:pPr>
            <w:r>
              <w:rPr>
                <w:i/>
                <w:lang w:eastAsia="it-IT"/>
              </w:rPr>
              <w:tab/>
            </w:r>
            <w:r w:rsidRPr="00C940CE">
              <w:rPr>
                <w:i/>
                <w:lang w:eastAsia="it-IT"/>
              </w:rPr>
              <w:t xml:space="preserve">All other </w:t>
            </w:r>
            <w:r>
              <w:rPr>
                <w:i/>
                <w:lang w:eastAsia="it-IT"/>
              </w:rPr>
              <w:t xml:space="preserve">funding and </w:t>
            </w:r>
            <w:r w:rsidRPr="00C940CE">
              <w:rPr>
                <w:i/>
                <w:lang w:eastAsia="it-IT"/>
              </w:rPr>
              <w:t>liabilities not included i</w:t>
            </w:r>
            <w:r>
              <w:rPr>
                <w:i/>
                <w:lang w:eastAsia="it-IT"/>
              </w:rPr>
              <w:t>n the above categories</w:t>
            </w: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ind w:left="57"/>
              <w:rPr>
                <w:sz w:val="16"/>
                <w:szCs w:val="16"/>
                <w:lang w:eastAsia="en-GB"/>
              </w:rPr>
            </w:pPr>
            <w:r>
              <w:rPr>
                <w:sz w:val="16"/>
                <w:szCs w:val="16"/>
                <w:lang w:eastAsia="en-GB"/>
              </w:rPr>
              <w:t>14</w:t>
            </w:r>
          </w:p>
        </w:tc>
        <w:tc>
          <w:tcPr>
            <w:tcW w:w="3643" w:type="dxa"/>
            <w:tcBorders>
              <w:top w:val="single" w:sz="4" w:space="0" w:color="auto"/>
              <w:left w:val="single" w:sz="4" w:space="0" w:color="auto"/>
              <w:bottom w:val="single" w:sz="4" w:space="0" w:color="auto"/>
              <w:right w:val="single" w:sz="4" w:space="0" w:color="auto"/>
            </w:tcBorders>
          </w:tcPr>
          <w:p w:rsidR="00545554" w:rsidRPr="00475528" w:rsidDel="001C71B9" w:rsidRDefault="00545554" w:rsidP="00545554">
            <w:pPr>
              <w:pStyle w:val="TableText"/>
              <w:snapToGrid w:val="0"/>
              <w:ind w:left="57" w:rightChars="71" w:right="142"/>
              <w:rPr>
                <w:i/>
                <w:lang w:eastAsia="it-IT"/>
              </w:rPr>
            </w:pPr>
            <w:r w:rsidRPr="00013E30">
              <w:rPr>
                <w:b/>
                <w:lang w:eastAsia="it-IT"/>
              </w:rPr>
              <w:t>Total ASF</w:t>
            </w: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110" w:type="dxa"/>
            <w:gridSpan w:val="2"/>
            <w:tcBorders>
              <w:top w:val="single" w:sz="4" w:space="0" w:color="auto"/>
              <w:left w:val="nil"/>
              <w:bottom w:val="single" w:sz="4" w:space="0" w:color="auto"/>
              <w:right w:val="nil"/>
            </w:tcBorders>
            <w:shd w:val="clear" w:color="auto" w:fill="BFBFBF" w:themeFill="background1" w:themeFillShade="BF"/>
          </w:tcPr>
          <w:p w:rsidR="00545554" w:rsidRDefault="00545554" w:rsidP="001B530B">
            <w:pPr>
              <w:pStyle w:val="TableText"/>
              <w:numPr>
                <w:ilvl w:val="0"/>
                <w:numId w:val="47"/>
              </w:numPr>
              <w:snapToGrid w:val="0"/>
              <w:ind w:rightChars="71" w:right="142"/>
              <w:rPr>
                <w:b/>
                <w:bCs/>
                <w:sz w:val="20"/>
              </w:rPr>
            </w:pPr>
            <w:r>
              <w:rPr>
                <w:b/>
                <w:lang w:eastAsia="it-IT"/>
              </w:rPr>
              <w:t>Required stable funding (“RSF”) item</w:t>
            </w:r>
          </w:p>
        </w:tc>
        <w:tc>
          <w:tcPr>
            <w:tcW w:w="992"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85"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92"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993" w:type="dxa"/>
            <w:tcBorders>
              <w:top w:val="single" w:sz="4" w:space="0" w:color="auto"/>
              <w:left w:val="nil"/>
              <w:bottom w:val="single" w:sz="4" w:space="0" w:color="auto"/>
              <w:right w:val="nil"/>
            </w:tcBorders>
            <w:shd w:val="clear" w:color="auto" w:fill="BFBFBF" w:themeFill="background1" w:themeFillShade="BF"/>
          </w:tcPr>
          <w:p w:rsidR="00545554" w:rsidRPr="0023654F" w:rsidRDefault="00545554" w:rsidP="00545554">
            <w:pPr>
              <w:pStyle w:val="TableText"/>
              <w:snapToGrid w:val="0"/>
              <w:rPr>
                <w:lang w:eastAsia="it-IT"/>
              </w:rPr>
            </w:pPr>
          </w:p>
        </w:tc>
        <w:tc>
          <w:tcPr>
            <w:tcW w:w="1001" w:type="dxa"/>
            <w:tcBorders>
              <w:top w:val="single" w:sz="4" w:space="0" w:color="auto"/>
              <w:left w:val="nil"/>
              <w:bottom w:val="single" w:sz="4" w:space="0" w:color="auto"/>
              <w:right w:val="single" w:sz="4" w:space="0" w:color="auto"/>
            </w:tcBorders>
            <w:shd w:val="clear" w:color="auto" w:fill="BFBFBF" w:themeFill="background1" w:themeFillShade="BF"/>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15</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02A50" w:rsidRDefault="00545554" w:rsidP="00545554">
            <w:pPr>
              <w:pStyle w:val="TableText"/>
              <w:snapToGrid w:val="0"/>
              <w:ind w:left="57" w:rightChars="71" w:right="142"/>
              <w:rPr>
                <w:lang w:eastAsia="it-IT"/>
              </w:rPr>
            </w:pPr>
            <w:r w:rsidRPr="00202A50">
              <w:rPr>
                <w:lang w:eastAsia="it-IT"/>
              </w:rPr>
              <w:t xml:space="preserve">Total </w:t>
            </w:r>
            <w:r>
              <w:rPr>
                <w:lang w:eastAsia="it-IT"/>
              </w:rPr>
              <w:t>HQLA for NSFR purposes</w:t>
            </w:r>
          </w:p>
        </w:tc>
        <w:tc>
          <w:tcPr>
            <w:tcW w:w="396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16</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02A50" w:rsidRDefault="00545554" w:rsidP="00545554">
            <w:pPr>
              <w:pStyle w:val="TableText"/>
              <w:snapToGrid w:val="0"/>
              <w:ind w:left="57" w:rightChars="71" w:right="142"/>
              <w:rPr>
                <w:lang w:eastAsia="it-IT"/>
              </w:rPr>
            </w:pPr>
            <w:r w:rsidRPr="00202A50">
              <w:rPr>
                <w:lang w:eastAsia="it-IT"/>
              </w:rPr>
              <w:t>Deposits held at other financial institutions for operational pur</w:t>
            </w:r>
            <w:r>
              <w:rPr>
                <w:lang w:eastAsia="it-IT"/>
              </w:rPr>
              <w:t>poses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ind w:left="57"/>
              <w:rPr>
                <w:sz w:val="16"/>
                <w:szCs w:val="16"/>
                <w:lang w:eastAsia="en-GB"/>
              </w:rPr>
            </w:pPr>
            <w:r>
              <w:rPr>
                <w:sz w:val="16"/>
                <w:szCs w:val="16"/>
                <w:lang w:eastAsia="en-GB"/>
              </w:rPr>
              <w:t>17</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595C1F" w:rsidRDefault="00545554" w:rsidP="00545554">
            <w:pPr>
              <w:pStyle w:val="TableText"/>
              <w:snapToGrid w:val="0"/>
              <w:ind w:left="57" w:rightChars="71" w:right="142"/>
              <w:rPr>
                <w:lang w:eastAsia="it-IT"/>
              </w:rPr>
            </w:pPr>
            <w:r w:rsidRPr="00202A50">
              <w:rPr>
                <w:lang w:eastAsia="it-IT"/>
              </w:rPr>
              <w:t>P</w:t>
            </w:r>
            <w:r>
              <w:rPr>
                <w:lang w:eastAsia="it-IT"/>
              </w:rPr>
              <w:t>erforming loans and securities: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18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D5121" w:rsidRDefault="00545554" w:rsidP="00545554">
            <w:pPr>
              <w:pStyle w:val="TableText"/>
              <w:snapToGrid w:val="0"/>
              <w:ind w:leftChars="28" w:left="382" w:rightChars="71" w:right="142" w:hangingChars="192" w:hanging="326"/>
              <w:rPr>
                <w:i/>
                <w:lang w:eastAsia="it-IT"/>
              </w:rPr>
            </w:pPr>
            <w:r>
              <w:rPr>
                <w:i/>
                <w:lang w:eastAsia="it-IT"/>
              </w:rPr>
              <w:tab/>
            </w:r>
            <w:r w:rsidRPr="003D5121">
              <w:rPr>
                <w:i/>
                <w:lang w:eastAsia="it-IT"/>
              </w:rPr>
              <w:t xml:space="preserve">Performing loans to financial institutions secured by Level 1 HQLA </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19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D5121" w:rsidRDefault="00545554" w:rsidP="00545554">
            <w:pPr>
              <w:pStyle w:val="TableText"/>
              <w:snapToGrid w:val="0"/>
              <w:ind w:leftChars="28" w:left="382" w:rightChars="71" w:right="142" w:hangingChars="192" w:hanging="326"/>
              <w:rPr>
                <w:i/>
                <w:lang w:eastAsia="it-IT"/>
              </w:rPr>
            </w:pPr>
            <w:r>
              <w:rPr>
                <w:i/>
                <w:lang w:eastAsia="it-IT"/>
              </w:rPr>
              <w:tab/>
            </w:r>
            <w:r w:rsidRPr="003D5121">
              <w:rPr>
                <w:i/>
                <w:lang w:eastAsia="it-IT"/>
              </w:rPr>
              <w:t xml:space="preserve">Performing loans to financial institutions secured by non-Level 1 HQLA and unsecured performing loans to financial institutions </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20</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D5121" w:rsidRDefault="00545554" w:rsidP="00545554">
            <w:pPr>
              <w:pStyle w:val="TableText"/>
              <w:snapToGrid w:val="0"/>
              <w:ind w:leftChars="28" w:left="382" w:rightChars="71" w:right="142" w:hangingChars="192" w:hanging="326"/>
              <w:rPr>
                <w:i/>
                <w:lang w:eastAsia="it-IT"/>
              </w:rPr>
            </w:pPr>
            <w:r>
              <w:rPr>
                <w:i/>
                <w:lang w:eastAsia="it-IT"/>
              </w:rPr>
              <w:tab/>
              <w:t xml:space="preserve">Performing </w:t>
            </w:r>
            <w:r w:rsidRPr="003D5121">
              <w:rPr>
                <w:i/>
                <w:lang w:eastAsia="it-IT"/>
              </w:rPr>
              <w:t>loans</w:t>
            </w:r>
            <w:r>
              <w:rPr>
                <w:i/>
                <w:lang w:eastAsia="it-IT"/>
              </w:rPr>
              <w:t>, other than performing residential mortgage,</w:t>
            </w:r>
            <w:r w:rsidRPr="003D5121">
              <w:rPr>
                <w:i/>
                <w:lang w:eastAsia="it-IT"/>
              </w:rPr>
              <w:t xml:space="preserve"> to non-financial corporate clients, retail and small business customers, sovereigns, </w:t>
            </w:r>
            <w:r>
              <w:rPr>
                <w:i/>
                <w:lang w:eastAsia="it-IT"/>
              </w:rPr>
              <w:t xml:space="preserve">the Monetary Authority for the account of the Exchange Fund, </w:t>
            </w:r>
            <w:r w:rsidRPr="003D5121">
              <w:rPr>
                <w:i/>
                <w:lang w:eastAsia="it-IT"/>
              </w:rPr>
              <w:t>ce</w:t>
            </w:r>
            <w:r>
              <w:rPr>
                <w:i/>
                <w:lang w:eastAsia="it-IT"/>
              </w:rPr>
              <w:t>ntral banks and PSEs, of which: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21</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tabs>
                <w:tab w:val="left" w:pos="667"/>
              </w:tabs>
              <w:snapToGrid w:val="0"/>
              <w:ind w:leftChars="192" w:left="666" w:rightChars="71" w:right="142" w:hangingChars="166" w:hanging="282"/>
              <w:rPr>
                <w:i/>
                <w:lang w:eastAsia="it-IT"/>
              </w:rPr>
            </w:pPr>
            <w:r>
              <w:rPr>
                <w:i/>
                <w:lang w:eastAsia="it-IT"/>
              </w:rPr>
              <w:tab/>
            </w:r>
            <w:r w:rsidRPr="00202A50">
              <w:rPr>
                <w:i/>
                <w:lang w:eastAsia="it-IT"/>
              </w:rPr>
              <w:t xml:space="preserve">With a </w:t>
            </w:r>
            <w:r>
              <w:rPr>
                <w:i/>
                <w:lang w:eastAsia="it-IT"/>
              </w:rPr>
              <w:t xml:space="preserve">risk-weight </w:t>
            </w:r>
            <w:r w:rsidRPr="00202A50">
              <w:rPr>
                <w:i/>
                <w:lang w:eastAsia="it-IT"/>
              </w:rPr>
              <w:t xml:space="preserve">of less than or equal to 35% under the </w:t>
            </w:r>
            <w:r>
              <w:rPr>
                <w:i/>
                <w:lang w:eastAsia="it-IT"/>
              </w:rPr>
              <w:t>STC approach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22</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Default="00545554" w:rsidP="00545554">
            <w:pPr>
              <w:pStyle w:val="TableText"/>
              <w:tabs>
                <w:tab w:val="left" w:pos="667"/>
              </w:tabs>
              <w:snapToGrid w:val="0"/>
              <w:ind w:leftChars="192" w:left="666" w:rightChars="71" w:right="142" w:hangingChars="166" w:hanging="282"/>
              <w:rPr>
                <w:i/>
                <w:lang w:eastAsia="it-IT"/>
              </w:rPr>
            </w:pPr>
            <w:r>
              <w:rPr>
                <w:i/>
                <w:lang w:eastAsia="it-IT"/>
              </w:rPr>
              <w:t>Performing residential mortgages, of which: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23</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Default="00545554" w:rsidP="00545554">
            <w:pPr>
              <w:pStyle w:val="TableText"/>
              <w:tabs>
                <w:tab w:val="left" w:pos="667"/>
              </w:tabs>
              <w:snapToGrid w:val="0"/>
              <w:ind w:leftChars="192" w:left="666" w:rightChars="71" w:right="142" w:hangingChars="166" w:hanging="282"/>
              <w:rPr>
                <w:i/>
                <w:lang w:eastAsia="it-IT"/>
              </w:rPr>
            </w:pPr>
            <w:r>
              <w:rPr>
                <w:i/>
                <w:lang w:eastAsia="it-IT"/>
              </w:rPr>
              <w:tab/>
            </w:r>
            <w:r w:rsidRPr="00F9513B">
              <w:rPr>
                <w:i/>
                <w:lang w:eastAsia="it-IT"/>
              </w:rPr>
              <w:t xml:space="preserve">With a risk-weight of less than or equal to 35% under the </w:t>
            </w:r>
            <w:r>
              <w:rPr>
                <w:i/>
                <w:lang w:eastAsia="it-IT"/>
              </w:rPr>
              <w:t>STC</w:t>
            </w:r>
            <w:r w:rsidRPr="00F9513B">
              <w:rPr>
                <w:i/>
                <w:lang w:eastAsia="it-IT"/>
              </w:rPr>
              <w:t xml:space="preserve"> approach</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24</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D5121" w:rsidRDefault="00545554" w:rsidP="00545554">
            <w:pPr>
              <w:pStyle w:val="TableText"/>
              <w:snapToGrid w:val="0"/>
              <w:ind w:leftChars="28" w:left="382" w:rightChars="71" w:right="142" w:hangingChars="192" w:hanging="326"/>
              <w:rPr>
                <w:lang w:val="en-US" w:eastAsia="it-IT"/>
              </w:rPr>
            </w:pPr>
            <w:r>
              <w:rPr>
                <w:i/>
                <w:lang w:eastAsia="it-IT"/>
              </w:rPr>
              <w:tab/>
            </w:r>
            <w:r w:rsidRPr="00202A50">
              <w:rPr>
                <w:i/>
                <w:lang w:eastAsia="it-IT"/>
              </w:rPr>
              <w:t>Securities that are not in default and do not qualify as HQLA, inc</w:t>
            </w:r>
            <w:r>
              <w:rPr>
                <w:i/>
                <w:lang w:eastAsia="it-IT"/>
              </w:rPr>
              <w:t>luding exchange-traded equities</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Default="00545554" w:rsidP="00545554">
            <w:pPr>
              <w:pStyle w:val="TableText"/>
              <w:snapToGrid w:val="0"/>
              <w:ind w:left="57"/>
              <w:rPr>
                <w:sz w:val="16"/>
                <w:szCs w:val="16"/>
                <w:lang w:eastAsia="en-GB"/>
              </w:rPr>
            </w:pPr>
            <w:r>
              <w:rPr>
                <w:sz w:val="16"/>
                <w:szCs w:val="16"/>
                <w:lang w:eastAsia="en-GB"/>
              </w:rPr>
              <w:lastRenderedPageBreak/>
              <w:t>25</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595C1F" w:rsidRDefault="00545554" w:rsidP="00545554">
            <w:pPr>
              <w:pStyle w:val="TableText"/>
              <w:snapToGrid w:val="0"/>
              <w:ind w:left="57" w:rightChars="71" w:right="142"/>
              <w:rPr>
                <w:lang w:eastAsia="it-IT"/>
              </w:rPr>
            </w:pPr>
            <w:r w:rsidRPr="00202A50">
              <w:rPr>
                <w:lang w:eastAsia="it-IT"/>
              </w:rPr>
              <w:t>Assets with matc</w:t>
            </w:r>
            <w:r>
              <w:rPr>
                <w:lang w:eastAsia="it-IT"/>
              </w:rPr>
              <w:t>hing interdependent liabilities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Default="00545554" w:rsidP="00545554">
            <w:pPr>
              <w:pStyle w:val="TableText"/>
              <w:snapToGrid w:val="0"/>
              <w:ind w:left="57"/>
              <w:rPr>
                <w:sz w:val="16"/>
                <w:szCs w:val="16"/>
                <w:lang w:eastAsia="en-GB"/>
              </w:rPr>
            </w:pPr>
            <w:r>
              <w:rPr>
                <w:sz w:val="16"/>
                <w:szCs w:val="16"/>
                <w:lang w:eastAsia="en-GB"/>
              </w:rPr>
              <w:t>26</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595C1F" w:rsidRDefault="00545554" w:rsidP="00545554">
            <w:pPr>
              <w:pStyle w:val="TableText"/>
              <w:snapToGrid w:val="0"/>
              <w:ind w:left="57" w:rightChars="71" w:right="142"/>
              <w:rPr>
                <w:lang w:eastAsia="it-IT"/>
              </w:rPr>
            </w:pPr>
            <w:r>
              <w:rPr>
                <w:lang w:eastAsia="it-IT"/>
              </w:rPr>
              <w:t>Other assets:</w:t>
            </w:r>
          </w:p>
        </w:tc>
        <w:tc>
          <w:tcPr>
            <w:tcW w:w="9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27</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Chars="28" w:left="382" w:rightChars="71" w:right="142" w:hangingChars="192" w:hanging="326"/>
              <w:rPr>
                <w:i/>
                <w:lang w:eastAsia="it-IT"/>
              </w:rPr>
            </w:pPr>
            <w:r>
              <w:rPr>
                <w:i/>
                <w:lang w:eastAsia="it-IT"/>
              </w:rPr>
              <w:tab/>
            </w:r>
            <w:r w:rsidRPr="00202A50">
              <w:rPr>
                <w:i/>
                <w:lang w:eastAsia="it-IT"/>
              </w:rPr>
              <w:t>Physical traded commoditie</w:t>
            </w:r>
            <w:r>
              <w:rPr>
                <w:i/>
                <w:lang w:eastAsia="it-IT"/>
              </w:rPr>
              <w:t>s, including gold</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28</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Chars="28" w:left="382" w:rightChars="71" w:right="142" w:hangingChars="192" w:hanging="326"/>
              <w:rPr>
                <w:i/>
                <w:lang w:eastAsia="it-IT"/>
              </w:rPr>
            </w:pPr>
            <w:r>
              <w:rPr>
                <w:i/>
                <w:lang w:eastAsia="it-IT"/>
              </w:rPr>
              <w:tab/>
            </w:r>
            <w:r w:rsidRPr="00202A50">
              <w:rPr>
                <w:i/>
                <w:lang w:eastAsia="it-IT"/>
              </w:rPr>
              <w:t>Assets posted as initial margin for derivative contracts and contrib</w:t>
            </w:r>
            <w:r>
              <w:rPr>
                <w:i/>
                <w:lang w:eastAsia="it-IT"/>
              </w:rPr>
              <w:t>utions to default funds of CCPs</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2510C1"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8D4929" w:rsidRDefault="00545554" w:rsidP="00545554">
            <w:pPr>
              <w:ind w:firstLineChars="200" w:firstLine="340"/>
              <w:rPr>
                <w:sz w:val="17"/>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8D4929" w:rsidRDefault="00545554" w:rsidP="00545554">
            <w:pPr>
              <w:ind w:firstLineChars="200" w:firstLine="340"/>
              <w:rPr>
                <w:sz w:val="17"/>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29</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Chars="28" w:left="382" w:rightChars="71" w:right="142" w:hangingChars="192" w:hanging="326"/>
              <w:rPr>
                <w:i/>
                <w:lang w:eastAsia="it-IT"/>
              </w:rPr>
            </w:pPr>
            <w:r>
              <w:rPr>
                <w:i/>
                <w:lang w:eastAsia="it-IT"/>
              </w:rPr>
              <w:tab/>
              <w:t>Net derivative assets</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30</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Chars="28" w:left="382" w:rightChars="71" w:right="142" w:hangingChars="192" w:hanging="326"/>
              <w:rPr>
                <w:i/>
                <w:lang w:eastAsia="it-IT"/>
              </w:rPr>
            </w:pPr>
            <w:r>
              <w:rPr>
                <w:i/>
                <w:lang w:eastAsia="it-IT"/>
              </w:rPr>
              <w:tab/>
              <w:t xml:space="preserve">Total </w:t>
            </w:r>
            <w:r w:rsidRPr="00202A50">
              <w:rPr>
                <w:i/>
                <w:lang w:eastAsia="it-IT"/>
              </w:rPr>
              <w:t>derivative liabilities before deduc</w:t>
            </w:r>
            <w:r>
              <w:rPr>
                <w:i/>
                <w:lang w:eastAsia="it-IT"/>
              </w:rPr>
              <w:t>tion of variation margin posted</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31</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Chars="28" w:left="382" w:rightChars="71" w:right="142" w:hangingChars="192" w:hanging="326"/>
              <w:rPr>
                <w:i/>
                <w:lang w:eastAsia="it-IT"/>
              </w:rPr>
            </w:pPr>
            <w:r>
              <w:rPr>
                <w:i/>
                <w:lang w:eastAsia="it-IT"/>
              </w:rPr>
              <w:tab/>
            </w:r>
            <w:r w:rsidRPr="00202A50">
              <w:rPr>
                <w:i/>
                <w:lang w:eastAsia="it-IT"/>
              </w:rPr>
              <w:t>All other assets not i</w:t>
            </w:r>
            <w:r>
              <w:rPr>
                <w:i/>
                <w:lang w:eastAsia="it-IT"/>
              </w:rPr>
              <w:t>ncluded in the above categories</w:t>
            </w:r>
          </w:p>
        </w:tc>
        <w:tc>
          <w:tcPr>
            <w:tcW w:w="994"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92221A">
        <w:trPr>
          <w:cantSplit/>
          <w:trHeight w:val="270"/>
        </w:trPr>
        <w:tc>
          <w:tcPr>
            <w:tcW w:w="467" w:type="dxa"/>
            <w:tcBorders>
              <w:top w:val="single" w:sz="4" w:space="0" w:color="auto"/>
              <w:left w:val="nil"/>
              <w:bottom w:val="single" w:sz="4" w:space="0" w:color="auto"/>
              <w:right w:val="single" w:sz="4" w:space="0" w:color="auto"/>
            </w:tcBorders>
            <w:shd w:val="clear" w:color="auto" w:fill="F2F2F2" w:themeFill="background1" w:themeFillShade="F2"/>
          </w:tcPr>
          <w:p w:rsidR="00545554" w:rsidRDefault="00545554" w:rsidP="00545554">
            <w:pPr>
              <w:pStyle w:val="TableText"/>
              <w:snapToGrid w:val="0"/>
              <w:ind w:left="57"/>
              <w:rPr>
                <w:sz w:val="16"/>
                <w:szCs w:val="16"/>
                <w:lang w:eastAsia="en-GB"/>
              </w:rPr>
            </w:pPr>
            <w:r>
              <w:rPr>
                <w:sz w:val="16"/>
                <w:szCs w:val="16"/>
                <w:lang w:eastAsia="en-GB"/>
              </w:rPr>
              <w:t>32</w:t>
            </w:r>
          </w:p>
        </w:tc>
        <w:tc>
          <w:tcPr>
            <w:tcW w:w="3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02A50" w:rsidRDefault="00545554" w:rsidP="00545554">
            <w:pPr>
              <w:pStyle w:val="TableText"/>
              <w:snapToGrid w:val="0"/>
              <w:ind w:left="57" w:rightChars="71" w:right="142"/>
              <w:rPr>
                <w:lang w:eastAsia="it-IT"/>
              </w:rPr>
            </w:pPr>
            <w:r>
              <w:rPr>
                <w:lang w:eastAsia="it-IT"/>
              </w:rPr>
              <w:t>Off-balance sheet items</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296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33</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57" w:rightChars="71" w:right="142"/>
              <w:rPr>
                <w:i/>
                <w:iCs/>
                <w:szCs w:val="17"/>
              </w:rPr>
            </w:pPr>
            <w:r>
              <w:rPr>
                <w:b/>
                <w:bCs/>
                <w:szCs w:val="17"/>
              </w:rPr>
              <w:t>Total RSF</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70"/>
        </w:trPr>
        <w:tc>
          <w:tcPr>
            <w:tcW w:w="467" w:type="dxa"/>
            <w:tcBorders>
              <w:top w:val="single" w:sz="4" w:space="0" w:color="auto"/>
              <w:left w:val="nil"/>
              <w:bottom w:val="single" w:sz="4" w:space="0" w:color="auto"/>
              <w:right w:val="single" w:sz="4" w:space="0" w:color="auto"/>
            </w:tcBorders>
            <w:shd w:val="clear" w:color="auto" w:fill="FFFFFF" w:themeFill="background1"/>
          </w:tcPr>
          <w:p w:rsidR="00545554" w:rsidRDefault="00545554" w:rsidP="00545554">
            <w:pPr>
              <w:pStyle w:val="TableText"/>
              <w:snapToGrid w:val="0"/>
              <w:ind w:left="57"/>
              <w:rPr>
                <w:sz w:val="16"/>
                <w:szCs w:val="16"/>
                <w:lang w:eastAsia="en-GB"/>
              </w:rPr>
            </w:pPr>
            <w:r>
              <w:rPr>
                <w:sz w:val="16"/>
                <w:szCs w:val="16"/>
                <w:lang w:eastAsia="en-GB"/>
              </w:rPr>
              <w:t>34</w:t>
            </w:r>
          </w:p>
        </w:tc>
        <w:tc>
          <w:tcPr>
            <w:tcW w:w="364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02A50" w:rsidRDefault="00545554" w:rsidP="00545554">
            <w:pPr>
              <w:pStyle w:val="TableText"/>
              <w:snapToGrid w:val="0"/>
              <w:ind w:left="57" w:rightChars="71" w:right="142"/>
              <w:rPr>
                <w:szCs w:val="17"/>
                <w:lang w:eastAsia="it-IT"/>
              </w:rPr>
            </w:pPr>
            <w:r>
              <w:rPr>
                <w:b/>
                <w:bCs/>
                <w:szCs w:val="17"/>
              </w:rPr>
              <w:t>Net Stable Funding Ratio (%)</w:t>
            </w:r>
          </w:p>
        </w:tc>
        <w:tc>
          <w:tcPr>
            <w:tcW w:w="99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554" w:rsidRPr="003B53ED" w:rsidRDefault="00545554" w:rsidP="00545554">
            <w:pPr>
              <w:pStyle w:val="TableText"/>
              <w:snapToGrid w:val="0"/>
              <w:ind w:left="57"/>
              <w:rPr>
                <w:lang w:eastAsia="it-IT"/>
              </w:rPr>
            </w:pP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23654F" w:rsidRDefault="00545554" w:rsidP="00545554">
            <w:pPr>
              <w:pStyle w:val="TableText"/>
              <w:snapToGrid w:val="0"/>
              <w:rPr>
                <w:lang w:eastAsia="it-IT"/>
              </w:rPr>
            </w:pPr>
          </w:p>
        </w:tc>
      </w:tr>
      <w:tr w:rsidR="00545554" w:rsidRPr="0023654F" w:rsidTr="00545554">
        <w:trPr>
          <w:cantSplit/>
          <w:trHeight w:val="230"/>
        </w:trPr>
        <w:tc>
          <w:tcPr>
            <w:tcW w:w="9073" w:type="dxa"/>
            <w:gridSpan w:val="7"/>
            <w:tcBorders>
              <w:top w:val="single" w:sz="4" w:space="0" w:color="auto"/>
              <w:left w:val="nil"/>
              <w:bottom w:val="single" w:sz="6" w:space="0" w:color="auto"/>
              <w:right w:val="single" w:sz="6" w:space="0" w:color="auto"/>
            </w:tcBorders>
            <w:shd w:val="clear" w:color="auto" w:fill="FFFFFF" w:themeFill="background1"/>
          </w:tcPr>
          <w:p w:rsidR="00545554" w:rsidRPr="00182DB9" w:rsidRDefault="00545554" w:rsidP="00545554">
            <w:pPr>
              <w:pStyle w:val="TableText"/>
              <w:snapToGrid w:val="0"/>
              <w:spacing w:line="240" w:lineRule="exact"/>
              <w:rPr>
                <w:rFonts w:cs="Segoe UI"/>
                <w:i/>
                <w:szCs w:val="17"/>
                <w:lang w:eastAsia="it-IT"/>
              </w:rPr>
            </w:pPr>
            <w:r w:rsidRPr="00182DB9">
              <w:rPr>
                <w:rFonts w:cs="Segoe UI"/>
                <w:i/>
                <w:szCs w:val="17"/>
                <w:lang w:eastAsia="it-IT"/>
              </w:rPr>
              <w:t>Points to note:</w:t>
            </w:r>
          </w:p>
          <w:p w:rsidR="00545554" w:rsidRPr="00182DB9" w:rsidRDefault="00545554" w:rsidP="00182DB9">
            <w:pPr>
              <w:pStyle w:val="ListParagraph"/>
              <w:numPr>
                <w:ilvl w:val="0"/>
                <w:numId w:val="43"/>
              </w:numPr>
              <w:tabs>
                <w:tab w:val="left" w:pos="426"/>
              </w:tabs>
              <w:autoSpaceDE w:val="0"/>
              <w:autoSpaceDN w:val="0"/>
              <w:adjustRightInd w:val="0"/>
              <w:spacing w:line="240" w:lineRule="exact"/>
              <w:ind w:leftChars="0" w:left="426" w:rightChars="71" w:right="142" w:hanging="426"/>
              <w:jc w:val="both"/>
              <w:rPr>
                <w:rFonts w:cs="Segoe UI"/>
                <w:i/>
                <w:sz w:val="17"/>
                <w:szCs w:val="17"/>
                <w:lang w:eastAsia="it-IT"/>
              </w:rPr>
            </w:pPr>
            <w:r w:rsidRPr="00182DB9">
              <w:rPr>
                <w:rFonts w:cs="Segoe UI"/>
                <w:i/>
                <w:sz w:val="17"/>
                <w:szCs w:val="17"/>
                <w:lang w:eastAsia="it-IT"/>
              </w:rPr>
              <w:t>the rows without a numerical row number introduce a section of the NSFR template (i.e. ASF and RSF) and do not require any value to be input;</w:t>
            </w:r>
          </w:p>
          <w:p w:rsidR="00545554" w:rsidRPr="00182DB9" w:rsidRDefault="00545554" w:rsidP="00182DB9">
            <w:pPr>
              <w:pStyle w:val="ListParagraph"/>
              <w:numPr>
                <w:ilvl w:val="0"/>
                <w:numId w:val="43"/>
              </w:numPr>
              <w:tabs>
                <w:tab w:val="left" w:pos="426"/>
              </w:tabs>
              <w:autoSpaceDE w:val="0"/>
              <w:autoSpaceDN w:val="0"/>
              <w:adjustRightInd w:val="0"/>
              <w:spacing w:line="240" w:lineRule="exact"/>
              <w:ind w:leftChars="0" w:left="426" w:rightChars="71" w:right="142" w:hanging="426"/>
              <w:jc w:val="both"/>
              <w:rPr>
                <w:rFonts w:ascii="Segoe UI" w:hAnsi="Segoe UI" w:cs="Segoe UI"/>
                <w:i/>
                <w:sz w:val="17"/>
                <w:szCs w:val="17"/>
                <w:lang w:eastAsia="it-IT"/>
              </w:rPr>
            </w:pPr>
            <w:r w:rsidRPr="00182DB9">
              <w:rPr>
                <w:rFonts w:ascii="Segoe UI" w:hAnsi="Segoe UI" w:cs="Segoe UI"/>
                <w:i/>
                <w:sz w:val="17"/>
                <w:szCs w:val="17"/>
                <w:lang w:eastAsia="it-IT"/>
              </w:rPr>
              <w:t>the disclosure items shaded in light grey (e.g. rows 1, 4, 7, 10, 11) represent a broad sub-component category of the NSFR in the relevant section;</w:t>
            </w:r>
          </w:p>
          <w:p w:rsidR="00545554" w:rsidRPr="00182DB9" w:rsidRDefault="00545554" w:rsidP="00182DB9">
            <w:pPr>
              <w:pStyle w:val="ListParagraph"/>
              <w:numPr>
                <w:ilvl w:val="0"/>
                <w:numId w:val="43"/>
              </w:numPr>
              <w:tabs>
                <w:tab w:val="left" w:pos="426"/>
              </w:tabs>
              <w:autoSpaceDE w:val="0"/>
              <w:autoSpaceDN w:val="0"/>
              <w:adjustRightInd w:val="0"/>
              <w:spacing w:line="240" w:lineRule="exact"/>
              <w:ind w:leftChars="0" w:left="426" w:rightChars="71" w:right="142" w:hanging="426"/>
              <w:jc w:val="both"/>
              <w:rPr>
                <w:rFonts w:ascii="Segoe UI" w:hAnsi="Segoe UI" w:cs="Segoe UI"/>
                <w:i/>
                <w:sz w:val="17"/>
                <w:szCs w:val="17"/>
                <w:lang w:eastAsia="it-IT"/>
              </w:rPr>
            </w:pPr>
            <w:r w:rsidRPr="00182DB9">
              <w:rPr>
                <w:rFonts w:ascii="Segoe UI" w:hAnsi="Segoe UI" w:cs="Segoe UI"/>
                <w:i/>
                <w:sz w:val="17"/>
                <w:szCs w:val="17"/>
                <w:lang w:eastAsia="it-IT"/>
              </w:rPr>
              <w:t>the unshaded disclosure items represent a sub-component within the major categories under ASF and RSF items, except that rows 21 and 23 are sub-components of rows 20 and 22, respectively.  See explanatory note below for a more detailed explanation of the composition of such sub-components;</w:t>
            </w:r>
          </w:p>
          <w:p w:rsidR="00545554" w:rsidRPr="00B529EF" w:rsidRDefault="00545554" w:rsidP="00182DB9">
            <w:pPr>
              <w:pStyle w:val="ListParagraph"/>
              <w:numPr>
                <w:ilvl w:val="0"/>
                <w:numId w:val="43"/>
              </w:numPr>
              <w:tabs>
                <w:tab w:val="left" w:pos="426"/>
              </w:tabs>
              <w:autoSpaceDE w:val="0"/>
              <w:autoSpaceDN w:val="0"/>
              <w:adjustRightInd w:val="0"/>
              <w:spacing w:line="240" w:lineRule="exact"/>
              <w:ind w:leftChars="0" w:left="426" w:rightChars="71" w:right="142" w:hanging="426"/>
              <w:jc w:val="both"/>
              <w:rPr>
                <w:i/>
                <w:sz w:val="17"/>
                <w:szCs w:val="17"/>
                <w:lang w:eastAsia="it-IT"/>
              </w:rPr>
            </w:pPr>
            <w:r w:rsidRPr="00182DB9">
              <w:rPr>
                <w:rFonts w:ascii="Segoe UI" w:hAnsi="Segoe UI" w:cs="Segoe UI"/>
                <w:i/>
                <w:sz w:val="17"/>
                <w:szCs w:val="17"/>
                <w:lang w:eastAsia="it-IT"/>
              </w:rPr>
              <w:t>no disclosure is required for items shaded in dark grey (i.e. cells 5/a, 6/a, 8/a, 12/b-e, 14/a-d, 27/b-d, 28/b-d, 29/b-d, 30/b-d, 32/a, 33/a-d and 34/a-d).</w:t>
            </w:r>
          </w:p>
        </w:tc>
      </w:tr>
    </w:tbl>
    <w:p w:rsidR="00545554" w:rsidRDefault="00545554" w:rsidP="00545554">
      <w:pPr>
        <w:spacing w:before="120" w:after="120"/>
        <w:ind w:leftChars="-283" w:left="-566"/>
        <w:rPr>
          <w:sz w:val="22"/>
        </w:rPr>
      </w:pPr>
    </w:p>
    <w:tbl>
      <w:tblPr>
        <w:tblStyle w:val="TableGrid"/>
        <w:tblW w:w="9073" w:type="dxa"/>
        <w:tblInd w:w="-318" w:type="dxa"/>
        <w:tblLayout w:type="fixed"/>
        <w:tblLook w:val="04A0" w:firstRow="1" w:lastRow="0" w:firstColumn="1" w:lastColumn="0" w:noHBand="0" w:noVBand="1"/>
      </w:tblPr>
      <w:tblGrid>
        <w:gridCol w:w="568"/>
        <w:gridCol w:w="8505"/>
      </w:tblGrid>
      <w:tr w:rsidR="00545554" w:rsidRPr="00280717" w:rsidTr="00545554">
        <w:trPr>
          <w:tblHeader/>
        </w:trPr>
        <w:tc>
          <w:tcPr>
            <w:tcW w:w="9073"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153"/>
        </w:trPr>
        <w:tc>
          <w:tcPr>
            <w:tcW w:w="9073" w:type="dxa"/>
            <w:gridSpan w:val="2"/>
            <w:shd w:val="clear" w:color="auto" w:fill="F2F2F2" w:themeFill="background1" w:themeFillShade="F2"/>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545554" w:rsidRPr="0009042A" w:rsidTr="00545554">
        <w:tc>
          <w:tcPr>
            <w:tcW w:w="568" w:type="dxa"/>
          </w:tcPr>
          <w:p w:rsidR="00545554" w:rsidRPr="000221EB"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(a) </w:t>
            </w:r>
            <w:r w:rsidRPr="000221EB">
              <w:rPr>
                <w:rFonts w:cs="Segoe UI"/>
                <w:sz w:val="17"/>
                <w:szCs w:val="17"/>
                <w:lang w:eastAsia="en-GB"/>
              </w:rPr>
              <w:t>to (d)</w:t>
            </w:r>
          </w:p>
        </w:tc>
        <w:tc>
          <w:tcPr>
            <w:tcW w:w="8505" w:type="dxa"/>
          </w:tcPr>
          <w:p w:rsidR="00545554" w:rsidRPr="00A539ED" w:rsidRDefault="00545554" w:rsidP="00545554">
            <w:pPr>
              <w:pStyle w:val="TableNote"/>
              <w:spacing w:before="40" w:after="40"/>
              <w:rPr>
                <w:szCs w:val="17"/>
              </w:rPr>
            </w:pPr>
            <w:r w:rsidRPr="000221EB">
              <w:rPr>
                <w:i/>
                <w:sz w:val="17"/>
                <w:szCs w:val="17"/>
              </w:rPr>
              <w:t>Unweighted value by residual maturity</w:t>
            </w:r>
            <w:r>
              <w:rPr>
                <w:sz w:val="17"/>
                <w:szCs w:val="17"/>
              </w:rPr>
              <w:t xml:space="preserve">: values entered in these columns </w:t>
            </w:r>
            <w:r w:rsidRPr="000221EB">
              <w:rPr>
                <w:sz w:val="17"/>
                <w:szCs w:val="17"/>
              </w:rPr>
              <w:t>should be the quarter-end observations of individual line items</w:t>
            </w:r>
            <w:r>
              <w:rPr>
                <w:sz w:val="17"/>
                <w:szCs w:val="17"/>
              </w:rPr>
              <w:t xml:space="preserve"> in accordance with the maturity bands</w:t>
            </w:r>
            <w:r w:rsidRPr="000221EB">
              <w:rPr>
                <w:sz w:val="17"/>
                <w:szCs w:val="17"/>
              </w:rPr>
              <w:t>.</w:t>
            </w:r>
            <w:r>
              <w:rPr>
                <w:sz w:val="17"/>
                <w:szCs w:val="17"/>
              </w:rPr>
              <w:t xml:space="preserve">  </w:t>
            </w:r>
            <w:r w:rsidRPr="000221EB">
              <w:rPr>
                <w:sz w:val="17"/>
                <w:szCs w:val="17"/>
              </w:rPr>
              <w:t>Items to be reported in column (a)</w:t>
            </w:r>
            <w:r>
              <w:rPr>
                <w:sz w:val="17"/>
                <w:szCs w:val="17"/>
              </w:rPr>
              <w:t>, i.e.</w:t>
            </w:r>
            <w:r w:rsidRPr="000221EB">
              <w:rPr>
                <w:sz w:val="17"/>
                <w:szCs w:val="17"/>
              </w:rPr>
              <w:t xml:space="preserve"> the “no </w:t>
            </w:r>
            <w:r>
              <w:rPr>
                <w:sz w:val="17"/>
                <w:szCs w:val="17"/>
              </w:rPr>
              <w:t xml:space="preserve">specified term to </w:t>
            </w:r>
            <w:r w:rsidRPr="000221EB">
              <w:rPr>
                <w:sz w:val="17"/>
                <w:szCs w:val="17"/>
              </w:rPr>
              <w:t>maturity” time bucket</w:t>
            </w:r>
            <w:r>
              <w:rPr>
                <w:sz w:val="17"/>
                <w:szCs w:val="17"/>
              </w:rPr>
              <w:t>,</w:t>
            </w:r>
            <w:r w:rsidRPr="000221EB">
              <w:rPr>
                <w:sz w:val="17"/>
                <w:szCs w:val="17"/>
              </w:rPr>
              <w:t xml:space="preserve"> do not have a stated maturity. </w:t>
            </w:r>
            <w:r>
              <w:rPr>
                <w:sz w:val="17"/>
                <w:szCs w:val="17"/>
              </w:rPr>
              <w:t xml:space="preserve"> </w:t>
            </w:r>
            <w:r w:rsidRPr="000221EB">
              <w:rPr>
                <w:sz w:val="17"/>
                <w:szCs w:val="17"/>
              </w:rPr>
              <w:t xml:space="preserve">These may include, but are not limited to, items such as capital with perpetual maturity, </w:t>
            </w:r>
            <w:r>
              <w:rPr>
                <w:sz w:val="17"/>
                <w:szCs w:val="17"/>
              </w:rPr>
              <w:t xml:space="preserve">collective provisions, net derivative liabilities, currency notes and coins, equities, </w:t>
            </w:r>
            <w:r w:rsidRPr="000221EB">
              <w:rPr>
                <w:sz w:val="17"/>
                <w:szCs w:val="17"/>
              </w:rPr>
              <w:t>physical traded commodities</w:t>
            </w:r>
            <w:r>
              <w:rPr>
                <w:sz w:val="17"/>
                <w:szCs w:val="17"/>
              </w:rPr>
              <w:t>, a</w:t>
            </w:r>
            <w:r w:rsidRPr="00B5481A">
              <w:rPr>
                <w:sz w:val="17"/>
                <w:szCs w:val="17"/>
              </w:rPr>
              <w:t>ssets posted as initial margin for derivative contracts and contributions to default funds of CCPs</w:t>
            </w:r>
            <w:r>
              <w:rPr>
                <w:sz w:val="17"/>
                <w:szCs w:val="17"/>
              </w:rPr>
              <w:t>, net derivative assets and t</w:t>
            </w:r>
            <w:r w:rsidRPr="0009042A">
              <w:rPr>
                <w:sz w:val="17"/>
                <w:szCs w:val="17"/>
              </w:rPr>
              <w:t>otal derivative liabilities before deduction of variation margin posted</w:t>
            </w:r>
            <w:r w:rsidRPr="000221EB">
              <w:rPr>
                <w:sz w:val="17"/>
                <w:szCs w:val="17"/>
              </w:rPr>
              <w:t>.</w:t>
            </w:r>
          </w:p>
        </w:tc>
      </w:tr>
      <w:tr w:rsidR="00545554" w:rsidRPr="00280717" w:rsidTr="00545554">
        <w:tc>
          <w:tcPr>
            <w:tcW w:w="568" w:type="dxa"/>
          </w:tcPr>
          <w:p w:rsidR="00545554" w:rsidRPr="00FD63DB" w:rsidRDefault="00545554" w:rsidP="00545554">
            <w:pPr>
              <w:keepLines/>
              <w:widowControl w:val="0"/>
              <w:tabs>
                <w:tab w:val="left" w:pos="150"/>
                <w:tab w:val="left" w:pos="397"/>
                <w:tab w:val="left" w:pos="794"/>
                <w:tab w:val="left" w:pos="1191"/>
              </w:tabs>
              <w:spacing w:before="40" w:after="40"/>
              <w:rPr>
                <w:rFonts w:cs="Segoe UI"/>
                <w:sz w:val="17"/>
                <w:szCs w:val="17"/>
                <w:lang w:val="en-US" w:eastAsia="en-GB"/>
              </w:rPr>
            </w:pPr>
            <w:r w:rsidRPr="00280717">
              <w:rPr>
                <w:rFonts w:cs="Segoe UI"/>
                <w:sz w:val="17"/>
                <w:szCs w:val="17"/>
                <w:lang w:eastAsia="en-GB"/>
              </w:rPr>
              <w:t>(</w:t>
            </w:r>
            <w:r>
              <w:rPr>
                <w:rFonts w:cs="Segoe UI"/>
                <w:sz w:val="17"/>
                <w:szCs w:val="17"/>
                <w:lang w:eastAsia="en-GB"/>
              </w:rPr>
              <w:t>e</w:t>
            </w:r>
            <w:r w:rsidRPr="00280717">
              <w:rPr>
                <w:rFonts w:cs="Segoe UI"/>
                <w:sz w:val="17"/>
                <w:szCs w:val="17"/>
                <w:lang w:eastAsia="en-GB"/>
              </w:rPr>
              <w:t>)</w:t>
            </w:r>
          </w:p>
        </w:tc>
        <w:tc>
          <w:tcPr>
            <w:tcW w:w="8505" w:type="dxa"/>
          </w:tcPr>
          <w:p w:rsidR="00545554" w:rsidRPr="00A539ED" w:rsidRDefault="00545554" w:rsidP="00545554">
            <w:pPr>
              <w:pStyle w:val="TableNote"/>
              <w:spacing w:before="40" w:after="40"/>
              <w:rPr>
                <w:sz w:val="17"/>
                <w:szCs w:val="17"/>
              </w:rPr>
            </w:pPr>
            <w:r>
              <w:rPr>
                <w:i/>
                <w:sz w:val="17"/>
                <w:szCs w:val="17"/>
              </w:rPr>
              <w:t>Weighted amount</w:t>
            </w:r>
            <w:r>
              <w:rPr>
                <w:sz w:val="17"/>
                <w:szCs w:val="17"/>
              </w:rPr>
              <w:t>: values</w:t>
            </w:r>
            <w:r w:rsidRPr="00FD63DB">
              <w:rPr>
                <w:sz w:val="17"/>
                <w:szCs w:val="17"/>
              </w:rPr>
              <w:t xml:space="preserve"> entered in </w:t>
            </w:r>
            <w:r>
              <w:rPr>
                <w:sz w:val="17"/>
                <w:szCs w:val="17"/>
              </w:rPr>
              <w:t>this</w:t>
            </w:r>
            <w:r w:rsidRPr="00FD63DB">
              <w:rPr>
                <w:sz w:val="17"/>
                <w:szCs w:val="17"/>
              </w:rPr>
              <w:t xml:space="preserve"> column are </w:t>
            </w:r>
            <w:r>
              <w:rPr>
                <w:sz w:val="17"/>
                <w:szCs w:val="17"/>
              </w:rPr>
              <w:t>calculated</w:t>
            </w:r>
            <w:r w:rsidRPr="00FD63DB">
              <w:rPr>
                <w:sz w:val="17"/>
                <w:szCs w:val="17"/>
              </w:rPr>
              <w:t xml:space="preserve"> in accordance with </w:t>
            </w:r>
            <w:r>
              <w:rPr>
                <w:sz w:val="17"/>
                <w:szCs w:val="17"/>
              </w:rPr>
              <w:t>Part 9 of the BLR.</w:t>
            </w:r>
          </w:p>
        </w:tc>
      </w:tr>
      <w:tr w:rsidR="00545554" w:rsidRPr="00280717" w:rsidTr="00545554">
        <w:trPr>
          <w:trHeight w:val="373"/>
        </w:trPr>
        <w:tc>
          <w:tcPr>
            <w:tcW w:w="9073" w:type="dxa"/>
            <w:gridSpan w:val="2"/>
            <w:shd w:val="clear" w:color="auto" w:fill="F2F2F2" w:themeFill="background1" w:themeFillShade="F2"/>
          </w:tcPr>
          <w:p w:rsidR="00545554" w:rsidRPr="00A539ED" w:rsidRDefault="00545554" w:rsidP="00545554">
            <w:pPr>
              <w:pStyle w:val="TableNote"/>
              <w:spacing w:before="40" w:after="40"/>
              <w:rPr>
                <w:i/>
                <w:sz w:val="17"/>
                <w:szCs w:val="17"/>
              </w:rPr>
            </w:pPr>
            <w:r>
              <w:rPr>
                <w:rFonts w:eastAsiaTheme="minorEastAsia"/>
                <w:b/>
                <w:sz w:val="17"/>
                <w:szCs w:val="17"/>
                <w:lang w:eastAsia="en-GB"/>
              </w:rPr>
              <w:t>Row</w:t>
            </w:r>
            <w:r w:rsidRPr="00280717">
              <w:rPr>
                <w:rFonts w:eastAsiaTheme="minorEastAsia"/>
                <w:b/>
                <w:sz w:val="17"/>
                <w:szCs w:val="17"/>
                <w:lang w:eastAsia="en-GB"/>
              </w:rPr>
              <w:t>s</w:t>
            </w:r>
          </w:p>
        </w:tc>
      </w:tr>
      <w:tr w:rsidR="00545554" w:rsidRPr="00280717" w:rsidTr="00545554">
        <w:trPr>
          <w:trHeight w:val="373"/>
        </w:trPr>
        <w:tc>
          <w:tcPr>
            <w:tcW w:w="568"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1</w:t>
            </w:r>
          </w:p>
        </w:tc>
        <w:tc>
          <w:tcPr>
            <w:tcW w:w="8505" w:type="dxa"/>
          </w:tcPr>
          <w:p w:rsidR="00545554" w:rsidRPr="00E636CC" w:rsidRDefault="00545554" w:rsidP="00545554">
            <w:pPr>
              <w:pStyle w:val="TableNote"/>
              <w:spacing w:before="40" w:after="40"/>
              <w:rPr>
                <w:sz w:val="17"/>
                <w:szCs w:val="17"/>
              </w:rPr>
            </w:pPr>
            <w:r w:rsidRPr="000B03B8">
              <w:rPr>
                <w:i/>
                <w:sz w:val="17"/>
                <w:szCs w:val="17"/>
              </w:rPr>
              <w:t>Capital</w:t>
            </w:r>
            <w:r>
              <w:rPr>
                <w:sz w:val="17"/>
                <w:szCs w:val="17"/>
              </w:rPr>
              <w:t>:</w:t>
            </w:r>
            <w:r w:rsidRPr="00E636CC">
              <w:rPr>
                <w:sz w:val="17"/>
                <w:szCs w:val="17"/>
              </w:rPr>
              <w:t xml:space="preserve"> the sum of </w:t>
            </w:r>
            <w:r>
              <w:rPr>
                <w:sz w:val="17"/>
                <w:szCs w:val="17"/>
              </w:rPr>
              <w:t xml:space="preserve">values in </w:t>
            </w:r>
            <w:r w:rsidRPr="00E636CC">
              <w:rPr>
                <w:sz w:val="17"/>
                <w:szCs w:val="17"/>
              </w:rPr>
              <w:t>rows 2</w:t>
            </w:r>
            <w:r>
              <w:rPr>
                <w:sz w:val="17"/>
                <w:szCs w:val="17"/>
              </w:rPr>
              <w:t xml:space="preserve"> to 3.</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505" w:type="dxa"/>
          </w:tcPr>
          <w:p w:rsidR="00545554" w:rsidRPr="00E636CC"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Regulatory capital</w:t>
            </w:r>
            <w:r>
              <w:rPr>
                <w:sz w:val="17"/>
                <w:szCs w:val="17"/>
              </w:rPr>
              <w:t>:</w:t>
            </w:r>
            <w:r w:rsidRPr="00E636CC">
              <w:rPr>
                <w:sz w:val="17"/>
                <w:szCs w:val="17"/>
              </w:rPr>
              <w:t xml:space="preserve"> </w:t>
            </w:r>
            <w:r>
              <w:rPr>
                <w:sz w:val="17"/>
                <w:szCs w:val="17"/>
              </w:rPr>
              <w:t xml:space="preserve">CET1 capital, Additional Tier 1 capital and Tier 2 capital as defined by Part 3 of the BCR </w:t>
            </w:r>
            <w:r w:rsidRPr="00E636CC">
              <w:rPr>
                <w:sz w:val="17"/>
                <w:szCs w:val="17"/>
              </w:rPr>
              <w:t xml:space="preserve">before the application of </w:t>
            </w:r>
            <w:r>
              <w:rPr>
                <w:sz w:val="17"/>
                <w:szCs w:val="17"/>
              </w:rPr>
              <w:t xml:space="preserve">any regulatory adjustments required by the BCR.  Capital instruments that will be phased out for regulatory capital purposes after completion of the transitional arrangements as referred to in section 5, Schedule 4H to the BCR should not be included in this row.  However, these capital instruments may be reported under row 2a or 3 where appropriate.  To avoid doubt, the aggregated amount of total Tier 1 capital can be reported under the time bucket of “No specified term to maturity” (i.e. column (a)). </w:t>
            </w:r>
          </w:p>
        </w:tc>
      </w:tr>
      <w:tr w:rsidR="00545554" w:rsidRPr="00280717" w:rsidTr="00545554">
        <w:trPr>
          <w:trHeight w:val="373"/>
        </w:trPr>
        <w:tc>
          <w:tcPr>
            <w:tcW w:w="568" w:type="dxa"/>
            <w:shd w:val="clear" w:color="auto" w:fill="auto"/>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2a</w:t>
            </w:r>
          </w:p>
        </w:tc>
        <w:tc>
          <w:tcPr>
            <w:tcW w:w="8505" w:type="dxa"/>
          </w:tcPr>
          <w:p w:rsidR="00545554" w:rsidRPr="000B03B8" w:rsidRDefault="00545554" w:rsidP="00545554">
            <w:pPr>
              <w:keepLines/>
              <w:widowControl w:val="0"/>
              <w:tabs>
                <w:tab w:val="left" w:pos="150"/>
                <w:tab w:val="left" w:pos="397"/>
                <w:tab w:val="left" w:pos="794"/>
                <w:tab w:val="left" w:pos="1191"/>
              </w:tabs>
              <w:spacing w:before="40" w:after="40"/>
              <w:jc w:val="both"/>
              <w:rPr>
                <w:i/>
                <w:sz w:val="17"/>
                <w:szCs w:val="17"/>
              </w:rPr>
            </w:pPr>
            <w:r w:rsidRPr="00C30CB6">
              <w:rPr>
                <w:i/>
                <w:sz w:val="17"/>
                <w:szCs w:val="17"/>
              </w:rPr>
              <w:t xml:space="preserve">Minority interests not covered by </w:t>
            </w:r>
            <w:r>
              <w:rPr>
                <w:i/>
                <w:sz w:val="17"/>
                <w:szCs w:val="17"/>
              </w:rPr>
              <w:t>row</w:t>
            </w:r>
            <w:r w:rsidRPr="00C30CB6">
              <w:rPr>
                <w:i/>
                <w:sz w:val="17"/>
                <w:szCs w:val="17"/>
              </w:rPr>
              <w:t xml:space="preserve"> 2</w:t>
            </w:r>
            <w:r>
              <w:rPr>
                <w:i/>
                <w:sz w:val="17"/>
                <w:szCs w:val="17"/>
              </w:rPr>
              <w:t xml:space="preserve">: </w:t>
            </w:r>
            <w:r>
              <w:rPr>
                <w:sz w:val="17"/>
                <w:szCs w:val="17"/>
              </w:rPr>
              <w:t>if there is any minority interest that has a specified term to maturity, report it under the relevant column.  Otherwise, report under the time bucket of “No specified term to maturity” (i.e. column (a)).</w:t>
            </w:r>
          </w:p>
        </w:tc>
      </w:tr>
      <w:tr w:rsidR="00545554" w:rsidRPr="00280717" w:rsidTr="00545554">
        <w:trPr>
          <w:trHeight w:val="373"/>
        </w:trPr>
        <w:tc>
          <w:tcPr>
            <w:tcW w:w="568" w:type="dxa"/>
            <w:shd w:val="clear" w:color="auto" w:fill="auto"/>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capital instruments</w:t>
            </w:r>
            <w:r>
              <w:rPr>
                <w:sz w:val="17"/>
                <w:szCs w:val="17"/>
              </w:rPr>
              <w:t>: t</w:t>
            </w:r>
            <w:r w:rsidRPr="00CA2D12">
              <w:rPr>
                <w:sz w:val="17"/>
                <w:szCs w:val="17"/>
              </w:rPr>
              <w:t>otal amount of any capital instruments not included in row 2</w:t>
            </w:r>
            <w:r>
              <w:rPr>
                <w:sz w:val="17"/>
                <w:szCs w:val="17"/>
              </w:rPr>
              <w:t xml:space="preserve"> or 2a</w:t>
            </w:r>
            <w:r w:rsidRPr="00CA2D12">
              <w:rPr>
                <w:sz w:val="17"/>
                <w:szCs w:val="17"/>
              </w:rPr>
              <w:t>.</w:t>
            </w:r>
            <w:r>
              <w:rPr>
                <w:sz w:val="17"/>
                <w:szCs w:val="17"/>
              </w:rPr>
              <w:t xml:space="preserve"> </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4</w:t>
            </w:r>
          </w:p>
        </w:tc>
        <w:tc>
          <w:tcPr>
            <w:tcW w:w="8505" w:type="dxa"/>
          </w:tcPr>
          <w:p w:rsidR="00545554" w:rsidRPr="003E1934"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Retail deposits and small business funding</w:t>
            </w:r>
            <w:r>
              <w:rPr>
                <w:sz w:val="17"/>
                <w:szCs w:val="17"/>
              </w:rPr>
              <w:t>:</w:t>
            </w:r>
            <w:r w:rsidRPr="00CA2D12">
              <w:rPr>
                <w:sz w:val="17"/>
                <w:szCs w:val="17"/>
              </w:rPr>
              <w:t xml:space="preserve"> as defined in </w:t>
            </w:r>
            <w:r>
              <w:rPr>
                <w:sz w:val="17"/>
                <w:szCs w:val="17"/>
              </w:rPr>
              <w:t>BLR rule 39,</w:t>
            </w:r>
            <w:r w:rsidRPr="00CA2D12">
              <w:rPr>
                <w:sz w:val="17"/>
                <w:szCs w:val="17"/>
              </w:rPr>
              <w:t xml:space="preserve"> </w:t>
            </w:r>
            <w:r>
              <w:rPr>
                <w:sz w:val="17"/>
                <w:szCs w:val="17"/>
              </w:rPr>
              <w:t xml:space="preserve">which </w:t>
            </w:r>
            <w:r w:rsidRPr="00CA2D12">
              <w:rPr>
                <w:sz w:val="17"/>
                <w:szCs w:val="17"/>
              </w:rPr>
              <w:t xml:space="preserve">are </w:t>
            </w:r>
            <w:r>
              <w:rPr>
                <w:sz w:val="17"/>
                <w:szCs w:val="17"/>
              </w:rPr>
              <w:t xml:space="preserve">equal to </w:t>
            </w:r>
            <w:r w:rsidRPr="00CA2D12">
              <w:rPr>
                <w:sz w:val="17"/>
                <w:szCs w:val="17"/>
              </w:rPr>
              <w:t xml:space="preserve">the sum of </w:t>
            </w:r>
            <w:r>
              <w:rPr>
                <w:sz w:val="17"/>
                <w:szCs w:val="17"/>
              </w:rPr>
              <w:t xml:space="preserve">values in </w:t>
            </w:r>
            <w:r w:rsidRPr="00CA2D12">
              <w:rPr>
                <w:sz w:val="17"/>
                <w:szCs w:val="17"/>
              </w:rPr>
              <w:t>row</w:t>
            </w:r>
            <w:r>
              <w:rPr>
                <w:sz w:val="17"/>
                <w:szCs w:val="17"/>
              </w:rPr>
              <w:t>s</w:t>
            </w:r>
            <w:r w:rsidRPr="00CA2D12">
              <w:rPr>
                <w:sz w:val="17"/>
                <w:szCs w:val="17"/>
              </w:rPr>
              <w:t xml:space="preserve"> 5 and 6.</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5</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Stable deposits</w:t>
            </w:r>
            <w:r>
              <w:rPr>
                <w:sz w:val="17"/>
                <w:szCs w:val="17"/>
              </w:rPr>
              <w:t>: they</w:t>
            </w:r>
            <w:r w:rsidRPr="004F6511">
              <w:rPr>
                <w:sz w:val="17"/>
                <w:szCs w:val="17"/>
              </w:rPr>
              <w:t xml:space="preserve"> comprise </w:t>
            </w:r>
            <w:r>
              <w:rPr>
                <w:sz w:val="17"/>
                <w:szCs w:val="17"/>
              </w:rPr>
              <w:t xml:space="preserve">stable retail deposits and stable small business funding, </w:t>
            </w:r>
            <w:r w:rsidRPr="004F6511">
              <w:rPr>
                <w:sz w:val="17"/>
                <w:szCs w:val="17"/>
              </w:rPr>
              <w:t xml:space="preserve">as defined in the </w:t>
            </w:r>
            <w:r>
              <w:rPr>
                <w:sz w:val="17"/>
                <w:szCs w:val="17"/>
              </w:rPr>
              <w:t>BLR</w:t>
            </w:r>
            <w:r w:rsidRPr="004F6511">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6</w:t>
            </w:r>
          </w:p>
        </w:tc>
        <w:tc>
          <w:tcPr>
            <w:tcW w:w="8505" w:type="dxa"/>
          </w:tcPr>
          <w:p w:rsidR="00545554" w:rsidRPr="00986D2D"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Less stable deposits</w:t>
            </w:r>
            <w:r>
              <w:rPr>
                <w:sz w:val="17"/>
                <w:szCs w:val="17"/>
              </w:rPr>
              <w:t>: they</w:t>
            </w:r>
            <w:r w:rsidRPr="00986D2D">
              <w:rPr>
                <w:sz w:val="17"/>
                <w:szCs w:val="17"/>
              </w:rPr>
              <w:t xml:space="preserve"> comprise </w:t>
            </w:r>
            <w:r>
              <w:rPr>
                <w:sz w:val="17"/>
                <w:szCs w:val="17"/>
              </w:rPr>
              <w:t xml:space="preserve">retail deposits and small business funding </w:t>
            </w:r>
            <w:r w:rsidRPr="00986D2D">
              <w:rPr>
                <w:sz w:val="17"/>
                <w:szCs w:val="17"/>
              </w:rPr>
              <w:t xml:space="preserve">as defined in the </w:t>
            </w:r>
            <w:r>
              <w:rPr>
                <w:sz w:val="17"/>
                <w:szCs w:val="17"/>
              </w:rPr>
              <w:t>BLR but not already covered by row 5 above</w:t>
            </w:r>
            <w:r w:rsidRPr="00986D2D">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505" w:type="dxa"/>
          </w:tcPr>
          <w:p w:rsidR="00545554" w:rsidRPr="001B4B35"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Wholesale funding</w:t>
            </w:r>
            <w:r>
              <w:rPr>
                <w:sz w:val="17"/>
                <w:szCs w:val="17"/>
              </w:rPr>
              <w:t>:</w:t>
            </w:r>
            <w:r w:rsidRPr="00986D2D">
              <w:rPr>
                <w:sz w:val="17"/>
                <w:szCs w:val="17"/>
              </w:rPr>
              <w:t xml:space="preserve"> the sum of </w:t>
            </w:r>
            <w:r>
              <w:rPr>
                <w:sz w:val="17"/>
                <w:szCs w:val="17"/>
              </w:rPr>
              <w:t xml:space="preserve">values in </w:t>
            </w:r>
            <w:r w:rsidRPr="00986D2D">
              <w:rPr>
                <w:sz w:val="17"/>
                <w:szCs w:val="17"/>
              </w:rPr>
              <w:t>rows 8 and 9.</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8</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Operational deposits</w:t>
            </w:r>
            <w:r>
              <w:rPr>
                <w:sz w:val="17"/>
                <w:szCs w:val="17"/>
              </w:rPr>
              <w:t>:</w:t>
            </w:r>
            <w:r w:rsidRPr="00986D2D">
              <w:rPr>
                <w:sz w:val="17"/>
                <w:szCs w:val="17"/>
              </w:rPr>
              <w:t xml:space="preserve"> as defined in </w:t>
            </w:r>
            <w:r>
              <w:rPr>
                <w:sz w:val="17"/>
                <w:szCs w:val="17"/>
              </w:rPr>
              <w:t xml:space="preserve">BLR </w:t>
            </w:r>
            <w:r w:rsidRPr="000E3B3D">
              <w:rPr>
                <w:sz w:val="17"/>
                <w:szCs w:val="17"/>
              </w:rPr>
              <w:t>rule 39</w:t>
            </w:r>
            <w:r>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9</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wholesale funding</w:t>
            </w:r>
            <w:r>
              <w:rPr>
                <w:sz w:val="17"/>
                <w:szCs w:val="17"/>
              </w:rPr>
              <w:t>:</w:t>
            </w:r>
            <w:r w:rsidRPr="00986D2D">
              <w:rPr>
                <w:sz w:val="17"/>
                <w:szCs w:val="17"/>
              </w:rPr>
              <w:t xml:space="preserve"> </w:t>
            </w:r>
            <w:r>
              <w:rPr>
                <w:sz w:val="17"/>
                <w:szCs w:val="17"/>
              </w:rPr>
              <w:t>it is</w:t>
            </w:r>
            <w:r w:rsidRPr="00986D2D">
              <w:rPr>
                <w:sz w:val="17"/>
                <w:szCs w:val="17"/>
              </w:rPr>
              <w:t xml:space="preserve"> funding (</w:t>
            </w:r>
            <w:r>
              <w:rPr>
                <w:sz w:val="17"/>
                <w:szCs w:val="17"/>
              </w:rPr>
              <w:t>other than operational deposits</w:t>
            </w:r>
            <w:r w:rsidRPr="00986D2D">
              <w:rPr>
                <w:sz w:val="17"/>
                <w:szCs w:val="17"/>
              </w:rPr>
              <w:t xml:space="preserve">) provided </w:t>
            </w:r>
            <w:r>
              <w:rPr>
                <w:sz w:val="17"/>
                <w:szCs w:val="17"/>
              </w:rPr>
              <w:t xml:space="preserve">to the AI </w:t>
            </w:r>
            <w:r w:rsidRPr="00986D2D">
              <w:rPr>
                <w:sz w:val="17"/>
                <w:szCs w:val="17"/>
              </w:rPr>
              <w:t>by non-financial corporate</w:t>
            </w:r>
            <w:r>
              <w:rPr>
                <w:sz w:val="17"/>
                <w:szCs w:val="17"/>
              </w:rPr>
              <w:t>s</w:t>
            </w:r>
            <w:r w:rsidRPr="00986D2D">
              <w:rPr>
                <w:sz w:val="17"/>
                <w:szCs w:val="17"/>
              </w:rPr>
              <w:t xml:space="preserve"> </w:t>
            </w:r>
            <w:r>
              <w:rPr>
                <w:sz w:val="17"/>
                <w:szCs w:val="17"/>
              </w:rPr>
              <w:t>(other than small business customers)</w:t>
            </w:r>
            <w:r w:rsidRPr="00986D2D">
              <w:rPr>
                <w:sz w:val="17"/>
                <w:szCs w:val="17"/>
              </w:rPr>
              <w:t>, sovereigns, public sector entities (</w:t>
            </w:r>
            <w:r>
              <w:rPr>
                <w:sz w:val="17"/>
                <w:szCs w:val="17"/>
              </w:rPr>
              <w:t>“</w:t>
            </w:r>
            <w:r w:rsidRPr="00986D2D">
              <w:rPr>
                <w:sz w:val="17"/>
                <w:szCs w:val="17"/>
              </w:rPr>
              <w:t>PSEs</w:t>
            </w:r>
            <w:r>
              <w:rPr>
                <w:sz w:val="17"/>
                <w:szCs w:val="17"/>
              </w:rPr>
              <w:t>”</w:t>
            </w:r>
            <w:r w:rsidRPr="00986D2D">
              <w:rPr>
                <w:sz w:val="17"/>
                <w:szCs w:val="17"/>
              </w:rPr>
              <w:t xml:space="preserve">), multilateral </w:t>
            </w:r>
            <w:r>
              <w:rPr>
                <w:sz w:val="17"/>
                <w:szCs w:val="17"/>
              </w:rPr>
              <w:t>development banks,</w:t>
            </w:r>
            <w:r w:rsidRPr="00986D2D">
              <w:rPr>
                <w:sz w:val="17"/>
                <w:szCs w:val="17"/>
              </w:rPr>
              <w:t xml:space="preserve"> national development banks, </w:t>
            </w:r>
            <w:r>
              <w:rPr>
                <w:sz w:val="17"/>
                <w:szCs w:val="17"/>
              </w:rPr>
              <w:t>the Monetary Authority (“MA”) for the account of the Exchange Fund</w:t>
            </w:r>
            <w:r w:rsidRPr="000B03B8">
              <w:rPr>
                <w:sz w:val="17"/>
                <w:szCs w:val="17"/>
              </w:rPr>
              <w:t xml:space="preserve"> </w:t>
            </w:r>
            <w:r>
              <w:rPr>
                <w:sz w:val="17"/>
                <w:szCs w:val="17"/>
              </w:rPr>
              <w:t xml:space="preserve">(“EF”), </w:t>
            </w:r>
            <w:r w:rsidRPr="00986D2D">
              <w:rPr>
                <w:sz w:val="17"/>
                <w:szCs w:val="17"/>
              </w:rPr>
              <w:t>central banks</w:t>
            </w:r>
            <w:r>
              <w:rPr>
                <w:sz w:val="17"/>
                <w:szCs w:val="17"/>
              </w:rPr>
              <w:t>,</w:t>
            </w:r>
            <w:r w:rsidRPr="00986D2D">
              <w:rPr>
                <w:sz w:val="17"/>
                <w:szCs w:val="17"/>
              </w:rPr>
              <w:t xml:space="preserve"> financial institutions</w:t>
            </w:r>
            <w:r>
              <w:rPr>
                <w:sz w:val="17"/>
                <w:szCs w:val="17"/>
              </w:rPr>
              <w:t xml:space="preserve"> and other entities</w:t>
            </w:r>
            <w:r w:rsidRPr="00986D2D">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505" w:type="dxa"/>
          </w:tcPr>
          <w:p w:rsidR="00127B51"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Liabilities with matching interdependent assets</w:t>
            </w:r>
            <w:r>
              <w:rPr>
                <w:sz w:val="17"/>
                <w:szCs w:val="17"/>
              </w:rPr>
              <w:t>: any liabilities that meet the descriptions in BLR rule 70 and match with interdependent assets should be included in this row and excluded from all other ASF items</w:t>
            </w:r>
            <w:r w:rsidRPr="00986D2D">
              <w:rPr>
                <w:sz w:val="17"/>
                <w:szCs w:val="17"/>
              </w:rPr>
              <w:t>.</w:t>
            </w:r>
            <w:r>
              <w:rPr>
                <w:sz w:val="17"/>
                <w:szCs w:val="17"/>
              </w:rPr>
              <w:t xml:space="preserve">  For note-issuing banks, this row also includes the amount of legal tender notes in circulation issued by them</w:t>
            </w:r>
            <w:r w:rsidR="0089465D">
              <w:rPr>
                <w:sz w:val="17"/>
                <w:szCs w:val="17"/>
              </w:rPr>
              <w:t>,</w:t>
            </w:r>
            <w:r w:rsidR="00127B51">
              <w:rPr>
                <w:sz w:val="17"/>
                <w:szCs w:val="17"/>
              </w:rPr>
              <w:t xml:space="preserve"> as follows:</w:t>
            </w:r>
          </w:p>
          <w:p w:rsidR="00127B51" w:rsidRPr="0089465D" w:rsidRDefault="004E7078" w:rsidP="000C23D4">
            <w:pPr>
              <w:pStyle w:val="ListParagraph"/>
              <w:keepLines/>
              <w:numPr>
                <w:ilvl w:val="0"/>
                <w:numId w:val="45"/>
              </w:numPr>
              <w:tabs>
                <w:tab w:val="left" w:pos="459"/>
              </w:tabs>
              <w:spacing w:before="40" w:after="40"/>
              <w:ind w:leftChars="0" w:left="459" w:hanging="459"/>
              <w:jc w:val="both"/>
              <w:rPr>
                <w:rFonts w:ascii="Segoe UI" w:eastAsia="Times New Roman" w:hAnsi="Segoe UI" w:cs="Times New Roman"/>
                <w:kern w:val="0"/>
                <w:sz w:val="17"/>
                <w:szCs w:val="17"/>
                <w:lang w:val="en-GB" w:eastAsia="en-US"/>
              </w:rPr>
            </w:pPr>
            <w:r>
              <w:rPr>
                <w:rFonts w:ascii="Segoe UI" w:eastAsia="Times New Roman" w:hAnsi="Segoe UI" w:cs="Times New Roman"/>
                <w:kern w:val="0"/>
                <w:sz w:val="17"/>
                <w:szCs w:val="17"/>
                <w:lang w:val="en-GB" w:eastAsia="en-US"/>
              </w:rPr>
              <w:t>f</w:t>
            </w:r>
            <w:r w:rsidR="00127B51" w:rsidRPr="0089465D">
              <w:rPr>
                <w:rFonts w:ascii="Segoe UI" w:eastAsia="Times New Roman" w:hAnsi="Segoe UI" w:cs="Times New Roman"/>
                <w:kern w:val="0"/>
                <w:sz w:val="17"/>
                <w:szCs w:val="17"/>
                <w:lang w:val="en-GB" w:eastAsia="en-US"/>
              </w:rPr>
              <w:t xml:space="preserve">or unweighted value, </w:t>
            </w:r>
            <w:r w:rsidR="0089465D">
              <w:rPr>
                <w:rFonts w:ascii="Segoe UI" w:eastAsia="Times New Roman" w:hAnsi="Segoe UI" w:cs="Times New Roman"/>
                <w:kern w:val="0"/>
                <w:sz w:val="17"/>
                <w:szCs w:val="17"/>
                <w:lang w:val="en-GB" w:eastAsia="en-US"/>
              </w:rPr>
              <w:t xml:space="preserve">the </w:t>
            </w:r>
            <w:r w:rsidR="00127B51" w:rsidRPr="0089465D">
              <w:rPr>
                <w:rFonts w:ascii="Segoe UI" w:eastAsia="Times New Roman" w:hAnsi="Segoe UI" w:cs="Times New Roman"/>
                <w:kern w:val="0"/>
                <w:sz w:val="17"/>
                <w:szCs w:val="17"/>
                <w:lang w:val="en-GB" w:eastAsia="en-US"/>
              </w:rPr>
              <w:t>legal tender notes in circulation should be included in column (a) for ‘no specified term to maturity’;</w:t>
            </w:r>
          </w:p>
          <w:p w:rsidR="00545554" w:rsidRPr="0089465D" w:rsidRDefault="004E7078" w:rsidP="000C23D4">
            <w:pPr>
              <w:pStyle w:val="ListParagraph"/>
              <w:keepLines/>
              <w:numPr>
                <w:ilvl w:val="0"/>
                <w:numId w:val="45"/>
              </w:numPr>
              <w:tabs>
                <w:tab w:val="left" w:pos="459"/>
              </w:tabs>
              <w:spacing w:before="40" w:after="40"/>
              <w:ind w:leftChars="0" w:left="459" w:hanging="459"/>
              <w:jc w:val="both"/>
              <w:rPr>
                <w:sz w:val="17"/>
                <w:szCs w:val="17"/>
              </w:rPr>
            </w:pPr>
            <w:r>
              <w:rPr>
                <w:rFonts w:ascii="Segoe UI" w:eastAsia="Times New Roman" w:hAnsi="Segoe UI" w:cs="Times New Roman"/>
                <w:kern w:val="0"/>
                <w:sz w:val="17"/>
                <w:szCs w:val="17"/>
                <w:lang w:val="en-GB" w:eastAsia="en-US"/>
              </w:rPr>
              <w:t>f</w:t>
            </w:r>
            <w:r w:rsidR="00127B51" w:rsidRPr="0089465D">
              <w:rPr>
                <w:rFonts w:ascii="Segoe UI" w:eastAsia="Times New Roman" w:hAnsi="Segoe UI" w:cs="Times New Roman"/>
                <w:kern w:val="0"/>
                <w:sz w:val="17"/>
                <w:szCs w:val="17"/>
                <w:lang w:val="en-GB" w:eastAsia="en-US"/>
              </w:rPr>
              <w:t xml:space="preserve">or weighted value, a note-issuing bank may choose either to (a) treat the amount for legal tender notes as $0; or (b) apply </w:t>
            </w:r>
            <w:r w:rsidR="0089465D">
              <w:rPr>
                <w:rFonts w:ascii="Segoe UI" w:eastAsia="Times New Roman" w:hAnsi="Segoe UI" w:cs="Times New Roman"/>
                <w:kern w:val="0"/>
                <w:sz w:val="17"/>
                <w:szCs w:val="17"/>
                <w:lang w:val="en-GB" w:eastAsia="en-US"/>
              </w:rPr>
              <w:t xml:space="preserve">BLR </w:t>
            </w:r>
            <w:r w:rsidR="00127B51" w:rsidRPr="0089465D">
              <w:rPr>
                <w:rFonts w:ascii="Segoe UI" w:eastAsia="Times New Roman" w:hAnsi="Segoe UI" w:cs="Times New Roman"/>
                <w:kern w:val="0"/>
                <w:sz w:val="17"/>
                <w:szCs w:val="17"/>
                <w:lang w:val="en-GB" w:eastAsia="en-US"/>
              </w:rPr>
              <w:t>rules 65 and 68 to determine such weighted amounts in accordance with BLR rule 69(2).</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11</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Other liabilities</w:t>
            </w:r>
            <w:r>
              <w:rPr>
                <w:sz w:val="17"/>
                <w:szCs w:val="17"/>
              </w:rPr>
              <w:t>:</w:t>
            </w:r>
            <w:r w:rsidRPr="00986D2D">
              <w:rPr>
                <w:sz w:val="17"/>
                <w:szCs w:val="17"/>
              </w:rPr>
              <w:t xml:space="preserve"> the sum of </w:t>
            </w:r>
            <w:r>
              <w:rPr>
                <w:sz w:val="17"/>
                <w:szCs w:val="17"/>
              </w:rPr>
              <w:t xml:space="preserve">values in </w:t>
            </w:r>
            <w:r w:rsidRPr="00986D2D">
              <w:rPr>
                <w:sz w:val="17"/>
                <w:szCs w:val="17"/>
              </w:rPr>
              <w:t>rows 12 and 13.</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12</w:t>
            </w:r>
          </w:p>
        </w:tc>
        <w:tc>
          <w:tcPr>
            <w:tcW w:w="8505" w:type="dxa"/>
          </w:tcPr>
          <w:p w:rsidR="00545554" w:rsidRPr="00E876D8" w:rsidRDefault="00545554" w:rsidP="00545554">
            <w:pPr>
              <w:keepLines/>
              <w:widowControl w:val="0"/>
              <w:tabs>
                <w:tab w:val="left" w:pos="150"/>
                <w:tab w:val="left" w:pos="397"/>
                <w:tab w:val="left" w:pos="794"/>
                <w:tab w:val="left" w:pos="1191"/>
              </w:tabs>
              <w:spacing w:before="40" w:after="40"/>
              <w:jc w:val="both"/>
              <w:rPr>
                <w:sz w:val="17"/>
                <w:szCs w:val="17"/>
              </w:rPr>
            </w:pPr>
            <w:r>
              <w:rPr>
                <w:i/>
                <w:sz w:val="17"/>
                <w:szCs w:val="17"/>
              </w:rPr>
              <w:t xml:space="preserve">Net </w:t>
            </w:r>
            <w:r w:rsidRPr="000B03B8">
              <w:rPr>
                <w:i/>
                <w:sz w:val="17"/>
                <w:szCs w:val="17"/>
              </w:rPr>
              <w:t>derivative</w:t>
            </w:r>
            <w:r>
              <w:rPr>
                <w:i/>
                <w:sz w:val="17"/>
                <w:szCs w:val="17"/>
              </w:rPr>
              <w:t xml:space="preserve"> liabilitie</w:t>
            </w:r>
            <w:r w:rsidRPr="000B03B8">
              <w:rPr>
                <w:i/>
                <w:sz w:val="17"/>
                <w:szCs w:val="17"/>
              </w:rPr>
              <w:t>s</w:t>
            </w:r>
            <w:r>
              <w:rPr>
                <w:sz w:val="17"/>
                <w:szCs w:val="17"/>
              </w:rPr>
              <w:t>:</w:t>
            </w:r>
            <w:r w:rsidRPr="002B304B">
              <w:rPr>
                <w:sz w:val="17"/>
                <w:szCs w:val="17"/>
              </w:rPr>
              <w:t xml:space="preserve"> </w:t>
            </w:r>
            <w:r>
              <w:rPr>
                <w:sz w:val="17"/>
                <w:szCs w:val="17"/>
              </w:rPr>
              <w:t>i</w:t>
            </w:r>
            <w:r w:rsidRPr="002B304B">
              <w:rPr>
                <w:sz w:val="17"/>
                <w:szCs w:val="17"/>
              </w:rPr>
              <w:t xml:space="preserve">n the unweighted cell, report </w:t>
            </w:r>
            <w:r>
              <w:rPr>
                <w:sz w:val="17"/>
                <w:szCs w:val="17"/>
              </w:rPr>
              <w:t xml:space="preserve">the amount of net </w:t>
            </w:r>
            <w:r w:rsidRPr="002B304B">
              <w:rPr>
                <w:sz w:val="17"/>
                <w:szCs w:val="17"/>
              </w:rPr>
              <w:t>derivatives liabilities</w:t>
            </w:r>
            <w:r>
              <w:rPr>
                <w:sz w:val="17"/>
                <w:szCs w:val="17"/>
              </w:rPr>
              <w:t xml:space="preserve"> </w:t>
            </w:r>
            <w:r w:rsidRPr="002B304B">
              <w:rPr>
                <w:sz w:val="17"/>
                <w:szCs w:val="17"/>
              </w:rPr>
              <w:t xml:space="preserve">as calculated according to </w:t>
            </w:r>
            <w:r>
              <w:rPr>
                <w:sz w:val="17"/>
                <w:szCs w:val="17"/>
              </w:rPr>
              <w:t xml:space="preserve">Part 9 of the BLR (i.e. the net amount of total derivative liabilities (after adjustments) in excess of </w:t>
            </w:r>
            <w:r>
              <w:rPr>
                <w:sz w:val="17"/>
                <w:szCs w:val="17"/>
              </w:rPr>
              <w:lastRenderedPageBreak/>
              <w:t>total derivative assets (after adjustments))</w:t>
            </w:r>
            <w:r w:rsidRPr="002B304B">
              <w:rPr>
                <w:sz w:val="17"/>
                <w:szCs w:val="17"/>
              </w:rPr>
              <w:t xml:space="preserve">. </w:t>
            </w:r>
            <w:r>
              <w:rPr>
                <w:sz w:val="17"/>
                <w:szCs w:val="17"/>
              </w:rPr>
              <w:t xml:space="preserve"> The cell for </w:t>
            </w:r>
            <w:r w:rsidRPr="002B304B">
              <w:rPr>
                <w:sz w:val="17"/>
                <w:szCs w:val="17"/>
              </w:rPr>
              <w:t xml:space="preserve">weighted </w:t>
            </w:r>
            <w:r>
              <w:rPr>
                <w:sz w:val="17"/>
                <w:szCs w:val="17"/>
              </w:rPr>
              <w:t>amount</w:t>
            </w:r>
            <w:r w:rsidRPr="002B304B">
              <w:rPr>
                <w:sz w:val="17"/>
                <w:szCs w:val="17"/>
              </w:rPr>
              <w:t xml:space="preserve"> under </w:t>
            </w:r>
            <w:r>
              <w:rPr>
                <w:sz w:val="17"/>
                <w:szCs w:val="17"/>
              </w:rPr>
              <w:t xml:space="preserve">net </w:t>
            </w:r>
            <w:r w:rsidRPr="002B304B">
              <w:rPr>
                <w:sz w:val="17"/>
                <w:szCs w:val="17"/>
              </w:rPr>
              <w:t>derivative liabilities</w:t>
            </w:r>
            <w:r>
              <w:rPr>
                <w:sz w:val="17"/>
                <w:szCs w:val="17"/>
              </w:rPr>
              <w:t xml:space="preserve"> </w:t>
            </w:r>
            <w:r w:rsidRPr="002B304B">
              <w:rPr>
                <w:sz w:val="17"/>
                <w:szCs w:val="17"/>
              </w:rPr>
              <w:t xml:space="preserve">is </w:t>
            </w:r>
            <w:r>
              <w:rPr>
                <w:sz w:val="17"/>
                <w:szCs w:val="17"/>
              </w:rPr>
              <w:t>darken</w:t>
            </w:r>
            <w:r w:rsidRPr="002B304B">
              <w:rPr>
                <w:sz w:val="17"/>
                <w:szCs w:val="17"/>
              </w:rPr>
              <w:t xml:space="preserve">ed given that </w:t>
            </w:r>
            <w:r>
              <w:rPr>
                <w:sz w:val="17"/>
                <w:szCs w:val="17"/>
              </w:rPr>
              <w:t>the value</w:t>
            </w:r>
            <w:r w:rsidRPr="002B304B">
              <w:rPr>
                <w:sz w:val="17"/>
                <w:szCs w:val="17"/>
              </w:rPr>
              <w:t xml:space="preserve"> will be zero after the 0% ASF is applied.</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13</w:t>
            </w:r>
          </w:p>
        </w:tc>
        <w:tc>
          <w:tcPr>
            <w:tcW w:w="8505" w:type="dxa"/>
          </w:tcPr>
          <w:p w:rsidR="00545554" w:rsidRPr="006C0223" w:rsidRDefault="00545554" w:rsidP="00545554">
            <w:pPr>
              <w:keepLines/>
              <w:widowControl w:val="0"/>
              <w:spacing w:before="40" w:after="40"/>
              <w:jc w:val="both"/>
              <w:rPr>
                <w:sz w:val="17"/>
                <w:szCs w:val="17"/>
              </w:rPr>
            </w:pPr>
            <w:r w:rsidRPr="000B03B8">
              <w:rPr>
                <w:i/>
                <w:sz w:val="17"/>
                <w:szCs w:val="17"/>
                <w:lang w:eastAsia="it-IT"/>
              </w:rPr>
              <w:t xml:space="preserve">All other </w:t>
            </w:r>
            <w:r>
              <w:rPr>
                <w:i/>
                <w:sz w:val="17"/>
                <w:szCs w:val="17"/>
                <w:lang w:eastAsia="it-IT"/>
              </w:rPr>
              <w:t xml:space="preserve">funding and </w:t>
            </w:r>
            <w:r w:rsidRPr="000B03B8">
              <w:rPr>
                <w:i/>
                <w:sz w:val="17"/>
                <w:szCs w:val="17"/>
                <w:lang w:eastAsia="it-IT"/>
              </w:rPr>
              <w:t>liabilities</w:t>
            </w:r>
            <w:r>
              <w:rPr>
                <w:i/>
                <w:sz w:val="17"/>
                <w:szCs w:val="17"/>
                <w:lang w:eastAsia="it-IT"/>
              </w:rPr>
              <w:t xml:space="preserve"> </w:t>
            </w:r>
            <w:r w:rsidRPr="000B03B8">
              <w:rPr>
                <w:i/>
                <w:sz w:val="17"/>
                <w:szCs w:val="17"/>
                <w:lang w:eastAsia="it-IT"/>
              </w:rPr>
              <w:t>not included in the above categories</w:t>
            </w:r>
            <w:r w:rsidRPr="006C0223">
              <w:rPr>
                <w:sz w:val="17"/>
                <w:szCs w:val="17"/>
              </w:rPr>
              <w:t xml:space="preserve">: </w:t>
            </w:r>
            <w:r>
              <w:rPr>
                <w:sz w:val="17"/>
                <w:szCs w:val="17"/>
              </w:rPr>
              <w:t>report in this row a</w:t>
            </w:r>
            <w:r w:rsidRPr="006C0223">
              <w:rPr>
                <w:sz w:val="17"/>
                <w:szCs w:val="17"/>
              </w:rPr>
              <w:t xml:space="preserve">ll other </w:t>
            </w:r>
            <w:r>
              <w:rPr>
                <w:sz w:val="17"/>
                <w:szCs w:val="17"/>
              </w:rPr>
              <w:t xml:space="preserve">funding and </w:t>
            </w:r>
            <w:r w:rsidRPr="006C0223">
              <w:rPr>
                <w:sz w:val="17"/>
                <w:szCs w:val="17"/>
              </w:rPr>
              <w:t xml:space="preserve">liabilities </w:t>
            </w:r>
            <w:r>
              <w:rPr>
                <w:sz w:val="17"/>
                <w:szCs w:val="17"/>
              </w:rPr>
              <w:t xml:space="preserve">that are counted towards ASF under the BLR but </w:t>
            </w:r>
            <w:r w:rsidRPr="006C0223">
              <w:rPr>
                <w:sz w:val="17"/>
                <w:szCs w:val="17"/>
              </w:rPr>
              <w:t xml:space="preserve">not included in </w:t>
            </w:r>
            <w:r>
              <w:rPr>
                <w:sz w:val="17"/>
                <w:szCs w:val="17"/>
              </w:rPr>
              <w:t xml:space="preserve">rows 1 to 12 </w:t>
            </w:r>
            <w:r w:rsidRPr="006C0223">
              <w:rPr>
                <w:sz w:val="17"/>
                <w:szCs w:val="17"/>
              </w:rPr>
              <w:t>above</w:t>
            </w:r>
            <w:r>
              <w:rPr>
                <w:sz w:val="17"/>
                <w:szCs w:val="17"/>
              </w:rPr>
              <w:t xml:space="preserve"> (e.g. debt securities or prescribed instruments issued, deferred tax liabilities, trade-date payables, etc)</w:t>
            </w:r>
            <w:r w:rsidRPr="006C0223">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14</w:t>
            </w:r>
          </w:p>
        </w:tc>
        <w:tc>
          <w:tcPr>
            <w:tcW w:w="8505" w:type="dxa"/>
          </w:tcPr>
          <w:p w:rsidR="00545554" w:rsidRPr="00BE7677"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Total ASF</w:t>
            </w:r>
            <w:r>
              <w:rPr>
                <w:sz w:val="17"/>
                <w:szCs w:val="17"/>
              </w:rPr>
              <w:t>:</w:t>
            </w:r>
            <w:r w:rsidRPr="00500B89">
              <w:rPr>
                <w:sz w:val="17"/>
                <w:szCs w:val="17"/>
              </w:rPr>
              <w:t xml:space="preserve"> the sum of all weighted </w:t>
            </w:r>
            <w:r>
              <w:rPr>
                <w:sz w:val="17"/>
                <w:szCs w:val="17"/>
              </w:rPr>
              <w:t>amount</w:t>
            </w:r>
            <w:r w:rsidRPr="00500B89">
              <w:rPr>
                <w:sz w:val="17"/>
                <w:szCs w:val="17"/>
              </w:rPr>
              <w:t>s in rows 1, 4, 7, 10 and 11.</w:t>
            </w:r>
          </w:p>
        </w:tc>
      </w:tr>
      <w:tr w:rsidR="00545554" w:rsidRPr="00280717" w:rsidTr="00545554">
        <w:trPr>
          <w:trHeight w:val="373"/>
        </w:trPr>
        <w:tc>
          <w:tcPr>
            <w:tcW w:w="568" w:type="dxa"/>
          </w:tcPr>
          <w:p w:rsidR="00545554" w:rsidRDefault="00545554" w:rsidP="00545554">
            <w:pPr>
              <w:keepLines/>
              <w:widowControl w:val="0"/>
              <w:tabs>
                <w:tab w:val="left" w:pos="150"/>
                <w:tab w:val="left" w:pos="794"/>
                <w:tab w:val="left" w:pos="1191"/>
              </w:tabs>
              <w:spacing w:before="40" w:after="40"/>
              <w:ind w:rightChars="-54" w:right="-108"/>
              <w:rPr>
                <w:rFonts w:cs="Segoe UI"/>
                <w:sz w:val="17"/>
                <w:szCs w:val="17"/>
                <w:lang w:eastAsia="en-GB"/>
              </w:rPr>
            </w:pPr>
            <w:r>
              <w:rPr>
                <w:rFonts w:cs="Segoe UI"/>
                <w:sz w:val="17"/>
                <w:szCs w:val="17"/>
                <w:lang w:eastAsia="en-GB"/>
              </w:rPr>
              <w:t>15 to 31</w:t>
            </w:r>
          </w:p>
        </w:tc>
        <w:tc>
          <w:tcPr>
            <w:tcW w:w="8505" w:type="dxa"/>
          </w:tcPr>
          <w:p w:rsidR="00545554" w:rsidRPr="00462F5B" w:rsidRDefault="00545554" w:rsidP="00545554">
            <w:pPr>
              <w:keepLines/>
              <w:widowControl w:val="0"/>
              <w:tabs>
                <w:tab w:val="left" w:pos="150"/>
                <w:tab w:val="left" w:pos="397"/>
                <w:tab w:val="left" w:pos="794"/>
                <w:tab w:val="left" w:pos="1191"/>
              </w:tabs>
              <w:spacing w:before="40" w:after="40"/>
              <w:jc w:val="both"/>
              <w:rPr>
                <w:i/>
                <w:sz w:val="17"/>
                <w:szCs w:val="17"/>
              </w:rPr>
            </w:pPr>
            <w:r w:rsidRPr="000B03B8">
              <w:rPr>
                <w:sz w:val="17"/>
                <w:szCs w:val="17"/>
              </w:rPr>
              <w:t>For any assets that are not free from encumbrances</w:t>
            </w:r>
            <w:r>
              <w:rPr>
                <w:sz w:val="17"/>
                <w:szCs w:val="17"/>
              </w:rPr>
              <w:t xml:space="preserve"> (as defined in Part 9 of the BLR)</w:t>
            </w:r>
            <w:r w:rsidRPr="000B03B8">
              <w:rPr>
                <w:sz w:val="17"/>
                <w:szCs w:val="17"/>
              </w:rPr>
              <w:t xml:space="preserve">, report the unweighted </w:t>
            </w:r>
            <w:r>
              <w:rPr>
                <w:sz w:val="17"/>
                <w:szCs w:val="17"/>
              </w:rPr>
              <w:t>value</w:t>
            </w:r>
            <w:r w:rsidRPr="000B03B8">
              <w:rPr>
                <w:sz w:val="17"/>
                <w:szCs w:val="17"/>
              </w:rPr>
              <w:t xml:space="preserve"> in columns (a) to (d) </w:t>
            </w:r>
            <w:r>
              <w:rPr>
                <w:sz w:val="17"/>
                <w:szCs w:val="17"/>
              </w:rPr>
              <w:t xml:space="preserve">taking into account their remaining terms to maturity and periods of encumbrance (whichever is subject to a higher RSF factor), </w:t>
            </w:r>
            <w:r w:rsidRPr="000B03B8">
              <w:rPr>
                <w:sz w:val="17"/>
                <w:szCs w:val="17"/>
              </w:rPr>
              <w:t>and the weighted amount (i.e. after the applicable RSF factor for encumbered assets) in column (e).</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505" w:type="dxa"/>
          </w:tcPr>
          <w:p w:rsidR="00545554" w:rsidRPr="000C23D4" w:rsidRDefault="00545554" w:rsidP="00545554">
            <w:pPr>
              <w:keepLines/>
              <w:widowControl w:val="0"/>
              <w:tabs>
                <w:tab w:val="left" w:pos="150"/>
                <w:tab w:val="left" w:pos="397"/>
                <w:tab w:val="left" w:pos="794"/>
                <w:tab w:val="left" w:pos="1191"/>
              </w:tabs>
              <w:spacing w:before="40" w:after="40"/>
              <w:jc w:val="both"/>
              <w:rPr>
                <w:rFonts w:cs="Segoe UI"/>
                <w:sz w:val="17"/>
                <w:szCs w:val="17"/>
              </w:rPr>
            </w:pPr>
            <w:r w:rsidRPr="000C23D4">
              <w:rPr>
                <w:rFonts w:cs="Segoe UI"/>
                <w:i/>
                <w:sz w:val="17"/>
                <w:szCs w:val="17"/>
              </w:rPr>
              <w:t>Total HQLA for NSFR purposes</w:t>
            </w:r>
            <w:r w:rsidRPr="000C23D4">
              <w:rPr>
                <w:rFonts w:cs="Segoe UI"/>
                <w:sz w:val="17"/>
                <w:szCs w:val="17"/>
              </w:rPr>
              <w:t>: being unencumbered high quality liquid assets without regard to LCR operational requirements and caps on Level 2 and Level 2B assets that might otherwise limit the ability of some HQLA to be included as eligible in calculation of the LCR.  Under the BLR, these items include:</w:t>
            </w:r>
          </w:p>
          <w:p w:rsidR="00545554" w:rsidRPr="000C23D4" w:rsidRDefault="00545554" w:rsidP="00545554">
            <w:pPr>
              <w:pStyle w:val="ListParagraph"/>
              <w:keepLines/>
              <w:numPr>
                <w:ilvl w:val="0"/>
                <w:numId w:val="32"/>
              </w:numPr>
              <w:tabs>
                <w:tab w:val="left" w:pos="150"/>
                <w:tab w:val="left" w:pos="459"/>
                <w:tab w:val="left" w:pos="1191"/>
              </w:tabs>
              <w:spacing w:before="40" w:after="40"/>
              <w:ind w:leftChars="0" w:left="459" w:hanging="459"/>
              <w:jc w:val="both"/>
              <w:rPr>
                <w:rFonts w:ascii="Segoe UI" w:hAnsi="Segoe UI" w:cs="Segoe UI"/>
                <w:sz w:val="17"/>
                <w:szCs w:val="17"/>
              </w:rPr>
            </w:pPr>
            <w:r w:rsidRPr="000C23D4">
              <w:rPr>
                <w:rFonts w:ascii="Segoe UI" w:hAnsi="Segoe UI" w:cs="Segoe UI"/>
                <w:sz w:val="17"/>
                <w:szCs w:val="17"/>
              </w:rPr>
              <w:tab/>
              <w:t xml:space="preserve">currency notes and coins; </w:t>
            </w:r>
          </w:p>
          <w:p w:rsidR="00545554" w:rsidRPr="000C23D4" w:rsidRDefault="00545554" w:rsidP="00545554">
            <w:pPr>
              <w:pStyle w:val="ListParagraph"/>
              <w:keepLines/>
              <w:numPr>
                <w:ilvl w:val="0"/>
                <w:numId w:val="32"/>
              </w:numPr>
              <w:tabs>
                <w:tab w:val="left" w:pos="150"/>
                <w:tab w:val="left" w:pos="459"/>
                <w:tab w:val="left" w:pos="1191"/>
              </w:tabs>
              <w:spacing w:before="40" w:after="40"/>
              <w:ind w:leftChars="0" w:left="459" w:hanging="459"/>
              <w:jc w:val="both"/>
              <w:rPr>
                <w:rFonts w:ascii="Segoe UI" w:hAnsi="Segoe UI" w:cs="Segoe UI"/>
                <w:sz w:val="17"/>
                <w:szCs w:val="17"/>
              </w:rPr>
            </w:pPr>
            <w:r w:rsidRPr="000C23D4">
              <w:rPr>
                <w:rFonts w:ascii="Segoe UI" w:hAnsi="Segoe UI" w:cs="Segoe UI"/>
                <w:sz w:val="17"/>
                <w:szCs w:val="17"/>
              </w:rPr>
              <w:t>claims on the MA for the account of the EF or central banks that are repayable on demand or readily monetizable (including funds placed with the AI's HKD CHATS Account, or with central banks to meet reserve requirements, EF debt securities and central bank debt securities that qualify for HQLA); and</w:t>
            </w:r>
          </w:p>
          <w:p w:rsidR="00545554" w:rsidRPr="000C23D4" w:rsidRDefault="00545554" w:rsidP="00545554">
            <w:pPr>
              <w:pStyle w:val="ListParagraph"/>
              <w:keepLines/>
              <w:numPr>
                <w:ilvl w:val="0"/>
                <w:numId w:val="32"/>
              </w:numPr>
              <w:tabs>
                <w:tab w:val="left" w:pos="150"/>
                <w:tab w:val="left" w:pos="459"/>
                <w:tab w:val="left" w:pos="1191"/>
              </w:tabs>
              <w:spacing w:before="40" w:after="40"/>
              <w:ind w:leftChars="0" w:left="459" w:hanging="459"/>
              <w:jc w:val="both"/>
              <w:rPr>
                <w:rFonts w:ascii="Segoe UI" w:hAnsi="Segoe UI" w:cs="Segoe UI"/>
                <w:sz w:val="17"/>
                <w:szCs w:val="17"/>
              </w:rPr>
            </w:pPr>
            <w:r w:rsidRPr="000C23D4">
              <w:rPr>
                <w:rFonts w:ascii="Segoe UI" w:hAnsi="Segoe UI" w:cs="Segoe UI"/>
                <w:sz w:val="17"/>
                <w:szCs w:val="17"/>
              </w:rPr>
              <w:t>other level 1 assets, level 2A assets and level 2B assets held by the AI.</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16</w:t>
            </w:r>
          </w:p>
        </w:tc>
        <w:tc>
          <w:tcPr>
            <w:tcW w:w="8505" w:type="dxa"/>
          </w:tcPr>
          <w:p w:rsidR="00545554" w:rsidRPr="000C23D4" w:rsidRDefault="00545554" w:rsidP="00545554">
            <w:pPr>
              <w:keepLines/>
              <w:widowControl w:val="0"/>
              <w:tabs>
                <w:tab w:val="left" w:pos="150"/>
                <w:tab w:val="left" w:pos="397"/>
                <w:tab w:val="left" w:pos="794"/>
                <w:tab w:val="left" w:pos="1191"/>
              </w:tabs>
              <w:spacing w:before="40" w:after="40"/>
              <w:jc w:val="both"/>
              <w:rPr>
                <w:rFonts w:cs="Segoe UI"/>
                <w:sz w:val="17"/>
                <w:szCs w:val="17"/>
              </w:rPr>
            </w:pPr>
            <w:r w:rsidRPr="000C23D4">
              <w:rPr>
                <w:rFonts w:cs="Segoe UI"/>
                <w:i/>
                <w:sz w:val="17"/>
                <w:szCs w:val="17"/>
              </w:rPr>
              <w:t>Deposits held at other financial institutions for operational purposes</w:t>
            </w:r>
            <w:r w:rsidRPr="000C23D4">
              <w:rPr>
                <w:rFonts w:cs="Segoe UI"/>
                <w:sz w:val="17"/>
                <w:szCs w:val="17"/>
              </w:rPr>
              <w:t>: as defined in Part 7 of the BLR.</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505" w:type="dxa"/>
          </w:tcPr>
          <w:p w:rsidR="00545554" w:rsidRPr="00B10028"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and securities</w:t>
            </w:r>
            <w:r>
              <w:rPr>
                <w:sz w:val="17"/>
                <w:szCs w:val="17"/>
              </w:rPr>
              <w:t>:</w:t>
            </w:r>
            <w:r w:rsidRPr="000B03B8">
              <w:rPr>
                <w:sz w:val="17"/>
                <w:szCs w:val="17"/>
              </w:rPr>
              <w:t xml:space="preserve"> the sum of values in rows 18, 19, 20, 22 and 24.</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18</w:t>
            </w:r>
          </w:p>
        </w:tc>
        <w:tc>
          <w:tcPr>
            <w:tcW w:w="8505"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to financial institutions secured by Level 1 HQLA</w:t>
            </w:r>
            <w:r>
              <w:rPr>
                <w:sz w:val="17"/>
                <w:szCs w:val="17"/>
              </w:rPr>
              <w:t>:</w:t>
            </w:r>
            <w:r w:rsidRPr="00E31BC5">
              <w:rPr>
                <w:sz w:val="17"/>
                <w:szCs w:val="17"/>
              </w:rPr>
              <w:t xml:space="preserve"> </w:t>
            </w:r>
            <w:r>
              <w:rPr>
                <w:sz w:val="17"/>
                <w:szCs w:val="17"/>
              </w:rPr>
              <w:t>comprising performing l</w:t>
            </w:r>
            <w:r w:rsidRPr="005331C1">
              <w:rPr>
                <w:sz w:val="17"/>
                <w:szCs w:val="17"/>
              </w:rPr>
              <w:t xml:space="preserve">oans and funds (other than operational deposits) provided by the </w:t>
            </w:r>
            <w:r>
              <w:rPr>
                <w:sz w:val="17"/>
                <w:szCs w:val="17"/>
              </w:rPr>
              <w:t>AI</w:t>
            </w:r>
            <w:r w:rsidRPr="005331C1">
              <w:rPr>
                <w:sz w:val="17"/>
                <w:szCs w:val="17"/>
              </w:rPr>
              <w:t xml:space="preserve"> to other financial institutions </w:t>
            </w:r>
            <w:r>
              <w:rPr>
                <w:sz w:val="17"/>
                <w:szCs w:val="17"/>
              </w:rPr>
              <w:t xml:space="preserve">that are </w:t>
            </w:r>
            <w:r w:rsidRPr="005331C1">
              <w:rPr>
                <w:sz w:val="17"/>
                <w:szCs w:val="17"/>
              </w:rPr>
              <w:t>secured by level 1 assets</w:t>
            </w:r>
            <w:r w:rsidRPr="00E31BC5">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19</w:t>
            </w:r>
          </w:p>
        </w:tc>
        <w:tc>
          <w:tcPr>
            <w:tcW w:w="8505" w:type="dxa"/>
          </w:tcPr>
          <w:p w:rsidR="00545554" w:rsidRPr="00A66751"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Performing loans to financial institutions secured by non-Level 1 HQLA and unsecured performing loans to financial institutions</w:t>
            </w:r>
            <w:r>
              <w:rPr>
                <w:sz w:val="17"/>
                <w:szCs w:val="17"/>
              </w:rPr>
              <w:t>: comprising performing l</w:t>
            </w:r>
            <w:r w:rsidRPr="005331C1">
              <w:rPr>
                <w:sz w:val="17"/>
                <w:szCs w:val="17"/>
              </w:rPr>
              <w:t xml:space="preserve">oans and funds (other than operational deposits) provided by the </w:t>
            </w:r>
            <w:r>
              <w:rPr>
                <w:sz w:val="17"/>
                <w:szCs w:val="17"/>
              </w:rPr>
              <w:t>AI</w:t>
            </w:r>
            <w:r w:rsidRPr="005331C1">
              <w:rPr>
                <w:sz w:val="17"/>
                <w:szCs w:val="17"/>
              </w:rPr>
              <w:t xml:space="preserve"> to other financial institutions not </w:t>
            </w:r>
            <w:r>
              <w:rPr>
                <w:sz w:val="17"/>
                <w:szCs w:val="17"/>
              </w:rPr>
              <w:t xml:space="preserve">already </w:t>
            </w:r>
            <w:r w:rsidRPr="005331C1">
              <w:rPr>
                <w:sz w:val="17"/>
                <w:szCs w:val="17"/>
              </w:rPr>
              <w:t xml:space="preserve">covered by </w:t>
            </w:r>
            <w:r>
              <w:rPr>
                <w:sz w:val="17"/>
                <w:szCs w:val="17"/>
              </w:rPr>
              <w:t>row 18</w:t>
            </w:r>
            <w:r w:rsidRPr="0078134A">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20</w:t>
            </w:r>
          </w:p>
        </w:tc>
        <w:tc>
          <w:tcPr>
            <w:tcW w:w="8505" w:type="dxa"/>
          </w:tcPr>
          <w:p w:rsidR="00545554" w:rsidRPr="000B03B8" w:rsidRDefault="00545554" w:rsidP="00545554">
            <w:pPr>
              <w:pStyle w:val="TableNote"/>
              <w:spacing w:before="40" w:after="40"/>
              <w:rPr>
                <w:i/>
                <w:sz w:val="17"/>
                <w:szCs w:val="17"/>
              </w:rPr>
            </w:pPr>
            <w:r>
              <w:rPr>
                <w:i/>
                <w:sz w:val="17"/>
                <w:szCs w:val="17"/>
              </w:rPr>
              <w:t>P</w:t>
            </w:r>
            <w:r w:rsidRPr="009C3D81">
              <w:rPr>
                <w:i/>
                <w:sz w:val="17"/>
                <w:szCs w:val="17"/>
              </w:rPr>
              <w:t>erforming loans</w:t>
            </w:r>
            <w:r>
              <w:rPr>
                <w:i/>
                <w:sz w:val="17"/>
                <w:szCs w:val="17"/>
              </w:rPr>
              <w:t>, other than performing residential mortgages,</w:t>
            </w:r>
            <w:r w:rsidRPr="009C3D81">
              <w:rPr>
                <w:i/>
                <w:sz w:val="17"/>
                <w:szCs w:val="17"/>
              </w:rPr>
              <w:t xml:space="preserve"> to non-financial corporate clients, retail and small business customers,</w:t>
            </w:r>
            <w:r>
              <w:rPr>
                <w:i/>
                <w:sz w:val="17"/>
                <w:szCs w:val="17"/>
              </w:rPr>
              <w:t xml:space="preserve"> </w:t>
            </w:r>
            <w:r w:rsidRPr="009C3D81">
              <w:rPr>
                <w:i/>
                <w:sz w:val="17"/>
                <w:szCs w:val="17"/>
              </w:rPr>
              <w:t>sovereigns, the M</w:t>
            </w:r>
            <w:r>
              <w:rPr>
                <w:i/>
                <w:sz w:val="17"/>
                <w:szCs w:val="17"/>
              </w:rPr>
              <w:t>A</w:t>
            </w:r>
            <w:r w:rsidRPr="009C3D81">
              <w:rPr>
                <w:i/>
                <w:sz w:val="17"/>
                <w:szCs w:val="17"/>
              </w:rPr>
              <w:t xml:space="preserve"> for the account of the E</w:t>
            </w:r>
            <w:r>
              <w:rPr>
                <w:i/>
                <w:sz w:val="17"/>
                <w:szCs w:val="17"/>
              </w:rPr>
              <w:t>F</w:t>
            </w:r>
            <w:r w:rsidRPr="009C3D81">
              <w:rPr>
                <w:i/>
                <w:sz w:val="17"/>
                <w:szCs w:val="17"/>
              </w:rPr>
              <w:t>, central banks and PSEs</w:t>
            </w:r>
            <w:r>
              <w:rPr>
                <w:i/>
                <w:sz w:val="17"/>
                <w:szCs w:val="17"/>
              </w:rPr>
              <w:t xml:space="preserve">: </w:t>
            </w:r>
            <w:r>
              <w:rPr>
                <w:sz w:val="17"/>
                <w:szCs w:val="17"/>
              </w:rPr>
              <w:t>comprising performing l</w:t>
            </w:r>
            <w:r w:rsidRPr="00D47896">
              <w:rPr>
                <w:sz w:val="17"/>
                <w:szCs w:val="17"/>
              </w:rPr>
              <w:t xml:space="preserve">oans and funds </w:t>
            </w:r>
            <w:r>
              <w:rPr>
                <w:sz w:val="17"/>
                <w:szCs w:val="17"/>
              </w:rPr>
              <w:t xml:space="preserve">(which are not residential mortgages) </w:t>
            </w:r>
            <w:r w:rsidRPr="00D47896">
              <w:rPr>
                <w:sz w:val="17"/>
                <w:szCs w:val="17"/>
              </w:rPr>
              <w:t xml:space="preserve">provided by the </w:t>
            </w:r>
            <w:r>
              <w:rPr>
                <w:sz w:val="17"/>
                <w:szCs w:val="17"/>
              </w:rPr>
              <w:t>AI</w:t>
            </w:r>
            <w:r w:rsidRPr="00D47896">
              <w:rPr>
                <w:sz w:val="17"/>
                <w:szCs w:val="17"/>
              </w:rPr>
              <w:t xml:space="preserve"> to retail customers</w:t>
            </w:r>
            <w:r>
              <w:rPr>
                <w:sz w:val="17"/>
                <w:szCs w:val="17"/>
              </w:rPr>
              <w:t xml:space="preserve"> </w:t>
            </w:r>
            <w:r w:rsidRPr="00D47896">
              <w:rPr>
                <w:sz w:val="17"/>
                <w:szCs w:val="17"/>
              </w:rPr>
              <w:t>and wholesale customers (other than financial institutions)</w:t>
            </w:r>
            <w:r>
              <w:rPr>
                <w:sz w:val="17"/>
                <w:szCs w:val="17"/>
              </w:rPr>
              <w:t xml:space="preserve"> that are not covered by rows 15 to 19 and 22 to 23.</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21</w:t>
            </w:r>
          </w:p>
        </w:tc>
        <w:tc>
          <w:tcPr>
            <w:tcW w:w="8505" w:type="dxa"/>
          </w:tcPr>
          <w:p w:rsidR="00545554" w:rsidRPr="000B03B8" w:rsidRDefault="00545554" w:rsidP="00545554">
            <w:pPr>
              <w:keepLines/>
              <w:widowControl w:val="0"/>
              <w:tabs>
                <w:tab w:val="left" w:pos="150"/>
                <w:tab w:val="left" w:pos="397"/>
                <w:tab w:val="left" w:pos="794"/>
                <w:tab w:val="left" w:pos="1191"/>
              </w:tabs>
              <w:spacing w:before="40" w:after="40"/>
              <w:jc w:val="both"/>
              <w:rPr>
                <w:i/>
                <w:sz w:val="17"/>
                <w:szCs w:val="17"/>
              </w:rPr>
            </w:pPr>
            <w:r w:rsidRPr="000B03B8">
              <w:rPr>
                <w:i/>
                <w:sz w:val="17"/>
                <w:szCs w:val="17"/>
              </w:rPr>
              <w:t xml:space="preserve">With </w:t>
            </w:r>
            <w:r>
              <w:rPr>
                <w:i/>
                <w:sz w:val="17"/>
                <w:szCs w:val="17"/>
              </w:rPr>
              <w:t xml:space="preserve">a </w:t>
            </w:r>
            <w:r w:rsidRPr="000B03B8">
              <w:rPr>
                <w:i/>
                <w:sz w:val="17"/>
                <w:szCs w:val="17"/>
              </w:rPr>
              <w:t>risk</w:t>
            </w:r>
            <w:r>
              <w:rPr>
                <w:i/>
                <w:sz w:val="17"/>
                <w:szCs w:val="17"/>
              </w:rPr>
              <w:t>-</w:t>
            </w:r>
            <w:r w:rsidRPr="000B03B8">
              <w:rPr>
                <w:i/>
                <w:sz w:val="17"/>
                <w:szCs w:val="17"/>
              </w:rPr>
              <w:t>weight of less than or equal to 35% under the STC approach</w:t>
            </w:r>
            <w:r>
              <w:rPr>
                <w:sz w:val="17"/>
                <w:szCs w:val="17"/>
              </w:rPr>
              <w:t>: being the portion of</w:t>
            </w:r>
            <w:r w:rsidRPr="001D77C7">
              <w:rPr>
                <w:sz w:val="17"/>
                <w:szCs w:val="17"/>
              </w:rPr>
              <w:t xml:space="preserve"> amount reported in row </w:t>
            </w:r>
            <w:r>
              <w:rPr>
                <w:sz w:val="17"/>
                <w:szCs w:val="17"/>
              </w:rPr>
              <w:t xml:space="preserve">20 </w:t>
            </w:r>
            <w:r w:rsidRPr="001D77C7">
              <w:rPr>
                <w:sz w:val="17"/>
                <w:szCs w:val="17"/>
              </w:rPr>
              <w:t xml:space="preserve">that is subject to a </w:t>
            </w:r>
            <w:r>
              <w:rPr>
                <w:sz w:val="17"/>
                <w:szCs w:val="17"/>
              </w:rPr>
              <w:t xml:space="preserve">risk-weight </w:t>
            </w:r>
            <w:r w:rsidRPr="001D77C7">
              <w:rPr>
                <w:sz w:val="17"/>
                <w:szCs w:val="17"/>
              </w:rPr>
              <w:t xml:space="preserve">of less than or equal to 35% under </w:t>
            </w:r>
            <w:r>
              <w:rPr>
                <w:sz w:val="17"/>
                <w:szCs w:val="17"/>
              </w:rPr>
              <w:t>Division 3, Part 4 of the BCR</w:t>
            </w:r>
            <w:r w:rsidRPr="0078134A">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22</w:t>
            </w:r>
          </w:p>
        </w:tc>
        <w:tc>
          <w:tcPr>
            <w:tcW w:w="8505" w:type="dxa"/>
          </w:tcPr>
          <w:p w:rsidR="00545554" w:rsidRPr="00647D6F" w:rsidRDefault="00545554" w:rsidP="00B067C9">
            <w:pPr>
              <w:keepLines/>
              <w:widowControl w:val="0"/>
              <w:spacing w:before="40" w:after="40"/>
              <w:jc w:val="both"/>
              <w:rPr>
                <w:sz w:val="17"/>
                <w:szCs w:val="17"/>
              </w:rPr>
            </w:pPr>
            <w:r w:rsidRPr="000B03B8">
              <w:rPr>
                <w:i/>
                <w:sz w:val="17"/>
                <w:szCs w:val="17"/>
              </w:rPr>
              <w:t>Performing residential mortgages</w:t>
            </w:r>
            <w:r>
              <w:rPr>
                <w:sz w:val="17"/>
                <w:szCs w:val="17"/>
              </w:rPr>
              <w:t>: comprising all performing residential mortgages provided by the AI.</w:t>
            </w:r>
            <w:r w:rsidR="00AE62F6">
              <w:rPr>
                <w:sz w:val="17"/>
                <w:szCs w:val="17"/>
              </w:rPr>
              <w:t xml:space="preserve">  In determining the scope of residential mortgage, </w:t>
            </w:r>
            <w:r w:rsidR="00AE62F6" w:rsidRPr="00AE62F6">
              <w:rPr>
                <w:sz w:val="17"/>
                <w:szCs w:val="17"/>
              </w:rPr>
              <w:t xml:space="preserve">an AI could make reference </w:t>
            </w:r>
            <w:r w:rsidR="00D7209A">
              <w:rPr>
                <w:sz w:val="17"/>
                <w:szCs w:val="17"/>
              </w:rPr>
              <w:t>to</w:t>
            </w:r>
            <w:r w:rsidR="00D7209A" w:rsidRPr="00AE62F6">
              <w:rPr>
                <w:sz w:val="17"/>
                <w:szCs w:val="17"/>
              </w:rPr>
              <w:t xml:space="preserve"> BCR </w:t>
            </w:r>
            <w:r w:rsidR="00B067C9" w:rsidRPr="00A8109E">
              <w:rPr>
                <w:sz w:val="17"/>
                <w:szCs w:val="17"/>
              </w:rPr>
              <w:t>§</w:t>
            </w:r>
            <w:r w:rsidR="00B067C9" w:rsidRPr="00AE62F6">
              <w:rPr>
                <w:sz w:val="17"/>
                <w:szCs w:val="17"/>
              </w:rPr>
              <w:t>2(1)</w:t>
            </w:r>
            <w:r w:rsidR="00B067C9">
              <w:rPr>
                <w:sz w:val="17"/>
                <w:szCs w:val="17"/>
              </w:rPr>
              <w:t xml:space="preserve"> </w:t>
            </w:r>
            <w:r w:rsidR="00AE62F6" w:rsidRPr="00AE62F6">
              <w:rPr>
                <w:sz w:val="17"/>
                <w:szCs w:val="17"/>
              </w:rPr>
              <w:t xml:space="preserve">for the scope of row </w:t>
            </w:r>
            <w:r w:rsidR="00AE62F6" w:rsidRPr="00AE62F6">
              <w:rPr>
                <w:sz w:val="17"/>
                <w:szCs w:val="17"/>
              </w:rPr>
              <w:lastRenderedPageBreak/>
              <w:t xml:space="preserve">22.  For clarity sake, residential mortgage loans to financial institutions, if any, should be excluded from row 22 and be included in row 18 or 19 where appropriate.  The aggregated values of rows 20 and 22 will correspond to item 7 in RSF section of </w:t>
            </w:r>
            <w:r w:rsidR="008B3237">
              <w:rPr>
                <w:sz w:val="17"/>
                <w:szCs w:val="17"/>
              </w:rPr>
              <w:t xml:space="preserve">its </w:t>
            </w:r>
            <w:r w:rsidR="008B3237">
              <w:rPr>
                <w:rFonts w:cs="Segoe UI"/>
                <w:iCs/>
                <w:color w:val="000000"/>
                <w:sz w:val="17"/>
                <w:szCs w:val="17"/>
              </w:rPr>
              <w:t>R</w:t>
            </w:r>
            <w:r w:rsidR="008B3237" w:rsidRPr="00126576">
              <w:rPr>
                <w:rFonts w:cs="Segoe UI"/>
                <w:iCs/>
                <w:color w:val="000000"/>
                <w:sz w:val="17"/>
                <w:szCs w:val="17"/>
              </w:rPr>
              <w:t>eturn</w:t>
            </w:r>
            <w:r w:rsidR="008B3237">
              <w:rPr>
                <w:rFonts w:cs="Segoe UI"/>
                <w:iCs/>
                <w:color w:val="000000"/>
                <w:sz w:val="17"/>
                <w:szCs w:val="17"/>
              </w:rPr>
              <w:t xml:space="preserve"> of Stable Funding Position</w:t>
            </w:r>
            <w:r w:rsidR="008B3237" w:rsidRPr="00AE62F6">
              <w:rPr>
                <w:sz w:val="17"/>
                <w:szCs w:val="17"/>
              </w:rPr>
              <w:t xml:space="preserve"> </w:t>
            </w:r>
            <w:r w:rsidR="008B3237">
              <w:rPr>
                <w:sz w:val="17"/>
                <w:szCs w:val="17"/>
              </w:rPr>
              <w:t>(</w:t>
            </w:r>
            <w:r w:rsidR="00AE62F6" w:rsidRPr="00AE62F6">
              <w:rPr>
                <w:sz w:val="17"/>
                <w:szCs w:val="17"/>
              </w:rPr>
              <w:t>MA(BS)26</w:t>
            </w:r>
            <w:r w:rsidR="008B3237">
              <w:rPr>
                <w:sz w:val="17"/>
                <w:szCs w:val="17"/>
              </w:rPr>
              <w:t>)</w:t>
            </w:r>
            <w:r w:rsidR="00AE62F6" w:rsidRPr="00AE62F6">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23</w:t>
            </w:r>
          </w:p>
        </w:tc>
        <w:tc>
          <w:tcPr>
            <w:tcW w:w="8505" w:type="dxa"/>
          </w:tcPr>
          <w:p w:rsidR="00545554" w:rsidRPr="0078134A" w:rsidRDefault="00545554" w:rsidP="00545554">
            <w:pPr>
              <w:keepLines/>
              <w:widowControl w:val="0"/>
              <w:tabs>
                <w:tab w:val="left" w:pos="150"/>
                <w:tab w:val="left" w:pos="397"/>
                <w:tab w:val="left" w:pos="794"/>
                <w:tab w:val="left" w:pos="1191"/>
              </w:tabs>
              <w:spacing w:before="40" w:after="40"/>
              <w:jc w:val="both"/>
              <w:rPr>
                <w:sz w:val="17"/>
                <w:szCs w:val="17"/>
              </w:rPr>
            </w:pPr>
            <w:r w:rsidRPr="000B03B8">
              <w:rPr>
                <w:i/>
                <w:sz w:val="17"/>
                <w:szCs w:val="17"/>
              </w:rPr>
              <w:t xml:space="preserve">With </w:t>
            </w:r>
            <w:r>
              <w:rPr>
                <w:i/>
                <w:sz w:val="17"/>
                <w:szCs w:val="17"/>
              </w:rPr>
              <w:t xml:space="preserve">a </w:t>
            </w:r>
            <w:r w:rsidRPr="000B03B8">
              <w:rPr>
                <w:i/>
                <w:sz w:val="17"/>
                <w:szCs w:val="17"/>
              </w:rPr>
              <w:t>risk</w:t>
            </w:r>
            <w:r>
              <w:rPr>
                <w:i/>
                <w:sz w:val="17"/>
                <w:szCs w:val="17"/>
              </w:rPr>
              <w:t>-</w:t>
            </w:r>
            <w:r w:rsidRPr="000B03B8">
              <w:rPr>
                <w:i/>
                <w:sz w:val="17"/>
                <w:szCs w:val="17"/>
              </w:rPr>
              <w:t>weight of less than or equal to 35% under the STC approach</w:t>
            </w:r>
            <w:r>
              <w:rPr>
                <w:sz w:val="17"/>
                <w:szCs w:val="17"/>
              </w:rPr>
              <w:t>: being the portion of</w:t>
            </w:r>
            <w:r w:rsidRPr="00C255A0">
              <w:rPr>
                <w:sz w:val="17"/>
                <w:szCs w:val="17"/>
              </w:rPr>
              <w:t xml:space="preserve"> amount reported in row </w:t>
            </w:r>
            <w:r>
              <w:rPr>
                <w:sz w:val="17"/>
                <w:szCs w:val="17"/>
              </w:rPr>
              <w:t xml:space="preserve">22 </w:t>
            </w:r>
            <w:r w:rsidRPr="00C255A0">
              <w:rPr>
                <w:sz w:val="17"/>
                <w:szCs w:val="17"/>
              </w:rPr>
              <w:t xml:space="preserve">that is subject to a </w:t>
            </w:r>
            <w:r>
              <w:rPr>
                <w:sz w:val="17"/>
                <w:szCs w:val="17"/>
              </w:rPr>
              <w:t xml:space="preserve">risk-weight </w:t>
            </w:r>
            <w:r w:rsidRPr="00C255A0">
              <w:rPr>
                <w:sz w:val="17"/>
                <w:szCs w:val="17"/>
              </w:rPr>
              <w:t xml:space="preserve">of </w:t>
            </w:r>
            <w:r w:rsidRPr="000B03B8">
              <w:rPr>
                <w:sz w:val="17"/>
                <w:szCs w:val="17"/>
              </w:rPr>
              <w:t xml:space="preserve">less than or equal to 35% under </w:t>
            </w:r>
            <w:r>
              <w:rPr>
                <w:sz w:val="17"/>
                <w:szCs w:val="17"/>
              </w:rPr>
              <w:t>Division 3, Part 4 of the BCR</w:t>
            </w:r>
            <w:r w:rsidRPr="0078134A">
              <w:rPr>
                <w:sz w:val="17"/>
                <w:szCs w:val="17"/>
              </w:rPr>
              <w:t>.</w:t>
            </w:r>
          </w:p>
        </w:tc>
      </w:tr>
      <w:tr w:rsidR="00545554" w:rsidRPr="00280717" w:rsidTr="00545554">
        <w:trPr>
          <w:trHeight w:val="373"/>
        </w:trPr>
        <w:tc>
          <w:tcPr>
            <w:tcW w:w="568" w:type="dxa"/>
          </w:tcPr>
          <w:p w:rsidR="00545554" w:rsidRPr="00280717"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24</w:t>
            </w:r>
          </w:p>
        </w:tc>
        <w:tc>
          <w:tcPr>
            <w:tcW w:w="8505" w:type="dxa"/>
          </w:tcPr>
          <w:p w:rsidR="00545554" w:rsidRPr="0078134A" w:rsidRDefault="00545554" w:rsidP="00545554">
            <w:pPr>
              <w:pStyle w:val="TableNote"/>
              <w:spacing w:before="40" w:after="40"/>
              <w:rPr>
                <w:sz w:val="17"/>
                <w:szCs w:val="17"/>
              </w:rPr>
            </w:pPr>
            <w:r w:rsidRPr="00650BE1">
              <w:rPr>
                <w:i/>
                <w:sz w:val="17"/>
                <w:szCs w:val="17"/>
              </w:rPr>
              <w:t>Securities that are not in default and do not qualify as HQLA including exchange-traded equities</w:t>
            </w:r>
            <w:r>
              <w:rPr>
                <w:sz w:val="17"/>
                <w:szCs w:val="17"/>
              </w:rPr>
              <w:t>: comprising debt s</w:t>
            </w:r>
            <w:r w:rsidRPr="00A83187">
              <w:rPr>
                <w:sz w:val="17"/>
                <w:szCs w:val="17"/>
              </w:rPr>
              <w:t>ecurities</w:t>
            </w:r>
            <w:r>
              <w:rPr>
                <w:sz w:val="17"/>
                <w:szCs w:val="17"/>
              </w:rPr>
              <w:t>, prescribed instruments</w:t>
            </w:r>
            <w:r w:rsidRPr="00A83187">
              <w:rPr>
                <w:sz w:val="17"/>
                <w:szCs w:val="17"/>
              </w:rPr>
              <w:t xml:space="preserve"> </w:t>
            </w:r>
            <w:r>
              <w:rPr>
                <w:sz w:val="17"/>
                <w:szCs w:val="17"/>
              </w:rPr>
              <w:t>and list</w:t>
            </w:r>
            <w:r w:rsidR="0043033F">
              <w:rPr>
                <w:sz w:val="17"/>
                <w:szCs w:val="17"/>
              </w:rPr>
              <w:t>ed</w:t>
            </w:r>
            <w:r>
              <w:rPr>
                <w:sz w:val="17"/>
                <w:szCs w:val="17"/>
              </w:rPr>
              <w:t xml:space="preserve"> equities </w:t>
            </w:r>
            <w:r w:rsidRPr="00A83187">
              <w:rPr>
                <w:sz w:val="17"/>
                <w:szCs w:val="17"/>
              </w:rPr>
              <w:t xml:space="preserve">held by the </w:t>
            </w:r>
            <w:r>
              <w:rPr>
                <w:sz w:val="17"/>
                <w:szCs w:val="17"/>
              </w:rPr>
              <w:t>AI</w:t>
            </w:r>
            <w:r w:rsidRPr="00A83187">
              <w:rPr>
                <w:sz w:val="17"/>
                <w:szCs w:val="17"/>
              </w:rPr>
              <w:t xml:space="preserve"> </w:t>
            </w:r>
            <w:r>
              <w:rPr>
                <w:sz w:val="17"/>
                <w:szCs w:val="17"/>
              </w:rPr>
              <w:t>that are not already included in row 15</w:t>
            </w:r>
            <w:r w:rsidRPr="000841AB">
              <w:rPr>
                <w:sz w:val="17"/>
                <w:szCs w:val="17"/>
              </w:rPr>
              <w:t>.</w:t>
            </w:r>
            <w:r>
              <w:rPr>
                <w:sz w:val="17"/>
                <w:szCs w:val="17"/>
              </w:rPr>
              <w:t xml:space="preserve">  To avoid doubt, debt securities or prescribed instruments that are not marketable should also be covered by this row, while unlisted equities should be reported under row 31.</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25</w:t>
            </w:r>
          </w:p>
        </w:tc>
        <w:tc>
          <w:tcPr>
            <w:tcW w:w="8505" w:type="dxa"/>
          </w:tcPr>
          <w:p w:rsidR="006C21FE" w:rsidRDefault="00545554" w:rsidP="006C21FE">
            <w:pPr>
              <w:keepLines/>
              <w:widowControl w:val="0"/>
              <w:tabs>
                <w:tab w:val="left" w:pos="150"/>
                <w:tab w:val="left" w:pos="397"/>
                <w:tab w:val="left" w:pos="794"/>
                <w:tab w:val="left" w:pos="1191"/>
              </w:tabs>
              <w:spacing w:before="40" w:after="40"/>
              <w:jc w:val="both"/>
              <w:rPr>
                <w:sz w:val="17"/>
                <w:szCs w:val="17"/>
              </w:rPr>
            </w:pPr>
            <w:r w:rsidRPr="000B03B8">
              <w:rPr>
                <w:i/>
                <w:sz w:val="17"/>
                <w:szCs w:val="17"/>
              </w:rPr>
              <w:t>Assets with matching interdependent liabilities</w:t>
            </w:r>
            <w:r>
              <w:rPr>
                <w:sz w:val="17"/>
                <w:szCs w:val="17"/>
              </w:rPr>
              <w:t>: any assets which meet the descriptions in BLR rule 70 and match with interdependent liabilities should be included in this row and excluded from all other RSF items</w:t>
            </w:r>
            <w:r w:rsidRPr="00986D2D">
              <w:rPr>
                <w:sz w:val="17"/>
                <w:szCs w:val="17"/>
              </w:rPr>
              <w:t>.</w:t>
            </w:r>
            <w:r>
              <w:rPr>
                <w:sz w:val="17"/>
                <w:szCs w:val="17"/>
              </w:rPr>
              <w:t xml:space="preserve">    For note-issuing banks, this row also includes the amount of </w:t>
            </w:r>
            <w:r w:rsidRPr="00B319D7">
              <w:rPr>
                <w:sz w:val="17"/>
                <w:szCs w:val="17"/>
              </w:rPr>
              <w:t xml:space="preserve">certificate of indebtedness </w:t>
            </w:r>
            <w:r>
              <w:rPr>
                <w:sz w:val="17"/>
                <w:szCs w:val="17"/>
              </w:rPr>
              <w:t xml:space="preserve">that are </w:t>
            </w:r>
            <w:r w:rsidRPr="00B319D7">
              <w:rPr>
                <w:sz w:val="17"/>
                <w:szCs w:val="17"/>
              </w:rPr>
              <w:t xml:space="preserve">issued under </w:t>
            </w:r>
            <w:r>
              <w:rPr>
                <w:sz w:val="17"/>
                <w:szCs w:val="17"/>
              </w:rPr>
              <w:t xml:space="preserve">section </w:t>
            </w:r>
            <w:r w:rsidRPr="00B319D7">
              <w:rPr>
                <w:sz w:val="17"/>
                <w:szCs w:val="17"/>
              </w:rPr>
              <w:t>4(1)</w:t>
            </w:r>
            <w:r>
              <w:rPr>
                <w:sz w:val="17"/>
                <w:szCs w:val="17"/>
              </w:rPr>
              <w:t xml:space="preserve"> of </w:t>
            </w:r>
            <w:r w:rsidRPr="00B319D7">
              <w:rPr>
                <w:sz w:val="17"/>
                <w:szCs w:val="17"/>
              </w:rPr>
              <w:t>the Exchange Fund Ordinance (Cap. 66)</w:t>
            </w:r>
            <w:r w:rsidR="006C21FE">
              <w:rPr>
                <w:sz w:val="17"/>
                <w:szCs w:val="17"/>
              </w:rPr>
              <w:t>, as follows:</w:t>
            </w:r>
          </w:p>
          <w:p w:rsidR="006C21FE" w:rsidRPr="00B5213A" w:rsidRDefault="004E7078" w:rsidP="000C23D4">
            <w:pPr>
              <w:pStyle w:val="ListParagraph"/>
              <w:keepLines/>
              <w:numPr>
                <w:ilvl w:val="0"/>
                <w:numId w:val="45"/>
              </w:numPr>
              <w:tabs>
                <w:tab w:val="left" w:pos="459"/>
              </w:tabs>
              <w:spacing w:before="40" w:after="40"/>
              <w:ind w:leftChars="0" w:left="459" w:hanging="459"/>
              <w:jc w:val="both"/>
              <w:rPr>
                <w:rFonts w:ascii="Segoe UI" w:eastAsia="Times New Roman" w:hAnsi="Segoe UI" w:cs="Times New Roman"/>
                <w:kern w:val="0"/>
                <w:sz w:val="17"/>
                <w:szCs w:val="17"/>
                <w:lang w:val="en-GB" w:eastAsia="en-US"/>
              </w:rPr>
            </w:pPr>
            <w:r>
              <w:rPr>
                <w:rFonts w:ascii="Segoe UI" w:eastAsia="Times New Roman" w:hAnsi="Segoe UI" w:cs="Times New Roman"/>
                <w:kern w:val="0"/>
                <w:sz w:val="17"/>
                <w:szCs w:val="17"/>
                <w:lang w:val="en-GB" w:eastAsia="en-US"/>
              </w:rPr>
              <w:t>f</w:t>
            </w:r>
            <w:r w:rsidR="006C21FE" w:rsidRPr="00B5213A">
              <w:rPr>
                <w:rFonts w:ascii="Segoe UI" w:eastAsia="Times New Roman" w:hAnsi="Segoe UI" w:cs="Times New Roman"/>
                <w:kern w:val="0"/>
                <w:sz w:val="17"/>
                <w:szCs w:val="17"/>
                <w:lang w:val="en-GB" w:eastAsia="en-US"/>
              </w:rPr>
              <w:t xml:space="preserve">or unweighted value, </w:t>
            </w:r>
            <w:r w:rsidR="006C21FE" w:rsidRPr="0089465D">
              <w:rPr>
                <w:rFonts w:ascii="Segoe UI" w:eastAsia="Times New Roman" w:hAnsi="Segoe UI" w:cs="Times New Roman"/>
                <w:kern w:val="0"/>
                <w:sz w:val="17"/>
                <w:szCs w:val="17"/>
                <w:lang w:val="en-GB" w:eastAsia="en-US"/>
              </w:rPr>
              <w:t>the certificate</w:t>
            </w:r>
            <w:r w:rsidR="006C21FE">
              <w:rPr>
                <w:rFonts w:ascii="Segoe UI" w:eastAsia="Times New Roman" w:hAnsi="Segoe UI" w:cs="Times New Roman"/>
                <w:kern w:val="0"/>
                <w:sz w:val="17"/>
                <w:szCs w:val="17"/>
                <w:lang w:val="en-GB" w:eastAsia="en-US"/>
              </w:rPr>
              <w:t>s</w:t>
            </w:r>
            <w:r w:rsidR="006C21FE" w:rsidRPr="0089465D">
              <w:rPr>
                <w:rFonts w:ascii="Segoe UI" w:eastAsia="Times New Roman" w:hAnsi="Segoe UI" w:cs="Times New Roman"/>
                <w:kern w:val="0"/>
                <w:sz w:val="17"/>
                <w:szCs w:val="17"/>
                <w:lang w:val="en-GB" w:eastAsia="en-US"/>
              </w:rPr>
              <w:t xml:space="preserve"> of indebtedness</w:t>
            </w:r>
            <w:r w:rsidR="006C21FE" w:rsidRPr="00B5213A">
              <w:rPr>
                <w:rFonts w:ascii="Segoe UI" w:eastAsia="Times New Roman" w:hAnsi="Segoe UI" w:cs="Times New Roman"/>
                <w:kern w:val="0"/>
                <w:sz w:val="17"/>
                <w:szCs w:val="17"/>
                <w:lang w:val="en-GB" w:eastAsia="en-US"/>
              </w:rPr>
              <w:t xml:space="preserve"> </w:t>
            </w:r>
            <w:r w:rsidR="006C21FE">
              <w:rPr>
                <w:rFonts w:ascii="Segoe UI" w:eastAsia="Times New Roman" w:hAnsi="Segoe UI" w:cs="Times New Roman"/>
                <w:kern w:val="0"/>
                <w:sz w:val="17"/>
                <w:szCs w:val="17"/>
                <w:lang w:val="en-GB" w:eastAsia="en-US"/>
              </w:rPr>
              <w:t xml:space="preserve">held </w:t>
            </w:r>
            <w:r w:rsidR="006C21FE" w:rsidRPr="00B5213A">
              <w:rPr>
                <w:rFonts w:ascii="Segoe UI" w:eastAsia="Times New Roman" w:hAnsi="Segoe UI" w:cs="Times New Roman"/>
                <w:kern w:val="0"/>
                <w:sz w:val="17"/>
                <w:szCs w:val="17"/>
                <w:lang w:val="en-GB" w:eastAsia="en-US"/>
              </w:rPr>
              <w:t>should be included in column (a) for ‘no specified term to maturity’;</w:t>
            </w:r>
          </w:p>
          <w:p w:rsidR="00545554" w:rsidRPr="0078134A" w:rsidRDefault="004E7078" w:rsidP="000C23D4">
            <w:pPr>
              <w:pStyle w:val="ListParagraph"/>
              <w:keepLines/>
              <w:numPr>
                <w:ilvl w:val="0"/>
                <w:numId w:val="45"/>
              </w:numPr>
              <w:tabs>
                <w:tab w:val="left" w:pos="459"/>
              </w:tabs>
              <w:spacing w:before="40" w:after="40"/>
              <w:ind w:leftChars="0" w:left="459" w:hanging="459"/>
              <w:jc w:val="both"/>
              <w:rPr>
                <w:sz w:val="17"/>
                <w:szCs w:val="17"/>
              </w:rPr>
            </w:pPr>
            <w:r>
              <w:rPr>
                <w:rFonts w:ascii="Segoe UI" w:eastAsia="Times New Roman" w:hAnsi="Segoe UI" w:cs="Times New Roman"/>
                <w:kern w:val="0"/>
                <w:sz w:val="17"/>
                <w:szCs w:val="17"/>
                <w:lang w:val="en-GB" w:eastAsia="en-US"/>
              </w:rPr>
              <w:t>f</w:t>
            </w:r>
            <w:r w:rsidR="006C21FE" w:rsidRPr="00B5213A">
              <w:rPr>
                <w:rFonts w:ascii="Segoe UI" w:eastAsia="Times New Roman" w:hAnsi="Segoe UI" w:cs="Times New Roman"/>
                <w:kern w:val="0"/>
                <w:sz w:val="17"/>
                <w:szCs w:val="17"/>
                <w:lang w:val="en-GB" w:eastAsia="en-US"/>
              </w:rPr>
              <w:t>or weighted value, a note-issuing bank may choose either to (a) treat the amount for certificate</w:t>
            </w:r>
            <w:r w:rsidR="006C21FE">
              <w:rPr>
                <w:rFonts w:ascii="Segoe UI" w:eastAsia="Times New Roman" w:hAnsi="Segoe UI" w:cs="Times New Roman"/>
                <w:kern w:val="0"/>
                <w:sz w:val="17"/>
                <w:szCs w:val="17"/>
                <w:lang w:val="en-GB" w:eastAsia="en-US"/>
              </w:rPr>
              <w:t>s</w:t>
            </w:r>
            <w:r w:rsidR="006C21FE" w:rsidRPr="00B5213A">
              <w:rPr>
                <w:rFonts w:ascii="Segoe UI" w:eastAsia="Times New Roman" w:hAnsi="Segoe UI" w:cs="Times New Roman"/>
                <w:kern w:val="0"/>
                <w:sz w:val="17"/>
                <w:szCs w:val="17"/>
                <w:lang w:val="en-GB" w:eastAsia="en-US"/>
              </w:rPr>
              <w:t xml:space="preserve"> of indebtedness as $0; or (b) apply </w:t>
            </w:r>
            <w:r w:rsidR="0089465D">
              <w:rPr>
                <w:rFonts w:ascii="Segoe UI" w:eastAsia="Times New Roman" w:hAnsi="Segoe UI" w:cs="Times New Roman"/>
                <w:kern w:val="0"/>
                <w:sz w:val="17"/>
                <w:szCs w:val="17"/>
                <w:lang w:val="en-GB" w:eastAsia="en-US"/>
              </w:rPr>
              <w:t xml:space="preserve">BLR </w:t>
            </w:r>
            <w:r w:rsidR="006C21FE" w:rsidRPr="00B5213A">
              <w:rPr>
                <w:rFonts w:ascii="Segoe UI" w:eastAsia="Times New Roman" w:hAnsi="Segoe UI" w:cs="Times New Roman"/>
                <w:kern w:val="0"/>
                <w:sz w:val="17"/>
                <w:szCs w:val="17"/>
                <w:lang w:val="en-GB" w:eastAsia="en-US"/>
              </w:rPr>
              <w:t>rules 65 and 68 to determine such weighted amounts in accordance with BLR rule 69(2).</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26</w:t>
            </w:r>
          </w:p>
        </w:tc>
        <w:tc>
          <w:tcPr>
            <w:tcW w:w="8505" w:type="dxa"/>
          </w:tcPr>
          <w:p w:rsidR="00545554" w:rsidRPr="0078134A" w:rsidRDefault="00545554" w:rsidP="00545554">
            <w:pPr>
              <w:pStyle w:val="TableNote"/>
              <w:spacing w:before="40" w:after="40"/>
              <w:rPr>
                <w:sz w:val="17"/>
                <w:szCs w:val="17"/>
              </w:rPr>
            </w:pPr>
            <w:r w:rsidRPr="000B03B8">
              <w:rPr>
                <w:i/>
                <w:sz w:val="17"/>
                <w:szCs w:val="17"/>
              </w:rPr>
              <w:t>Other assets</w:t>
            </w:r>
            <w:r>
              <w:rPr>
                <w:sz w:val="17"/>
                <w:szCs w:val="17"/>
              </w:rPr>
              <w:t>:</w:t>
            </w:r>
            <w:r w:rsidRPr="000841AB">
              <w:rPr>
                <w:sz w:val="17"/>
                <w:szCs w:val="17"/>
              </w:rPr>
              <w:t xml:space="preserve"> the sum of </w:t>
            </w:r>
            <w:r>
              <w:rPr>
                <w:sz w:val="17"/>
                <w:szCs w:val="17"/>
              </w:rPr>
              <w:t xml:space="preserve">values in </w:t>
            </w:r>
            <w:r w:rsidRPr="000841AB">
              <w:rPr>
                <w:sz w:val="17"/>
                <w:szCs w:val="17"/>
              </w:rPr>
              <w:t>rows 27</w:t>
            </w:r>
            <w:r>
              <w:rPr>
                <w:sz w:val="17"/>
                <w:szCs w:val="17"/>
              </w:rPr>
              <w:t xml:space="preserve"> to </w:t>
            </w:r>
            <w:r w:rsidRPr="000841AB">
              <w:rPr>
                <w:sz w:val="17"/>
                <w:szCs w:val="17"/>
              </w:rPr>
              <w:t>31.</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27</w:t>
            </w:r>
          </w:p>
        </w:tc>
        <w:tc>
          <w:tcPr>
            <w:tcW w:w="8505" w:type="dxa"/>
          </w:tcPr>
          <w:p w:rsidR="00545554" w:rsidRPr="0078134A" w:rsidRDefault="00545554" w:rsidP="00545554">
            <w:pPr>
              <w:pStyle w:val="TableNote"/>
              <w:spacing w:before="40" w:after="40"/>
              <w:rPr>
                <w:sz w:val="17"/>
                <w:szCs w:val="17"/>
              </w:rPr>
            </w:pPr>
            <w:r w:rsidRPr="000B03B8">
              <w:rPr>
                <w:i/>
                <w:sz w:val="17"/>
                <w:szCs w:val="17"/>
              </w:rPr>
              <w:t>Physical traded commodities, including gold</w:t>
            </w:r>
            <w:r>
              <w:rPr>
                <w:sz w:val="17"/>
                <w:szCs w:val="17"/>
              </w:rPr>
              <w:t>: including all p</w:t>
            </w:r>
            <w:r w:rsidRPr="00131389">
              <w:rPr>
                <w:sz w:val="17"/>
                <w:szCs w:val="17"/>
              </w:rPr>
              <w:t xml:space="preserve">hysical traded commodities held by the </w:t>
            </w:r>
            <w:r>
              <w:rPr>
                <w:sz w:val="17"/>
                <w:szCs w:val="17"/>
              </w:rPr>
              <w:t>AI</w:t>
            </w:r>
            <w:r w:rsidRPr="006A0538">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28</w:t>
            </w:r>
          </w:p>
        </w:tc>
        <w:tc>
          <w:tcPr>
            <w:tcW w:w="8505" w:type="dxa"/>
          </w:tcPr>
          <w:p w:rsidR="00545554" w:rsidRPr="0078134A" w:rsidRDefault="00545554" w:rsidP="00545554">
            <w:pPr>
              <w:pStyle w:val="TableNote"/>
              <w:spacing w:before="40" w:after="40"/>
              <w:rPr>
                <w:sz w:val="17"/>
                <w:szCs w:val="17"/>
              </w:rPr>
            </w:pPr>
            <w:r w:rsidRPr="000B03B8">
              <w:rPr>
                <w:i/>
                <w:sz w:val="17"/>
                <w:szCs w:val="17"/>
              </w:rPr>
              <w:t>Assets posted as initial margin for derivative contracts and contributions to default funds of CCPs</w:t>
            </w:r>
            <w:r>
              <w:rPr>
                <w:sz w:val="17"/>
                <w:szCs w:val="17"/>
              </w:rPr>
              <w:t>: including cash, securities and other a</w:t>
            </w:r>
            <w:r w:rsidRPr="006F0CA4">
              <w:rPr>
                <w:sz w:val="17"/>
                <w:szCs w:val="17"/>
              </w:rPr>
              <w:t xml:space="preserve">ssets posted by the </w:t>
            </w:r>
            <w:r>
              <w:rPr>
                <w:sz w:val="17"/>
                <w:szCs w:val="17"/>
              </w:rPr>
              <w:t>AI</w:t>
            </w:r>
            <w:r w:rsidRPr="006F0CA4">
              <w:rPr>
                <w:sz w:val="17"/>
                <w:szCs w:val="17"/>
              </w:rPr>
              <w:t xml:space="preserve"> as initial margins or default fund contributions</w:t>
            </w:r>
            <w:r>
              <w:rPr>
                <w:sz w:val="17"/>
                <w:szCs w:val="17"/>
              </w:rPr>
              <w:t xml:space="preserve"> under all derivative contracts regardless of whether the assets are maintained on the AI’s balance sheet</w:t>
            </w:r>
            <w:r w:rsidRPr="006A0538">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29</w:t>
            </w:r>
          </w:p>
        </w:tc>
        <w:tc>
          <w:tcPr>
            <w:tcW w:w="8505" w:type="dxa"/>
          </w:tcPr>
          <w:p w:rsidR="00545554" w:rsidRPr="0078134A" w:rsidRDefault="00545554" w:rsidP="00545554">
            <w:pPr>
              <w:pStyle w:val="TableNote"/>
              <w:spacing w:before="40" w:after="40"/>
              <w:rPr>
                <w:sz w:val="17"/>
                <w:szCs w:val="17"/>
              </w:rPr>
            </w:pPr>
            <w:r>
              <w:rPr>
                <w:i/>
                <w:sz w:val="17"/>
                <w:szCs w:val="17"/>
              </w:rPr>
              <w:t xml:space="preserve">Net </w:t>
            </w:r>
            <w:r w:rsidRPr="001D77C7">
              <w:rPr>
                <w:i/>
                <w:sz w:val="17"/>
                <w:szCs w:val="17"/>
              </w:rPr>
              <w:t>derivative</w:t>
            </w:r>
            <w:r>
              <w:rPr>
                <w:i/>
                <w:sz w:val="17"/>
                <w:szCs w:val="17"/>
              </w:rPr>
              <w:t xml:space="preserve"> asset</w:t>
            </w:r>
            <w:r w:rsidRPr="001D77C7">
              <w:rPr>
                <w:i/>
                <w:sz w:val="17"/>
                <w:szCs w:val="17"/>
              </w:rPr>
              <w:t>s</w:t>
            </w:r>
            <w:r>
              <w:rPr>
                <w:sz w:val="17"/>
                <w:szCs w:val="17"/>
              </w:rPr>
              <w:t>: i</w:t>
            </w:r>
            <w:r w:rsidRPr="006A0538">
              <w:rPr>
                <w:sz w:val="17"/>
                <w:szCs w:val="17"/>
              </w:rPr>
              <w:t xml:space="preserve">n the unweighted cell, report </w:t>
            </w:r>
            <w:r>
              <w:rPr>
                <w:sz w:val="17"/>
                <w:szCs w:val="17"/>
              </w:rPr>
              <w:t xml:space="preserve">the amount of net </w:t>
            </w:r>
            <w:r w:rsidRPr="006A0538">
              <w:rPr>
                <w:sz w:val="17"/>
                <w:szCs w:val="17"/>
              </w:rPr>
              <w:t xml:space="preserve">derivative assets as calculated according to </w:t>
            </w:r>
            <w:r>
              <w:rPr>
                <w:sz w:val="17"/>
                <w:szCs w:val="17"/>
              </w:rPr>
              <w:t>Part 9 of the BLR (i.e. the net amount of the total derivative assets (after adjustments) in excess of total derivative liabilities (after adjustments))</w:t>
            </w:r>
            <w:r w:rsidRPr="006A0538">
              <w:rPr>
                <w:sz w:val="17"/>
                <w:szCs w:val="17"/>
              </w:rPr>
              <w:t xml:space="preserve">. </w:t>
            </w:r>
            <w:r>
              <w:rPr>
                <w:sz w:val="17"/>
                <w:szCs w:val="17"/>
              </w:rPr>
              <w:t xml:space="preserve"> Since net derivative assets are subject to an RSF factor of 100%, the amount reported in the weighted cell should be equal to the amount reported in the unweighted cell. </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30</w:t>
            </w:r>
          </w:p>
        </w:tc>
        <w:tc>
          <w:tcPr>
            <w:tcW w:w="8505" w:type="dxa"/>
          </w:tcPr>
          <w:p w:rsidR="00545554" w:rsidRPr="0078134A" w:rsidRDefault="00545554" w:rsidP="00545554">
            <w:pPr>
              <w:pStyle w:val="TableNote"/>
              <w:spacing w:before="40" w:after="40"/>
              <w:rPr>
                <w:sz w:val="17"/>
                <w:szCs w:val="17"/>
              </w:rPr>
            </w:pPr>
            <w:r>
              <w:rPr>
                <w:i/>
                <w:sz w:val="17"/>
                <w:szCs w:val="17"/>
                <w:lang w:eastAsia="it-IT"/>
              </w:rPr>
              <w:t xml:space="preserve">Total </w:t>
            </w:r>
            <w:r w:rsidRPr="000B03B8">
              <w:rPr>
                <w:i/>
                <w:sz w:val="17"/>
                <w:szCs w:val="17"/>
                <w:lang w:eastAsia="it-IT"/>
              </w:rPr>
              <w:t>derivative liabilities before deduction of variation margin posted</w:t>
            </w:r>
            <w:r w:rsidRPr="00584ECF">
              <w:rPr>
                <w:sz w:val="17"/>
                <w:szCs w:val="17"/>
              </w:rPr>
              <w:t xml:space="preserve">: </w:t>
            </w:r>
            <w:r>
              <w:rPr>
                <w:sz w:val="17"/>
                <w:szCs w:val="17"/>
              </w:rPr>
              <w:t>i</w:t>
            </w:r>
            <w:r w:rsidRPr="00584ECF">
              <w:rPr>
                <w:sz w:val="17"/>
                <w:szCs w:val="17"/>
              </w:rPr>
              <w:t xml:space="preserve">n the unweighted cell, report </w:t>
            </w:r>
            <w:r>
              <w:rPr>
                <w:sz w:val="17"/>
                <w:szCs w:val="17"/>
              </w:rPr>
              <w:t xml:space="preserve">the sum of the replacement costs of derivative contracts between the reporting AI and its counterparties, where each of those contracts has a negative replacement cost.  The reported value should be in an absolute term (i.e. disregard the negative sign).  </w:t>
            </w:r>
            <w:r w:rsidRPr="00FF640C">
              <w:rPr>
                <w:sz w:val="17"/>
                <w:szCs w:val="17"/>
              </w:rPr>
              <w:t xml:space="preserve">In the weighted </w:t>
            </w:r>
            <w:r>
              <w:rPr>
                <w:sz w:val="17"/>
                <w:szCs w:val="17"/>
              </w:rPr>
              <w:t>cell</w:t>
            </w:r>
            <w:r w:rsidRPr="00FF640C">
              <w:rPr>
                <w:sz w:val="17"/>
                <w:szCs w:val="17"/>
              </w:rPr>
              <w:t xml:space="preserve">, </w:t>
            </w:r>
            <w:r>
              <w:rPr>
                <w:sz w:val="17"/>
                <w:szCs w:val="17"/>
              </w:rPr>
              <w:t>report “N/A”</w:t>
            </w:r>
            <w:r>
              <w:rPr>
                <w:rStyle w:val="FootnoteReference"/>
                <w:sz w:val="17"/>
                <w:szCs w:val="17"/>
              </w:rPr>
              <w:footnoteReference w:id="12"/>
            </w:r>
            <w:r>
              <w:rPr>
                <w:sz w:val="17"/>
                <w:szCs w:val="17"/>
              </w:rPr>
              <w:t xml:space="preserve"> and exclude this element from the calculation of total weighted amount of RSF.</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lastRenderedPageBreak/>
              <w:t>31</w:t>
            </w:r>
          </w:p>
        </w:tc>
        <w:tc>
          <w:tcPr>
            <w:tcW w:w="8505" w:type="dxa"/>
          </w:tcPr>
          <w:p w:rsidR="00545554" w:rsidRPr="00B22D08" w:rsidRDefault="00545554" w:rsidP="00545554">
            <w:pPr>
              <w:pStyle w:val="TableNote"/>
              <w:spacing w:before="40" w:after="40"/>
              <w:rPr>
                <w:sz w:val="17"/>
                <w:szCs w:val="17"/>
              </w:rPr>
            </w:pPr>
            <w:r w:rsidRPr="000B03B8">
              <w:rPr>
                <w:i/>
                <w:sz w:val="17"/>
                <w:szCs w:val="17"/>
              </w:rPr>
              <w:t>All other assets not included in the above categories</w:t>
            </w:r>
            <w:r>
              <w:rPr>
                <w:sz w:val="17"/>
                <w:szCs w:val="17"/>
              </w:rPr>
              <w:t>: report in this row a</w:t>
            </w:r>
            <w:r w:rsidRPr="006C0223">
              <w:rPr>
                <w:sz w:val="17"/>
                <w:szCs w:val="17"/>
              </w:rPr>
              <w:t xml:space="preserve">ll other </w:t>
            </w:r>
            <w:r>
              <w:rPr>
                <w:sz w:val="17"/>
                <w:szCs w:val="17"/>
              </w:rPr>
              <w:t>on-balance sheet assets</w:t>
            </w:r>
            <w:r w:rsidRPr="006C0223">
              <w:rPr>
                <w:sz w:val="17"/>
                <w:szCs w:val="17"/>
              </w:rPr>
              <w:t xml:space="preserve"> </w:t>
            </w:r>
            <w:r>
              <w:rPr>
                <w:sz w:val="17"/>
                <w:szCs w:val="17"/>
              </w:rPr>
              <w:t xml:space="preserve">that are counted towards RSF under the BLR but </w:t>
            </w:r>
            <w:r w:rsidRPr="006C0223">
              <w:rPr>
                <w:sz w:val="17"/>
                <w:szCs w:val="17"/>
              </w:rPr>
              <w:t xml:space="preserve">not included in </w:t>
            </w:r>
            <w:r>
              <w:rPr>
                <w:sz w:val="17"/>
                <w:szCs w:val="17"/>
              </w:rPr>
              <w:t xml:space="preserve">rows 15 to 30 </w:t>
            </w:r>
            <w:r w:rsidRPr="006C0223">
              <w:rPr>
                <w:sz w:val="17"/>
                <w:szCs w:val="17"/>
              </w:rPr>
              <w:t>above</w:t>
            </w:r>
            <w:r>
              <w:rPr>
                <w:sz w:val="17"/>
                <w:szCs w:val="17"/>
              </w:rPr>
              <w:t xml:space="preserve"> (e.g. trade-date receivables, fixed assets, goodwill, investments in associated entities, unlisted equities, non-performing assets, etc)</w:t>
            </w:r>
            <w:r w:rsidRPr="00B22D08">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32</w:t>
            </w:r>
          </w:p>
        </w:tc>
        <w:tc>
          <w:tcPr>
            <w:tcW w:w="8505" w:type="dxa"/>
          </w:tcPr>
          <w:p w:rsidR="00545554" w:rsidRPr="00B22D08" w:rsidRDefault="00545554" w:rsidP="00545554">
            <w:pPr>
              <w:pStyle w:val="TableNote"/>
              <w:spacing w:before="40" w:after="40"/>
              <w:rPr>
                <w:sz w:val="17"/>
                <w:szCs w:val="17"/>
              </w:rPr>
            </w:pPr>
            <w:r w:rsidRPr="000B03B8">
              <w:rPr>
                <w:i/>
                <w:sz w:val="17"/>
                <w:szCs w:val="17"/>
              </w:rPr>
              <w:t>Off-balance sheet items</w:t>
            </w:r>
            <w:r>
              <w:rPr>
                <w:sz w:val="17"/>
                <w:szCs w:val="17"/>
              </w:rPr>
              <w:t>: the sum of all o</w:t>
            </w:r>
            <w:r w:rsidRPr="00EA0348">
              <w:rPr>
                <w:sz w:val="17"/>
                <w:szCs w:val="17"/>
              </w:rPr>
              <w:t>ff-balance sheet obligations listed in Table 2</w:t>
            </w:r>
            <w:r>
              <w:rPr>
                <w:sz w:val="17"/>
                <w:szCs w:val="17"/>
              </w:rPr>
              <w:t xml:space="preserve">, </w:t>
            </w:r>
            <w:r w:rsidRPr="00EA0348">
              <w:rPr>
                <w:sz w:val="17"/>
                <w:szCs w:val="17"/>
              </w:rPr>
              <w:t>Schedule 6</w:t>
            </w:r>
            <w:r>
              <w:rPr>
                <w:sz w:val="17"/>
                <w:szCs w:val="17"/>
              </w:rPr>
              <w:t xml:space="preserve"> to the BLR</w:t>
            </w:r>
            <w:r w:rsidRPr="00B22D08">
              <w:rPr>
                <w:sz w:val="17"/>
                <w:szCs w:val="17"/>
              </w:rPr>
              <w:t>.</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33</w:t>
            </w:r>
          </w:p>
        </w:tc>
        <w:tc>
          <w:tcPr>
            <w:tcW w:w="8505" w:type="dxa"/>
          </w:tcPr>
          <w:p w:rsidR="00545554" w:rsidRPr="00B22D08" w:rsidRDefault="00545554" w:rsidP="00545554">
            <w:pPr>
              <w:pStyle w:val="TableNote"/>
              <w:spacing w:before="40" w:after="40"/>
              <w:rPr>
                <w:sz w:val="17"/>
                <w:szCs w:val="17"/>
              </w:rPr>
            </w:pPr>
            <w:r w:rsidRPr="000B03B8">
              <w:rPr>
                <w:i/>
                <w:sz w:val="17"/>
                <w:szCs w:val="17"/>
              </w:rPr>
              <w:t>Total RSF</w:t>
            </w:r>
            <w:r>
              <w:rPr>
                <w:sz w:val="17"/>
                <w:szCs w:val="17"/>
              </w:rPr>
              <w:t>:</w:t>
            </w:r>
            <w:r w:rsidRPr="00B22D08">
              <w:rPr>
                <w:sz w:val="17"/>
                <w:szCs w:val="17"/>
              </w:rPr>
              <w:t xml:space="preserve"> the sum of all weighted </w:t>
            </w:r>
            <w:r>
              <w:rPr>
                <w:sz w:val="17"/>
                <w:szCs w:val="17"/>
              </w:rPr>
              <w:t>amount</w:t>
            </w:r>
            <w:r w:rsidRPr="00B22D08">
              <w:rPr>
                <w:sz w:val="17"/>
                <w:szCs w:val="17"/>
              </w:rPr>
              <w:t>s in rows 15, 16, 17, 25, 26 and 32.</w:t>
            </w:r>
          </w:p>
        </w:tc>
      </w:tr>
      <w:tr w:rsidR="00545554" w:rsidRPr="00280717" w:rsidTr="00545554">
        <w:trPr>
          <w:trHeight w:val="373"/>
        </w:trPr>
        <w:tc>
          <w:tcPr>
            <w:tcW w:w="568"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34</w:t>
            </w:r>
          </w:p>
        </w:tc>
        <w:tc>
          <w:tcPr>
            <w:tcW w:w="8505" w:type="dxa"/>
          </w:tcPr>
          <w:p w:rsidR="00545554" w:rsidRPr="00B22D08" w:rsidRDefault="00545554" w:rsidP="00545554">
            <w:pPr>
              <w:pStyle w:val="TableNote"/>
              <w:spacing w:before="40" w:after="40"/>
              <w:rPr>
                <w:sz w:val="17"/>
                <w:szCs w:val="17"/>
              </w:rPr>
            </w:pPr>
            <w:r w:rsidRPr="000B03B8">
              <w:rPr>
                <w:i/>
                <w:sz w:val="17"/>
                <w:szCs w:val="17"/>
              </w:rPr>
              <w:t>Net Stable Funding Ratio (%)</w:t>
            </w:r>
            <w:r>
              <w:rPr>
                <w:sz w:val="17"/>
                <w:szCs w:val="17"/>
              </w:rPr>
              <w:t>:</w:t>
            </w:r>
            <w:r w:rsidRPr="00B22D08">
              <w:rPr>
                <w:sz w:val="17"/>
                <w:szCs w:val="17"/>
              </w:rPr>
              <w:t xml:space="preserve"> presen</w:t>
            </w:r>
            <w:r>
              <w:rPr>
                <w:sz w:val="17"/>
                <w:szCs w:val="17"/>
              </w:rPr>
              <w:t>ted as quarter-end observations</w:t>
            </w:r>
            <w:r w:rsidRPr="00B22D08">
              <w:rPr>
                <w:sz w:val="17"/>
                <w:szCs w:val="17"/>
              </w:rPr>
              <w:t>.</w:t>
            </w:r>
          </w:p>
        </w:tc>
      </w:tr>
    </w:tbl>
    <w:p w:rsidR="00545554" w:rsidRDefault="00545554" w:rsidP="00545554">
      <w:pPr>
        <w:spacing w:before="120" w:after="120"/>
        <w:rPr>
          <w:sz w:val="22"/>
        </w:rPr>
      </w:pPr>
    </w:p>
    <w:p w:rsidR="003F5295" w:rsidRDefault="003F5295" w:rsidP="00545554">
      <w:pPr>
        <w:spacing w:before="120" w:after="120"/>
        <w:ind w:leftChars="-283" w:left="-566"/>
        <w:rPr>
          <w:sz w:val="22"/>
        </w:rPr>
        <w:sectPr w:rsidR="003F5295" w:rsidSect="003F5295">
          <w:footerReference w:type="default" r:id="rId64"/>
          <w:pgSz w:w="11906" w:h="16838"/>
          <w:pgMar w:top="1440" w:right="1800" w:bottom="1276" w:left="1800" w:header="851" w:footer="992" w:gutter="0"/>
          <w:cols w:space="425"/>
          <w:docGrid w:type="lines" w:linePitch="360"/>
        </w:sectPr>
      </w:pPr>
    </w:p>
    <w:p w:rsidR="003F5295" w:rsidRPr="00844CB5" w:rsidRDefault="003F5295" w:rsidP="003F5295">
      <w:pPr>
        <w:keepNext/>
        <w:keepLines/>
        <w:tabs>
          <w:tab w:val="left" w:pos="567"/>
        </w:tabs>
        <w:spacing w:after="360"/>
        <w:ind w:leftChars="-283" w:left="-566" w:rightChars="-142" w:right="-284"/>
        <w:outlineLvl w:val="0"/>
        <w:rPr>
          <w:color w:val="984806" w:themeColor="accent6" w:themeShade="80"/>
          <w:sz w:val="28"/>
          <w:szCs w:val="28"/>
        </w:rPr>
      </w:pPr>
      <w:r w:rsidRPr="00844CB5">
        <w:rPr>
          <w:color w:val="984806" w:themeColor="accent6" w:themeShade="80"/>
          <w:sz w:val="28"/>
          <w:szCs w:val="28"/>
        </w:rPr>
        <w:lastRenderedPageBreak/>
        <w:t xml:space="preserve">Part </w:t>
      </w:r>
      <w:r>
        <w:rPr>
          <w:color w:val="984806" w:themeColor="accent6" w:themeShade="80"/>
          <w:sz w:val="28"/>
          <w:szCs w:val="28"/>
        </w:rPr>
        <w:t>VII</w:t>
      </w:r>
      <w:r w:rsidRPr="00844CB5">
        <w:rPr>
          <w:color w:val="984806" w:themeColor="accent6" w:themeShade="80"/>
          <w:sz w:val="28"/>
          <w:szCs w:val="28"/>
        </w:rPr>
        <w:t>:</w:t>
      </w:r>
      <w:r w:rsidRPr="00844CB5">
        <w:rPr>
          <w:color w:val="984806" w:themeColor="accent6" w:themeShade="80"/>
          <w:sz w:val="28"/>
          <w:szCs w:val="28"/>
        </w:rPr>
        <w:tab/>
        <w:t>Interest rate risk in banking book</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3F5295" w:rsidRPr="0023654F" w:rsidTr="008A39CF">
        <w:tc>
          <w:tcPr>
            <w:tcW w:w="9242" w:type="dxa"/>
            <w:gridSpan w:val="2"/>
            <w:tcBorders>
              <w:top w:val="nil"/>
            </w:tcBorders>
          </w:tcPr>
          <w:p w:rsidR="003F5295" w:rsidRPr="0023654F" w:rsidRDefault="003F5295" w:rsidP="008A39CF">
            <w:pPr>
              <w:spacing w:before="40" w:after="40"/>
              <w:jc w:val="both"/>
              <w:rPr>
                <w:noProof/>
                <w:sz w:val="17"/>
                <w:lang w:eastAsia="en-GB"/>
              </w:rPr>
            </w:pPr>
            <w:r w:rsidRPr="0023654F">
              <w:rPr>
                <w:sz w:val="22"/>
              </w:rPr>
              <w:t>T</w:t>
            </w:r>
            <w:r>
              <w:rPr>
                <w:sz w:val="22"/>
              </w:rPr>
              <w:t>able</w:t>
            </w:r>
            <w:r w:rsidRPr="0023654F">
              <w:rPr>
                <w:sz w:val="22"/>
              </w:rPr>
              <w:t xml:space="preserve"> </w:t>
            </w:r>
            <w:r>
              <w:rPr>
                <w:sz w:val="22"/>
              </w:rPr>
              <w:t xml:space="preserve">IRRBB: Interest rate exposures in banking book </w:t>
            </w:r>
            <w:r w:rsidR="00571848">
              <w:rPr>
                <w:sz w:val="22"/>
              </w:rPr>
              <w:t>(</w:t>
            </w:r>
            <w:r>
              <w:rPr>
                <w:sz w:val="22"/>
              </w:rPr>
              <w:t>related to financial year end before 30 June 2019</w:t>
            </w:r>
            <w:r w:rsidR="00571848">
              <w:rPr>
                <w:sz w:val="22"/>
              </w:rPr>
              <w:t>)</w:t>
            </w:r>
          </w:p>
        </w:tc>
      </w:tr>
      <w:tr w:rsidR="003F5295" w:rsidRPr="005B71C7" w:rsidTr="008A39CF">
        <w:tc>
          <w:tcPr>
            <w:tcW w:w="2008" w:type="dxa"/>
          </w:tcPr>
          <w:p w:rsidR="003F5295" w:rsidRPr="0023654F" w:rsidRDefault="003F5295" w:rsidP="008A39CF">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3F5295" w:rsidRPr="00C979AC" w:rsidRDefault="003F5295" w:rsidP="008A39CF">
            <w:pPr>
              <w:spacing w:before="40" w:after="40"/>
              <w:jc w:val="both"/>
              <w:rPr>
                <w:sz w:val="17"/>
                <w:szCs w:val="17"/>
              </w:rPr>
            </w:pPr>
            <w:r w:rsidRPr="0023654F">
              <w:rPr>
                <w:rFonts w:eastAsiaTheme="minorEastAsia"/>
                <w:sz w:val="17"/>
                <w:lang w:eastAsia="en-GB"/>
              </w:rPr>
              <w:t xml:space="preserve">To </w:t>
            </w:r>
            <w:r>
              <w:rPr>
                <w:rFonts w:eastAsiaTheme="minorEastAsia"/>
                <w:sz w:val="17"/>
                <w:lang w:eastAsia="en-GB"/>
              </w:rPr>
              <w:t>p</w:t>
            </w:r>
            <w:r>
              <w:rPr>
                <w:sz w:val="17"/>
                <w:szCs w:val="17"/>
              </w:rPr>
              <w:t>rovide information on the impact of interest rate movements from an earnings perspective and an economic value perspective under each of the supervisory prescribed interest rate shock scenarios.</w:t>
            </w:r>
          </w:p>
        </w:tc>
      </w:tr>
      <w:tr w:rsidR="003F5295" w:rsidRPr="005B71C7" w:rsidTr="008A39CF">
        <w:tc>
          <w:tcPr>
            <w:tcW w:w="2008" w:type="dxa"/>
          </w:tcPr>
          <w:p w:rsidR="003F5295" w:rsidRPr="0023654F" w:rsidRDefault="003F5295" w:rsidP="008A39CF">
            <w:pPr>
              <w:spacing w:before="40" w:after="40"/>
              <w:rPr>
                <w:b/>
                <w:sz w:val="17"/>
                <w:lang w:eastAsia="en-GB"/>
              </w:rPr>
            </w:pPr>
            <w:r>
              <w:rPr>
                <w:b/>
                <w:sz w:val="17"/>
                <w:lang w:eastAsia="en-GB"/>
              </w:rPr>
              <w:t>Scope of application:</w:t>
            </w:r>
          </w:p>
        </w:tc>
        <w:tc>
          <w:tcPr>
            <w:tcW w:w="7234" w:type="dxa"/>
          </w:tcPr>
          <w:p w:rsidR="003F5295" w:rsidRPr="00C979AC" w:rsidRDefault="003F5295" w:rsidP="008A39CF">
            <w:pPr>
              <w:spacing w:before="40" w:after="40"/>
              <w:jc w:val="both"/>
              <w:rPr>
                <w:rFonts w:eastAsiaTheme="minorEastAsia"/>
                <w:sz w:val="17"/>
                <w:lang w:eastAsia="en-GB"/>
              </w:rPr>
            </w:pPr>
            <w:r w:rsidRPr="00C979AC">
              <w:rPr>
                <w:rFonts w:eastAsiaTheme="minorEastAsia"/>
                <w:sz w:val="17"/>
                <w:lang w:eastAsia="en-GB"/>
              </w:rPr>
              <w:t xml:space="preserve">The </w:t>
            </w:r>
            <w:r>
              <w:rPr>
                <w:rFonts w:eastAsiaTheme="minorEastAsia"/>
                <w:sz w:val="17"/>
                <w:lang w:eastAsia="en-GB"/>
              </w:rPr>
              <w:t>table</w:t>
            </w:r>
            <w:r w:rsidRPr="00C979AC">
              <w:rPr>
                <w:rFonts w:eastAsiaTheme="minorEastAsia"/>
                <w:sz w:val="17"/>
                <w:lang w:eastAsia="en-GB"/>
              </w:rPr>
              <w:t xml:space="preserve"> is mandatory for all </w:t>
            </w:r>
            <w:r>
              <w:rPr>
                <w:rFonts w:eastAsiaTheme="minorEastAsia"/>
                <w:sz w:val="17"/>
                <w:lang w:eastAsia="en-GB"/>
              </w:rPr>
              <w:t>AI</w:t>
            </w:r>
            <w:r w:rsidRPr="00C979AC">
              <w:rPr>
                <w:rFonts w:eastAsiaTheme="minorEastAsia"/>
                <w:sz w:val="17"/>
                <w:lang w:eastAsia="en-GB"/>
              </w:rPr>
              <w:t>s</w:t>
            </w:r>
            <w:r>
              <w:rPr>
                <w:rFonts w:eastAsiaTheme="minorEastAsia"/>
                <w:sz w:val="17"/>
                <w:lang w:eastAsia="en-GB"/>
              </w:rPr>
              <w:t xml:space="preserve"> incorporated in Hong Kong.  This table should be used for reporting an AI’s interest rate exposures related to </w:t>
            </w:r>
            <w:r w:rsidRPr="004574A4">
              <w:rPr>
                <w:rFonts w:eastAsiaTheme="minorEastAsia"/>
                <w:sz w:val="17"/>
                <w:lang w:eastAsia="en-GB"/>
              </w:rPr>
              <w:t xml:space="preserve">financial year end </w:t>
            </w:r>
            <w:r w:rsidRPr="00517128">
              <w:rPr>
                <w:rFonts w:eastAsiaTheme="minorEastAsia"/>
                <w:sz w:val="17"/>
                <w:u w:val="single"/>
                <w:lang w:eastAsia="en-GB"/>
              </w:rPr>
              <w:t>before</w:t>
            </w:r>
            <w:r w:rsidRPr="004574A4">
              <w:rPr>
                <w:rFonts w:eastAsiaTheme="minorEastAsia"/>
                <w:sz w:val="17"/>
                <w:lang w:eastAsia="en-GB"/>
              </w:rPr>
              <w:t xml:space="preserve"> 30 June 2019</w:t>
            </w:r>
            <w:r>
              <w:rPr>
                <w:rFonts w:eastAsiaTheme="minorEastAsia"/>
                <w:sz w:val="17"/>
                <w:lang w:eastAsia="en-GB"/>
              </w:rPr>
              <w:t xml:space="preserve">.  For interest rate exposures related to financial year end </w:t>
            </w:r>
            <w:r w:rsidRPr="00517128">
              <w:rPr>
                <w:rFonts w:eastAsiaTheme="minorEastAsia"/>
                <w:sz w:val="17"/>
                <w:u w:val="single"/>
                <w:lang w:eastAsia="en-GB"/>
              </w:rPr>
              <w:t>on or after</w:t>
            </w:r>
            <w:r>
              <w:rPr>
                <w:rFonts w:eastAsiaTheme="minorEastAsia"/>
                <w:sz w:val="17"/>
                <w:lang w:eastAsia="en-GB"/>
              </w:rPr>
              <w:t xml:space="preserve"> 30 June 2019, an AI should use</w:t>
            </w:r>
            <w:r>
              <w:rPr>
                <w:sz w:val="17"/>
                <w:szCs w:val="17"/>
              </w:rPr>
              <w:t xml:space="preserve"> Table IRRBBA and Template IRRBB1 instead.</w:t>
            </w:r>
            <w:r>
              <w:rPr>
                <w:rFonts w:eastAsiaTheme="minorEastAsia"/>
                <w:sz w:val="17"/>
                <w:lang w:eastAsia="en-GB"/>
              </w:rPr>
              <w:t xml:space="preserve">  If an AI is exempted und</w:t>
            </w:r>
            <w:r w:rsidRPr="00287341">
              <w:rPr>
                <w:rFonts w:eastAsiaTheme="minorEastAsia"/>
                <w:sz w:val="17"/>
                <w:szCs w:val="17"/>
                <w:lang w:eastAsia="en-GB"/>
              </w:rPr>
              <w:t xml:space="preserve">er BCR </w:t>
            </w:r>
            <w:r w:rsidRPr="00287341">
              <w:rPr>
                <w:sz w:val="17"/>
                <w:szCs w:val="17"/>
              </w:rPr>
              <w:t>§</w:t>
            </w:r>
            <w:r>
              <w:rPr>
                <w:sz w:val="17"/>
                <w:szCs w:val="17"/>
              </w:rPr>
              <w:t>22(1) from calculating its market risk, it should aggregate the interest-rate-sensitive positions of banking book and trading book for disclosure purpose.</w:t>
            </w:r>
          </w:p>
        </w:tc>
      </w:tr>
      <w:tr w:rsidR="003F5295" w:rsidRPr="0023654F" w:rsidTr="008A39CF">
        <w:tc>
          <w:tcPr>
            <w:tcW w:w="2008" w:type="dxa"/>
          </w:tcPr>
          <w:p w:rsidR="003F5295" w:rsidRPr="0023654F" w:rsidRDefault="003F5295" w:rsidP="008A39CF">
            <w:pPr>
              <w:spacing w:before="40" w:after="40"/>
              <w:rPr>
                <w:b/>
                <w:sz w:val="17"/>
                <w:lang w:eastAsia="en-GB"/>
              </w:rPr>
            </w:pPr>
            <w:r>
              <w:rPr>
                <w:b/>
                <w:sz w:val="17"/>
                <w:lang w:eastAsia="en-GB"/>
              </w:rPr>
              <w:t>Content:</w:t>
            </w:r>
          </w:p>
        </w:tc>
        <w:tc>
          <w:tcPr>
            <w:tcW w:w="7234" w:type="dxa"/>
          </w:tcPr>
          <w:p w:rsidR="003F5295" w:rsidRPr="00C979AC" w:rsidRDefault="003F5295" w:rsidP="008A39CF">
            <w:pPr>
              <w:spacing w:before="40" w:after="40"/>
              <w:jc w:val="both"/>
              <w:rPr>
                <w:rFonts w:eastAsiaTheme="minorEastAsia"/>
                <w:sz w:val="17"/>
                <w:lang w:eastAsia="en-GB"/>
              </w:rPr>
            </w:pPr>
            <w:r w:rsidRPr="00D47BE7">
              <w:rPr>
                <w:rFonts w:eastAsiaTheme="minorEastAsia"/>
                <w:sz w:val="17"/>
                <w:lang w:eastAsia="en-GB"/>
              </w:rPr>
              <w:t>Q</w:t>
            </w:r>
            <w:r>
              <w:rPr>
                <w:rFonts w:eastAsiaTheme="minorEastAsia"/>
                <w:sz w:val="17"/>
                <w:lang w:eastAsia="en-GB"/>
              </w:rPr>
              <w:t>ualitative and q</w:t>
            </w:r>
            <w:r w:rsidRPr="00D47BE7">
              <w:rPr>
                <w:rFonts w:eastAsiaTheme="minorEastAsia"/>
                <w:sz w:val="17"/>
                <w:lang w:eastAsia="en-GB"/>
              </w:rPr>
              <w:t>uantitative information</w:t>
            </w:r>
            <w:r>
              <w:rPr>
                <w:rFonts w:eastAsiaTheme="minorEastAsia"/>
                <w:sz w:val="17"/>
                <w:lang w:eastAsia="en-GB"/>
              </w:rPr>
              <w:t>.</w:t>
            </w:r>
          </w:p>
        </w:tc>
      </w:tr>
      <w:tr w:rsidR="003F5295" w:rsidRPr="0023654F" w:rsidTr="008A39CF">
        <w:tc>
          <w:tcPr>
            <w:tcW w:w="2008" w:type="dxa"/>
          </w:tcPr>
          <w:p w:rsidR="003F5295" w:rsidRPr="0023654F" w:rsidRDefault="003F5295" w:rsidP="008A39CF">
            <w:pPr>
              <w:spacing w:before="40" w:after="40"/>
              <w:rPr>
                <w:sz w:val="17"/>
                <w:lang w:eastAsia="en-GB"/>
              </w:rPr>
            </w:pPr>
            <w:r w:rsidRPr="0023654F">
              <w:rPr>
                <w:b/>
                <w:sz w:val="17"/>
                <w:lang w:eastAsia="en-GB"/>
              </w:rPr>
              <w:t>Frequency:</w:t>
            </w:r>
          </w:p>
        </w:tc>
        <w:tc>
          <w:tcPr>
            <w:tcW w:w="7234" w:type="dxa"/>
          </w:tcPr>
          <w:p w:rsidR="003F5295" w:rsidRPr="0023654F" w:rsidRDefault="003F5295" w:rsidP="008A39CF">
            <w:pPr>
              <w:spacing w:before="40" w:after="40"/>
              <w:jc w:val="both"/>
              <w:rPr>
                <w:rFonts w:eastAsiaTheme="minorEastAsia"/>
                <w:sz w:val="17"/>
                <w:lang w:eastAsia="en-GB"/>
              </w:rPr>
            </w:pPr>
            <w:r>
              <w:rPr>
                <w:rFonts w:eastAsiaTheme="minorEastAsia"/>
                <w:sz w:val="17"/>
                <w:lang w:eastAsia="en-GB"/>
              </w:rPr>
              <w:t>Annual</w:t>
            </w:r>
            <w:r w:rsidRPr="0023654F">
              <w:rPr>
                <w:rFonts w:eastAsiaTheme="minorEastAsia"/>
                <w:sz w:val="17"/>
                <w:lang w:eastAsia="en-GB"/>
              </w:rPr>
              <w:t>.</w:t>
            </w:r>
          </w:p>
        </w:tc>
      </w:tr>
      <w:tr w:rsidR="003F5295" w:rsidRPr="0023654F" w:rsidTr="008A39CF">
        <w:tc>
          <w:tcPr>
            <w:tcW w:w="2008" w:type="dxa"/>
          </w:tcPr>
          <w:p w:rsidR="003F5295" w:rsidRPr="0023654F" w:rsidRDefault="003F5295" w:rsidP="008A39CF">
            <w:pPr>
              <w:spacing w:before="40" w:after="40"/>
              <w:rPr>
                <w:sz w:val="17"/>
                <w:lang w:eastAsia="en-GB"/>
              </w:rPr>
            </w:pPr>
            <w:r w:rsidRPr="0023654F">
              <w:rPr>
                <w:b/>
                <w:sz w:val="17"/>
                <w:lang w:eastAsia="en-GB"/>
              </w:rPr>
              <w:t>Format:</w:t>
            </w:r>
          </w:p>
        </w:tc>
        <w:tc>
          <w:tcPr>
            <w:tcW w:w="7234" w:type="dxa"/>
          </w:tcPr>
          <w:p w:rsidR="003F5295" w:rsidRPr="00C979AC" w:rsidRDefault="003F5295" w:rsidP="008A39CF">
            <w:pPr>
              <w:spacing w:before="40" w:after="40"/>
              <w:jc w:val="both"/>
              <w:rPr>
                <w:sz w:val="17"/>
                <w:szCs w:val="17"/>
              </w:rPr>
            </w:pPr>
            <w:r>
              <w:rPr>
                <w:rFonts w:eastAsiaTheme="minorEastAsia"/>
                <w:sz w:val="17"/>
                <w:lang w:eastAsia="en-GB"/>
              </w:rPr>
              <w:t>Flexible</w:t>
            </w:r>
            <w:r>
              <w:rPr>
                <w:sz w:val="17"/>
                <w:szCs w:val="17"/>
              </w:rPr>
              <w:t>.</w:t>
            </w:r>
          </w:p>
        </w:tc>
      </w:tr>
      <w:tr w:rsidR="003F5295" w:rsidRPr="0023654F" w:rsidTr="008A39CF">
        <w:tc>
          <w:tcPr>
            <w:tcW w:w="2008" w:type="dxa"/>
          </w:tcPr>
          <w:p w:rsidR="003F5295" w:rsidRPr="0023654F" w:rsidRDefault="003F5295" w:rsidP="008A39CF">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3F5295" w:rsidRPr="00C979AC" w:rsidRDefault="003F5295" w:rsidP="008A39CF">
            <w:pPr>
              <w:spacing w:before="40" w:after="40"/>
              <w:jc w:val="both"/>
              <w:rPr>
                <w:rFonts w:eastAsiaTheme="minorEastAsia"/>
                <w:sz w:val="17"/>
                <w:szCs w:val="17"/>
                <w:lang w:val="en-US" w:eastAsia="zh-TW"/>
              </w:rPr>
            </w:pPr>
            <w:r>
              <w:rPr>
                <w:sz w:val="17"/>
                <w:szCs w:val="17"/>
              </w:rPr>
              <w:t xml:space="preserve">An AI should provide a commentary on the significance of the reported values and an explanation of any material changes since the end of the preceding reporting period. </w:t>
            </w:r>
          </w:p>
        </w:tc>
      </w:tr>
      <w:tr w:rsidR="003F5295" w:rsidRPr="0023654F" w:rsidTr="008A39CF">
        <w:tc>
          <w:tcPr>
            <w:tcW w:w="2008" w:type="dxa"/>
          </w:tcPr>
          <w:p w:rsidR="003F5295" w:rsidRPr="0023654F" w:rsidRDefault="003F5295" w:rsidP="008A39CF">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3F5295" w:rsidRDefault="003F5295" w:rsidP="00571848">
            <w:pPr>
              <w:pStyle w:val="TableText"/>
              <w:jc w:val="both"/>
              <w:rPr>
                <w:szCs w:val="17"/>
                <w:lang w:eastAsia="en-GB"/>
              </w:rPr>
            </w:pPr>
            <w:r w:rsidRPr="001B530B">
              <w:rPr>
                <w:szCs w:val="17"/>
                <w:lang w:eastAsia="en-GB"/>
              </w:rPr>
              <w:t>16ZP and 16ZQ</w:t>
            </w:r>
          </w:p>
        </w:tc>
      </w:tr>
    </w:tbl>
    <w:p w:rsidR="003F5295" w:rsidRDefault="003F5295" w:rsidP="003F5295">
      <w:pPr>
        <w:spacing w:before="120" w:after="120"/>
        <w:ind w:leftChars="-283" w:left="-566"/>
        <w:rPr>
          <w:sz w:val="22"/>
        </w:r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242"/>
      </w:tblGrid>
      <w:tr w:rsidR="003F5295" w:rsidTr="008A39CF">
        <w:tc>
          <w:tcPr>
            <w:tcW w:w="9242" w:type="dxa"/>
          </w:tcPr>
          <w:p w:rsidR="003F5295" w:rsidRDefault="003F5295" w:rsidP="008A39CF">
            <w:pPr>
              <w:pStyle w:val="TableText"/>
              <w:jc w:val="both"/>
              <w:rPr>
                <w:szCs w:val="17"/>
                <w:lang w:eastAsia="en-GB"/>
              </w:rPr>
            </w:pPr>
            <w:r>
              <w:rPr>
                <w:szCs w:val="17"/>
              </w:rPr>
              <w:t>An AI</w:t>
            </w:r>
            <w:r w:rsidRPr="0023654F">
              <w:rPr>
                <w:szCs w:val="17"/>
              </w:rPr>
              <w:t xml:space="preserve"> </w:t>
            </w:r>
            <w:r>
              <w:rPr>
                <w:szCs w:val="17"/>
              </w:rPr>
              <w:t>should</w:t>
            </w:r>
            <w:r w:rsidRPr="0023654F">
              <w:rPr>
                <w:szCs w:val="17"/>
              </w:rPr>
              <w:t xml:space="preserve"> </w:t>
            </w:r>
            <w:r>
              <w:rPr>
                <w:szCs w:val="17"/>
              </w:rPr>
              <w:t>disclose</w:t>
            </w:r>
            <w:r w:rsidRPr="0023654F">
              <w:rPr>
                <w:szCs w:val="17"/>
              </w:rPr>
              <w:t xml:space="preserve"> </w:t>
            </w:r>
            <w:r>
              <w:rPr>
                <w:szCs w:val="17"/>
              </w:rPr>
              <w:t>the following</w:t>
            </w:r>
            <w:r w:rsidRPr="0023654F">
              <w:rPr>
                <w:szCs w:val="17"/>
              </w:rPr>
              <w:t xml:space="preserve"> </w:t>
            </w:r>
            <w:r>
              <w:rPr>
                <w:szCs w:val="17"/>
              </w:rPr>
              <w:t>information in respect of its interest rate exposures</w:t>
            </w:r>
            <w:r w:rsidRPr="0023654F">
              <w:rPr>
                <w:szCs w:val="17"/>
              </w:rPr>
              <w:t xml:space="preserve"> </w:t>
            </w:r>
            <w:r>
              <w:rPr>
                <w:szCs w:val="17"/>
              </w:rPr>
              <w:t>in the banking book</w:t>
            </w:r>
            <w:r w:rsidRPr="0023654F">
              <w:rPr>
                <w:szCs w:val="17"/>
              </w:rPr>
              <w:t>:</w:t>
            </w:r>
          </w:p>
        </w:tc>
      </w:tr>
      <w:tr w:rsidR="003F5295" w:rsidTr="008A39CF">
        <w:tc>
          <w:tcPr>
            <w:tcW w:w="9242" w:type="dxa"/>
            <w:shd w:val="clear" w:color="auto" w:fill="D9D9D9" w:themeFill="background1" w:themeFillShade="D9"/>
            <w:vAlign w:val="center"/>
          </w:tcPr>
          <w:p w:rsidR="003F5295" w:rsidRDefault="003F5295" w:rsidP="008A39CF">
            <w:pPr>
              <w:pStyle w:val="Default"/>
              <w:jc w:val="both"/>
              <w:rPr>
                <w:sz w:val="17"/>
                <w:szCs w:val="17"/>
              </w:rPr>
            </w:pPr>
            <w:r>
              <w:rPr>
                <w:sz w:val="17"/>
                <w:szCs w:val="17"/>
              </w:rPr>
              <w:t>Qualitative disclosures</w:t>
            </w:r>
          </w:p>
        </w:tc>
      </w:tr>
      <w:tr w:rsidR="003F5295" w:rsidTr="008A39CF">
        <w:tc>
          <w:tcPr>
            <w:tcW w:w="9242" w:type="dxa"/>
          </w:tcPr>
          <w:p w:rsidR="003F5295" w:rsidRPr="00844CB5" w:rsidRDefault="003F5295" w:rsidP="008A39CF">
            <w:pPr>
              <w:pStyle w:val="ListParagraph"/>
              <w:numPr>
                <w:ilvl w:val="0"/>
                <w:numId w:val="34"/>
              </w:numPr>
              <w:spacing w:before="40" w:after="40"/>
              <w:ind w:leftChars="0"/>
              <w:jc w:val="both"/>
              <w:rPr>
                <w:rFonts w:ascii="Segoe UI" w:hAnsi="Segoe UI" w:cs="Segoe UI"/>
                <w:sz w:val="17"/>
                <w:szCs w:val="17"/>
              </w:rPr>
            </w:pPr>
            <w:r w:rsidRPr="00844CB5">
              <w:rPr>
                <w:rFonts w:ascii="Segoe UI" w:hAnsi="Segoe UI" w:cs="Segoe UI"/>
                <w:sz w:val="17"/>
                <w:szCs w:val="17"/>
              </w:rPr>
              <w:t>the nature of the risk.</w:t>
            </w:r>
          </w:p>
        </w:tc>
      </w:tr>
      <w:tr w:rsidR="003F5295" w:rsidTr="008A39CF">
        <w:tc>
          <w:tcPr>
            <w:tcW w:w="9242" w:type="dxa"/>
          </w:tcPr>
          <w:p w:rsidR="003F5295" w:rsidRPr="00844CB5" w:rsidRDefault="003F5295" w:rsidP="008A39CF">
            <w:pPr>
              <w:pStyle w:val="ListParagraph"/>
              <w:numPr>
                <w:ilvl w:val="0"/>
                <w:numId w:val="34"/>
              </w:numPr>
              <w:spacing w:before="40" w:after="40"/>
              <w:ind w:leftChars="0"/>
              <w:jc w:val="both"/>
              <w:rPr>
                <w:rFonts w:ascii="Segoe UI" w:hAnsi="Segoe UI" w:cs="Segoe UI"/>
                <w:sz w:val="17"/>
                <w:szCs w:val="17"/>
              </w:rPr>
            </w:pPr>
            <w:r w:rsidRPr="00844CB5">
              <w:rPr>
                <w:rFonts w:ascii="Segoe UI" w:hAnsi="Segoe UI" w:cs="Segoe UI"/>
                <w:sz w:val="17"/>
                <w:szCs w:val="17"/>
              </w:rPr>
              <w:t>the key assumptions the AI uses in its measurement of the risk (including assumptions regarding loan prepayments and the behaviour of deposits without a fixed maturity).</w:t>
            </w:r>
          </w:p>
        </w:tc>
      </w:tr>
      <w:tr w:rsidR="003F5295" w:rsidTr="008A39CF">
        <w:tc>
          <w:tcPr>
            <w:tcW w:w="9242" w:type="dxa"/>
            <w:shd w:val="clear" w:color="auto" w:fill="D9D9D9" w:themeFill="background1" w:themeFillShade="D9"/>
          </w:tcPr>
          <w:p w:rsidR="003F5295" w:rsidRPr="00844CB5" w:rsidRDefault="003F5295" w:rsidP="008A39CF">
            <w:pPr>
              <w:pStyle w:val="Default"/>
              <w:jc w:val="both"/>
              <w:rPr>
                <w:sz w:val="17"/>
                <w:szCs w:val="17"/>
              </w:rPr>
            </w:pPr>
            <w:r w:rsidRPr="00844CB5">
              <w:rPr>
                <w:sz w:val="17"/>
                <w:szCs w:val="17"/>
              </w:rPr>
              <w:t>Quantitative disclosures</w:t>
            </w:r>
          </w:p>
        </w:tc>
      </w:tr>
      <w:tr w:rsidR="003F5295" w:rsidTr="008A39CF">
        <w:tc>
          <w:tcPr>
            <w:tcW w:w="9242" w:type="dxa"/>
          </w:tcPr>
          <w:p w:rsidR="003F5295" w:rsidRPr="00844CB5" w:rsidRDefault="003F5295" w:rsidP="008A39CF">
            <w:pPr>
              <w:pStyle w:val="ListParagraph"/>
              <w:numPr>
                <w:ilvl w:val="0"/>
                <w:numId w:val="34"/>
              </w:numPr>
              <w:spacing w:before="40" w:after="40"/>
              <w:ind w:leftChars="0"/>
              <w:jc w:val="both"/>
              <w:rPr>
                <w:rFonts w:ascii="Segoe UI" w:hAnsi="Segoe UI" w:cs="Segoe UI"/>
                <w:sz w:val="17"/>
                <w:szCs w:val="17"/>
              </w:rPr>
            </w:pPr>
            <w:r w:rsidRPr="00844CB5">
              <w:rPr>
                <w:rFonts w:ascii="Segoe UI" w:hAnsi="Segoe UI" w:cs="Segoe UI"/>
                <w:sz w:val="17"/>
                <w:szCs w:val="17"/>
              </w:rPr>
              <w:t>the frequency of its measurement of the risk.</w:t>
            </w:r>
          </w:p>
        </w:tc>
      </w:tr>
      <w:tr w:rsidR="003F5295" w:rsidTr="008A39CF">
        <w:tc>
          <w:tcPr>
            <w:tcW w:w="9242" w:type="dxa"/>
          </w:tcPr>
          <w:p w:rsidR="003F5295" w:rsidRPr="00844CB5" w:rsidRDefault="003F5295" w:rsidP="008A39CF">
            <w:pPr>
              <w:pStyle w:val="ListParagraph"/>
              <w:numPr>
                <w:ilvl w:val="0"/>
                <w:numId w:val="34"/>
              </w:numPr>
              <w:spacing w:before="40" w:after="40"/>
              <w:ind w:leftChars="0"/>
              <w:jc w:val="both"/>
              <w:rPr>
                <w:rFonts w:ascii="Segoe UI" w:hAnsi="Segoe UI" w:cs="Segoe UI"/>
                <w:sz w:val="17"/>
                <w:szCs w:val="17"/>
              </w:rPr>
            </w:pPr>
            <w:r w:rsidRPr="00844CB5">
              <w:rPr>
                <w:rFonts w:ascii="Segoe UI" w:hAnsi="Segoe UI" w:cs="Segoe UI"/>
                <w:sz w:val="17"/>
                <w:szCs w:val="17"/>
              </w:rPr>
              <w:t>the variations in earnings or economic value (or other relevant measures used by the institution) for significant upward and downward interest rate movements in accordance with the method the institution uses for stress-testing, broken down by currency, if relevant.  For this purpose, the AI should follow the methodology set out in the completion instructions for the Return of Interest Rate Risk Exposures (MA(BS)12) for the disclosure of the impact of interest rate movements on its earnings and economic value.</w:t>
            </w:r>
          </w:p>
        </w:tc>
      </w:tr>
    </w:tbl>
    <w:p w:rsidR="00545554" w:rsidRPr="003F5295" w:rsidRDefault="00545554" w:rsidP="00545554">
      <w:pPr>
        <w:sectPr w:rsidR="00545554" w:rsidRPr="003F5295" w:rsidSect="003F5295">
          <w:footerReference w:type="default" r:id="rId65"/>
          <w:pgSz w:w="11906" w:h="16838"/>
          <w:pgMar w:top="1440" w:right="1800" w:bottom="1276" w:left="1800" w:header="851" w:footer="992" w:gutter="0"/>
          <w:cols w:space="425"/>
          <w:docGrid w:type="lines" w:linePitch="360"/>
        </w:sectPr>
      </w:pPr>
    </w:p>
    <w:tbl>
      <w:tblPr>
        <w:tblW w:w="9356"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348"/>
      </w:tblGrid>
      <w:tr w:rsidR="00545554" w:rsidRPr="0023654F" w:rsidTr="00545554">
        <w:tc>
          <w:tcPr>
            <w:tcW w:w="9356" w:type="dxa"/>
            <w:gridSpan w:val="2"/>
            <w:tcBorders>
              <w:top w:val="nil"/>
            </w:tcBorders>
          </w:tcPr>
          <w:p w:rsidR="00545554" w:rsidRPr="0023654F" w:rsidRDefault="00545554" w:rsidP="00545554">
            <w:pPr>
              <w:spacing w:before="40" w:after="40"/>
              <w:rPr>
                <w:noProof/>
                <w:sz w:val="17"/>
                <w:lang w:eastAsia="en-GB"/>
              </w:rPr>
            </w:pPr>
            <w:r w:rsidRPr="0023654F">
              <w:rPr>
                <w:sz w:val="22"/>
              </w:rPr>
              <w:lastRenderedPageBreak/>
              <w:t xml:space="preserve">Table </w:t>
            </w:r>
            <w:r>
              <w:rPr>
                <w:sz w:val="22"/>
              </w:rPr>
              <w:t>IRRBB</w:t>
            </w:r>
            <w:r w:rsidRPr="0023654F">
              <w:rPr>
                <w:sz w:val="22"/>
              </w:rPr>
              <w:t xml:space="preserve">A: </w:t>
            </w:r>
            <w:r>
              <w:rPr>
                <w:sz w:val="22"/>
              </w:rPr>
              <w:t xml:space="preserve">Interest rate risk in banking book – </w:t>
            </w:r>
            <w:r w:rsidRPr="0023654F">
              <w:rPr>
                <w:sz w:val="22"/>
              </w:rPr>
              <w:t>risk management</w:t>
            </w:r>
            <w:r>
              <w:rPr>
                <w:sz w:val="22"/>
              </w:rPr>
              <w:t xml:space="preserve"> objectives and policies</w:t>
            </w:r>
          </w:p>
        </w:tc>
      </w:tr>
      <w:tr w:rsidR="00545554" w:rsidRPr="0023654F"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348" w:type="dxa"/>
          </w:tcPr>
          <w:p w:rsidR="00545554" w:rsidRPr="009449CE" w:rsidRDefault="00545554" w:rsidP="00545554">
            <w:pPr>
              <w:spacing w:before="40" w:after="40"/>
              <w:jc w:val="both"/>
              <w:rPr>
                <w:sz w:val="17"/>
                <w:szCs w:val="17"/>
              </w:rPr>
            </w:pPr>
            <w:r>
              <w:rPr>
                <w:sz w:val="17"/>
                <w:lang w:eastAsia="en-GB"/>
              </w:rPr>
              <w:t>To p</w:t>
            </w:r>
            <w:r>
              <w:rPr>
                <w:sz w:val="17"/>
                <w:szCs w:val="17"/>
              </w:rPr>
              <w:t>rovide a description of the risk management objectives and policies concerning interest rate risk in the banking book (“IRRBB”)</w:t>
            </w:r>
            <w:r w:rsidRPr="00995A5E">
              <w:rPr>
                <w:sz w:val="17"/>
                <w:lang w:eastAsia="en-GB"/>
              </w:rPr>
              <w:t>.</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348" w:type="dxa"/>
          </w:tcPr>
          <w:p w:rsidR="00545554" w:rsidRPr="0023654F" w:rsidRDefault="00545554" w:rsidP="00545554">
            <w:pPr>
              <w:spacing w:before="40" w:after="40"/>
              <w:jc w:val="both"/>
              <w:rPr>
                <w:b/>
                <w:sz w:val="17"/>
                <w:lang w:eastAsia="en-GB"/>
              </w:rPr>
            </w:pPr>
            <w:r w:rsidRPr="0023654F">
              <w:rPr>
                <w:rFonts w:eastAsiaTheme="minorEastAsia"/>
                <w:sz w:val="17"/>
                <w:lang w:eastAsia="en-GB"/>
              </w:rPr>
              <w:t xml:space="preserve">The </w:t>
            </w:r>
            <w:r>
              <w:rPr>
                <w:rFonts w:eastAsiaTheme="minorEastAsia"/>
                <w:sz w:val="17"/>
                <w:lang w:eastAsia="en-GB"/>
              </w:rPr>
              <w:t xml:space="preserve">table </w:t>
            </w:r>
            <w:r w:rsidRPr="0023654F">
              <w:rPr>
                <w:rFonts w:eastAsiaTheme="minorEastAsia"/>
                <w:sz w:val="17"/>
                <w:lang w:eastAsia="en-GB"/>
              </w:rPr>
              <w:t xml:space="preserve">is mandatory for all </w:t>
            </w:r>
            <w:r>
              <w:rPr>
                <w:rFonts w:eastAsiaTheme="minorEastAsia"/>
                <w:sz w:val="17"/>
                <w:lang w:eastAsia="en-GB"/>
              </w:rPr>
              <w:t>AI</w:t>
            </w:r>
            <w:r w:rsidRPr="0023654F">
              <w:rPr>
                <w:rFonts w:eastAsiaTheme="minorEastAsia"/>
                <w:sz w:val="17"/>
                <w:lang w:eastAsia="en-GB"/>
              </w:rPr>
              <w:t>s</w:t>
            </w:r>
            <w:r>
              <w:rPr>
                <w:rFonts w:eastAsiaTheme="minorEastAsia"/>
                <w:sz w:val="17"/>
                <w:lang w:eastAsia="en-GB"/>
              </w:rPr>
              <w:t xml:space="preserve"> incorporated in Hong Kong.  </w:t>
            </w:r>
            <w:r w:rsidRPr="00932298">
              <w:rPr>
                <w:rFonts w:eastAsiaTheme="minorEastAsia"/>
                <w:sz w:val="17"/>
                <w:lang w:eastAsia="en-GB"/>
              </w:rPr>
              <w:t>This table should be used for reporting an AI’s interest rate exposures re</w:t>
            </w:r>
            <w:r w:rsidRPr="00932298">
              <w:rPr>
                <w:sz w:val="17"/>
                <w:szCs w:val="17"/>
              </w:rPr>
              <w:t xml:space="preserve">lated to financial year end on or after 30 June 2019.  </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348" w:type="dxa"/>
          </w:tcPr>
          <w:p w:rsidR="00545554" w:rsidRPr="009449CE" w:rsidRDefault="00545554" w:rsidP="00545554">
            <w:pPr>
              <w:spacing w:before="40" w:after="40"/>
              <w:jc w:val="both"/>
              <w:rPr>
                <w:b/>
                <w:sz w:val="17"/>
                <w:lang w:val="en-US" w:eastAsia="en-GB"/>
              </w:rPr>
            </w:pPr>
            <w:r w:rsidRPr="0023654F">
              <w:rPr>
                <w:sz w:val="17"/>
                <w:lang w:eastAsia="en-GB"/>
              </w:rPr>
              <w:t xml:space="preserve">Qualitative </w:t>
            </w:r>
            <w:r>
              <w:rPr>
                <w:sz w:val="17"/>
                <w:szCs w:val="17"/>
              </w:rPr>
              <w:t xml:space="preserve">and quantitative </w:t>
            </w:r>
            <w:r w:rsidRPr="0023654F">
              <w:rPr>
                <w:sz w:val="17"/>
                <w:lang w:eastAsia="en-GB"/>
              </w:rPr>
              <w:t>information.</w:t>
            </w:r>
            <w:r>
              <w:rPr>
                <w:sz w:val="17"/>
                <w:lang w:eastAsia="en-GB"/>
              </w:rPr>
              <w:t xml:space="preserve">  </w:t>
            </w:r>
            <w:r>
              <w:rPr>
                <w:sz w:val="17"/>
                <w:szCs w:val="17"/>
              </w:rPr>
              <w:t>The latter should be based on the daily or monthly average of the year or on the data as at the reporting date.</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348" w:type="dxa"/>
          </w:tcPr>
          <w:p w:rsidR="00545554" w:rsidRPr="0023654F" w:rsidRDefault="00545554" w:rsidP="00545554">
            <w:pPr>
              <w:spacing w:before="40" w:after="40"/>
              <w:jc w:val="both"/>
              <w:rPr>
                <w:sz w:val="17"/>
                <w:lang w:eastAsia="en-GB"/>
              </w:rPr>
            </w:pPr>
            <w:r w:rsidRPr="0023654F">
              <w:rPr>
                <w:sz w:val="17"/>
                <w:lang w:eastAsia="en-GB"/>
              </w:rPr>
              <w:t>Annual</w:t>
            </w:r>
            <w:r>
              <w:rPr>
                <w:sz w:val="17"/>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348" w:type="dxa"/>
          </w:tcPr>
          <w:p w:rsidR="00545554" w:rsidRPr="00995A5E" w:rsidRDefault="00545554" w:rsidP="00545554">
            <w:pPr>
              <w:spacing w:before="40" w:after="40"/>
              <w:jc w:val="both"/>
              <w:rPr>
                <w:sz w:val="17"/>
                <w:lang w:val="en-US" w:eastAsia="en-GB"/>
              </w:rPr>
            </w:pPr>
            <w:r w:rsidRPr="0023654F">
              <w:rPr>
                <w:sz w:val="17"/>
                <w:lang w:eastAsia="en-GB"/>
              </w:rPr>
              <w:t>Flexible</w:t>
            </w:r>
            <w:r>
              <w:rPr>
                <w:sz w:val="17"/>
                <w:lang w:eastAsia="en-GB"/>
              </w:rPr>
              <w:t>.</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Corresponding BDR section:</w:t>
            </w:r>
          </w:p>
        </w:tc>
        <w:tc>
          <w:tcPr>
            <w:tcW w:w="7348" w:type="dxa"/>
          </w:tcPr>
          <w:p w:rsidR="00545554" w:rsidRPr="0023654F" w:rsidRDefault="00545554" w:rsidP="00571848">
            <w:pPr>
              <w:spacing w:before="40" w:after="40"/>
              <w:jc w:val="both"/>
              <w:rPr>
                <w:sz w:val="17"/>
                <w:lang w:eastAsia="en-GB"/>
              </w:rPr>
            </w:pPr>
            <w:r w:rsidRPr="001B530B">
              <w:rPr>
                <w:sz w:val="17"/>
                <w:lang w:eastAsia="en-GB"/>
              </w:rPr>
              <w:t>16ZP</w:t>
            </w:r>
          </w:p>
        </w:tc>
      </w:tr>
    </w:tbl>
    <w:p w:rsidR="00545554" w:rsidRPr="0023654F" w:rsidRDefault="00545554" w:rsidP="00545554">
      <w:pPr>
        <w:spacing w:before="120" w:after="120"/>
        <w:rPr>
          <w:sz w:val="22"/>
        </w:rPr>
      </w:pPr>
    </w:p>
    <w:tbl>
      <w:tblPr>
        <w:tblW w:w="9307" w:type="dxa"/>
        <w:jc w:val="center"/>
        <w:tblInd w:w="-99" w:type="dxa"/>
        <w:tblCellMar>
          <w:left w:w="70" w:type="dxa"/>
          <w:right w:w="70" w:type="dxa"/>
        </w:tblCellMar>
        <w:tblLook w:val="00A0" w:firstRow="1" w:lastRow="0" w:firstColumn="1" w:lastColumn="0" w:noHBand="0" w:noVBand="0"/>
      </w:tblPr>
      <w:tblGrid>
        <w:gridCol w:w="469"/>
        <w:gridCol w:w="8838"/>
      </w:tblGrid>
      <w:tr w:rsidR="00545554" w:rsidRPr="0023654F" w:rsidTr="00545554">
        <w:trPr>
          <w:trHeight w:val="448"/>
          <w:jc w:val="center"/>
        </w:trPr>
        <w:tc>
          <w:tcPr>
            <w:tcW w:w="9307" w:type="dxa"/>
            <w:gridSpan w:val="2"/>
            <w:tcBorders>
              <w:top w:val="single" w:sz="4" w:space="0" w:color="auto"/>
              <w:bottom w:val="single" w:sz="4" w:space="0" w:color="auto"/>
            </w:tcBorders>
            <w:vAlign w:val="center"/>
          </w:tcPr>
          <w:p w:rsidR="00545554" w:rsidRPr="0023654F" w:rsidRDefault="00545554" w:rsidP="00545554">
            <w:pPr>
              <w:widowControl w:val="0"/>
              <w:spacing w:before="40" w:after="40"/>
              <w:jc w:val="both"/>
              <w:rPr>
                <w:sz w:val="17"/>
                <w:szCs w:val="17"/>
              </w:rPr>
            </w:pPr>
            <w:r>
              <w:rPr>
                <w:sz w:val="17"/>
                <w:szCs w:val="17"/>
              </w:rPr>
              <w:t>An AI</w:t>
            </w:r>
            <w:r w:rsidRPr="0023654F">
              <w:rPr>
                <w:sz w:val="17"/>
                <w:szCs w:val="17"/>
              </w:rPr>
              <w:t xml:space="preserve"> </w:t>
            </w:r>
            <w:r>
              <w:rPr>
                <w:sz w:val="17"/>
                <w:szCs w:val="17"/>
              </w:rPr>
              <w:t>should</w:t>
            </w:r>
            <w:r w:rsidRPr="0023654F">
              <w:rPr>
                <w:sz w:val="17"/>
                <w:szCs w:val="17"/>
              </w:rPr>
              <w:t xml:space="preserve"> describe </w:t>
            </w:r>
            <w:r>
              <w:rPr>
                <w:sz w:val="17"/>
                <w:szCs w:val="17"/>
              </w:rPr>
              <w:t>the following</w:t>
            </w:r>
            <w:r w:rsidRPr="0023654F">
              <w:rPr>
                <w:sz w:val="17"/>
                <w:szCs w:val="17"/>
              </w:rPr>
              <w:t xml:space="preserve"> </w:t>
            </w:r>
            <w:r>
              <w:rPr>
                <w:sz w:val="17"/>
                <w:szCs w:val="17"/>
              </w:rPr>
              <w:t xml:space="preserve">elements of IRRBB </w:t>
            </w:r>
            <w:r w:rsidRPr="0023654F">
              <w:rPr>
                <w:sz w:val="17"/>
                <w:szCs w:val="17"/>
              </w:rPr>
              <w:t>risk management</w:t>
            </w:r>
            <w:r>
              <w:rPr>
                <w:sz w:val="17"/>
                <w:szCs w:val="17"/>
              </w:rPr>
              <w:t>, where relevant</w:t>
            </w:r>
            <w:r w:rsidRPr="0023654F">
              <w:rPr>
                <w:sz w:val="17"/>
                <w:szCs w:val="17"/>
              </w:rPr>
              <w:t>:</w:t>
            </w:r>
          </w:p>
        </w:tc>
      </w:tr>
      <w:tr w:rsidR="00545554" w:rsidRPr="0023654F" w:rsidTr="00545554">
        <w:trPr>
          <w:trHeight w:val="355"/>
          <w:jc w:val="center"/>
        </w:trPr>
        <w:tc>
          <w:tcPr>
            <w:tcW w:w="9307" w:type="dxa"/>
            <w:gridSpan w:val="2"/>
            <w:tcBorders>
              <w:top w:val="single" w:sz="4" w:space="0" w:color="auto"/>
              <w:bottom w:val="single" w:sz="4" w:space="0" w:color="auto"/>
            </w:tcBorders>
            <w:shd w:val="clear" w:color="auto" w:fill="D9D9D9" w:themeFill="background1" w:themeFillShade="D9"/>
            <w:vAlign w:val="center"/>
          </w:tcPr>
          <w:p w:rsidR="00545554" w:rsidRDefault="00545554" w:rsidP="00545554">
            <w:pPr>
              <w:pStyle w:val="Default"/>
              <w:jc w:val="both"/>
              <w:rPr>
                <w:sz w:val="17"/>
                <w:szCs w:val="17"/>
              </w:rPr>
            </w:pPr>
            <w:r>
              <w:rPr>
                <w:sz w:val="17"/>
                <w:szCs w:val="17"/>
              </w:rPr>
              <w:t>Qualitative disclosures</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w:t>
            </w:r>
            <w:r w:rsidRPr="0023654F">
              <w:rPr>
                <w:sz w:val="17"/>
                <w:szCs w:val="17"/>
              </w:rPr>
              <w:t>a</w:t>
            </w:r>
            <w:r>
              <w:rPr>
                <w:sz w:val="17"/>
                <w:szCs w:val="17"/>
              </w:rPr>
              <w:t>)</w:t>
            </w:r>
          </w:p>
        </w:tc>
        <w:tc>
          <w:tcPr>
            <w:tcW w:w="8838" w:type="dxa"/>
            <w:tcBorders>
              <w:top w:val="single" w:sz="4" w:space="0" w:color="auto"/>
              <w:bottom w:val="single" w:sz="4" w:space="0" w:color="auto"/>
            </w:tcBorders>
            <w:noWrap/>
          </w:tcPr>
          <w:p w:rsidR="00545554" w:rsidRPr="003156C3" w:rsidRDefault="00545554" w:rsidP="00545554">
            <w:pPr>
              <w:widowControl w:val="0"/>
              <w:spacing w:before="40" w:after="40"/>
              <w:jc w:val="both"/>
              <w:rPr>
                <w:sz w:val="17"/>
                <w:szCs w:val="17"/>
              </w:rPr>
            </w:pPr>
            <w:r w:rsidRPr="003F4820">
              <w:rPr>
                <w:sz w:val="17"/>
                <w:szCs w:val="17"/>
              </w:rPr>
              <w:t xml:space="preserve">A description of how the </w:t>
            </w:r>
            <w:r>
              <w:rPr>
                <w:sz w:val="17"/>
                <w:szCs w:val="17"/>
              </w:rPr>
              <w:t>AI</w:t>
            </w:r>
            <w:r w:rsidRPr="003F4820">
              <w:rPr>
                <w:sz w:val="17"/>
                <w:szCs w:val="17"/>
              </w:rPr>
              <w:t xml:space="preserve"> defines IRRBB for purposes of risk control and measurement.</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w:t>
            </w:r>
            <w:r w:rsidRPr="0023654F">
              <w:rPr>
                <w:sz w:val="17"/>
                <w:szCs w:val="17"/>
              </w:rPr>
              <w:t>b</w:t>
            </w:r>
            <w:r>
              <w:rPr>
                <w:sz w:val="17"/>
                <w:szCs w:val="17"/>
              </w:rPr>
              <w:t>)</w:t>
            </w:r>
          </w:p>
        </w:tc>
        <w:tc>
          <w:tcPr>
            <w:tcW w:w="8838" w:type="dxa"/>
            <w:tcBorders>
              <w:top w:val="single" w:sz="4" w:space="0" w:color="auto"/>
              <w:bottom w:val="single" w:sz="4" w:space="0" w:color="auto"/>
            </w:tcBorders>
            <w:noWrap/>
          </w:tcPr>
          <w:p w:rsidR="00545554" w:rsidRDefault="00545554" w:rsidP="00545554">
            <w:pPr>
              <w:widowControl w:val="0"/>
              <w:spacing w:before="40" w:after="40" w:line="240" w:lineRule="atLeast"/>
              <w:jc w:val="both"/>
              <w:rPr>
                <w:sz w:val="17"/>
                <w:szCs w:val="17"/>
              </w:rPr>
            </w:pPr>
            <w:r w:rsidRPr="003F4820">
              <w:rPr>
                <w:sz w:val="17"/>
                <w:szCs w:val="17"/>
              </w:rPr>
              <w:t xml:space="preserve">A description of the </w:t>
            </w:r>
            <w:r>
              <w:rPr>
                <w:sz w:val="17"/>
                <w:szCs w:val="17"/>
              </w:rPr>
              <w:t>AI</w:t>
            </w:r>
            <w:r w:rsidRPr="003F4820">
              <w:rPr>
                <w:sz w:val="17"/>
                <w:szCs w:val="17"/>
              </w:rPr>
              <w:t xml:space="preserve">’s overall IRRBB management and mitigation strategies. </w:t>
            </w:r>
            <w:r>
              <w:rPr>
                <w:sz w:val="17"/>
                <w:szCs w:val="17"/>
              </w:rPr>
              <w:t xml:space="preserve"> </w:t>
            </w:r>
            <w:r w:rsidRPr="003F4820">
              <w:rPr>
                <w:sz w:val="17"/>
                <w:szCs w:val="17"/>
              </w:rPr>
              <w:t xml:space="preserve">Examples </w:t>
            </w:r>
            <w:r>
              <w:rPr>
                <w:sz w:val="17"/>
                <w:szCs w:val="17"/>
              </w:rPr>
              <w:t>include:</w:t>
            </w:r>
          </w:p>
          <w:p w:rsidR="00545554" w:rsidRDefault="00545554" w:rsidP="00545554">
            <w:pPr>
              <w:pStyle w:val="TableText"/>
              <w:numPr>
                <w:ilvl w:val="0"/>
                <w:numId w:val="35"/>
              </w:numPr>
              <w:ind w:left="480" w:hanging="480"/>
              <w:jc w:val="both"/>
              <w:rPr>
                <w:szCs w:val="17"/>
              </w:rPr>
            </w:pPr>
            <w:r w:rsidRPr="003F4820">
              <w:rPr>
                <w:szCs w:val="17"/>
              </w:rPr>
              <w:t>monitoring of economic value of equity (</w:t>
            </w:r>
            <w:r>
              <w:rPr>
                <w:szCs w:val="17"/>
              </w:rPr>
              <w:t>“</w:t>
            </w:r>
            <w:r w:rsidRPr="003F4820">
              <w:rPr>
                <w:szCs w:val="17"/>
              </w:rPr>
              <w:t>EVE</w:t>
            </w:r>
            <w:r>
              <w:rPr>
                <w:szCs w:val="17"/>
              </w:rPr>
              <w:t>”</w:t>
            </w:r>
            <w:r w:rsidRPr="003F4820">
              <w:rPr>
                <w:szCs w:val="17"/>
              </w:rPr>
              <w:t>) and net interest income (</w:t>
            </w:r>
            <w:r>
              <w:rPr>
                <w:szCs w:val="17"/>
              </w:rPr>
              <w:t>“</w:t>
            </w:r>
            <w:r w:rsidRPr="003F4820">
              <w:rPr>
                <w:szCs w:val="17"/>
              </w:rPr>
              <w:t>NII</w:t>
            </w:r>
            <w:r>
              <w:rPr>
                <w:szCs w:val="17"/>
              </w:rPr>
              <w:t>”</w:t>
            </w:r>
            <w:r w:rsidRPr="003F4820">
              <w:rPr>
                <w:szCs w:val="17"/>
              </w:rPr>
              <w:t>) in relation to established limits</w:t>
            </w:r>
            <w:r>
              <w:rPr>
                <w:szCs w:val="17"/>
              </w:rPr>
              <w:t>;</w:t>
            </w:r>
          </w:p>
          <w:p w:rsidR="00545554" w:rsidRDefault="00545554" w:rsidP="00545554">
            <w:pPr>
              <w:pStyle w:val="TableText"/>
              <w:numPr>
                <w:ilvl w:val="0"/>
                <w:numId w:val="35"/>
              </w:numPr>
              <w:ind w:left="480" w:hanging="480"/>
              <w:jc w:val="both"/>
              <w:rPr>
                <w:szCs w:val="17"/>
              </w:rPr>
            </w:pPr>
            <w:r w:rsidRPr="003F4820">
              <w:rPr>
                <w:szCs w:val="17"/>
              </w:rPr>
              <w:t>hedging practices</w:t>
            </w:r>
            <w:r>
              <w:rPr>
                <w:szCs w:val="17"/>
              </w:rPr>
              <w:t>;</w:t>
            </w:r>
          </w:p>
          <w:p w:rsidR="00545554" w:rsidRDefault="00545554" w:rsidP="00545554">
            <w:pPr>
              <w:pStyle w:val="TableText"/>
              <w:numPr>
                <w:ilvl w:val="0"/>
                <w:numId w:val="35"/>
              </w:numPr>
              <w:ind w:left="480" w:hanging="480"/>
              <w:jc w:val="both"/>
              <w:rPr>
                <w:szCs w:val="17"/>
              </w:rPr>
            </w:pPr>
            <w:r w:rsidRPr="003F4820">
              <w:rPr>
                <w:szCs w:val="17"/>
              </w:rPr>
              <w:t>conduct of stress testing</w:t>
            </w:r>
            <w:r>
              <w:rPr>
                <w:szCs w:val="17"/>
              </w:rPr>
              <w:t>;</w:t>
            </w:r>
          </w:p>
          <w:p w:rsidR="00545554" w:rsidRDefault="00545554" w:rsidP="00545554">
            <w:pPr>
              <w:pStyle w:val="TableText"/>
              <w:numPr>
                <w:ilvl w:val="0"/>
                <w:numId w:val="35"/>
              </w:numPr>
              <w:ind w:left="480" w:hanging="480"/>
              <w:jc w:val="both"/>
              <w:rPr>
                <w:szCs w:val="17"/>
              </w:rPr>
            </w:pPr>
            <w:r w:rsidRPr="003F4820">
              <w:rPr>
                <w:szCs w:val="17"/>
              </w:rPr>
              <w:t>outcome analysis</w:t>
            </w:r>
            <w:r>
              <w:rPr>
                <w:szCs w:val="17"/>
              </w:rPr>
              <w:t>;</w:t>
            </w:r>
          </w:p>
          <w:p w:rsidR="00545554" w:rsidRDefault="00545554" w:rsidP="00545554">
            <w:pPr>
              <w:pStyle w:val="TableText"/>
              <w:numPr>
                <w:ilvl w:val="0"/>
                <w:numId w:val="35"/>
              </w:numPr>
              <w:ind w:left="480" w:hanging="480"/>
              <w:jc w:val="both"/>
              <w:rPr>
                <w:szCs w:val="17"/>
              </w:rPr>
            </w:pPr>
            <w:r w:rsidRPr="003F4820">
              <w:rPr>
                <w:szCs w:val="17"/>
              </w:rPr>
              <w:t>the role of independent audit</w:t>
            </w:r>
            <w:r>
              <w:rPr>
                <w:szCs w:val="17"/>
              </w:rPr>
              <w:t>;</w:t>
            </w:r>
          </w:p>
          <w:p w:rsidR="00545554" w:rsidRDefault="00545554" w:rsidP="00545554">
            <w:pPr>
              <w:pStyle w:val="TableText"/>
              <w:numPr>
                <w:ilvl w:val="0"/>
                <w:numId w:val="35"/>
              </w:numPr>
              <w:ind w:left="480" w:hanging="480"/>
              <w:jc w:val="both"/>
              <w:rPr>
                <w:szCs w:val="17"/>
              </w:rPr>
            </w:pPr>
            <w:r w:rsidRPr="003F4820">
              <w:rPr>
                <w:szCs w:val="17"/>
              </w:rPr>
              <w:t>the role and practices of the ALCO</w:t>
            </w:r>
            <w:r>
              <w:rPr>
                <w:szCs w:val="17"/>
              </w:rPr>
              <w:t>;</w:t>
            </w:r>
          </w:p>
          <w:p w:rsidR="00545554" w:rsidRDefault="00545554" w:rsidP="00545554">
            <w:pPr>
              <w:pStyle w:val="TableText"/>
              <w:numPr>
                <w:ilvl w:val="0"/>
                <w:numId w:val="35"/>
              </w:numPr>
              <w:ind w:left="480" w:hanging="480"/>
              <w:jc w:val="both"/>
              <w:rPr>
                <w:szCs w:val="17"/>
              </w:rPr>
            </w:pPr>
            <w:r w:rsidRPr="003F4820">
              <w:rPr>
                <w:szCs w:val="17"/>
              </w:rPr>
              <w:t xml:space="preserve">the </w:t>
            </w:r>
            <w:r>
              <w:rPr>
                <w:szCs w:val="17"/>
              </w:rPr>
              <w:t>AI</w:t>
            </w:r>
            <w:r w:rsidRPr="003F4820">
              <w:rPr>
                <w:szCs w:val="17"/>
              </w:rPr>
              <w:t>’s practices to ensure appropriate model validation</w:t>
            </w:r>
            <w:r>
              <w:rPr>
                <w:szCs w:val="17"/>
              </w:rPr>
              <w:t>;</w:t>
            </w:r>
            <w:r w:rsidRPr="003F4820">
              <w:rPr>
                <w:szCs w:val="17"/>
              </w:rPr>
              <w:t xml:space="preserve"> and</w:t>
            </w:r>
          </w:p>
          <w:p w:rsidR="00545554" w:rsidRPr="003F4820" w:rsidRDefault="00545554" w:rsidP="00545554">
            <w:pPr>
              <w:pStyle w:val="TableText"/>
              <w:numPr>
                <w:ilvl w:val="0"/>
                <w:numId w:val="35"/>
              </w:numPr>
              <w:ind w:left="480" w:hanging="480"/>
              <w:jc w:val="both"/>
              <w:rPr>
                <w:szCs w:val="17"/>
              </w:rPr>
            </w:pPr>
            <w:r w:rsidRPr="003F4820">
              <w:rPr>
                <w:szCs w:val="17"/>
              </w:rPr>
              <w:t>timely updates in response to changing market conditions.</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w:t>
            </w:r>
            <w:r w:rsidRPr="0023654F">
              <w:rPr>
                <w:sz w:val="17"/>
                <w:szCs w:val="17"/>
              </w:rPr>
              <w:t>c</w:t>
            </w:r>
            <w:r>
              <w:rPr>
                <w:sz w:val="17"/>
                <w:szCs w:val="17"/>
              </w:rPr>
              <w:t>)</w:t>
            </w:r>
          </w:p>
        </w:tc>
        <w:tc>
          <w:tcPr>
            <w:tcW w:w="8838"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sidRPr="003F4820">
              <w:rPr>
                <w:sz w:val="17"/>
                <w:szCs w:val="17"/>
              </w:rPr>
              <w:t xml:space="preserve">The periodicity of the calculation of the </w:t>
            </w:r>
            <w:r>
              <w:rPr>
                <w:sz w:val="17"/>
                <w:szCs w:val="17"/>
              </w:rPr>
              <w:t>AI</w:t>
            </w:r>
            <w:r w:rsidRPr="003F4820">
              <w:rPr>
                <w:sz w:val="17"/>
                <w:szCs w:val="17"/>
              </w:rPr>
              <w:t xml:space="preserve">’s IRRBB measures, and a description of the specific measures that the </w:t>
            </w:r>
            <w:r>
              <w:rPr>
                <w:sz w:val="17"/>
                <w:szCs w:val="17"/>
              </w:rPr>
              <w:t>AI</w:t>
            </w:r>
            <w:r w:rsidRPr="003F4820">
              <w:rPr>
                <w:sz w:val="17"/>
                <w:szCs w:val="17"/>
              </w:rPr>
              <w:t xml:space="preserve"> uses to gauge its sensitivity to IRRBB.</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w:t>
            </w:r>
            <w:r w:rsidRPr="0023654F">
              <w:rPr>
                <w:sz w:val="17"/>
                <w:szCs w:val="17"/>
              </w:rPr>
              <w:t>d</w:t>
            </w:r>
            <w:r>
              <w:rPr>
                <w:sz w:val="17"/>
                <w:szCs w:val="17"/>
              </w:rPr>
              <w:t>)</w:t>
            </w:r>
          </w:p>
        </w:tc>
        <w:tc>
          <w:tcPr>
            <w:tcW w:w="8838"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sidRPr="003F4820">
              <w:rPr>
                <w:sz w:val="17"/>
                <w:szCs w:val="17"/>
              </w:rPr>
              <w:t xml:space="preserve">A description of the interest rate shock and stress scenarios that the </w:t>
            </w:r>
            <w:r>
              <w:rPr>
                <w:sz w:val="17"/>
                <w:szCs w:val="17"/>
              </w:rPr>
              <w:t>AI</w:t>
            </w:r>
            <w:r w:rsidRPr="003F4820">
              <w:rPr>
                <w:sz w:val="17"/>
                <w:szCs w:val="17"/>
              </w:rPr>
              <w:t xml:space="preserve"> uses to estimate changes in the economic value and in earnings.</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w:t>
            </w:r>
            <w:r w:rsidRPr="0023654F">
              <w:rPr>
                <w:sz w:val="17"/>
                <w:szCs w:val="17"/>
              </w:rPr>
              <w:t>e</w:t>
            </w:r>
            <w:r>
              <w:rPr>
                <w:sz w:val="17"/>
                <w:szCs w:val="17"/>
              </w:rPr>
              <w:t>)</w:t>
            </w:r>
          </w:p>
        </w:tc>
        <w:tc>
          <w:tcPr>
            <w:tcW w:w="8838"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sidRPr="003F4820">
              <w:rPr>
                <w:sz w:val="17"/>
                <w:szCs w:val="17"/>
              </w:rPr>
              <w:t xml:space="preserve">Where significant modelling assumptions used in the </w:t>
            </w:r>
            <w:r>
              <w:rPr>
                <w:sz w:val="17"/>
                <w:szCs w:val="17"/>
              </w:rPr>
              <w:t>AI</w:t>
            </w:r>
            <w:r w:rsidRPr="003F4820">
              <w:rPr>
                <w:sz w:val="17"/>
                <w:szCs w:val="17"/>
              </w:rPr>
              <w:t>’s internal measurement systems (</w:t>
            </w:r>
            <w:r>
              <w:rPr>
                <w:sz w:val="17"/>
                <w:szCs w:val="17"/>
              </w:rPr>
              <w:t>“</w:t>
            </w:r>
            <w:r w:rsidRPr="003F4820">
              <w:rPr>
                <w:sz w:val="17"/>
                <w:szCs w:val="17"/>
              </w:rPr>
              <w:t>IMS</w:t>
            </w:r>
            <w:r>
              <w:rPr>
                <w:sz w:val="17"/>
                <w:szCs w:val="17"/>
              </w:rPr>
              <w:t>”</w:t>
            </w:r>
            <w:r w:rsidRPr="003F4820">
              <w:rPr>
                <w:sz w:val="17"/>
                <w:szCs w:val="17"/>
              </w:rPr>
              <w:t>) (i</w:t>
            </w:r>
            <w:r>
              <w:rPr>
                <w:sz w:val="17"/>
                <w:szCs w:val="17"/>
              </w:rPr>
              <w:t>.</w:t>
            </w:r>
            <w:r w:rsidRPr="003F4820">
              <w:rPr>
                <w:sz w:val="17"/>
                <w:szCs w:val="17"/>
              </w:rPr>
              <w:t>e</w:t>
            </w:r>
            <w:r>
              <w:rPr>
                <w:sz w:val="17"/>
                <w:szCs w:val="17"/>
              </w:rPr>
              <w:t>.</w:t>
            </w:r>
            <w:r w:rsidRPr="003F4820">
              <w:rPr>
                <w:sz w:val="17"/>
                <w:szCs w:val="17"/>
              </w:rPr>
              <w:t xml:space="preserve"> the EVE metric generated by the </w:t>
            </w:r>
            <w:r>
              <w:rPr>
                <w:sz w:val="17"/>
                <w:szCs w:val="17"/>
              </w:rPr>
              <w:t>AI</w:t>
            </w:r>
            <w:r w:rsidRPr="003F4820">
              <w:rPr>
                <w:sz w:val="17"/>
                <w:szCs w:val="17"/>
              </w:rPr>
              <w:t xml:space="preserve"> for purposes other than disclosure, e</w:t>
            </w:r>
            <w:r>
              <w:rPr>
                <w:sz w:val="17"/>
                <w:szCs w:val="17"/>
              </w:rPr>
              <w:t>.</w:t>
            </w:r>
            <w:r w:rsidRPr="003F4820">
              <w:rPr>
                <w:sz w:val="17"/>
                <w:szCs w:val="17"/>
              </w:rPr>
              <w:t>g</w:t>
            </w:r>
            <w:r>
              <w:rPr>
                <w:sz w:val="17"/>
                <w:szCs w:val="17"/>
              </w:rPr>
              <w:t>.</w:t>
            </w:r>
            <w:r w:rsidRPr="003F4820">
              <w:rPr>
                <w:sz w:val="17"/>
                <w:szCs w:val="17"/>
              </w:rPr>
              <w:t xml:space="preserve"> for internal assessment of capital adequacy) are different from the modelling assumptions prescribed for the disclosure in </w:t>
            </w:r>
            <w:r>
              <w:rPr>
                <w:sz w:val="17"/>
                <w:szCs w:val="17"/>
              </w:rPr>
              <w:t>t</w:t>
            </w:r>
            <w:r w:rsidRPr="003F4820">
              <w:rPr>
                <w:sz w:val="17"/>
                <w:szCs w:val="17"/>
              </w:rPr>
              <w:t xml:space="preserve">emplate IRRBB1, the </w:t>
            </w:r>
            <w:r>
              <w:rPr>
                <w:sz w:val="17"/>
                <w:szCs w:val="17"/>
              </w:rPr>
              <w:t>AI</w:t>
            </w:r>
            <w:r w:rsidRPr="003F4820">
              <w:rPr>
                <w:sz w:val="17"/>
                <w:szCs w:val="17"/>
              </w:rPr>
              <w:t xml:space="preserve"> should provide a description of those assumptions and their directional implications and explain its rationale for making those assumptions (e</w:t>
            </w:r>
            <w:r>
              <w:rPr>
                <w:sz w:val="17"/>
                <w:szCs w:val="17"/>
              </w:rPr>
              <w:t>.</w:t>
            </w:r>
            <w:r w:rsidRPr="003F4820">
              <w:rPr>
                <w:sz w:val="17"/>
                <w:szCs w:val="17"/>
              </w:rPr>
              <w:t>g</w:t>
            </w:r>
            <w:r>
              <w:rPr>
                <w:sz w:val="17"/>
                <w:szCs w:val="17"/>
              </w:rPr>
              <w:t>.</w:t>
            </w:r>
            <w:r w:rsidRPr="003F4820">
              <w:rPr>
                <w:sz w:val="17"/>
                <w:szCs w:val="17"/>
              </w:rPr>
              <w:t xml:space="preserve"> historical data, published research, management judgment and analysis).</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Default="00545554" w:rsidP="00545554">
            <w:pPr>
              <w:widowControl w:val="0"/>
              <w:spacing w:before="40" w:after="40"/>
              <w:jc w:val="both"/>
              <w:rPr>
                <w:sz w:val="17"/>
                <w:szCs w:val="17"/>
              </w:rPr>
            </w:pPr>
            <w:r>
              <w:rPr>
                <w:sz w:val="17"/>
                <w:szCs w:val="17"/>
              </w:rPr>
              <w:lastRenderedPageBreak/>
              <w:t>(f)</w:t>
            </w:r>
          </w:p>
        </w:tc>
        <w:tc>
          <w:tcPr>
            <w:tcW w:w="8838"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sidRPr="003F4820">
              <w:rPr>
                <w:sz w:val="17"/>
                <w:szCs w:val="17"/>
              </w:rPr>
              <w:t xml:space="preserve">A high-level description of how the </w:t>
            </w:r>
            <w:r>
              <w:rPr>
                <w:sz w:val="17"/>
                <w:szCs w:val="17"/>
              </w:rPr>
              <w:t>AI</w:t>
            </w:r>
            <w:r w:rsidRPr="003F4820">
              <w:rPr>
                <w:sz w:val="17"/>
                <w:szCs w:val="17"/>
              </w:rPr>
              <w:t xml:space="preserve"> hedges its IRRBB, as well as the associated accounting treatment.</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Default="00545554" w:rsidP="00545554">
            <w:pPr>
              <w:widowControl w:val="0"/>
              <w:spacing w:before="40" w:after="40"/>
              <w:jc w:val="both"/>
              <w:rPr>
                <w:sz w:val="17"/>
                <w:szCs w:val="17"/>
              </w:rPr>
            </w:pPr>
            <w:r>
              <w:rPr>
                <w:sz w:val="17"/>
                <w:szCs w:val="17"/>
              </w:rPr>
              <w:t>(g)</w:t>
            </w:r>
          </w:p>
        </w:tc>
        <w:tc>
          <w:tcPr>
            <w:tcW w:w="8838" w:type="dxa"/>
            <w:tcBorders>
              <w:top w:val="single" w:sz="4" w:space="0" w:color="auto"/>
              <w:bottom w:val="single" w:sz="4" w:space="0" w:color="auto"/>
            </w:tcBorders>
            <w:noWrap/>
          </w:tcPr>
          <w:p w:rsidR="00545554" w:rsidRDefault="00545554" w:rsidP="00545554">
            <w:pPr>
              <w:widowControl w:val="0"/>
              <w:spacing w:before="40" w:after="40"/>
              <w:jc w:val="both"/>
              <w:rPr>
                <w:sz w:val="17"/>
                <w:szCs w:val="17"/>
              </w:rPr>
            </w:pPr>
            <w:r w:rsidRPr="003F4820">
              <w:rPr>
                <w:sz w:val="17"/>
                <w:szCs w:val="17"/>
              </w:rPr>
              <w:t xml:space="preserve">A high-level description of key modelling and parametric assumptions used in calculating ΔEVE and ΔNII in </w:t>
            </w:r>
            <w:r>
              <w:rPr>
                <w:sz w:val="17"/>
                <w:szCs w:val="17"/>
              </w:rPr>
              <w:t>template IRRBB1</w:t>
            </w:r>
            <w:r w:rsidRPr="003F4820">
              <w:rPr>
                <w:sz w:val="17"/>
                <w:szCs w:val="17"/>
              </w:rPr>
              <w:t>, which includes:</w:t>
            </w:r>
          </w:p>
          <w:p w:rsidR="00545554" w:rsidRDefault="00545554" w:rsidP="00545554">
            <w:pPr>
              <w:pStyle w:val="TableText"/>
              <w:numPr>
                <w:ilvl w:val="0"/>
                <w:numId w:val="36"/>
              </w:numPr>
              <w:ind w:left="480" w:hanging="480"/>
              <w:jc w:val="both"/>
              <w:rPr>
                <w:szCs w:val="17"/>
              </w:rPr>
            </w:pPr>
            <w:r>
              <w:rPr>
                <w:szCs w:val="17"/>
              </w:rPr>
              <w:t>f</w:t>
            </w:r>
            <w:r w:rsidRPr="003F4820">
              <w:rPr>
                <w:szCs w:val="17"/>
              </w:rPr>
              <w:t>or ΔEVE, whether commercial margins and other spread components have been included in the cash flows used in the computation and discount rate used</w:t>
            </w:r>
            <w:r>
              <w:rPr>
                <w:szCs w:val="17"/>
              </w:rPr>
              <w:t>;</w:t>
            </w:r>
          </w:p>
          <w:p w:rsidR="00545554" w:rsidRDefault="00545554" w:rsidP="00545554">
            <w:pPr>
              <w:pStyle w:val="TableText"/>
              <w:numPr>
                <w:ilvl w:val="0"/>
                <w:numId w:val="36"/>
              </w:numPr>
              <w:ind w:left="480" w:hanging="480"/>
              <w:jc w:val="both"/>
              <w:rPr>
                <w:szCs w:val="17"/>
              </w:rPr>
            </w:pPr>
            <w:r>
              <w:rPr>
                <w:szCs w:val="17"/>
              </w:rPr>
              <w:t>h</w:t>
            </w:r>
            <w:r w:rsidRPr="003F4820">
              <w:rPr>
                <w:szCs w:val="17"/>
              </w:rPr>
              <w:t>ow the average repricing maturity of non-maturity deposits has been determined (including any unique product characteristics that affect ass</w:t>
            </w:r>
            <w:r>
              <w:rPr>
                <w:szCs w:val="17"/>
              </w:rPr>
              <w:t>essment of repricing behaviour);</w:t>
            </w:r>
          </w:p>
          <w:p w:rsidR="00545554" w:rsidRDefault="00545554" w:rsidP="00545554">
            <w:pPr>
              <w:pStyle w:val="TableText"/>
              <w:numPr>
                <w:ilvl w:val="0"/>
                <w:numId w:val="36"/>
              </w:numPr>
              <w:ind w:left="480" w:hanging="480"/>
              <w:jc w:val="both"/>
              <w:rPr>
                <w:szCs w:val="17"/>
              </w:rPr>
            </w:pPr>
            <w:r>
              <w:rPr>
                <w:szCs w:val="17"/>
              </w:rPr>
              <w:t>t</w:t>
            </w:r>
            <w:r w:rsidRPr="003F4820">
              <w:rPr>
                <w:szCs w:val="17"/>
              </w:rPr>
              <w:t>he methodology used to estimate the prepayment rates of customer loans, and/or the early withdrawal rates for time deposits, and other significant assumptions</w:t>
            </w:r>
            <w:r>
              <w:rPr>
                <w:szCs w:val="17"/>
              </w:rPr>
              <w:t>;</w:t>
            </w:r>
          </w:p>
          <w:p w:rsidR="00545554" w:rsidRDefault="00545554" w:rsidP="00545554">
            <w:pPr>
              <w:pStyle w:val="TableText"/>
              <w:numPr>
                <w:ilvl w:val="0"/>
                <w:numId w:val="36"/>
              </w:numPr>
              <w:ind w:left="480" w:hanging="480"/>
              <w:jc w:val="both"/>
              <w:rPr>
                <w:szCs w:val="17"/>
              </w:rPr>
            </w:pPr>
            <w:r>
              <w:rPr>
                <w:szCs w:val="17"/>
              </w:rPr>
              <w:t>a</w:t>
            </w:r>
            <w:r w:rsidRPr="003F4820">
              <w:rPr>
                <w:szCs w:val="17"/>
              </w:rPr>
              <w:t xml:space="preserve">ny other assumptions (including for instruments with behavioural optionalities that have been excluded) that have a material impact on the disclosed ΔEVE and ΔNII in </w:t>
            </w:r>
            <w:r>
              <w:rPr>
                <w:szCs w:val="17"/>
              </w:rPr>
              <w:t>template IRRB</w:t>
            </w:r>
            <w:r w:rsidRPr="003F4820">
              <w:rPr>
                <w:szCs w:val="17"/>
              </w:rPr>
              <w:t>B</w:t>
            </w:r>
            <w:r>
              <w:rPr>
                <w:szCs w:val="17"/>
              </w:rPr>
              <w:t>1</w:t>
            </w:r>
            <w:r w:rsidRPr="003F4820">
              <w:rPr>
                <w:szCs w:val="17"/>
              </w:rPr>
              <w:t>, including an explanation of why these are material</w:t>
            </w:r>
            <w:r>
              <w:rPr>
                <w:szCs w:val="17"/>
              </w:rPr>
              <w:t>; and</w:t>
            </w:r>
          </w:p>
          <w:p w:rsidR="00545554" w:rsidRPr="0023654F" w:rsidRDefault="00545554" w:rsidP="00545554">
            <w:pPr>
              <w:pStyle w:val="TableText"/>
              <w:numPr>
                <w:ilvl w:val="0"/>
                <w:numId w:val="36"/>
              </w:numPr>
              <w:ind w:left="480" w:hanging="480"/>
              <w:jc w:val="both"/>
              <w:rPr>
                <w:szCs w:val="17"/>
              </w:rPr>
            </w:pPr>
            <w:r>
              <w:rPr>
                <w:szCs w:val="17"/>
              </w:rPr>
              <w:t>a</w:t>
            </w:r>
            <w:r w:rsidRPr="003F4820">
              <w:rPr>
                <w:szCs w:val="17"/>
              </w:rPr>
              <w:t>ny methods of aggregation across currencies and any significant interest rate correlations between different currencies.</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Default="00545554" w:rsidP="00545554">
            <w:pPr>
              <w:widowControl w:val="0"/>
              <w:spacing w:before="40" w:after="40"/>
              <w:jc w:val="both"/>
              <w:rPr>
                <w:sz w:val="17"/>
                <w:szCs w:val="17"/>
              </w:rPr>
            </w:pPr>
            <w:r>
              <w:rPr>
                <w:sz w:val="17"/>
                <w:szCs w:val="17"/>
              </w:rPr>
              <w:t>(h)</w:t>
            </w:r>
          </w:p>
        </w:tc>
        <w:tc>
          <w:tcPr>
            <w:tcW w:w="8838"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sidRPr="003F4820">
              <w:rPr>
                <w:sz w:val="17"/>
                <w:szCs w:val="17"/>
              </w:rPr>
              <w:t xml:space="preserve">Any other information which the </w:t>
            </w:r>
            <w:r>
              <w:rPr>
                <w:sz w:val="17"/>
                <w:szCs w:val="17"/>
              </w:rPr>
              <w:t>AI</w:t>
            </w:r>
            <w:r w:rsidRPr="003F4820">
              <w:rPr>
                <w:sz w:val="17"/>
                <w:szCs w:val="17"/>
              </w:rPr>
              <w:t xml:space="preserve"> </w:t>
            </w:r>
            <w:r>
              <w:rPr>
                <w:sz w:val="17"/>
                <w:szCs w:val="17"/>
              </w:rPr>
              <w:t>considers as relevant</w:t>
            </w:r>
            <w:r w:rsidRPr="003F4820">
              <w:rPr>
                <w:sz w:val="17"/>
                <w:szCs w:val="17"/>
              </w:rPr>
              <w:t xml:space="preserve"> regarding its interpretation of the significance and sensitivity of the IRRBB measures disclosed and/or an explanation of any significant variations in the level of the reported IRRBB since previous disclosures.</w:t>
            </w:r>
          </w:p>
        </w:tc>
      </w:tr>
      <w:tr w:rsidR="00545554" w:rsidRPr="0023654F" w:rsidTr="00545554">
        <w:trPr>
          <w:trHeight w:val="195"/>
          <w:jc w:val="center"/>
        </w:trPr>
        <w:tc>
          <w:tcPr>
            <w:tcW w:w="9307" w:type="dxa"/>
            <w:gridSpan w:val="2"/>
            <w:tcBorders>
              <w:top w:val="single" w:sz="4" w:space="0" w:color="auto"/>
              <w:bottom w:val="single" w:sz="4" w:space="0" w:color="auto"/>
            </w:tcBorders>
            <w:shd w:val="clear" w:color="auto" w:fill="D9D9D9" w:themeFill="background1" w:themeFillShade="D9"/>
            <w:noWrap/>
          </w:tcPr>
          <w:p w:rsidR="00545554" w:rsidRPr="003156C3" w:rsidRDefault="00545554" w:rsidP="00545554">
            <w:pPr>
              <w:pStyle w:val="Default"/>
              <w:jc w:val="both"/>
              <w:rPr>
                <w:sz w:val="17"/>
                <w:szCs w:val="17"/>
                <w:lang w:val="en-GB"/>
              </w:rPr>
            </w:pPr>
            <w:r>
              <w:rPr>
                <w:sz w:val="17"/>
                <w:szCs w:val="17"/>
              </w:rPr>
              <w:t xml:space="preserve">Quantitative disclosures </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1</w:t>
            </w:r>
          </w:p>
        </w:tc>
        <w:tc>
          <w:tcPr>
            <w:tcW w:w="8838" w:type="dxa"/>
            <w:tcBorders>
              <w:top w:val="single" w:sz="4" w:space="0" w:color="auto"/>
              <w:bottom w:val="single" w:sz="4" w:space="0" w:color="auto"/>
            </w:tcBorders>
            <w:noWrap/>
          </w:tcPr>
          <w:p w:rsidR="00545554" w:rsidRPr="0023654F" w:rsidRDefault="00545554" w:rsidP="003408A4">
            <w:pPr>
              <w:widowControl w:val="0"/>
              <w:spacing w:before="40" w:after="40"/>
              <w:jc w:val="both"/>
              <w:rPr>
                <w:sz w:val="17"/>
                <w:szCs w:val="17"/>
              </w:rPr>
            </w:pPr>
            <w:r w:rsidRPr="003F4820">
              <w:rPr>
                <w:sz w:val="17"/>
                <w:szCs w:val="17"/>
              </w:rPr>
              <w:t xml:space="preserve">Average repricing maturity assigned to </w:t>
            </w:r>
            <w:r w:rsidRPr="009A182C">
              <w:rPr>
                <w:sz w:val="17"/>
                <w:szCs w:val="17"/>
              </w:rPr>
              <w:t xml:space="preserve">non-maturity deposits </w:t>
            </w:r>
            <w:r>
              <w:rPr>
                <w:sz w:val="17"/>
                <w:szCs w:val="17"/>
              </w:rPr>
              <w:t>(“</w:t>
            </w:r>
            <w:r w:rsidRPr="003F4820">
              <w:rPr>
                <w:sz w:val="17"/>
                <w:szCs w:val="17"/>
              </w:rPr>
              <w:t>NMDs</w:t>
            </w:r>
            <w:r>
              <w:rPr>
                <w:sz w:val="17"/>
                <w:szCs w:val="17"/>
              </w:rPr>
              <w:t>”)</w:t>
            </w:r>
            <w:r w:rsidR="003408A4">
              <w:rPr>
                <w:sz w:val="17"/>
                <w:szCs w:val="17"/>
              </w:rPr>
              <w:t xml:space="preserve">: This refers to </w:t>
            </w:r>
            <w:r w:rsidR="0031392C">
              <w:rPr>
                <w:sz w:val="17"/>
                <w:szCs w:val="17"/>
              </w:rPr>
              <w:t>notional-weighted maturity of NMDs</w:t>
            </w:r>
            <w:r w:rsidRPr="003F4820">
              <w:rPr>
                <w:sz w:val="17"/>
                <w:szCs w:val="17"/>
              </w:rPr>
              <w:t>.</w:t>
            </w:r>
          </w:p>
        </w:tc>
      </w:tr>
      <w:tr w:rsidR="00545554" w:rsidRPr="0023654F" w:rsidTr="00545554">
        <w:trPr>
          <w:trHeight w:val="318"/>
          <w:jc w:val="center"/>
        </w:trPr>
        <w:tc>
          <w:tcPr>
            <w:tcW w:w="469" w:type="dxa"/>
            <w:tcBorders>
              <w:top w:val="single" w:sz="4" w:space="0" w:color="auto"/>
              <w:bottom w:val="single" w:sz="4" w:space="0" w:color="auto"/>
            </w:tcBorders>
            <w:noWrap/>
          </w:tcPr>
          <w:p w:rsidR="00545554" w:rsidRPr="0023654F" w:rsidRDefault="00545554" w:rsidP="00545554">
            <w:pPr>
              <w:widowControl w:val="0"/>
              <w:spacing w:before="40" w:after="40"/>
              <w:jc w:val="both"/>
              <w:rPr>
                <w:sz w:val="17"/>
                <w:szCs w:val="17"/>
              </w:rPr>
            </w:pPr>
            <w:r>
              <w:rPr>
                <w:sz w:val="17"/>
                <w:szCs w:val="17"/>
              </w:rPr>
              <w:t>2</w:t>
            </w:r>
          </w:p>
        </w:tc>
        <w:tc>
          <w:tcPr>
            <w:tcW w:w="8838" w:type="dxa"/>
            <w:tcBorders>
              <w:top w:val="single" w:sz="4" w:space="0" w:color="auto"/>
              <w:bottom w:val="single" w:sz="4" w:space="0" w:color="auto"/>
            </w:tcBorders>
            <w:noWrap/>
          </w:tcPr>
          <w:p w:rsidR="00545554" w:rsidRPr="003156C3" w:rsidRDefault="00545554" w:rsidP="00545554">
            <w:pPr>
              <w:widowControl w:val="0"/>
              <w:spacing w:before="40" w:after="40"/>
              <w:jc w:val="both"/>
              <w:rPr>
                <w:sz w:val="17"/>
                <w:szCs w:val="17"/>
              </w:rPr>
            </w:pPr>
            <w:r w:rsidRPr="003F4820">
              <w:rPr>
                <w:sz w:val="17"/>
                <w:szCs w:val="17"/>
              </w:rPr>
              <w:t>Longest repricing maturity assigned to NMDs.</w:t>
            </w:r>
          </w:p>
        </w:tc>
      </w:tr>
    </w:tbl>
    <w:p w:rsidR="00545554" w:rsidRDefault="00545554" w:rsidP="00545554"/>
    <w:p w:rsidR="00545554" w:rsidRDefault="00545554" w:rsidP="00545554">
      <w:pPr>
        <w:sectPr w:rsidR="00545554">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IRRBB1: Quantitative information on interest rate risk in banking book</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C979AC" w:rsidRDefault="00545554" w:rsidP="00545554">
            <w:pPr>
              <w:spacing w:before="40" w:after="40"/>
              <w:jc w:val="both"/>
              <w:rPr>
                <w:sz w:val="17"/>
                <w:szCs w:val="17"/>
              </w:rPr>
            </w:pPr>
            <w:r w:rsidRPr="0023654F">
              <w:rPr>
                <w:rFonts w:eastAsiaTheme="minorEastAsia"/>
                <w:sz w:val="17"/>
                <w:lang w:eastAsia="en-GB"/>
              </w:rPr>
              <w:t xml:space="preserve">To </w:t>
            </w:r>
            <w:r>
              <w:rPr>
                <w:rFonts w:eastAsiaTheme="minorEastAsia"/>
                <w:sz w:val="17"/>
                <w:lang w:eastAsia="en-GB"/>
              </w:rPr>
              <w:t>p</w:t>
            </w:r>
            <w:r>
              <w:rPr>
                <w:sz w:val="17"/>
                <w:szCs w:val="17"/>
              </w:rPr>
              <w:t>rovide information on the changes in economic value of equity and net interest income under each of the prescribed interest rate shock scenarios in respect of its interest rate exposures arising from banking book positions.</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C979AC" w:rsidRDefault="00545554" w:rsidP="00545554">
            <w:pPr>
              <w:spacing w:before="40" w:after="40"/>
              <w:jc w:val="both"/>
              <w:rPr>
                <w:rFonts w:eastAsiaTheme="minorEastAsia"/>
                <w:sz w:val="17"/>
                <w:lang w:eastAsia="en-GB"/>
              </w:rPr>
            </w:pPr>
            <w:r w:rsidRPr="00C979AC">
              <w:rPr>
                <w:rFonts w:eastAsiaTheme="minorEastAsia"/>
                <w:sz w:val="17"/>
                <w:lang w:eastAsia="en-GB"/>
              </w:rPr>
              <w:t xml:space="preserve">The template is mandatory for all </w:t>
            </w:r>
            <w:r>
              <w:rPr>
                <w:rFonts w:eastAsiaTheme="minorEastAsia"/>
                <w:sz w:val="17"/>
                <w:lang w:eastAsia="en-GB"/>
              </w:rPr>
              <w:t>AI</w:t>
            </w:r>
            <w:r w:rsidRPr="00C979AC">
              <w:rPr>
                <w:rFonts w:eastAsiaTheme="minorEastAsia"/>
                <w:sz w:val="17"/>
                <w:lang w:eastAsia="en-GB"/>
              </w:rPr>
              <w:t>s</w:t>
            </w:r>
            <w:r>
              <w:rPr>
                <w:rFonts w:eastAsiaTheme="minorEastAsia"/>
                <w:sz w:val="17"/>
                <w:lang w:eastAsia="en-GB"/>
              </w:rPr>
              <w:t xml:space="preserve"> incorporated in Hong Kong.</w:t>
            </w:r>
            <w:r w:rsidRPr="002C017F">
              <w:rPr>
                <w:rFonts w:eastAsiaTheme="minorEastAsia"/>
                <w:sz w:val="17"/>
                <w:lang w:eastAsia="en-GB"/>
              </w:rPr>
              <w:t xml:space="preserve">  This template should be used for reporting an AI’s interest rate exposures re</w:t>
            </w:r>
            <w:r w:rsidRPr="002C017F">
              <w:rPr>
                <w:sz w:val="17"/>
                <w:szCs w:val="17"/>
              </w:rPr>
              <w:t>lated to financial year end on or after 30 June 2019.</w:t>
            </w:r>
            <w:r>
              <w:rPr>
                <w:rFonts w:eastAsiaTheme="minorEastAsia"/>
                <w:sz w:val="17"/>
                <w:lang w:eastAsia="en-GB"/>
              </w:rPr>
              <w:t xml:space="preserve">  If an AI is exempted und</w:t>
            </w:r>
            <w:r w:rsidRPr="00287341">
              <w:rPr>
                <w:rFonts w:eastAsiaTheme="minorEastAsia"/>
                <w:sz w:val="17"/>
                <w:szCs w:val="17"/>
                <w:lang w:eastAsia="en-GB"/>
              </w:rPr>
              <w:t xml:space="preserve">er BCR </w:t>
            </w:r>
            <w:r w:rsidRPr="00287341">
              <w:rPr>
                <w:sz w:val="17"/>
                <w:szCs w:val="17"/>
              </w:rPr>
              <w:t>§</w:t>
            </w:r>
            <w:r>
              <w:rPr>
                <w:sz w:val="17"/>
                <w:szCs w:val="17"/>
              </w:rPr>
              <w:t>22(1) from calculating its market risk, it should aggregate the positions of banking book and trading book for disclosure purpose.</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C979AC" w:rsidRDefault="00545554" w:rsidP="00545554">
            <w:pPr>
              <w:spacing w:before="40" w:after="40"/>
              <w:jc w:val="both"/>
              <w:rPr>
                <w:rFonts w:eastAsiaTheme="minorEastAsia"/>
                <w:sz w:val="17"/>
                <w:lang w:eastAsia="en-GB"/>
              </w:rPr>
            </w:pPr>
            <w:r w:rsidRPr="00D47BE7">
              <w:rPr>
                <w:rFonts w:eastAsiaTheme="minorEastAsia"/>
                <w:sz w:val="17"/>
                <w:lang w:eastAsia="en-GB"/>
              </w:rPr>
              <w:t>Quantitative information</w:t>
            </w:r>
            <w:r>
              <w:rPr>
                <w:rFonts w:eastAsiaTheme="minorEastAsia"/>
                <w:sz w:val="17"/>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23654F" w:rsidRDefault="00545554" w:rsidP="00545554">
            <w:pPr>
              <w:spacing w:before="40" w:after="40"/>
              <w:jc w:val="both"/>
              <w:rPr>
                <w:rFonts w:eastAsiaTheme="minorEastAsia"/>
                <w:sz w:val="17"/>
                <w:lang w:eastAsia="en-GB"/>
              </w:rPr>
            </w:pPr>
            <w:r>
              <w:rPr>
                <w:rFonts w:eastAsiaTheme="minorEastAsia"/>
                <w:sz w:val="17"/>
                <w:lang w:eastAsia="en-GB"/>
              </w:rPr>
              <w:t>Annual</w:t>
            </w:r>
            <w:r w:rsidRPr="0023654F">
              <w:rPr>
                <w:rFonts w:eastAsiaTheme="minorEastAsia"/>
                <w:sz w:val="17"/>
                <w:lang w:eastAsia="en-GB"/>
              </w:rPr>
              <w:t>.</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C979AC" w:rsidRDefault="00545554" w:rsidP="00545554">
            <w:pPr>
              <w:spacing w:before="40" w:after="40"/>
              <w:jc w:val="both"/>
              <w:rPr>
                <w:sz w:val="17"/>
                <w:szCs w:val="17"/>
              </w:rPr>
            </w:pPr>
            <w:r>
              <w:rPr>
                <w:rFonts w:eastAsiaTheme="minorEastAsia"/>
                <w:sz w:val="17"/>
                <w:lang w:eastAsia="en-GB"/>
              </w:rPr>
              <w:t>Fixed</w:t>
            </w:r>
            <w:r>
              <w:rPr>
                <w:sz w:val="17"/>
                <w:szCs w:val="17"/>
              </w:rPr>
              <w:t>.</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C979AC" w:rsidRDefault="00545554" w:rsidP="00545554">
            <w:pPr>
              <w:spacing w:before="40" w:after="40"/>
              <w:jc w:val="both"/>
              <w:rPr>
                <w:rFonts w:eastAsiaTheme="minorEastAsia"/>
                <w:sz w:val="17"/>
                <w:szCs w:val="17"/>
                <w:lang w:val="en-US" w:eastAsia="zh-TW"/>
              </w:rPr>
            </w:pPr>
            <w:r>
              <w:rPr>
                <w:sz w:val="17"/>
                <w:szCs w:val="17"/>
              </w:rPr>
              <w:t xml:space="preserve">An AI should provide a commentary on the significance of the reported values and an explanation of any material changes since the end of the preceding reporting period. </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Default="00545554" w:rsidP="001324D2">
            <w:pPr>
              <w:pStyle w:val="TableText"/>
              <w:jc w:val="both"/>
              <w:rPr>
                <w:szCs w:val="17"/>
                <w:lang w:eastAsia="en-GB"/>
              </w:rPr>
            </w:pPr>
            <w:r w:rsidRPr="001B530B">
              <w:rPr>
                <w:szCs w:val="17"/>
                <w:lang w:eastAsia="en-GB"/>
              </w:rPr>
              <w:t>16ZQ</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7"/>
        <w:gridCol w:w="284"/>
        <w:gridCol w:w="2551"/>
        <w:gridCol w:w="1453"/>
        <w:gridCol w:w="1453"/>
        <w:gridCol w:w="1453"/>
        <w:gridCol w:w="1453"/>
      </w:tblGrid>
      <w:tr w:rsidR="00545554" w:rsidRPr="0023654F" w:rsidTr="00545554">
        <w:trPr>
          <w:cantSplit/>
          <w:trHeight w:val="107"/>
          <w:tblHeader/>
        </w:trPr>
        <w:tc>
          <w:tcPr>
            <w:tcW w:w="851" w:type="dxa"/>
            <w:gridSpan w:val="2"/>
            <w:tcBorders>
              <w:top w:val="nil"/>
              <w:left w:val="nil"/>
              <w:bottom w:val="nil"/>
              <w:right w:val="nil"/>
            </w:tcBorders>
          </w:tcPr>
          <w:p w:rsidR="00545554" w:rsidRPr="0023654F" w:rsidRDefault="00545554" w:rsidP="00545554">
            <w:pPr>
              <w:pStyle w:val="TableText"/>
              <w:snapToGrid w:val="0"/>
              <w:rPr>
                <w:lang w:eastAsia="en-GB"/>
              </w:rPr>
            </w:pPr>
          </w:p>
        </w:tc>
        <w:tc>
          <w:tcPr>
            <w:tcW w:w="2551" w:type="dxa"/>
            <w:tcBorders>
              <w:top w:val="nil"/>
              <w:left w:val="nil"/>
              <w:bottom w:val="nil"/>
              <w:right w:val="single" w:sz="4" w:space="0" w:color="auto"/>
            </w:tcBorders>
            <w:vAlign w:val="center"/>
          </w:tcPr>
          <w:p w:rsidR="00545554" w:rsidRPr="0085469C" w:rsidRDefault="00545554" w:rsidP="00545554">
            <w:pPr>
              <w:pStyle w:val="TableText"/>
              <w:snapToGrid w:val="0"/>
              <w:rPr>
                <w:bCs/>
                <w:szCs w:val="17"/>
                <w:lang w:eastAsia="it-IT"/>
              </w:rPr>
            </w:pPr>
          </w:p>
        </w:tc>
        <w:tc>
          <w:tcPr>
            <w:tcW w:w="1453" w:type="dxa"/>
            <w:tcBorders>
              <w:top w:val="single" w:sz="4" w:space="0" w:color="auto"/>
              <w:left w:val="single" w:sz="4" w:space="0" w:color="auto"/>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(a)</w:t>
            </w:r>
          </w:p>
        </w:tc>
        <w:tc>
          <w:tcPr>
            <w:tcW w:w="1453" w:type="dxa"/>
            <w:tcBorders>
              <w:top w:val="single" w:sz="4" w:space="0" w:color="auto"/>
              <w:left w:val="nil"/>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w:t>
            </w:r>
            <w:r>
              <w:rPr>
                <w:bCs/>
                <w:sz w:val="17"/>
                <w:szCs w:val="17"/>
                <w:lang w:eastAsia="it-IT"/>
              </w:rPr>
              <w:t>b</w:t>
            </w:r>
            <w:r w:rsidRPr="0085469C">
              <w:rPr>
                <w:bCs/>
                <w:sz w:val="17"/>
                <w:szCs w:val="17"/>
                <w:lang w:eastAsia="it-IT"/>
              </w:rPr>
              <w:t>)</w:t>
            </w:r>
          </w:p>
        </w:tc>
        <w:tc>
          <w:tcPr>
            <w:tcW w:w="1453" w:type="dxa"/>
            <w:tcBorders>
              <w:top w:val="single" w:sz="4" w:space="0" w:color="auto"/>
              <w:left w:val="nil"/>
              <w:bottom w:val="single" w:sz="4" w:space="0" w:color="auto"/>
              <w:right w:val="single" w:sz="4" w:space="0" w:color="auto"/>
            </w:tcBorders>
            <w:vAlign w:val="center"/>
          </w:tcPr>
          <w:p w:rsidR="00545554" w:rsidRPr="0085469C" w:rsidRDefault="00545554" w:rsidP="00545554">
            <w:pPr>
              <w:spacing w:before="120" w:after="60" w:line="100" w:lineRule="exact"/>
              <w:jc w:val="center"/>
              <w:rPr>
                <w:bCs/>
                <w:sz w:val="17"/>
                <w:szCs w:val="17"/>
                <w:lang w:eastAsia="it-IT"/>
              </w:rPr>
            </w:pPr>
            <w:r w:rsidRPr="0085469C">
              <w:rPr>
                <w:bCs/>
                <w:sz w:val="17"/>
                <w:szCs w:val="17"/>
                <w:lang w:eastAsia="it-IT"/>
              </w:rPr>
              <w:t>(</w:t>
            </w:r>
            <w:r>
              <w:rPr>
                <w:bCs/>
                <w:sz w:val="17"/>
                <w:szCs w:val="17"/>
                <w:lang w:eastAsia="it-IT"/>
              </w:rPr>
              <w:t>c</w:t>
            </w:r>
            <w:r w:rsidRPr="0085469C">
              <w:rPr>
                <w:bCs/>
                <w:sz w:val="17"/>
                <w:szCs w:val="17"/>
                <w:lang w:eastAsia="it-IT"/>
              </w:rPr>
              <w:t>)</w:t>
            </w:r>
          </w:p>
        </w:tc>
        <w:tc>
          <w:tcPr>
            <w:tcW w:w="1453" w:type="dxa"/>
            <w:tcBorders>
              <w:top w:val="single" w:sz="4" w:space="0" w:color="auto"/>
              <w:left w:val="single" w:sz="4" w:space="0" w:color="auto"/>
              <w:bottom w:val="single" w:sz="4" w:space="0" w:color="auto"/>
              <w:right w:val="single" w:sz="4" w:space="0" w:color="auto"/>
            </w:tcBorders>
            <w:vAlign w:val="center"/>
          </w:tcPr>
          <w:p w:rsidR="00545554" w:rsidRPr="0085469C" w:rsidRDefault="00545554" w:rsidP="00545554">
            <w:pPr>
              <w:pStyle w:val="TableText"/>
              <w:spacing w:before="120" w:after="60" w:line="100" w:lineRule="exact"/>
              <w:jc w:val="center"/>
              <w:rPr>
                <w:bCs/>
                <w:szCs w:val="17"/>
                <w:lang w:eastAsia="it-IT"/>
              </w:rPr>
            </w:pPr>
            <w:r w:rsidRPr="0085469C">
              <w:rPr>
                <w:bCs/>
                <w:szCs w:val="17"/>
                <w:lang w:eastAsia="it-IT"/>
              </w:rPr>
              <w:t>(</w:t>
            </w:r>
            <w:r>
              <w:rPr>
                <w:bCs/>
                <w:szCs w:val="17"/>
                <w:lang w:eastAsia="it-IT"/>
              </w:rPr>
              <w:t>d</w:t>
            </w:r>
            <w:r w:rsidRPr="0085469C">
              <w:rPr>
                <w:bCs/>
                <w:szCs w:val="17"/>
                <w:lang w:eastAsia="it-IT"/>
              </w:rPr>
              <w:t>)</w:t>
            </w:r>
          </w:p>
        </w:tc>
      </w:tr>
      <w:tr w:rsidR="00545554" w:rsidRPr="0023654F" w:rsidTr="00545554">
        <w:trPr>
          <w:cantSplit/>
          <w:tblHeader/>
        </w:trPr>
        <w:tc>
          <w:tcPr>
            <w:tcW w:w="3402" w:type="dxa"/>
            <w:gridSpan w:val="3"/>
            <w:tcBorders>
              <w:top w:val="nil"/>
              <w:left w:val="nil"/>
              <w:bottom w:val="single" w:sz="4" w:space="0" w:color="auto"/>
              <w:right w:val="single" w:sz="4" w:space="0" w:color="auto"/>
            </w:tcBorders>
            <w:vAlign w:val="center"/>
          </w:tcPr>
          <w:p w:rsidR="00545554" w:rsidRPr="00961CCB" w:rsidRDefault="00545554" w:rsidP="00545554">
            <w:pPr>
              <w:pStyle w:val="TableText"/>
              <w:snapToGrid w:val="0"/>
              <w:rPr>
                <w:b/>
                <w:lang w:eastAsia="en-GB"/>
              </w:rPr>
            </w:pPr>
            <w:r>
              <w:rPr>
                <w:lang w:eastAsia="en-GB"/>
              </w:rPr>
              <w:t>(in reporting currency)</w:t>
            </w:r>
          </w:p>
        </w:tc>
        <w:tc>
          <w:tcPr>
            <w:tcW w:w="2906" w:type="dxa"/>
            <w:gridSpan w:val="2"/>
            <w:tcBorders>
              <w:top w:val="single" w:sz="4" w:space="0" w:color="auto"/>
              <w:left w:val="nil"/>
              <w:bottom w:val="single" w:sz="4" w:space="0" w:color="auto"/>
              <w:right w:val="single" w:sz="4" w:space="0" w:color="auto"/>
            </w:tcBorders>
            <w:vAlign w:val="center"/>
          </w:tcPr>
          <w:p w:rsidR="00545554" w:rsidRPr="00AA6481" w:rsidRDefault="00545554" w:rsidP="00545554">
            <w:pPr>
              <w:pStyle w:val="TableText"/>
              <w:snapToGrid w:val="0"/>
              <w:jc w:val="center"/>
              <w:rPr>
                <w:b/>
                <w:szCs w:val="17"/>
                <w:lang w:val="en-US" w:eastAsia="en-GB"/>
              </w:rPr>
            </w:pPr>
            <w:r w:rsidRPr="00AA6481">
              <w:rPr>
                <w:b/>
                <w:szCs w:val="17"/>
              </w:rPr>
              <w:t>ΔEVE</w:t>
            </w:r>
          </w:p>
        </w:tc>
        <w:tc>
          <w:tcPr>
            <w:tcW w:w="2906" w:type="dxa"/>
            <w:gridSpan w:val="2"/>
            <w:tcBorders>
              <w:top w:val="single" w:sz="4" w:space="0" w:color="auto"/>
              <w:left w:val="nil"/>
              <w:bottom w:val="single" w:sz="4" w:space="0" w:color="auto"/>
              <w:right w:val="single" w:sz="4" w:space="0" w:color="auto"/>
            </w:tcBorders>
            <w:vAlign w:val="center"/>
          </w:tcPr>
          <w:p w:rsidR="00545554" w:rsidRPr="00AA6481" w:rsidRDefault="00545554" w:rsidP="00545554">
            <w:pPr>
              <w:pStyle w:val="TableText"/>
              <w:snapToGrid w:val="0"/>
              <w:jc w:val="center"/>
              <w:rPr>
                <w:b/>
                <w:szCs w:val="17"/>
              </w:rPr>
            </w:pPr>
            <w:r w:rsidRPr="00AA6481">
              <w:rPr>
                <w:b/>
                <w:szCs w:val="17"/>
              </w:rPr>
              <w:t>ΔNII</w:t>
            </w:r>
          </w:p>
        </w:tc>
      </w:tr>
      <w:tr w:rsidR="00545554" w:rsidRPr="0023654F" w:rsidTr="009D7822">
        <w:trPr>
          <w:cantSplit/>
          <w:tblHeader/>
        </w:trPr>
        <w:tc>
          <w:tcPr>
            <w:tcW w:w="567" w:type="dxa"/>
            <w:tcBorders>
              <w:top w:val="single" w:sz="4" w:space="0" w:color="auto"/>
              <w:left w:val="nil"/>
              <w:bottom w:val="single" w:sz="4" w:space="0" w:color="auto"/>
              <w:right w:val="single" w:sz="4" w:space="0" w:color="auto"/>
            </w:tcBorders>
            <w:vAlign w:val="center"/>
          </w:tcPr>
          <w:p w:rsidR="00545554" w:rsidRPr="00665E29" w:rsidRDefault="00545554" w:rsidP="00545554">
            <w:pPr>
              <w:pStyle w:val="TableText"/>
              <w:snapToGrid w:val="0"/>
              <w:jc w:val="center"/>
              <w:rPr>
                <w:b/>
                <w:lang w:eastAsia="en-GB"/>
              </w:rPr>
            </w:pPr>
          </w:p>
        </w:tc>
        <w:tc>
          <w:tcPr>
            <w:tcW w:w="2835" w:type="dxa"/>
            <w:gridSpan w:val="2"/>
            <w:tcBorders>
              <w:top w:val="single" w:sz="4" w:space="0" w:color="auto"/>
              <w:left w:val="single" w:sz="4" w:space="0" w:color="auto"/>
              <w:bottom w:val="single" w:sz="4" w:space="0" w:color="auto"/>
              <w:right w:val="single" w:sz="4" w:space="0" w:color="auto"/>
            </w:tcBorders>
            <w:vAlign w:val="center"/>
          </w:tcPr>
          <w:p w:rsidR="00545554" w:rsidRPr="00961CCB" w:rsidRDefault="00545554" w:rsidP="00545554">
            <w:pPr>
              <w:pStyle w:val="TableText"/>
              <w:snapToGrid w:val="0"/>
              <w:rPr>
                <w:b/>
                <w:lang w:eastAsia="en-GB"/>
              </w:rPr>
            </w:pPr>
            <w:r>
              <w:rPr>
                <w:b/>
                <w:lang w:eastAsia="en-GB"/>
              </w:rPr>
              <w:t>Period</w:t>
            </w:r>
          </w:p>
        </w:tc>
        <w:tc>
          <w:tcPr>
            <w:tcW w:w="1453"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Pr>
                <w:b/>
                <w:szCs w:val="17"/>
                <w:lang w:val="en-US" w:eastAsia="en-GB"/>
              </w:rPr>
              <w:t>T</w:t>
            </w:r>
          </w:p>
        </w:tc>
        <w:tc>
          <w:tcPr>
            <w:tcW w:w="1453"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Pr>
                <w:b/>
                <w:szCs w:val="17"/>
                <w:lang w:val="en-US" w:eastAsia="en-GB"/>
              </w:rPr>
              <w:t>T-1</w:t>
            </w:r>
          </w:p>
        </w:tc>
        <w:tc>
          <w:tcPr>
            <w:tcW w:w="1453" w:type="dxa"/>
            <w:tcBorders>
              <w:top w:val="single" w:sz="4" w:space="0" w:color="auto"/>
              <w:left w:val="nil"/>
              <w:bottom w:val="single" w:sz="4" w:space="0" w:color="auto"/>
              <w:right w:val="single" w:sz="4" w:space="0" w:color="auto"/>
            </w:tcBorders>
            <w:vAlign w:val="center"/>
          </w:tcPr>
          <w:p w:rsidR="00545554" w:rsidRPr="00961CCB" w:rsidRDefault="00545554" w:rsidP="00545554">
            <w:pPr>
              <w:pStyle w:val="TableText"/>
              <w:snapToGrid w:val="0"/>
              <w:jc w:val="center"/>
              <w:rPr>
                <w:b/>
                <w:szCs w:val="17"/>
                <w:lang w:val="en-US" w:eastAsia="en-GB"/>
              </w:rPr>
            </w:pPr>
            <w:r>
              <w:rPr>
                <w:b/>
                <w:szCs w:val="17"/>
                <w:lang w:val="en-US" w:eastAsia="en-GB"/>
              </w:rPr>
              <w:t>T</w:t>
            </w:r>
          </w:p>
        </w:tc>
        <w:tc>
          <w:tcPr>
            <w:tcW w:w="1453" w:type="dxa"/>
            <w:tcBorders>
              <w:top w:val="single" w:sz="4" w:space="0" w:color="auto"/>
              <w:left w:val="single" w:sz="4" w:space="0" w:color="auto"/>
              <w:bottom w:val="single" w:sz="4" w:space="0" w:color="auto"/>
              <w:right w:val="single" w:sz="4" w:space="0" w:color="auto"/>
            </w:tcBorders>
            <w:vAlign w:val="center"/>
          </w:tcPr>
          <w:p w:rsidR="00545554" w:rsidRPr="00961CCB" w:rsidRDefault="00545554" w:rsidP="00545554">
            <w:pPr>
              <w:pStyle w:val="TableText"/>
              <w:snapToGrid w:val="0"/>
              <w:jc w:val="center"/>
              <w:rPr>
                <w:b/>
                <w:szCs w:val="17"/>
              </w:rPr>
            </w:pPr>
            <w:r>
              <w:rPr>
                <w:b/>
                <w:szCs w:val="17"/>
              </w:rPr>
              <w:t>T-1</w:t>
            </w: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Pr="00911851" w:rsidRDefault="00545554" w:rsidP="00545554">
            <w:pPr>
              <w:pStyle w:val="TableText"/>
              <w:snapToGrid w:val="0"/>
              <w:rPr>
                <w:lang w:eastAsia="en-GB"/>
              </w:rPr>
            </w:pPr>
            <w:r>
              <w:rPr>
                <w:lang w:eastAsia="en-GB"/>
              </w:rPr>
              <w:t>1</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r>
              <w:rPr>
                <w:szCs w:val="17"/>
                <w:lang w:eastAsia="en-GB"/>
              </w:rPr>
              <w:t>Parallel up</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Pr="0023654F" w:rsidRDefault="00545554" w:rsidP="00545554">
            <w:pPr>
              <w:pStyle w:val="TableText"/>
              <w:snapToGrid w:val="0"/>
              <w:rPr>
                <w:lang w:eastAsia="en-GB"/>
              </w:rPr>
            </w:pPr>
            <w:r w:rsidRPr="0023654F">
              <w:rPr>
                <w:lang w:eastAsia="en-GB"/>
              </w:rPr>
              <w:t>2</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Parallel down</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Pr="0023654F" w:rsidRDefault="00545554" w:rsidP="00545554">
            <w:pPr>
              <w:pStyle w:val="TableText"/>
              <w:snapToGrid w:val="0"/>
              <w:rPr>
                <w:lang w:eastAsia="en-GB"/>
              </w:rPr>
            </w:pPr>
            <w:r>
              <w:rPr>
                <w:lang w:eastAsia="en-GB"/>
              </w:rPr>
              <w:t>3</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Steepener</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808080" w:themeColor="background1" w:themeShade="80"/>
              <w:right w:val="single" w:sz="4" w:space="0" w:color="auto"/>
            </w:tcBorders>
            <w:shd w:val="clear" w:color="auto" w:fill="808080" w:themeFill="background1" w:themeFillShade="80"/>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808080" w:themeColor="background1" w:themeShade="80"/>
              <w:right w:val="single" w:sz="4" w:space="0" w:color="auto"/>
            </w:tcBorders>
            <w:shd w:val="clear" w:color="auto" w:fill="808080" w:themeFill="background1" w:themeFillShade="80"/>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r>
              <w:rPr>
                <w:lang w:eastAsia="en-GB"/>
              </w:rPr>
              <w:t>4</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Flattener</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808080" w:themeFill="background1" w:themeFillShade="80"/>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808080" w:themeFill="background1" w:themeFillShade="80"/>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r>
              <w:rPr>
                <w:lang w:eastAsia="en-GB"/>
              </w:rPr>
              <w:t>5</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Short rate up</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808080" w:themeFill="background1" w:themeFillShade="80"/>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808080" w:themeFill="background1" w:themeFillShade="80"/>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r>
              <w:rPr>
                <w:lang w:eastAsia="en-GB"/>
              </w:rPr>
              <w:t>6</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5554" w:rsidRDefault="00545554" w:rsidP="00545554">
            <w:pPr>
              <w:pStyle w:val="TableText"/>
              <w:snapToGrid w:val="0"/>
              <w:rPr>
                <w:szCs w:val="17"/>
                <w:lang w:eastAsia="en-GB"/>
              </w:rPr>
            </w:pPr>
            <w:r>
              <w:rPr>
                <w:szCs w:val="17"/>
                <w:lang w:eastAsia="en-GB"/>
              </w:rPr>
              <w:t>Short rate down</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auto"/>
              <w:right w:val="single" w:sz="4" w:space="0" w:color="auto"/>
            </w:tcBorders>
            <w:shd w:val="clear" w:color="auto" w:fill="808080" w:themeFill="background1" w:themeFillShade="80"/>
          </w:tcPr>
          <w:p w:rsidR="00545554" w:rsidRPr="00701CEA" w:rsidRDefault="00545554" w:rsidP="00545554">
            <w:pPr>
              <w:pStyle w:val="TableText"/>
              <w:snapToGrid w:val="0"/>
              <w:rPr>
                <w:szCs w:val="17"/>
                <w:lang w:eastAsia="en-GB"/>
              </w:rPr>
            </w:pPr>
          </w:p>
        </w:tc>
        <w:tc>
          <w:tcPr>
            <w:tcW w:w="1453" w:type="dxa"/>
            <w:tcBorders>
              <w:top w:val="single" w:sz="4" w:space="0" w:color="808080" w:themeColor="background1" w:themeShade="80"/>
              <w:left w:val="single" w:sz="4" w:space="0" w:color="auto"/>
              <w:bottom w:val="single" w:sz="4" w:space="0" w:color="auto"/>
              <w:right w:val="single" w:sz="4" w:space="0" w:color="auto"/>
            </w:tcBorders>
            <w:shd w:val="clear" w:color="auto" w:fill="808080" w:themeFill="background1" w:themeFillShade="80"/>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r>
              <w:rPr>
                <w:lang w:eastAsia="en-GB"/>
              </w:rPr>
              <w:t>7</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1B530B" w:rsidRDefault="00545554" w:rsidP="00545554">
            <w:pPr>
              <w:pStyle w:val="TableText"/>
              <w:snapToGrid w:val="0"/>
              <w:rPr>
                <w:b/>
                <w:szCs w:val="17"/>
                <w:lang w:eastAsia="en-GB"/>
              </w:rPr>
            </w:pPr>
            <w:r w:rsidRPr="001B530B">
              <w:rPr>
                <w:b/>
                <w:szCs w:val="17"/>
                <w:lang w:eastAsia="en-GB"/>
              </w:rPr>
              <w:t>Maximum</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701CEA" w:rsidRDefault="00545554" w:rsidP="00545554">
            <w:pPr>
              <w:pStyle w:val="TableText"/>
              <w:snapToGrid w:val="0"/>
              <w:rPr>
                <w:szCs w:val="17"/>
                <w:lang w:eastAsia="en-GB"/>
              </w:rPr>
            </w:pP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701CEA" w:rsidRDefault="00545554" w:rsidP="00545554">
            <w:pPr>
              <w:pStyle w:val="TableText"/>
              <w:snapToGrid w:val="0"/>
              <w:rPr>
                <w:szCs w:val="17"/>
                <w:lang w:eastAsia="en-GB"/>
              </w:rPr>
            </w:pPr>
          </w:p>
        </w:tc>
      </w:tr>
      <w:tr w:rsidR="00545554"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tcPr>
          <w:p w:rsidR="00545554" w:rsidRDefault="00545554" w:rsidP="00545554">
            <w:pPr>
              <w:pStyle w:val="TableText"/>
              <w:snapToGrid w:val="0"/>
              <w:rPr>
                <w:lang w:eastAsia="en-G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5554" w:rsidRPr="00AA6481" w:rsidRDefault="00545554" w:rsidP="00545554">
            <w:pPr>
              <w:pStyle w:val="TableText"/>
              <w:snapToGrid w:val="0"/>
              <w:rPr>
                <w:b/>
                <w:szCs w:val="17"/>
                <w:lang w:eastAsia="en-GB"/>
              </w:rPr>
            </w:pPr>
            <w:r w:rsidRPr="00AA6481">
              <w:rPr>
                <w:b/>
                <w:lang w:eastAsia="en-GB"/>
              </w:rPr>
              <w:t>Period</w:t>
            </w:r>
          </w:p>
        </w:tc>
        <w:tc>
          <w:tcPr>
            <w:tcW w:w="29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D47BE7" w:rsidRDefault="00545554" w:rsidP="00545554">
            <w:pPr>
              <w:pStyle w:val="TableText"/>
              <w:snapToGrid w:val="0"/>
              <w:jc w:val="center"/>
              <w:rPr>
                <w:b/>
                <w:szCs w:val="17"/>
                <w:lang w:val="en-US" w:eastAsia="en-GB"/>
              </w:rPr>
            </w:pPr>
            <w:r w:rsidRPr="00D47BE7">
              <w:rPr>
                <w:b/>
                <w:szCs w:val="17"/>
                <w:lang w:val="en-US" w:eastAsia="en-GB"/>
              </w:rPr>
              <w:t>T</w:t>
            </w:r>
          </w:p>
        </w:tc>
        <w:tc>
          <w:tcPr>
            <w:tcW w:w="29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45554" w:rsidRPr="00D47BE7" w:rsidRDefault="00545554" w:rsidP="00545554">
            <w:pPr>
              <w:pStyle w:val="TableText"/>
              <w:snapToGrid w:val="0"/>
              <w:jc w:val="center"/>
              <w:rPr>
                <w:b/>
                <w:szCs w:val="17"/>
                <w:lang w:val="en-US" w:eastAsia="en-GB"/>
              </w:rPr>
            </w:pPr>
            <w:r w:rsidRPr="00D47BE7">
              <w:rPr>
                <w:b/>
                <w:szCs w:val="17"/>
                <w:lang w:val="en-US" w:eastAsia="en-GB"/>
              </w:rPr>
              <w:t>T-1</w:t>
            </w:r>
          </w:p>
        </w:tc>
      </w:tr>
      <w:tr w:rsidR="00534E89" w:rsidRPr="0023654F" w:rsidTr="009D7822">
        <w:trPr>
          <w:cantSplit/>
        </w:trPr>
        <w:tc>
          <w:tcPr>
            <w:tcW w:w="567" w:type="dxa"/>
            <w:tcBorders>
              <w:top w:val="single" w:sz="4" w:space="0" w:color="auto"/>
              <w:left w:val="nil"/>
              <w:bottom w:val="single" w:sz="4" w:space="0" w:color="auto"/>
              <w:right w:val="single" w:sz="4" w:space="0" w:color="auto"/>
            </w:tcBorders>
            <w:shd w:val="clear" w:color="auto" w:fill="auto"/>
            <w:vAlign w:val="center"/>
          </w:tcPr>
          <w:p w:rsidR="00534E89" w:rsidRPr="0023654F" w:rsidRDefault="00534E89" w:rsidP="00545554">
            <w:pPr>
              <w:snapToGrid w:val="0"/>
              <w:contextualSpacing/>
              <w:rPr>
                <w:rFonts w:cs="Segoe UI"/>
                <w:sz w:val="17"/>
                <w:lang w:eastAsia="en-GB"/>
              </w:rPr>
            </w:pPr>
            <w:r>
              <w:rPr>
                <w:rFonts w:cs="Segoe UI"/>
                <w:sz w:val="17"/>
                <w:lang w:eastAsia="en-GB"/>
              </w:rPr>
              <w:t>8</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34E89" w:rsidRPr="00AA6481" w:rsidRDefault="00534E89" w:rsidP="00545554">
            <w:pPr>
              <w:snapToGrid w:val="0"/>
              <w:contextualSpacing/>
              <w:rPr>
                <w:rFonts w:cs="Segoe UI"/>
                <w:b/>
                <w:sz w:val="17"/>
                <w:lang w:eastAsia="en-GB"/>
              </w:rPr>
            </w:pPr>
            <w:r w:rsidRPr="00AA6481">
              <w:rPr>
                <w:rFonts w:cs="Segoe UI"/>
                <w:b/>
                <w:sz w:val="17"/>
                <w:lang w:eastAsia="en-GB"/>
              </w:rPr>
              <w:t>Tier 1 capital</w:t>
            </w:r>
          </w:p>
        </w:tc>
        <w:tc>
          <w:tcPr>
            <w:tcW w:w="29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34E89" w:rsidRPr="00701CEA" w:rsidRDefault="00534E89" w:rsidP="00545554">
            <w:pPr>
              <w:pStyle w:val="TableText"/>
              <w:snapToGrid w:val="0"/>
              <w:rPr>
                <w:szCs w:val="17"/>
                <w:lang w:eastAsia="en-GB"/>
              </w:rPr>
            </w:pPr>
          </w:p>
        </w:tc>
        <w:tc>
          <w:tcPr>
            <w:tcW w:w="29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34E89" w:rsidRPr="00701CEA" w:rsidRDefault="00534E89" w:rsidP="00545554">
            <w:pPr>
              <w:pStyle w:val="TableText"/>
              <w:snapToGrid w:val="0"/>
              <w:rPr>
                <w:szCs w:val="17"/>
                <w:lang w:eastAsia="en-GB"/>
              </w:rPr>
            </w:pPr>
          </w:p>
        </w:tc>
      </w:tr>
    </w:tbl>
    <w:p w:rsidR="00545554" w:rsidRDefault="00545554" w:rsidP="00545554">
      <w:pPr>
        <w:spacing w:before="120" w:after="120"/>
        <w:ind w:leftChars="-283" w:left="-566"/>
        <w:rPr>
          <w:sz w:val="22"/>
        </w:rPr>
      </w:pPr>
    </w:p>
    <w:tbl>
      <w:tblPr>
        <w:tblStyle w:val="TableGrid"/>
        <w:tblW w:w="9214" w:type="dxa"/>
        <w:tblInd w:w="-459" w:type="dxa"/>
        <w:tblLayout w:type="fixed"/>
        <w:tblLook w:val="04A0" w:firstRow="1" w:lastRow="0" w:firstColumn="1" w:lastColumn="0" w:noHBand="0" w:noVBand="1"/>
      </w:tblPr>
      <w:tblGrid>
        <w:gridCol w:w="567"/>
        <w:gridCol w:w="8647"/>
      </w:tblGrid>
      <w:tr w:rsidR="00545554" w:rsidRPr="00280717" w:rsidTr="00545554">
        <w:trPr>
          <w:tblHeader/>
        </w:trPr>
        <w:tc>
          <w:tcPr>
            <w:tcW w:w="9214" w:type="dxa"/>
            <w:gridSpan w:val="2"/>
            <w:shd w:val="clear" w:color="auto" w:fill="BFBFBF" w:themeFill="background1" w:themeFillShade="BF"/>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Explanatory Note</w:t>
            </w:r>
          </w:p>
        </w:tc>
      </w:tr>
      <w:tr w:rsidR="00545554" w:rsidRPr="00280717" w:rsidTr="00545554">
        <w:trPr>
          <w:trHeight w:val="153"/>
        </w:trPr>
        <w:tc>
          <w:tcPr>
            <w:tcW w:w="9214" w:type="dxa"/>
            <w:gridSpan w:val="2"/>
            <w:shd w:val="clear" w:color="auto" w:fill="F2F2F2" w:themeFill="background1" w:themeFillShade="F2"/>
          </w:tcPr>
          <w:p w:rsidR="00545554" w:rsidRPr="00280717" w:rsidRDefault="00545554" w:rsidP="00545554">
            <w:pPr>
              <w:spacing w:before="40" w:after="40"/>
              <w:jc w:val="both"/>
              <w:rPr>
                <w:rFonts w:eastAsiaTheme="minorEastAsia"/>
                <w:b/>
                <w:sz w:val="17"/>
                <w:szCs w:val="17"/>
                <w:lang w:eastAsia="en-GB"/>
              </w:rPr>
            </w:pPr>
            <w:r w:rsidRPr="00280717">
              <w:rPr>
                <w:rFonts w:eastAsiaTheme="minorEastAsia"/>
                <w:b/>
                <w:sz w:val="17"/>
                <w:szCs w:val="17"/>
                <w:lang w:eastAsia="en-GB"/>
              </w:rPr>
              <w:t>Columns</w:t>
            </w:r>
          </w:p>
        </w:tc>
      </w:tr>
      <w:tr w:rsidR="00545554" w:rsidRPr="00A539ED" w:rsidTr="009D7822">
        <w:tc>
          <w:tcPr>
            <w:tcW w:w="567" w:type="dxa"/>
          </w:tcPr>
          <w:p w:rsidR="00545554" w:rsidRPr="00C850A3" w:rsidRDefault="00545554" w:rsidP="009D7822">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(a) </w:t>
            </w:r>
            <w:r w:rsidRPr="00C850A3">
              <w:rPr>
                <w:rFonts w:cs="Segoe UI"/>
                <w:sz w:val="17"/>
                <w:szCs w:val="17"/>
                <w:lang w:eastAsia="en-GB"/>
              </w:rPr>
              <w:t>&amp; (b)</w:t>
            </w:r>
          </w:p>
        </w:tc>
        <w:tc>
          <w:tcPr>
            <w:tcW w:w="8647" w:type="dxa"/>
          </w:tcPr>
          <w:p w:rsidR="00545554" w:rsidRPr="000E5A8B" w:rsidRDefault="00545554" w:rsidP="006E3D7C">
            <w:pPr>
              <w:widowControl w:val="0"/>
              <w:spacing w:before="40" w:after="40"/>
              <w:jc w:val="both"/>
              <w:rPr>
                <w:sz w:val="17"/>
                <w:szCs w:val="17"/>
              </w:rPr>
            </w:pPr>
            <w:r w:rsidRPr="000E5A8B">
              <w:rPr>
                <w:sz w:val="17"/>
                <w:szCs w:val="17"/>
              </w:rPr>
              <w:t>The change in the economic value of equity (“ΔEVE”) based on the standardised framework described in the Supervisory Policy Manual (</w:t>
            </w:r>
            <w:r>
              <w:rPr>
                <w:sz w:val="17"/>
                <w:szCs w:val="17"/>
              </w:rPr>
              <w:t>“</w:t>
            </w:r>
            <w:r w:rsidRPr="000E5A8B">
              <w:rPr>
                <w:sz w:val="17"/>
                <w:szCs w:val="17"/>
              </w:rPr>
              <w:t>SPM</w:t>
            </w:r>
            <w:r>
              <w:rPr>
                <w:sz w:val="17"/>
                <w:szCs w:val="17"/>
              </w:rPr>
              <w:t>”</w:t>
            </w:r>
            <w:r w:rsidRPr="000E5A8B">
              <w:rPr>
                <w:sz w:val="17"/>
                <w:szCs w:val="17"/>
              </w:rPr>
              <w:t xml:space="preserve">) </w:t>
            </w:r>
            <w:r>
              <w:rPr>
                <w:sz w:val="17"/>
                <w:szCs w:val="17"/>
              </w:rPr>
              <w:t xml:space="preserve">module </w:t>
            </w:r>
            <w:r w:rsidRPr="000E5A8B">
              <w:rPr>
                <w:sz w:val="17"/>
                <w:szCs w:val="17"/>
              </w:rPr>
              <w:t>IR-1 “Interest Rate Risk</w:t>
            </w:r>
            <w:r w:rsidR="006E3D7C">
              <w:rPr>
                <w:sz w:val="17"/>
                <w:szCs w:val="17"/>
              </w:rPr>
              <w:t xml:space="preserve"> in the Banking Book</w:t>
            </w:r>
            <w:r w:rsidRPr="000E5A8B">
              <w:rPr>
                <w:sz w:val="17"/>
                <w:szCs w:val="17"/>
              </w:rPr>
              <w:t xml:space="preserve">” and the </w:t>
            </w:r>
            <w:r>
              <w:rPr>
                <w:sz w:val="17"/>
                <w:szCs w:val="17"/>
              </w:rPr>
              <w:t>R</w:t>
            </w:r>
            <w:r w:rsidRPr="000E5A8B">
              <w:rPr>
                <w:sz w:val="17"/>
                <w:szCs w:val="17"/>
              </w:rPr>
              <w:t>eturn</w:t>
            </w:r>
            <w:r>
              <w:rPr>
                <w:sz w:val="17"/>
                <w:szCs w:val="17"/>
              </w:rPr>
              <w:t xml:space="preserve"> on</w:t>
            </w:r>
            <w:r w:rsidRPr="000E5A8B">
              <w:rPr>
                <w:sz w:val="17"/>
                <w:szCs w:val="17"/>
              </w:rPr>
              <w:t xml:space="preserve"> Interest Rate Risk</w:t>
            </w:r>
            <w:r w:rsidR="006E3D7C">
              <w:rPr>
                <w:sz w:val="17"/>
                <w:szCs w:val="17"/>
              </w:rPr>
              <w:t xml:space="preserve"> in the Banking Book</w:t>
            </w:r>
            <w:r>
              <w:rPr>
                <w:sz w:val="17"/>
                <w:szCs w:val="17"/>
              </w:rPr>
              <w:t xml:space="preserve"> (</w:t>
            </w:r>
            <w:r w:rsidRPr="000E5A8B">
              <w:rPr>
                <w:sz w:val="17"/>
                <w:szCs w:val="17"/>
              </w:rPr>
              <w:t>MA(BS)12</w:t>
            </w:r>
            <w:r w:rsidR="006E3D7C">
              <w:rPr>
                <w:sz w:val="17"/>
                <w:szCs w:val="17"/>
              </w:rPr>
              <w:t>A</w:t>
            </w:r>
            <w:r w:rsidRPr="000E5A8B">
              <w:rPr>
                <w:sz w:val="17"/>
                <w:szCs w:val="17"/>
              </w:rPr>
              <w:t>)</w:t>
            </w:r>
            <w:r w:rsidRPr="000E5A8B">
              <w:rPr>
                <w:sz w:val="17"/>
                <w:szCs w:val="17"/>
                <w:lang w:eastAsia="en-GB"/>
              </w:rPr>
              <w:t xml:space="preserve"> (</w:t>
            </w:r>
            <w:r>
              <w:rPr>
                <w:sz w:val="17"/>
                <w:szCs w:val="17"/>
                <w:lang w:eastAsia="en-GB"/>
              </w:rPr>
              <w:t>“</w:t>
            </w:r>
            <w:r w:rsidRPr="000E5A8B">
              <w:rPr>
                <w:sz w:val="17"/>
                <w:szCs w:val="17"/>
                <w:lang w:eastAsia="en-GB"/>
              </w:rPr>
              <w:t>IRR</w:t>
            </w:r>
            <w:r w:rsidR="006E3D7C">
              <w:rPr>
                <w:sz w:val="17"/>
                <w:szCs w:val="17"/>
                <w:lang w:eastAsia="en-GB"/>
              </w:rPr>
              <w:t>BB</w:t>
            </w:r>
            <w:r w:rsidRPr="000E5A8B">
              <w:rPr>
                <w:sz w:val="17"/>
                <w:szCs w:val="17"/>
                <w:lang w:eastAsia="en-GB"/>
              </w:rPr>
              <w:t xml:space="preserve"> return</w:t>
            </w:r>
            <w:r>
              <w:rPr>
                <w:sz w:val="17"/>
                <w:szCs w:val="17"/>
                <w:lang w:eastAsia="en-GB"/>
              </w:rPr>
              <w:t>”</w:t>
            </w:r>
            <w:r w:rsidRPr="000E5A8B">
              <w:rPr>
                <w:sz w:val="17"/>
                <w:szCs w:val="17"/>
                <w:lang w:eastAsia="en-GB"/>
              </w:rPr>
              <w:t>)</w:t>
            </w:r>
            <w:r w:rsidRPr="000E5A8B">
              <w:rPr>
                <w:sz w:val="17"/>
                <w:szCs w:val="17"/>
              </w:rPr>
              <w:t>.</w:t>
            </w:r>
          </w:p>
        </w:tc>
      </w:tr>
      <w:tr w:rsidR="00545554" w:rsidRPr="00A539ED" w:rsidTr="009D7822">
        <w:tc>
          <w:tcPr>
            <w:tcW w:w="567" w:type="dxa"/>
          </w:tcPr>
          <w:p w:rsidR="00545554" w:rsidRPr="00280717" w:rsidRDefault="00545554" w:rsidP="009D7822">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(c) &amp; </w:t>
            </w:r>
            <w:r>
              <w:rPr>
                <w:rFonts w:cs="Segoe UI"/>
                <w:sz w:val="17"/>
                <w:szCs w:val="17"/>
                <w:lang w:eastAsia="en-GB"/>
              </w:rPr>
              <w:lastRenderedPageBreak/>
              <w:t>(d)</w:t>
            </w:r>
          </w:p>
        </w:tc>
        <w:tc>
          <w:tcPr>
            <w:tcW w:w="8647" w:type="dxa"/>
          </w:tcPr>
          <w:p w:rsidR="00545554" w:rsidRPr="00A539ED" w:rsidRDefault="00545554" w:rsidP="006E3D7C">
            <w:pPr>
              <w:widowControl w:val="0"/>
              <w:spacing w:before="40" w:after="40"/>
              <w:jc w:val="both"/>
              <w:rPr>
                <w:szCs w:val="17"/>
                <w:lang w:eastAsia="en-GB"/>
              </w:rPr>
            </w:pPr>
            <w:r w:rsidRPr="000E5A8B">
              <w:rPr>
                <w:sz w:val="17"/>
                <w:szCs w:val="17"/>
                <w:lang w:eastAsia="en-GB"/>
              </w:rPr>
              <w:lastRenderedPageBreak/>
              <w:t xml:space="preserve">The change in projected net interest income (“ΔNII”) over a forward-looking rolling 12-month period based on </w:t>
            </w:r>
            <w:r w:rsidRPr="000E5A8B">
              <w:rPr>
                <w:sz w:val="17"/>
                <w:szCs w:val="17"/>
                <w:lang w:eastAsia="en-GB"/>
              </w:rPr>
              <w:lastRenderedPageBreak/>
              <w:t xml:space="preserve">the methodology described in the SPM </w:t>
            </w:r>
            <w:r>
              <w:rPr>
                <w:sz w:val="17"/>
                <w:szCs w:val="17"/>
                <w:lang w:eastAsia="en-GB"/>
              </w:rPr>
              <w:t xml:space="preserve">module </w:t>
            </w:r>
            <w:r w:rsidRPr="000E5A8B">
              <w:rPr>
                <w:sz w:val="17"/>
                <w:szCs w:val="17"/>
                <w:lang w:eastAsia="en-GB"/>
              </w:rPr>
              <w:t>IR-1 “Interest Rate Risk</w:t>
            </w:r>
            <w:r w:rsidR="006E3D7C">
              <w:rPr>
                <w:sz w:val="17"/>
                <w:szCs w:val="17"/>
                <w:lang w:eastAsia="en-GB"/>
              </w:rPr>
              <w:t xml:space="preserve"> in the Banking Book</w:t>
            </w:r>
            <w:r w:rsidRPr="000E5A8B">
              <w:rPr>
                <w:sz w:val="17"/>
                <w:szCs w:val="17"/>
                <w:lang w:eastAsia="en-GB"/>
              </w:rPr>
              <w:t xml:space="preserve">” and the </w:t>
            </w:r>
            <w:r>
              <w:rPr>
                <w:sz w:val="17"/>
                <w:szCs w:val="17"/>
                <w:lang w:eastAsia="en-GB"/>
              </w:rPr>
              <w:t>IRR</w:t>
            </w:r>
            <w:r w:rsidR="006E3D7C">
              <w:rPr>
                <w:sz w:val="17"/>
                <w:szCs w:val="17"/>
                <w:lang w:eastAsia="en-GB"/>
              </w:rPr>
              <w:t>BB</w:t>
            </w:r>
            <w:r>
              <w:rPr>
                <w:sz w:val="17"/>
                <w:szCs w:val="17"/>
                <w:lang w:eastAsia="en-GB"/>
              </w:rPr>
              <w:t xml:space="preserve"> </w:t>
            </w:r>
            <w:r w:rsidRPr="000E5A8B">
              <w:rPr>
                <w:sz w:val="17"/>
                <w:szCs w:val="17"/>
                <w:lang w:eastAsia="en-GB"/>
              </w:rPr>
              <w:t>return.</w:t>
            </w:r>
            <w:r>
              <w:rPr>
                <w:sz w:val="17"/>
                <w:szCs w:val="17"/>
                <w:lang w:eastAsia="en-GB"/>
              </w:rPr>
              <w:t xml:space="preserve">  The cells in rows 3 to 6 (in dark grey) need not be filled in.</w:t>
            </w:r>
          </w:p>
        </w:tc>
      </w:tr>
      <w:tr w:rsidR="00812259" w:rsidRPr="00A539ED" w:rsidTr="001324D2">
        <w:tc>
          <w:tcPr>
            <w:tcW w:w="9214" w:type="dxa"/>
            <w:gridSpan w:val="2"/>
            <w:shd w:val="clear" w:color="auto" w:fill="F2F2F2" w:themeFill="background1" w:themeFillShade="F2"/>
          </w:tcPr>
          <w:p w:rsidR="00812259" w:rsidRPr="000E5A8B" w:rsidRDefault="00812259" w:rsidP="001324D2">
            <w:pPr>
              <w:spacing w:before="40" w:after="40"/>
              <w:jc w:val="both"/>
              <w:rPr>
                <w:sz w:val="17"/>
                <w:szCs w:val="17"/>
                <w:lang w:eastAsia="en-GB"/>
              </w:rPr>
            </w:pPr>
            <w:r w:rsidRPr="001324D2">
              <w:rPr>
                <w:rFonts w:eastAsiaTheme="minorEastAsia"/>
                <w:b/>
                <w:sz w:val="17"/>
                <w:szCs w:val="17"/>
                <w:lang w:eastAsia="en-GB"/>
              </w:rPr>
              <w:lastRenderedPageBreak/>
              <w:t>Row</w:t>
            </w:r>
          </w:p>
        </w:tc>
      </w:tr>
      <w:tr w:rsidR="00812259" w:rsidRPr="00A539ED" w:rsidTr="009D7822">
        <w:tc>
          <w:tcPr>
            <w:tcW w:w="567" w:type="dxa"/>
          </w:tcPr>
          <w:p w:rsidR="00812259" w:rsidRDefault="00812259"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647" w:type="dxa"/>
          </w:tcPr>
          <w:p w:rsidR="00812259" w:rsidRPr="000E5A8B" w:rsidRDefault="00812259" w:rsidP="000F2EE5">
            <w:pPr>
              <w:widowControl w:val="0"/>
              <w:spacing w:before="40" w:after="40"/>
              <w:jc w:val="both"/>
              <w:rPr>
                <w:sz w:val="17"/>
                <w:szCs w:val="17"/>
                <w:lang w:eastAsia="en-GB"/>
              </w:rPr>
            </w:pPr>
            <w:r w:rsidRPr="001324D2">
              <w:rPr>
                <w:i/>
                <w:sz w:val="17"/>
                <w:szCs w:val="17"/>
                <w:lang w:eastAsia="en-GB"/>
              </w:rPr>
              <w:t>Maximum</w:t>
            </w:r>
            <w:r>
              <w:rPr>
                <w:sz w:val="17"/>
                <w:szCs w:val="17"/>
                <w:lang w:eastAsia="en-GB"/>
              </w:rPr>
              <w:t xml:space="preserve">: </w:t>
            </w:r>
            <w:r w:rsidR="000F2EE5">
              <w:rPr>
                <w:sz w:val="17"/>
                <w:szCs w:val="17"/>
                <w:lang w:eastAsia="en-GB"/>
              </w:rPr>
              <w:t xml:space="preserve">This </w:t>
            </w:r>
            <w:r>
              <w:rPr>
                <w:sz w:val="17"/>
                <w:szCs w:val="17"/>
                <w:lang w:eastAsia="en-GB"/>
              </w:rPr>
              <w:t xml:space="preserve">refers to the </w:t>
            </w:r>
            <w:r w:rsidR="00BC735F" w:rsidRPr="00BC735F">
              <w:rPr>
                <w:sz w:val="17"/>
                <w:szCs w:val="17"/>
                <w:lang w:eastAsia="en-GB"/>
              </w:rPr>
              <w:t>maximum of economic value of equity (across interest rate shock scenarios 1 to 6 above) and net interest income (across interest rate shock scenarios 1 and 2 above).  Positive values indicate losses under the alternative scenarios.</w:t>
            </w:r>
          </w:p>
        </w:tc>
      </w:tr>
    </w:tbl>
    <w:p w:rsidR="00545554" w:rsidRDefault="00545554" w:rsidP="00545554">
      <w:pPr>
        <w:spacing w:before="120" w:after="120"/>
        <w:rPr>
          <w:sz w:val="22"/>
        </w:rPr>
      </w:pPr>
    </w:p>
    <w:p w:rsidR="00545554" w:rsidRDefault="00545554" w:rsidP="00545554">
      <w:pPr>
        <w:sectPr w:rsidR="00545554">
          <w:headerReference w:type="even" r:id="rId72"/>
          <w:headerReference w:type="default" r:id="rId73"/>
          <w:footerReference w:type="even" r:id="rId74"/>
          <w:footerReference w:type="default" r:id="rId75"/>
          <w:headerReference w:type="first" r:id="rId76"/>
          <w:footerReference w:type="first" r:id="rId77"/>
          <w:pgSz w:w="11906" w:h="16838"/>
          <w:pgMar w:top="1440" w:right="1800" w:bottom="1440" w:left="1800" w:header="851" w:footer="992" w:gutter="0"/>
          <w:cols w:space="425"/>
          <w:docGrid w:type="lines" w:linePitch="360"/>
        </w:sectPr>
      </w:pPr>
    </w:p>
    <w:p w:rsidR="00545554" w:rsidRDefault="00545554" w:rsidP="00844CB5">
      <w:pPr>
        <w:keepNext/>
        <w:keepLines/>
        <w:tabs>
          <w:tab w:val="left" w:pos="567"/>
        </w:tabs>
        <w:spacing w:after="360"/>
        <w:ind w:leftChars="-283" w:left="-566" w:rightChars="-142" w:right="-284"/>
        <w:outlineLvl w:val="0"/>
        <w:rPr>
          <w:color w:val="984806" w:themeColor="accent6" w:themeShade="80"/>
          <w:sz w:val="28"/>
          <w:szCs w:val="28"/>
        </w:rPr>
      </w:pPr>
      <w:r w:rsidRPr="00844CB5">
        <w:rPr>
          <w:color w:val="984806" w:themeColor="accent6" w:themeShade="80"/>
          <w:sz w:val="28"/>
          <w:szCs w:val="28"/>
        </w:rPr>
        <w:lastRenderedPageBreak/>
        <w:t xml:space="preserve">Part </w:t>
      </w:r>
      <w:r w:rsidR="00844CB5">
        <w:rPr>
          <w:color w:val="984806" w:themeColor="accent6" w:themeShade="80"/>
          <w:sz w:val="28"/>
          <w:szCs w:val="28"/>
        </w:rPr>
        <w:t>VIII</w:t>
      </w:r>
      <w:r w:rsidRPr="00844CB5">
        <w:rPr>
          <w:color w:val="984806" w:themeColor="accent6" w:themeShade="80"/>
          <w:sz w:val="28"/>
          <w:szCs w:val="28"/>
        </w:rPr>
        <w:t>:</w:t>
      </w:r>
      <w:r w:rsidRPr="00844CB5">
        <w:rPr>
          <w:color w:val="984806" w:themeColor="accent6" w:themeShade="80"/>
          <w:sz w:val="28"/>
          <w:szCs w:val="28"/>
        </w:rPr>
        <w:tab/>
        <w:t>Remuneration</w:t>
      </w: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rPr>
                <w:noProof/>
                <w:sz w:val="17"/>
                <w:lang w:eastAsia="en-GB"/>
              </w:rPr>
            </w:pPr>
            <w:r w:rsidRPr="0023654F">
              <w:rPr>
                <w:sz w:val="22"/>
              </w:rPr>
              <w:t xml:space="preserve">Table </w:t>
            </w:r>
            <w:r>
              <w:rPr>
                <w:sz w:val="22"/>
              </w:rPr>
              <w:t>REM</w:t>
            </w:r>
            <w:r w:rsidRPr="0023654F">
              <w:rPr>
                <w:sz w:val="22"/>
              </w:rPr>
              <w:t xml:space="preserve">A: </w:t>
            </w:r>
            <w:r>
              <w:rPr>
                <w:sz w:val="22"/>
                <w:szCs w:val="22"/>
              </w:rPr>
              <w:t>Remuneration policy</w:t>
            </w:r>
          </w:p>
        </w:tc>
      </w:tr>
      <w:tr w:rsidR="00545554" w:rsidRPr="0023654F"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p>
        </w:tc>
        <w:tc>
          <w:tcPr>
            <w:tcW w:w="7234" w:type="dxa"/>
          </w:tcPr>
          <w:p w:rsidR="00545554" w:rsidRPr="00B54EA4" w:rsidRDefault="00545554" w:rsidP="00545554">
            <w:pPr>
              <w:pStyle w:val="TableText"/>
              <w:jc w:val="both"/>
              <w:rPr>
                <w:lang w:val="en-US" w:eastAsia="en-GB"/>
              </w:rPr>
            </w:pPr>
            <w:r w:rsidRPr="0023654F">
              <w:rPr>
                <w:lang w:eastAsia="en-GB"/>
              </w:rPr>
              <w:t xml:space="preserve">To </w:t>
            </w:r>
            <w:r>
              <w:rPr>
                <w:lang w:eastAsia="en-GB"/>
              </w:rPr>
              <w:t>d</w:t>
            </w:r>
            <w:r>
              <w:rPr>
                <w:szCs w:val="17"/>
              </w:rPr>
              <w:t>escribe the remuneration policy as well as key features of the remuneration system to allow meaningful assessments by Pillar 3 data users of an AI’s compensation practices.</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23654F" w:rsidRDefault="00545554" w:rsidP="00545554">
            <w:pPr>
              <w:spacing w:before="40" w:after="40"/>
              <w:jc w:val="both"/>
              <w:rPr>
                <w:b/>
                <w:sz w:val="17"/>
                <w:lang w:eastAsia="en-GB"/>
              </w:rPr>
            </w:pPr>
            <w:r w:rsidRPr="0023654F">
              <w:rPr>
                <w:sz w:val="17"/>
                <w:lang w:eastAsia="en-GB"/>
              </w:rPr>
              <w:t xml:space="preserve">The table is mandatory for </w:t>
            </w:r>
            <w:r>
              <w:rPr>
                <w:sz w:val="17"/>
                <w:lang w:eastAsia="en-GB"/>
              </w:rPr>
              <w:t>all AI</w:t>
            </w:r>
            <w:r w:rsidRPr="0023654F">
              <w:rPr>
                <w:sz w:val="17"/>
                <w:lang w:eastAsia="en-GB"/>
              </w:rPr>
              <w:t xml:space="preserve">s </w:t>
            </w:r>
            <w:r>
              <w:rPr>
                <w:sz w:val="17"/>
                <w:lang w:eastAsia="en-GB"/>
              </w:rPr>
              <w:t>incorporated in Hong Kong.</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23654F" w:rsidRDefault="00545554" w:rsidP="00545554">
            <w:pPr>
              <w:spacing w:before="40" w:after="40"/>
              <w:jc w:val="both"/>
              <w:rPr>
                <w:b/>
                <w:sz w:val="17"/>
                <w:lang w:eastAsia="en-GB"/>
              </w:rPr>
            </w:pPr>
            <w:r w:rsidRPr="0023654F">
              <w:rPr>
                <w:sz w:val="17"/>
                <w:lang w:eastAsia="en-GB"/>
              </w:rPr>
              <w:t>Qualitative information.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E60D4A" w:rsidRDefault="00545554" w:rsidP="00545554">
            <w:pPr>
              <w:pStyle w:val="TableText"/>
              <w:jc w:val="both"/>
              <w:rPr>
                <w:lang w:val="en-US" w:eastAsia="en-GB"/>
              </w:rPr>
            </w:pPr>
            <w:r w:rsidRPr="0023654F">
              <w:rPr>
                <w:lang w:eastAsia="en-GB"/>
              </w:rPr>
              <w:t>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sidRPr="0023654F">
              <w:rPr>
                <w:lang w:eastAsia="en-GB"/>
              </w:rPr>
              <w:t>Flexible.</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Corresponding BDR section:</w:t>
            </w:r>
          </w:p>
        </w:tc>
        <w:tc>
          <w:tcPr>
            <w:tcW w:w="7234" w:type="dxa"/>
          </w:tcPr>
          <w:p w:rsidR="00545554" w:rsidRPr="0023654F" w:rsidRDefault="00545554" w:rsidP="001324D2">
            <w:pPr>
              <w:pStyle w:val="TableText"/>
              <w:jc w:val="both"/>
              <w:rPr>
                <w:lang w:eastAsia="en-GB"/>
              </w:rPr>
            </w:pPr>
            <w:r w:rsidRPr="001B530B">
              <w:rPr>
                <w:lang w:eastAsia="en-GB"/>
              </w:rPr>
              <w:t>16ZS</w:t>
            </w:r>
          </w:p>
        </w:tc>
      </w:tr>
    </w:tbl>
    <w:p w:rsidR="00545554" w:rsidRPr="0023654F" w:rsidRDefault="00545554" w:rsidP="00545554">
      <w:pPr>
        <w:spacing w:before="120" w:after="120"/>
        <w:rPr>
          <w:sz w:val="22"/>
        </w:rPr>
      </w:pPr>
    </w:p>
    <w:tbl>
      <w:tblPr>
        <w:tblW w:w="9415" w:type="dxa"/>
        <w:jc w:val="center"/>
        <w:tblInd w:w="-173" w:type="dxa"/>
        <w:tblCellMar>
          <w:left w:w="70" w:type="dxa"/>
          <w:right w:w="70" w:type="dxa"/>
        </w:tblCellMar>
        <w:tblLook w:val="00A0" w:firstRow="1" w:lastRow="0" w:firstColumn="1" w:lastColumn="0" w:noHBand="0" w:noVBand="0"/>
      </w:tblPr>
      <w:tblGrid>
        <w:gridCol w:w="543"/>
        <w:gridCol w:w="8872"/>
      </w:tblGrid>
      <w:tr w:rsidR="00545554" w:rsidRPr="008E69B3" w:rsidTr="00545554">
        <w:trPr>
          <w:trHeight w:val="448"/>
          <w:jc w:val="center"/>
        </w:trPr>
        <w:tc>
          <w:tcPr>
            <w:tcW w:w="9415" w:type="dxa"/>
            <w:gridSpan w:val="2"/>
            <w:tcBorders>
              <w:top w:val="single" w:sz="4" w:space="0" w:color="auto"/>
              <w:bottom w:val="single" w:sz="4" w:space="0" w:color="auto"/>
            </w:tcBorders>
            <w:vAlign w:val="center"/>
          </w:tcPr>
          <w:p w:rsidR="00545554" w:rsidRPr="00C631D0" w:rsidRDefault="00545554" w:rsidP="00545554">
            <w:pPr>
              <w:widowControl w:val="0"/>
              <w:spacing w:before="40" w:after="40"/>
              <w:jc w:val="both"/>
              <w:rPr>
                <w:sz w:val="17"/>
                <w:szCs w:val="17"/>
                <w:lang w:eastAsia="fr-FR"/>
              </w:rPr>
            </w:pPr>
            <w:r>
              <w:rPr>
                <w:sz w:val="17"/>
                <w:szCs w:val="17"/>
                <w:lang w:eastAsia="fr-FR"/>
              </w:rPr>
              <w:t>An AI</w:t>
            </w:r>
            <w:r w:rsidRPr="00C631D0">
              <w:rPr>
                <w:sz w:val="17"/>
                <w:szCs w:val="17"/>
                <w:lang w:eastAsia="fr-FR"/>
              </w:rPr>
              <w:t xml:space="preserve"> </w:t>
            </w:r>
            <w:r>
              <w:rPr>
                <w:sz w:val="17"/>
                <w:szCs w:val="17"/>
                <w:lang w:eastAsia="fr-FR"/>
              </w:rPr>
              <w:t>should</w:t>
            </w:r>
            <w:r w:rsidRPr="00C631D0">
              <w:rPr>
                <w:sz w:val="17"/>
                <w:szCs w:val="17"/>
                <w:lang w:eastAsia="fr-FR"/>
              </w:rPr>
              <w:t xml:space="preserve"> </w:t>
            </w:r>
            <w:r w:rsidRPr="008E69B3">
              <w:rPr>
                <w:sz w:val="17"/>
                <w:szCs w:val="17"/>
                <w:lang w:eastAsia="fr-FR"/>
              </w:rPr>
              <w:t xml:space="preserve">describe the main elements of </w:t>
            </w:r>
            <w:r>
              <w:rPr>
                <w:sz w:val="17"/>
                <w:szCs w:val="17"/>
                <w:lang w:eastAsia="fr-FR"/>
              </w:rPr>
              <w:t>its</w:t>
            </w:r>
            <w:r w:rsidRPr="008E69B3">
              <w:rPr>
                <w:sz w:val="17"/>
                <w:szCs w:val="17"/>
                <w:lang w:eastAsia="fr-FR"/>
              </w:rPr>
              <w:t xml:space="preserve"> remuneration system and how </w:t>
            </w:r>
            <w:r>
              <w:rPr>
                <w:sz w:val="17"/>
                <w:szCs w:val="17"/>
                <w:lang w:eastAsia="fr-FR"/>
              </w:rPr>
              <w:t>i</w:t>
            </w:r>
            <w:r w:rsidRPr="008E69B3">
              <w:rPr>
                <w:sz w:val="17"/>
                <w:szCs w:val="17"/>
                <w:lang w:eastAsia="fr-FR"/>
              </w:rPr>
              <w:t>t develop</w:t>
            </w:r>
            <w:r>
              <w:rPr>
                <w:sz w:val="17"/>
                <w:szCs w:val="17"/>
                <w:lang w:eastAsia="fr-FR"/>
              </w:rPr>
              <w:t>ed</w:t>
            </w:r>
            <w:r w:rsidRPr="008E69B3">
              <w:rPr>
                <w:sz w:val="17"/>
                <w:szCs w:val="17"/>
                <w:lang w:eastAsia="fr-FR"/>
              </w:rPr>
              <w:t xml:space="preserve"> this system. </w:t>
            </w:r>
            <w:r>
              <w:rPr>
                <w:sz w:val="17"/>
                <w:szCs w:val="17"/>
                <w:lang w:eastAsia="fr-FR"/>
              </w:rPr>
              <w:t xml:space="preserve"> </w:t>
            </w:r>
            <w:r w:rsidRPr="008E69B3">
              <w:rPr>
                <w:sz w:val="17"/>
                <w:szCs w:val="17"/>
                <w:lang w:eastAsia="fr-FR"/>
              </w:rPr>
              <w:t>In particular, the following elements, where relevant, should be described</w:t>
            </w:r>
            <w:r w:rsidRPr="00781FE5">
              <w:rPr>
                <w:sz w:val="17"/>
                <w:szCs w:val="17"/>
                <w:lang w:eastAsia="fr-FR"/>
              </w:rPr>
              <w:t>:</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Pr="0023654F" w:rsidRDefault="00545554" w:rsidP="00545554">
            <w:pPr>
              <w:widowControl w:val="0"/>
              <w:spacing w:before="40" w:after="40"/>
              <w:rPr>
                <w:sz w:val="17"/>
                <w:szCs w:val="17"/>
              </w:rPr>
            </w:pPr>
            <w:r>
              <w:rPr>
                <w:sz w:val="17"/>
                <w:szCs w:val="17"/>
              </w:rPr>
              <w:t>(</w:t>
            </w:r>
            <w:r w:rsidRPr="0023654F">
              <w:rPr>
                <w:sz w:val="17"/>
                <w:szCs w:val="17"/>
              </w:rPr>
              <w:t>a</w:t>
            </w:r>
            <w:r>
              <w:rPr>
                <w:sz w:val="17"/>
                <w:szCs w:val="17"/>
              </w:rPr>
              <w:t>)</w:t>
            </w:r>
          </w:p>
        </w:tc>
        <w:tc>
          <w:tcPr>
            <w:tcW w:w="8872" w:type="dxa"/>
            <w:tcBorders>
              <w:top w:val="single" w:sz="4" w:space="0" w:color="auto"/>
              <w:bottom w:val="single" w:sz="4" w:space="0" w:color="auto"/>
            </w:tcBorders>
            <w:noWrap/>
            <w:vAlign w:val="bottom"/>
          </w:tcPr>
          <w:p w:rsidR="00545554" w:rsidRPr="00E67885" w:rsidRDefault="00545554" w:rsidP="00545554">
            <w:pPr>
              <w:pStyle w:val="TableText"/>
              <w:jc w:val="both"/>
              <w:rPr>
                <w:noProof/>
                <w:szCs w:val="17"/>
                <w:lang w:eastAsia="en-GB"/>
              </w:rPr>
            </w:pPr>
            <w:r w:rsidRPr="00E67885">
              <w:rPr>
                <w:noProof/>
                <w:szCs w:val="17"/>
                <w:lang w:eastAsia="en-GB"/>
              </w:rPr>
              <w:t xml:space="preserve">Information relating to the bodies that oversee remuneration. </w:t>
            </w:r>
            <w:r>
              <w:rPr>
                <w:noProof/>
                <w:szCs w:val="17"/>
                <w:lang w:eastAsia="en-GB"/>
              </w:rPr>
              <w:t xml:space="preserve"> </w:t>
            </w:r>
            <w:r w:rsidRPr="00E67885">
              <w:rPr>
                <w:noProof/>
                <w:szCs w:val="17"/>
                <w:lang w:eastAsia="en-GB"/>
              </w:rPr>
              <w:t>Disclosures should include:</w:t>
            </w:r>
          </w:p>
          <w:p w:rsidR="00545554" w:rsidRDefault="00545554" w:rsidP="00545554">
            <w:pPr>
              <w:pStyle w:val="TableText"/>
              <w:numPr>
                <w:ilvl w:val="0"/>
                <w:numId w:val="37"/>
              </w:numPr>
              <w:tabs>
                <w:tab w:val="left" w:pos="509"/>
              </w:tabs>
              <w:ind w:left="509" w:hanging="509"/>
              <w:jc w:val="both"/>
              <w:rPr>
                <w:noProof/>
                <w:szCs w:val="17"/>
                <w:lang w:eastAsia="en-GB"/>
              </w:rPr>
            </w:pPr>
            <w:r>
              <w:rPr>
                <w:szCs w:val="17"/>
              </w:rPr>
              <w:t>n</w:t>
            </w:r>
            <w:r w:rsidRPr="00E67885">
              <w:rPr>
                <w:szCs w:val="17"/>
              </w:rPr>
              <w:t>ame, composition and mandate of the ma</w:t>
            </w:r>
            <w:r>
              <w:rPr>
                <w:szCs w:val="17"/>
              </w:rPr>
              <w:t>in body overseeing remuneration;</w:t>
            </w:r>
          </w:p>
          <w:p w:rsidR="00545554" w:rsidRDefault="00545554" w:rsidP="00545554">
            <w:pPr>
              <w:pStyle w:val="TableText"/>
              <w:numPr>
                <w:ilvl w:val="0"/>
                <w:numId w:val="37"/>
              </w:numPr>
              <w:tabs>
                <w:tab w:val="left" w:pos="509"/>
              </w:tabs>
              <w:ind w:left="509" w:hanging="509"/>
              <w:jc w:val="both"/>
              <w:rPr>
                <w:noProof/>
                <w:szCs w:val="17"/>
                <w:lang w:eastAsia="en-GB"/>
              </w:rPr>
            </w:pPr>
            <w:r>
              <w:rPr>
                <w:noProof/>
                <w:szCs w:val="17"/>
                <w:lang w:eastAsia="en-GB"/>
              </w:rPr>
              <w:t>e</w:t>
            </w:r>
            <w:r w:rsidRPr="00E67885">
              <w:rPr>
                <w:noProof/>
                <w:szCs w:val="17"/>
                <w:lang w:eastAsia="en-GB"/>
              </w:rPr>
              <w:t>xternal consultants whose advice has been sought, the body by which they were commissioned, and in what ar</w:t>
            </w:r>
            <w:r>
              <w:rPr>
                <w:noProof/>
                <w:szCs w:val="17"/>
                <w:lang w:eastAsia="en-GB"/>
              </w:rPr>
              <w:t>eas of the remuneration process;</w:t>
            </w:r>
          </w:p>
          <w:p w:rsidR="00545554" w:rsidRDefault="00545554" w:rsidP="00545554">
            <w:pPr>
              <w:pStyle w:val="TableText"/>
              <w:numPr>
                <w:ilvl w:val="0"/>
                <w:numId w:val="37"/>
              </w:numPr>
              <w:tabs>
                <w:tab w:val="left" w:pos="509"/>
              </w:tabs>
              <w:ind w:left="509" w:hanging="509"/>
              <w:jc w:val="both"/>
              <w:rPr>
                <w:noProof/>
                <w:szCs w:val="17"/>
                <w:lang w:eastAsia="en-GB"/>
              </w:rPr>
            </w:pPr>
            <w:r>
              <w:rPr>
                <w:noProof/>
                <w:szCs w:val="17"/>
                <w:lang w:eastAsia="en-GB"/>
              </w:rPr>
              <w:t>a</w:t>
            </w:r>
            <w:r w:rsidRPr="00E67885">
              <w:rPr>
                <w:noProof/>
                <w:szCs w:val="17"/>
                <w:lang w:eastAsia="en-GB"/>
              </w:rPr>
              <w:t xml:space="preserve"> description of the scope of the </w:t>
            </w:r>
            <w:r>
              <w:rPr>
                <w:noProof/>
                <w:szCs w:val="17"/>
                <w:lang w:eastAsia="en-GB"/>
              </w:rPr>
              <w:t>AI</w:t>
            </w:r>
            <w:r w:rsidRPr="00E67885">
              <w:rPr>
                <w:noProof/>
                <w:szCs w:val="17"/>
                <w:lang w:eastAsia="en-GB"/>
              </w:rPr>
              <w:t>’s remuneration policy (e</w:t>
            </w:r>
            <w:r>
              <w:rPr>
                <w:noProof/>
                <w:szCs w:val="17"/>
                <w:lang w:eastAsia="en-GB"/>
              </w:rPr>
              <w:t>.</w:t>
            </w:r>
            <w:r w:rsidRPr="00E67885">
              <w:rPr>
                <w:noProof/>
                <w:szCs w:val="17"/>
                <w:lang w:eastAsia="en-GB"/>
              </w:rPr>
              <w:t>g</w:t>
            </w:r>
            <w:r>
              <w:rPr>
                <w:noProof/>
                <w:szCs w:val="17"/>
                <w:lang w:eastAsia="en-GB"/>
              </w:rPr>
              <w:t>.</w:t>
            </w:r>
            <w:r w:rsidRPr="00E67885">
              <w:rPr>
                <w:noProof/>
                <w:szCs w:val="17"/>
                <w:lang w:eastAsia="en-GB"/>
              </w:rPr>
              <w:t xml:space="preserve"> by regions, business lines), including the extent to which it is applicable to fo</w:t>
            </w:r>
            <w:r>
              <w:rPr>
                <w:noProof/>
                <w:szCs w:val="17"/>
                <w:lang w:eastAsia="en-GB"/>
              </w:rPr>
              <w:t>reign subsidiaries and branches; and</w:t>
            </w:r>
          </w:p>
          <w:p w:rsidR="00545554" w:rsidRPr="00E67885" w:rsidRDefault="00545554" w:rsidP="00545554">
            <w:pPr>
              <w:pStyle w:val="TableText"/>
              <w:numPr>
                <w:ilvl w:val="0"/>
                <w:numId w:val="37"/>
              </w:numPr>
              <w:tabs>
                <w:tab w:val="left" w:pos="509"/>
              </w:tabs>
              <w:ind w:left="509" w:hanging="509"/>
              <w:jc w:val="both"/>
              <w:rPr>
                <w:noProof/>
                <w:szCs w:val="17"/>
                <w:lang w:eastAsia="en-GB"/>
              </w:rPr>
            </w:pPr>
            <w:r>
              <w:rPr>
                <w:noProof/>
                <w:szCs w:val="17"/>
                <w:lang w:eastAsia="en-GB"/>
              </w:rPr>
              <w:t>a</w:t>
            </w:r>
            <w:r w:rsidRPr="00E67885">
              <w:rPr>
                <w:noProof/>
                <w:szCs w:val="17"/>
                <w:lang w:eastAsia="en-GB"/>
              </w:rPr>
              <w:t xml:space="preserve"> description of the types of employees considered as</w:t>
            </w:r>
            <w:r>
              <w:rPr>
                <w:noProof/>
                <w:szCs w:val="17"/>
                <w:lang w:eastAsia="en-GB"/>
              </w:rPr>
              <w:t xml:space="preserve"> key personnel</w:t>
            </w:r>
            <w:r w:rsidRPr="00E67885">
              <w:rPr>
                <w:noProof/>
                <w:szCs w:val="17"/>
                <w:lang w:eastAsia="en-GB"/>
              </w:rPr>
              <w:t xml:space="preserve"> and as senior managers.</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Pr="0023654F" w:rsidRDefault="00545554" w:rsidP="00545554">
            <w:pPr>
              <w:widowControl w:val="0"/>
              <w:spacing w:before="40" w:after="40"/>
              <w:rPr>
                <w:sz w:val="17"/>
                <w:szCs w:val="17"/>
              </w:rPr>
            </w:pPr>
            <w:r>
              <w:rPr>
                <w:sz w:val="17"/>
                <w:szCs w:val="17"/>
              </w:rPr>
              <w:t>(</w:t>
            </w:r>
            <w:r w:rsidRPr="0023654F">
              <w:rPr>
                <w:sz w:val="17"/>
                <w:szCs w:val="17"/>
              </w:rPr>
              <w:t>b</w:t>
            </w:r>
            <w:r>
              <w:rPr>
                <w:sz w:val="17"/>
                <w:szCs w:val="17"/>
              </w:rPr>
              <w:t>)</w:t>
            </w:r>
          </w:p>
        </w:tc>
        <w:tc>
          <w:tcPr>
            <w:tcW w:w="8872" w:type="dxa"/>
            <w:tcBorders>
              <w:top w:val="single" w:sz="4" w:space="0" w:color="auto"/>
              <w:bottom w:val="single" w:sz="4" w:space="0" w:color="auto"/>
            </w:tcBorders>
            <w:noWrap/>
            <w:vAlign w:val="bottom"/>
          </w:tcPr>
          <w:p w:rsidR="00545554" w:rsidRPr="00FD3863" w:rsidRDefault="00545554" w:rsidP="00545554">
            <w:pPr>
              <w:pStyle w:val="TableText"/>
              <w:jc w:val="both"/>
              <w:rPr>
                <w:noProof/>
                <w:lang w:eastAsia="en-GB"/>
              </w:rPr>
            </w:pPr>
            <w:r w:rsidRPr="00FD3863">
              <w:rPr>
                <w:noProof/>
                <w:szCs w:val="17"/>
                <w:lang w:eastAsia="en-GB"/>
              </w:rPr>
              <w:t>Information</w:t>
            </w:r>
            <w:r w:rsidRPr="00FD3863">
              <w:rPr>
                <w:noProof/>
                <w:lang w:eastAsia="en-GB"/>
              </w:rPr>
              <w:t xml:space="preserve"> relating to the design and structure of remuneration processes. </w:t>
            </w:r>
            <w:r>
              <w:rPr>
                <w:noProof/>
                <w:lang w:eastAsia="en-GB"/>
              </w:rPr>
              <w:t xml:space="preserve"> </w:t>
            </w:r>
            <w:r w:rsidRPr="00FD3863">
              <w:rPr>
                <w:noProof/>
                <w:lang w:eastAsia="en-GB"/>
              </w:rPr>
              <w:t>Disclosures should include</w:t>
            </w:r>
            <w:r>
              <w:rPr>
                <w:noProof/>
                <w:lang w:eastAsia="en-GB"/>
              </w:rPr>
              <w:t>:</w:t>
            </w:r>
            <w:r w:rsidRPr="00FD3863">
              <w:rPr>
                <w:noProof/>
                <w:lang w:eastAsia="en-GB"/>
              </w:rPr>
              <w:t xml:space="preserve"> </w:t>
            </w:r>
          </w:p>
          <w:p w:rsidR="00545554" w:rsidRDefault="00545554" w:rsidP="00545554">
            <w:pPr>
              <w:pStyle w:val="TableText"/>
              <w:numPr>
                <w:ilvl w:val="0"/>
                <w:numId w:val="38"/>
              </w:numPr>
              <w:tabs>
                <w:tab w:val="left" w:pos="509"/>
              </w:tabs>
              <w:ind w:left="509" w:hanging="509"/>
              <w:jc w:val="both"/>
              <w:rPr>
                <w:noProof/>
                <w:lang w:eastAsia="en-GB"/>
              </w:rPr>
            </w:pPr>
            <w:r>
              <w:rPr>
                <w:noProof/>
                <w:lang w:eastAsia="en-GB"/>
              </w:rPr>
              <w:t>a</w:t>
            </w:r>
            <w:r w:rsidRPr="00FD3863">
              <w:rPr>
                <w:noProof/>
                <w:lang w:eastAsia="en-GB"/>
              </w:rPr>
              <w:t>n overview of the key features and object</w:t>
            </w:r>
            <w:r>
              <w:rPr>
                <w:noProof/>
                <w:lang w:eastAsia="en-GB"/>
              </w:rPr>
              <w:t>ives of remuneration policy;</w:t>
            </w:r>
          </w:p>
          <w:p w:rsidR="00545554" w:rsidRDefault="00545554" w:rsidP="00545554">
            <w:pPr>
              <w:pStyle w:val="TableText"/>
              <w:numPr>
                <w:ilvl w:val="0"/>
                <w:numId w:val="38"/>
              </w:numPr>
              <w:tabs>
                <w:tab w:val="left" w:pos="509"/>
              </w:tabs>
              <w:ind w:left="509" w:hanging="509"/>
              <w:jc w:val="both"/>
              <w:rPr>
                <w:noProof/>
                <w:lang w:eastAsia="en-GB"/>
              </w:rPr>
            </w:pPr>
            <w:r>
              <w:rPr>
                <w:noProof/>
                <w:lang w:eastAsia="en-GB"/>
              </w:rPr>
              <w:t>w</w:t>
            </w:r>
            <w:r w:rsidRPr="00FD3863">
              <w:rPr>
                <w:noProof/>
                <w:lang w:eastAsia="en-GB"/>
              </w:rPr>
              <w:t>hether the remuneration committee reviewed the firm’s remuneration policy during the past year, and if so, an overview of any changes that were made, the reasons for those changes a</w:t>
            </w:r>
            <w:r>
              <w:rPr>
                <w:noProof/>
                <w:lang w:eastAsia="en-GB"/>
              </w:rPr>
              <w:t>nd their impact on remuneration; and</w:t>
            </w:r>
          </w:p>
          <w:p w:rsidR="00545554" w:rsidRPr="0023654F" w:rsidRDefault="00545554" w:rsidP="00545554">
            <w:pPr>
              <w:pStyle w:val="TableText"/>
              <w:numPr>
                <w:ilvl w:val="0"/>
                <w:numId w:val="38"/>
              </w:numPr>
              <w:tabs>
                <w:tab w:val="left" w:pos="509"/>
              </w:tabs>
              <w:ind w:left="509" w:hanging="509"/>
              <w:jc w:val="both"/>
              <w:rPr>
                <w:noProof/>
                <w:lang w:eastAsia="en-GB"/>
              </w:rPr>
            </w:pPr>
            <w:r>
              <w:rPr>
                <w:noProof/>
                <w:lang w:eastAsia="en-GB"/>
              </w:rPr>
              <w:t>a</w:t>
            </w:r>
            <w:r w:rsidRPr="00FD3863">
              <w:rPr>
                <w:noProof/>
                <w:lang w:eastAsia="en-GB"/>
              </w:rPr>
              <w:t xml:space="preserve"> discussion of how the </w:t>
            </w:r>
            <w:r>
              <w:rPr>
                <w:noProof/>
                <w:lang w:eastAsia="en-GB"/>
              </w:rPr>
              <w:t>AI</w:t>
            </w:r>
            <w:r w:rsidRPr="00FD3863">
              <w:rPr>
                <w:noProof/>
                <w:lang w:eastAsia="en-GB"/>
              </w:rPr>
              <w:t xml:space="preserve"> ensures that risk and compliance employees are remunerated independently of the businesses they oversee.</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Pr="0023654F" w:rsidRDefault="00545554" w:rsidP="00545554">
            <w:pPr>
              <w:widowControl w:val="0"/>
              <w:spacing w:before="40" w:after="40"/>
              <w:rPr>
                <w:sz w:val="17"/>
                <w:szCs w:val="17"/>
              </w:rPr>
            </w:pPr>
            <w:r>
              <w:rPr>
                <w:sz w:val="17"/>
                <w:szCs w:val="17"/>
              </w:rPr>
              <w:t>(</w:t>
            </w:r>
            <w:r w:rsidRPr="0023654F">
              <w:rPr>
                <w:sz w:val="17"/>
                <w:szCs w:val="17"/>
              </w:rPr>
              <w:t>c</w:t>
            </w:r>
            <w:r>
              <w:rPr>
                <w:sz w:val="17"/>
                <w:szCs w:val="17"/>
              </w:rPr>
              <w:t>)</w:t>
            </w:r>
          </w:p>
        </w:tc>
        <w:tc>
          <w:tcPr>
            <w:tcW w:w="8872" w:type="dxa"/>
            <w:tcBorders>
              <w:top w:val="single" w:sz="4" w:space="0" w:color="auto"/>
              <w:bottom w:val="single" w:sz="4" w:space="0" w:color="auto"/>
            </w:tcBorders>
            <w:noWrap/>
            <w:vAlign w:val="center"/>
          </w:tcPr>
          <w:p w:rsidR="00545554" w:rsidRPr="0023654F" w:rsidRDefault="00545554" w:rsidP="00545554">
            <w:pPr>
              <w:pStyle w:val="TableText"/>
              <w:jc w:val="both"/>
              <w:rPr>
                <w:noProof/>
                <w:lang w:eastAsia="en-GB"/>
              </w:rPr>
            </w:pPr>
            <w:r w:rsidRPr="00D6478A">
              <w:rPr>
                <w:noProof/>
                <w:lang w:eastAsia="en-GB"/>
              </w:rPr>
              <w:t>Description of the ways in which current and future risks are taken into account in the remuneration processes.</w:t>
            </w:r>
            <w:r>
              <w:rPr>
                <w:noProof/>
                <w:lang w:eastAsia="en-GB"/>
              </w:rPr>
              <w:t xml:space="preserve"> </w:t>
            </w:r>
            <w:r w:rsidRPr="00D6478A">
              <w:rPr>
                <w:noProof/>
                <w:lang w:eastAsia="en-GB"/>
              </w:rPr>
              <w:t xml:space="preserve"> Disclosures should include an overview of the key risks, their measurement and how these measures affect remuneration.</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Default="00545554" w:rsidP="00545554">
            <w:pPr>
              <w:widowControl w:val="0"/>
              <w:spacing w:before="40" w:after="40"/>
              <w:rPr>
                <w:sz w:val="17"/>
                <w:szCs w:val="17"/>
              </w:rPr>
            </w:pPr>
            <w:r>
              <w:rPr>
                <w:sz w:val="17"/>
                <w:szCs w:val="17"/>
              </w:rPr>
              <w:t>(d)</w:t>
            </w:r>
          </w:p>
        </w:tc>
        <w:tc>
          <w:tcPr>
            <w:tcW w:w="8872" w:type="dxa"/>
            <w:tcBorders>
              <w:top w:val="single" w:sz="4" w:space="0" w:color="auto"/>
              <w:bottom w:val="single" w:sz="4" w:space="0" w:color="auto"/>
            </w:tcBorders>
            <w:noWrap/>
            <w:vAlign w:val="center"/>
          </w:tcPr>
          <w:p w:rsidR="00545554" w:rsidRDefault="00545554" w:rsidP="00545554">
            <w:pPr>
              <w:pStyle w:val="TableText"/>
              <w:jc w:val="both"/>
              <w:rPr>
                <w:noProof/>
                <w:lang w:eastAsia="en-GB"/>
              </w:rPr>
            </w:pPr>
            <w:r w:rsidRPr="00D6478A">
              <w:rPr>
                <w:noProof/>
                <w:lang w:eastAsia="en-GB"/>
              </w:rPr>
              <w:t xml:space="preserve">Description of the ways in which the </w:t>
            </w:r>
            <w:r>
              <w:rPr>
                <w:noProof/>
                <w:lang w:eastAsia="en-GB"/>
              </w:rPr>
              <w:t>AI</w:t>
            </w:r>
            <w:r w:rsidRPr="00D6478A">
              <w:rPr>
                <w:noProof/>
                <w:lang w:eastAsia="en-GB"/>
              </w:rPr>
              <w:t xml:space="preserve"> seeks to link performance during a performance measurement period with levels of remuneration. </w:t>
            </w:r>
            <w:r>
              <w:rPr>
                <w:noProof/>
                <w:lang w:eastAsia="en-GB"/>
              </w:rPr>
              <w:t xml:space="preserve"> </w:t>
            </w:r>
            <w:r w:rsidRPr="00D6478A">
              <w:rPr>
                <w:noProof/>
                <w:lang w:eastAsia="en-GB"/>
              </w:rPr>
              <w:t>Disclosures should include:</w:t>
            </w:r>
          </w:p>
          <w:p w:rsidR="00545554" w:rsidRDefault="00545554" w:rsidP="00545554">
            <w:pPr>
              <w:pStyle w:val="TableText"/>
              <w:numPr>
                <w:ilvl w:val="0"/>
                <w:numId w:val="39"/>
              </w:numPr>
              <w:tabs>
                <w:tab w:val="left" w:pos="509"/>
              </w:tabs>
              <w:ind w:left="509" w:hanging="509"/>
              <w:jc w:val="both"/>
              <w:rPr>
                <w:noProof/>
                <w:lang w:eastAsia="en-GB"/>
              </w:rPr>
            </w:pPr>
            <w:r>
              <w:rPr>
                <w:noProof/>
                <w:lang w:eastAsia="en-GB"/>
              </w:rPr>
              <w:lastRenderedPageBreak/>
              <w:t>a</w:t>
            </w:r>
            <w:r w:rsidRPr="00D6478A">
              <w:rPr>
                <w:noProof/>
                <w:lang w:eastAsia="en-GB"/>
              </w:rPr>
              <w:t xml:space="preserve">n overview of main performance metrics for </w:t>
            </w:r>
            <w:r w:rsidR="002D7154">
              <w:rPr>
                <w:noProof/>
                <w:lang w:eastAsia="en-GB"/>
              </w:rPr>
              <w:t>the institution</w:t>
            </w:r>
            <w:r w:rsidRPr="00D6478A">
              <w:rPr>
                <w:noProof/>
                <w:lang w:eastAsia="en-GB"/>
              </w:rPr>
              <w:t>, top-level</w:t>
            </w:r>
            <w:r>
              <w:rPr>
                <w:noProof/>
                <w:lang w:eastAsia="en-GB"/>
              </w:rPr>
              <w:t xml:space="preserve"> business lines and individuals;</w:t>
            </w:r>
          </w:p>
          <w:p w:rsidR="00545554" w:rsidRDefault="00545554" w:rsidP="00545554">
            <w:pPr>
              <w:pStyle w:val="TableText"/>
              <w:numPr>
                <w:ilvl w:val="0"/>
                <w:numId w:val="39"/>
              </w:numPr>
              <w:tabs>
                <w:tab w:val="left" w:pos="509"/>
              </w:tabs>
              <w:ind w:left="509" w:hanging="509"/>
              <w:jc w:val="both"/>
              <w:rPr>
                <w:noProof/>
                <w:lang w:eastAsia="en-GB"/>
              </w:rPr>
            </w:pPr>
            <w:r>
              <w:rPr>
                <w:noProof/>
                <w:lang w:eastAsia="en-GB"/>
              </w:rPr>
              <w:t xml:space="preserve">a </w:t>
            </w:r>
            <w:r w:rsidRPr="00D6478A">
              <w:rPr>
                <w:noProof/>
                <w:lang w:eastAsia="en-GB"/>
              </w:rPr>
              <w:t xml:space="preserve">discussion of how amounts of individual remuneration are linked to </w:t>
            </w:r>
            <w:r w:rsidR="002D7154">
              <w:rPr>
                <w:noProof/>
                <w:lang w:eastAsia="en-GB"/>
              </w:rPr>
              <w:t>institution</w:t>
            </w:r>
            <w:r w:rsidRPr="00D6478A">
              <w:rPr>
                <w:noProof/>
                <w:lang w:eastAsia="en-GB"/>
              </w:rPr>
              <w:t>-</w:t>
            </w:r>
            <w:r>
              <w:rPr>
                <w:noProof/>
                <w:lang w:eastAsia="en-GB"/>
              </w:rPr>
              <w:t>wide and individual performance; and</w:t>
            </w:r>
          </w:p>
          <w:p w:rsidR="00545554" w:rsidRPr="00D6478A" w:rsidRDefault="00545554" w:rsidP="00545554">
            <w:pPr>
              <w:pStyle w:val="TableText"/>
              <w:numPr>
                <w:ilvl w:val="0"/>
                <w:numId w:val="39"/>
              </w:numPr>
              <w:tabs>
                <w:tab w:val="left" w:pos="509"/>
              </w:tabs>
              <w:ind w:left="509" w:hanging="509"/>
              <w:jc w:val="both"/>
              <w:rPr>
                <w:noProof/>
                <w:lang w:eastAsia="en-GB"/>
              </w:rPr>
            </w:pPr>
            <w:r>
              <w:rPr>
                <w:noProof/>
                <w:lang w:eastAsia="en-GB"/>
              </w:rPr>
              <w:t xml:space="preserve">a </w:t>
            </w:r>
            <w:r w:rsidRPr="00D6478A">
              <w:rPr>
                <w:noProof/>
                <w:lang w:eastAsia="en-GB"/>
              </w:rPr>
              <w:t xml:space="preserve">discussion of the measures the </w:t>
            </w:r>
            <w:r>
              <w:rPr>
                <w:noProof/>
                <w:lang w:eastAsia="en-GB"/>
              </w:rPr>
              <w:t>AI</w:t>
            </w:r>
            <w:r w:rsidRPr="00D6478A">
              <w:rPr>
                <w:noProof/>
                <w:lang w:eastAsia="en-GB"/>
              </w:rPr>
              <w:t xml:space="preserve"> will in general implement to adjust remuneration in the event that performance metrics are weak, including the </w:t>
            </w:r>
            <w:r>
              <w:rPr>
                <w:noProof/>
                <w:lang w:eastAsia="en-GB"/>
              </w:rPr>
              <w:t>AI</w:t>
            </w:r>
            <w:r w:rsidRPr="00D6478A">
              <w:rPr>
                <w:noProof/>
                <w:lang w:eastAsia="en-GB"/>
              </w:rPr>
              <w:t>’s criteria for determining “weak” performance metrics.</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Default="00545554" w:rsidP="00545554">
            <w:pPr>
              <w:widowControl w:val="0"/>
              <w:spacing w:before="40" w:after="40"/>
              <w:rPr>
                <w:sz w:val="17"/>
                <w:szCs w:val="17"/>
              </w:rPr>
            </w:pPr>
            <w:r>
              <w:rPr>
                <w:sz w:val="17"/>
                <w:szCs w:val="17"/>
              </w:rPr>
              <w:lastRenderedPageBreak/>
              <w:t>(e)</w:t>
            </w:r>
          </w:p>
        </w:tc>
        <w:tc>
          <w:tcPr>
            <w:tcW w:w="8872" w:type="dxa"/>
            <w:tcBorders>
              <w:top w:val="single" w:sz="4" w:space="0" w:color="auto"/>
              <w:bottom w:val="single" w:sz="4" w:space="0" w:color="auto"/>
            </w:tcBorders>
            <w:noWrap/>
            <w:vAlign w:val="center"/>
          </w:tcPr>
          <w:p w:rsidR="00545554" w:rsidRDefault="00545554" w:rsidP="00545554">
            <w:pPr>
              <w:pStyle w:val="TableText"/>
              <w:jc w:val="both"/>
              <w:rPr>
                <w:noProof/>
                <w:lang w:eastAsia="en-GB"/>
              </w:rPr>
            </w:pPr>
            <w:r w:rsidRPr="003270C2">
              <w:rPr>
                <w:noProof/>
                <w:lang w:eastAsia="en-GB"/>
              </w:rPr>
              <w:t xml:space="preserve">Description of the ways in which the </w:t>
            </w:r>
            <w:r>
              <w:rPr>
                <w:noProof/>
                <w:lang w:eastAsia="en-GB"/>
              </w:rPr>
              <w:t>AI</w:t>
            </w:r>
            <w:r w:rsidRPr="003270C2">
              <w:rPr>
                <w:noProof/>
                <w:lang w:eastAsia="en-GB"/>
              </w:rPr>
              <w:t xml:space="preserve"> seeks to adjust remuneration to take account of longer-term performance.</w:t>
            </w:r>
            <w:r>
              <w:rPr>
                <w:noProof/>
                <w:lang w:eastAsia="en-GB"/>
              </w:rPr>
              <w:t xml:space="preserve"> </w:t>
            </w:r>
            <w:r w:rsidRPr="003270C2">
              <w:rPr>
                <w:noProof/>
                <w:lang w:eastAsia="en-GB"/>
              </w:rPr>
              <w:t xml:space="preserve"> Disclosures should include:</w:t>
            </w:r>
          </w:p>
          <w:p w:rsidR="00545554" w:rsidRDefault="00545554" w:rsidP="00545554">
            <w:pPr>
              <w:pStyle w:val="TableText"/>
              <w:numPr>
                <w:ilvl w:val="0"/>
                <w:numId w:val="40"/>
              </w:numPr>
              <w:tabs>
                <w:tab w:val="left" w:pos="509"/>
              </w:tabs>
              <w:ind w:left="509" w:hanging="509"/>
              <w:jc w:val="both"/>
              <w:rPr>
                <w:noProof/>
                <w:lang w:eastAsia="en-GB"/>
              </w:rPr>
            </w:pPr>
            <w:r>
              <w:rPr>
                <w:noProof/>
                <w:lang w:eastAsia="en-GB"/>
              </w:rPr>
              <w:t>a</w:t>
            </w:r>
            <w:r w:rsidRPr="003270C2">
              <w:rPr>
                <w:noProof/>
                <w:lang w:eastAsia="en-GB"/>
              </w:rPr>
              <w:t xml:space="preserve"> discussion of the </w:t>
            </w:r>
            <w:r>
              <w:rPr>
                <w:noProof/>
                <w:lang w:eastAsia="en-GB"/>
              </w:rPr>
              <w:t>AI</w:t>
            </w:r>
            <w:r w:rsidRPr="003270C2">
              <w:rPr>
                <w:noProof/>
                <w:lang w:eastAsia="en-GB"/>
              </w:rPr>
              <w:t>’s policy on deferral and vesting of variable remuneration and, if the fraction of variable remuneration that is deferred differs across employees or groups of employees, a description of the factors that determine the fraction and their relative importance</w:t>
            </w:r>
            <w:r>
              <w:rPr>
                <w:noProof/>
                <w:lang w:eastAsia="en-GB"/>
              </w:rPr>
              <w:t>; and</w:t>
            </w:r>
          </w:p>
          <w:p w:rsidR="00545554" w:rsidRPr="00D6478A" w:rsidRDefault="00545554" w:rsidP="00545554">
            <w:pPr>
              <w:pStyle w:val="TableText"/>
              <w:numPr>
                <w:ilvl w:val="0"/>
                <w:numId w:val="40"/>
              </w:numPr>
              <w:tabs>
                <w:tab w:val="left" w:pos="509"/>
              </w:tabs>
              <w:ind w:left="509" w:hanging="509"/>
              <w:jc w:val="both"/>
              <w:rPr>
                <w:noProof/>
                <w:lang w:eastAsia="en-GB"/>
              </w:rPr>
            </w:pPr>
            <w:r>
              <w:rPr>
                <w:noProof/>
                <w:lang w:eastAsia="en-GB"/>
              </w:rPr>
              <w:t>a</w:t>
            </w:r>
            <w:r w:rsidRPr="003270C2">
              <w:rPr>
                <w:noProof/>
                <w:lang w:eastAsia="en-GB"/>
              </w:rPr>
              <w:t xml:space="preserve"> discussion of the </w:t>
            </w:r>
            <w:r>
              <w:rPr>
                <w:noProof/>
                <w:lang w:eastAsia="en-GB"/>
              </w:rPr>
              <w:t>AI</w:t>
            </w:r>
            <w:r w:rsidRPr="003270C2">
              <w:rPr>
                <w:noProof/>
                <w:lang w:eastAsia="en-GB"/>
              </w:rPr>
              <w:t>’s policy and criteria for adjusting deferred remuneration before vesting and (if permitted by national law) after vesting through clawback arrangements.</w:t>
            </w:r>
          </w:p>
        </w:tc>
      </w:tr>
      <w:tr w:rsidR="00545554" w:rsidRPr="0023654F" w:rsidTr="00545554">
        <w:trPr>
          <w:trHeight w:val="318"/>
          <w:jc w:val="center"/>
        </w:trPr>
        <w:tc>
          <w:tcPr>
            <w:tcW w:w="543" w:type="dxa"/>
            <w:tcBorders>
              <w:top w:val="single" w:sz="4" w:space="0" w:color="auto"/>
              <w:bottom w:val="single" w:sz="4" w:space="0" w:color="auto"/>
            </w:tcBorders>
            <w:noWrap/>
          </w:tcPr>
          <w:p w:rsidR="00545554" w:rsidRDefault="00545554" w:rsidP="00545554">
            <w:pPr>
              <w:widowControl w:val="0"/>
              <w:spacing w:before="40" w:after="40"/>
              <w:rPr>
                <w:sz w:val="17"/>
                <w:szCs w:val="17"/>
              </w:rPr>
            </w:pPr>
            <w:r>
              <w:rPr>
                <w:sz w:val="17"/>
                <w:szCs w:val="17"/>
              </w:rPr>
              <w:t>(f)</w:t>
            </w:r>
          </w:p>
        </w:tc>
        <w:tc>
          <w:tcPr>
            <w:tcW w:w="8872" w:type="dxa"/>
            <w:tcBorders>
              <w:top w:val="single" w:sz="4" w:space="0" w:color="auto"/>
              <w:bottom w:val="single" w:sz="4" w:space="0" w:color="auto"/>
            </w:tcBorders>
            <w:noWrap/>
            <w:vAlign w:val="center"/>
          </w:tcPr>
          <w:p w:rsidR="00545554" w:rsidRDefault="00545554" w:rsidP="00545554">
            <w:pPr>
              <w:pStyle w:val="TableText"/>
              <w:jc w:val="both"/>
              <w:rPr>
                <w:noProof/>
                <w:lang w:eastAsia="en-GB"/>
              </w:rPr>
            </w:pPr>
            <w:r w:rsidRPr="00794988">
              <w:rPr>
                <w:noProof/>
                <w:lang w:eastAsia="en-GB"/>
              </w:rPr>
              <w:t xml:space="preserve">Description of the different forms of variable remuneration that the </w:t>
            </w:r>
            <w:r>
              <w:rPr>
                <w:noProof/>
                <w:lang w:eastAsia="en-GB"/>
              </w:rPr>
              <w:t>AI</w:t>
            </w:r>
            <w:r w:rsidRPr="00794988">
              <w:rPr>
                <w:noProof/>
                <w:lang w:eastAsia="en-GB"/>
              </w:rPr>
              <w:t xml:space="preserve"> utilises and the rationale for using these different forms. </w:t>
            </w:r>
            <w:r>
              <w:rPr>
                <w:noProof/>
                <w:lang w:eastAsia="en-GB"/>
              </w:rPr>
              <w:t xml:space="preserve"> </w:t>
            </w:r>
            <w:r w:rsidRPr="00794988">
              <w:rPr>
                <w:noProof/>
                <w:lang w:eastAsia="en-GB"/>
              </w:rPr>
              <w:t>Disclosures should include:</w:t>
            </w:r>
          </w:p>
          <w:p w:rsidR="00545554" w:rsidRDefault="00545554" w:rsidP="00545554">
            <w:pPr>
              <w:pStyle w:val="TableText"/>
              <w:numPr>
                <w:ilvl w:val="0"/>
                <w:numId w:val="41"/>
              </w:numPr>
              <w:tabs>
                <w:tab w:val="left" w:pos="509"/>
              </w:tabs>
              <w:ind w:left="509" w:hanging="509"/>
              <w:jc w:val="both"/>
              <w:rPr>
                <w:noProof/>
                <w:lang w:eastAsia="en-GB"/>
              </w:rPr>
            </w:pPr>
            <w:r>
              <w:rPr>
                <w:noProof/>
                <w:lang w:eastAsia="en-GB"/>
              </w:rPr>
              <w:t>a</w:t>
            </w:r>
            <w:r w:rsidRPr="00794988">
              <w:rPr>
                <w:noProof/>
                <w:lang w:eastAsia="en-GB"/>
              </w:rPr>
              <w:t>n overview of the forms of variable remuneration offered (i</w:t>
            </w:r>
            <w:r>
              <w:rPr>
                <w:noProof/>
                <w:lang w:eastAsia="en-GB"/>
              </w:rPr>
              <w:t>.</w:t>
            </w:r>
            <w:r w:rsidRPr="00794988">
              <w:rPr>
                <w:noProof/>
                <w:lang w:eastAsia="en-GB"/>
              </w:rPr>
              <w:t>e</w:t>
            </w:r>
            <w:r>
              <w:rPr>
                <w:noProof/>
                <w:lang w:eastAsia="en-GB"/>
              </w:rPr>
              <w:t>.</w:t>
            </w:r>
            <w:r w:rsidRPr="00794988">
              <w:rPr>
                <w:noProof/>
                <w:lang w:eastAsia="en-GB"/>
              </w:rPr>
              <w:t xml:space="preserve"> cash, shares and share-linked instruments and other fo</w:t>
            </w:r>
            <w:r>
              <w:rPr>
                <w:noProof/>
                <w:lang w:eastAsia="en-GB"/>
              </w:rPr>
              <w:t>rms); and</w:t>
            </w:r>
          </w:p>
          <w:p w:rsidR="00545554" w:rsidRPr="003270C2" w:rsidRDefault="00545554" w:rsidP="00545554">
            <w:pPr>
              <w:pStyle w:val="TableText"/>
              <w:numPr>
                <w:ilvl w:val="0"/>
                <w:numId w:val="41"/>
              </w:numPr>
              <w:tabs>
                <w:tab w:val="left" w:pos="509"/>
              </w:tabs>
              <w:ind w:left="509" w:hanging="509"/>
              <w:jc w:val="both"/>
              <w:rPr>
                <w:noProof/>
                <w:lang w:eastAsia="en-GB"/>
              </w:rPr>
            </w:pPr>
            <w:r>
              <w:rPr>
                <w:noProof/>
                <w:lang w:eastAsia="en-GB"/>
              </w:rPr>
              <w:t>a</w:t>
            </w:r>
            <w:r w:rsidRPr="00794988">
              <w:rPr>
                <w:noProof/>
                <w:lang w:eastAsia="en-GB"/>
              </w:rPr>
              <w:t xml:space="preserve"> discussion of the use of the different forms of variable remuneration and, if the mix of different forms of variable remuneration differs across employees or groups of employee), a description the factors that determine the mix and their relative importance.</w:t>
            </w:r>
          </w:p>
        </w:tc>
      </w:tr>
    </w:tbl>
    <w:p w:rsidR="00545554" w:rsidRDefault="00545554" w:rsidP="00545554">
      <w:r>
        <w:t xml:space="preserve"> </w:t>
      </w:r>
    </w:p>
    <w:p w:rsidR="00545554" w:rsidRDefault="00545554" w:rsidP="00545554">
      <w:pPr>
        <w:sectPr w:rsidR="00545554" w:rsidSect="001B530B">
          <w:headerReference w:type="even" r:id="rId78"/>
          <w:headerReference w:type="default" r:id="rId79"/>
          <w:footerReference w:type="even" r:id="rId80"/>
          <w:footerReference w:type="default" r:id="rId81"/>
          <w:headerReference w:type="first" r:id="rId82"/>
          <w:footerReference w:type="first" r:id="rId83"/>
          <w:pgSz w:w="11906" w:h="16838"/>
          <w:pgMar w:top="1440" w:right="1416"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REM1</w:t>
            </w:r>
            <w:r w:rsidRPr="0023654F">
              <w:rPr>
                <w:sz w:val="22"/>
              </w:rPr>
              <w:t xml:space="preserve">: </w:t>
            </w:r>
            <w:r>
              <w:rPr>
                <w:sz w:val="22"/>
              </w:rPr>
              <w:t>Remuneration awarded during financial year</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025AEC" w:rsidRDefault="00545554" w:rsidP="00545554">
            <w:pPr>
              <w:spacing w:before="40" w:after="40"/>
              <w:jc w:val="both"/>
              <w:rPr>
                <w:rFonts w:eastAsiaTheme="minorEastAsia"/>
                <w:sz w:val="17"/>
                <w:lang w:eastAsia="en-GB"/>
              </w:rPr>
            </w:pPr>
            <w:r w:rsidRPr="00025AEC">
              <w:rPr>
                <w:rFonts w:eastAsiaTheme="minorEastAsia"/>
                <w:sz w:val="17"/>
                <w:lang w:eastAsia="en-GB"/>
              </w:rPr>
              <w:t xml:space="preserve">To </w:t>
            </w:r>
            <w:r>
              <w:rPr>
                <w:rFonts w:eastAsiaTheme="minorEastAsia"/>
                <w:sz w:val="17"/>
                <w:lang w:eastAsia="en-GB"/>
              </w:rPr>
              <w:t>p</w:t>
            </w:r>
            <w:r>
              <w:rPr>
                <w:sz w:val="17"/>
                <w:szCs w:val="17"/>
              </w:rPr>
              <w:t>rovide quantitative information on remuneration for the financial year.</w:t>
            </w:r>
          </w:p>
        </w:tc>
      </w:tr>
      <w:tr w:rsidR="00545554" w:rsidRPr="005B71C7" w:rsidTr="00545554">
        <w:tc>
          <w:tcPr>
            <w:tcW w:w="2008" w:type="dxa"/>
          </w:tcPr>
          <w:p w:rsidR="00545554" w:rsidRPr="0023654F" w:rsidRDefault="00545554" w:rsidP="00545554">
            <w:pPr>
              <w:spacing w:before="40" w:after="40"/>
              <w:rPr>
                <w:b/>
                <w:sz w:val="17"/>
                <w:lang w:eastAsia="en-GB"/>
              </w:rPr>
            </w:pPr>
            <w:r w:rsidRPr="0023654F">
              <w:rPr>
                <w:b/>
                <w:sz w:val="17"/>
                <w:lang w:eastAsia="en-GB"/>
              </w:rPr>
              <w:t xml:space="preserve">Scope of application: </w:t>
            </w:r>
          </w:p>
        </w:tc>
        <w:tc>
          <w:tcPr>
            <w:tcW w:w="7234" w:type="dxa"/>
          </w:tcPr>
          <w:p w:rsidR="00545554" w:rsidRPr="00025AEC" w:rsidRDefault="00545554" w:rsidP="00545554">
            <w:pPr>
              <w:spacing w:before="40" w:after="40"/>
              <w:jc w:val="both"/>
              <w:rPr>
                <w:rFonts w:eastAsiaTheme="minorEastAsia"/>
                <w:sz w:val="17"/>
                <w:lang w:eastAsia="en-GB"/>
              </w:rPr>
            </w:pPr>
            <w:r w:rsidRPr="0023654F">
              <w:rPr>
                <w:rFonts w:eastAsiaTheme="minorEastAsia"/>
                <w:sz w:val="17"/>
                <w:lang w:eastAsia="en-GB"/>
              </w:rPr>
              <w:t xml:space="preserve">The template is mandatory for </w:t>
            </w:r>
            <w:r>
              <w:rPr>
                <w:rFonts w:eastAsiaTheme="minorEastAsia"/>
                <w:sz w:val="17"/>
                <w:lang w:eastAsia="en-GB"/>
              </w:rPr>
              <w:t>all AI</w:t>
            </w:r>
            <w:r w:rsidRPr="0023654F">
              <w:rPr>
                <w:rFonts w:eastAsiaTheme="minorEastAsia"/>
                <w:sz w:val="17"/>
                <w:lang w:eastAsia="en-GB"/>
              </w:rPr>
              <w:t xml:space="preserve">s </w:t>
            </w:r>
            <w:r>
              <w:rPr>
                <w:rFonts w:eastAsiaTheme="minorEastAsia"/>
                <w:sz w:val="17"/>
                <w:lang w:eastAsia="en-GB"/>
              </w:rPr>
              <w:t>incorporated in Hong Kong.</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b/>
                <w:sz w:val="17"/>
                <w:lang w:eastAsia="en-GB"/>
              </w:rPr>
              <w:t xml:space="preserve">Content: </w:t>
            </w:r>
          </w:p>
        </w:tc>
        <w:tc>
          <w:tcPr>
            <w:tcW w:w="7234" w:type="dxa"/>
          </w:tcPr>
          <w:p w:rsidR="00545554" w:rsidRPr="00BA0648" w:rsidRDefault="00545554" w:rsidP="00756329">
            <w:pPr>
              <w:jc w:val="both"/>
              <w:rPr>
                <w:sz w:val="17"/>
                <w:lang w:eastAsia="en-GB"/>
              </w:rPr>
            </w:pPr>
            <w:r w:rsidRPr="00070A41">
              <w:rPr>
                <w:rFonts w:eastAsiaTheme="minorEastAsia"/>
                <w:sz w:val="17"/>
                <w:lang w:eastAsia="en-GB"/>
              </w:rPr>
              <w:t>Quantitative</w:t>
            </w:r>
            <w:r>
              <w:rPr>
                <w:sz w:val="17"/>
                <w:lang w:eastAsia="en-GB"/>
              </w:rPr>
              <w:t xml:space="preserve"> information.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r w:rsidRPr="0023654F">
              <w:rPr>
                <w:sz w:val="17"/>
                <w:lang w:eastAsia="en-GB"/>
              </w:rPr>
              <w:t xml:space="preserve"> </w:t>
            </w:r>
          </w:p>
        </w:tc>
        <w:tc>
          <w:tcPr>
            <w:tcW w:w="7234" w:type="dxa"/>
          </w:tcPr>
          <w:p w:rsidR="00545554" w:rsidRPr="00070A41" w:rsidRDefault="00545554" w:rsidP="00545554">
            <w:pPr>
              <w:pStyle w:val="TableText"/>
              <w:jc w:val="both"/>
              <w:rPr>
                <w:rFonts w:eastAsiaTheme="minorEastAsia"/>
                <w:lang w:eastAsia="en-GB"/>
              </w:rPr>
            </w:pPr>
            <w:r w:rsidRPr="0023654F">
              <w:rPr>
                <w:lang w:eastAsia="en-GB"/>
              </w:rPr>
              <w:t>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r w:rsidRPr="0023654F">
              <w:rPr>
                <w:sz w:val="17"/>
                <w:lang w:eastAsia="en-GB"/>
              </w:rPr>
              <w:t xml:space="preserve"> </w:t>
            </w:r>
          </w:p>
        </w:tc>
        <w:tc>
          <w:tcPr>
            <w:tcW w:w="7234" w:type="dxa"/>
          </w:tcPr>
          <w:p w:rsidR="00545554" w:rsidRPr="0023654F" w:rsidRDefault="00545554" w:rsidP="00545554">
            <w:pPr>
              <w:pStyle w:val="TableText"/>
              <w:jc w:val="both"/>
              <w:rPr>
                <w:lang w:eastAsia="en-GB"/>
              </w:rPr>
            </w:pPr>
            <w:r>
              <w:rPr>
                <w:lang w:eastAsia="en-GB"/>
              </w:rPr>
              <w:t>Flexible.</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070A41" w:rsidRDefault="00545554" w:rsidP="00545554">
            <w:pPr>
              <w:spacing w:before="40" w:after="40"/>
              <w:jc w:val="both"/>
              <w:rPr>
                <w:noProof/>
                <w:sz w:val="17"/>
                <w:szCs w:val="17"/>
                <w:lang w:val="en-US" w:eastAsia="en-GB"/>
              </w:rPr>
            </w:pPr>
            <w:r w:rsidRPr="00070A41">
              <w:rPr>
                <w:sz w:val="17"/>
                <w:szCs w:val="17"/>
                <w:lang w:eastAsia="en-GB"/>
              </w:rPr>
              <w:t xml:space="preserve">An </w:t>
            </w:r>
            <w:r w:rsidRPr="00070A41">
              <w:rPr>
                <w:rFonts w:eastAsiaTheme="minorEastAsia"/>
                <w:sz w:val="17"/>
                <w:szCs w:val="17"/>
                <w:lang w:eastAsia="en-GB"/>
              </w:rPr>
              <w:t>AI</w:t>
            </w:r>
            <w:r w:rsidRPr="00070A41">
              <w:rPr>
                <w:sz w:val="17"/>
                <w:szCs w:val="17"/>
                <w:lang w:eastAsia="en-GB"/>
              </w:rPr>
              <w:t xml:space="preserve"> </w:t>
            </w:r>
            <w:r>
              <w:rPr>
                <w:sz w:val="17"/>
                <w:szCs w:val="17"/>
              </w:rPr>
              <w:t>should</w:t>
            </w:r>
            <w:r w:rsidRPr="00070A41">
              <w:rPr>
                <w:sz w:val="17"/>
                <w:szCs w:val="17"/>
              </w:rPr>
              <w:t xml:space="preserve"> supplement the template with a narrative commentary to explain any significant movements over the reporting period and the key drivers of such movements.</w:t>
            </w:r>
            <w:r>
              <w:rPr>
                <w:sz w:val="17"/>
                <w:szCs w:val="17"/>
              </w:rPr>
              <w:t xml:space="preserve">  Where relevant, the accompanying narrative should include descriptions of the </w:t>
            </w:r>
            <w:r w:rsidRPr="00095971">
              <w:rPr>
                <w:sz w:val="17"/>
                <w:szCs w:val="17"/>
              </w:rPr>
              <w:t>other forms of fixed and variable remuneration.</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Default="00545554" w:rsidP="001324D2">
            <w:pPr>
              <w:pStyle w:val="TableText"/>
              <w:jc w:val="both"/>
              <w:rPr>
                <w:szCs w:val="17"/>
                <w:lang w:eastAsia="en-GB"/>
              </w:rPr>
            </w:pPr>
            <w:r w:rsidRPr="001B530B">
              <w:rPr>
                <w:szCs w:val="17"/>
                <w:lang w:eastAsia="en-GB"/>
              </w:rPr>
              <w:t>16ZT</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7"/>
        <w:gridCol w:w="142"/>
        <w:gridCol w:w="1276"/>
        <w:gridCol w:w="4394"/>
        <w:gridCol w:w="1431"/>
        <w:gridCol w:w="1404"/>
      </w:tblGrid>
      <w:tr w:rsidR="00545554" w:rsidRPr="0023654F" w:rsidTr="00545554">
        <w:trPr>
          <w:cantSplit/>
          <w:trHeight w:val="249"/>
          <w:tblHeader/>
        </w:trPr>
        <w:tc>
          <w:tcPr>
            <w:tcW w:w="567" w:type="dxa"/>
            <w:tcBorders>
              <w:top w:val="nil"/>
              <w:left w:val="nil"/>
              <w:bottom w:val="single" w:sz="4" w:space="0" w:color="auto"/>
              <w:right w:val="nil"/>
            </w:tcBorders>
          </w:tcPr>
          <w:p w:rsidR="00545554" w:rsidRPr="0023654F" w:rsidRDefault="00545554" w:rsidP="00545554">
            <w:pPr>
              <w:pStyle w:val="TableText"/>
              <w:snapToGrid w:val="0"/>
              <w:rPr>
                <w:lang w:eastAsia="en-GB"/>
              </w:rPr>
            </w:pPr>
          </w:p>
        </w:tc>
        <w:tc>
          <w:tcPr>
            <w:tcW w:w="5812" w:type="dxa"/>
            <w:gridSpan w:val="3"/>
            <w:tcBorders>
              <w:top w:val="nil"/>
              <w:left w:val="nil"/>
              <w:bottom w:val="single" w:sz="4" w:space="0" w:color="auto"/>
              <w:right w:val="single" w:sz="4" w:space="0" w:color="auto"/>
            </w:tcBorders>
            <w:vAlign w:val="center"/>
          </w:tcPr>
          <w:p w:rsidR="00545554" w:rsidRPr="0023654F" w:rsidRDefault="00545554" w:rsidP="00545554">
            <w:pPr>
              <w:pStyle w:val="TableText"/>
              <w:snapToGrid w:val="0"/>
              <w:rPr>
                <w:lang w:eastAsia="en-GB"/>
              </w:rPr>
            </w:pPr>
          </w:p>
        </w:tc>
        <w:tc>
          <w:tcPr>
            <w:tcW w:w="1431"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w:t>
            </w:r>
            <w:r w:rsidRPr="0023654F">
              <w:rPr>
                <w:bCs/>
                <w:szCs w:val="17"/>
                <w:lang w:eastAsia="it-IT"/>
              </w:rPr>
              <w:t>a</w:t>
            </w:r>
            <w:r>
              <w:rPr>
                <w:bCs/>
                <w:szCs w:val="17"/>
                <w:lang w:eastAsia="it-IT"/>
              </w:rPr>
              <w:t>)</w:t>
            </w:r>
          </w:p>
        </w:tc>
        <w:tc>
          <w:tcPr>
            <w:tcW w:w="1404" w:type="dxa"/>
            <w:tcBorders>
              <w:top w:val="single" w:sz="4" w:space="0" w:color="auto"/>
              <w:left w:val="single" w:sz="4" w:space="0" w:color="auto"/>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(b)</w:t>
            </w:r>
          </w:p>
        </w:tc>
      </w:tr>
      <w:tr w:rsidR="00545554" w:rsidRPr="0023654F" w:rsidTr="00545554">
        <w:trPr>
          <w:cantSplit/>
          <w:tblHeader/>
        </w:trPr>
        <w:tc>
          <w:tcPr>
            <w:tcW w:w="6379" w:type="dxa"/>
            <w:gridSpan w:val="4"/>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rPr>
                <w:lang w:eastAsia="en-GB"/>
              </w:rPr>
            </w:pPr>
            <w:r>
              <w:rPr>
                <w:lang w:eastAsia="en-GB"/>
              </w:rPr>
              <w:t>Remuneration amount and quantitative information</w:t>
            </w:r>
          </w:p>
        </w:tc>
        <w:tc>
          <w:tcPr>
            <w:tcW w:w="1431"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lang w:eastAsia="en-GB"/>
              </w:rPr>
            </w:pPr>
            <w:r>
              <w:rPr>
                <w:lang w:eastAsia="en-GB"/>
              </w:rPr>
              <w:t>Senior management</w:t>
            </w:r>
          </w:p>
        </w:tc>
        <w:tc>
          <w:tcPr>
            <w:tcW w:w="1404" w:type="dxa"/>
            <w:tcBorders>
              <w:top w:val="single" w:sz="4" w:space="0" w:color="auto"/>
              <w:left w:val="single" w:sz="4" w:space="0" w:color="auto"/>
              <w:bottom w:val="single" w:sz="4" w:space="0" w:color="auto"/>
              <w:right w:val="single" w:sz="4" w:space="0" w:color="auto"/>
            </w:tcBorders>
            <w:vAlign w:val="center"/>
          </w:tcPr>
          <w:p w:rsidR="00545554" w:rsidRPr="00911851" w:rsidRDefault="00545554" w:rsidP="00545554">
            <w:pPr>
              <w:pStyle w:val="TableText"/>
              <w:snapToGrid w:val="0"/>
              <w:jc w:val="center"/>
              <w:rPr>
                <w:lang w:eastAsia="en-GB"/>
              </w:rPr>
            </w:pPr>
            <w:r>
              <w:rPr>
                <w:lang w:eastAsia="en-GB"/>
              </w:rPr>
              <w:t>Key personnel</w:t>
            </w:r>
          </w:p>
        </w:tc>
      </w:tr>
      <w:tr w:rsidR="00545554" w:rsidRPr="0023654F" w:rsidTr="00545554">
        <w:trPr>
          <w:cantSplit/>
          <w:tblHeader/>
        </w:trPr>
        <w:tc>
          <w:tcPr>
            <w:tcW w:w="709" w:type="dxa"/>
            <w:gridSpan w:val="2"/>
            <w:tcBorders>
              <w:top w:val="single" w:sz="4" w:space="0" w:color="auto"/>
              <w:left w:val="nil"/>
              <w:right w:val="single" w:sz="4" w:space="0" w:color="auto"/>
            </w:tcBorders>
          </w:tcPr>
          <w:p w:rsidR="00545554" w:rsidRPr="00911851" w:rsidRDefault="00545554" w:rsidP="00545554">
            <w:pPr>
              <w:pStyle w:val="TableText"/>
              <w:snapToGrid w:val="0"/>
              <w:rPr>
                <w:lang w:eastAsia="en-GB"/>
              </w:rPr>
            </w:pPr>
            <w:r>
              <w:rPr>
                <w:lang w:eastAsia="en-GB"/>
              </w:rPr>
              <w:t>1</w:t>
            </w:r>
          </w:p>
        </w:tc>
        <w:tc>
          <w:tcPr>
            <w:tcW w:w="1276" w:type="dxa"/>
            <w:vMerge w:val="restart"/>
            <w:tcBorders>
              <w:top w:val="single" w:sz="4" w:space="0" w:color="auto"/>
              <w:left w:val="single" w:sz="4" w:space="0" w:color="auto"/>
              <w:right w:val="single" w:sz="4" w:space="0" w:color="auto"/>
            </w:tcBorders>
            <w:vAlign w:val="center"/>
          </w:tcPr>
          <w:p w:rsidR="00545554" w:rsidRPr="00911851" w:rsidRDefault="00545554" w:rsidP="00545554">
            <w:pPr>
              <w:pStyle w:val="TableText"/>
              <w:snapToGrid w:val="0"/>
              <w:rPr>
                <w:noProof/>
                <w:lang w:eastAsia="en-GB"/>
              </w:rPr>
            </w:pPr>
            <w:r>
              <w:rPr>
                <w:lang w:eastAsia="en-GB"/>
              </w:rPr>
              <w:t>Fixed remuneration</w:t>
            </w:r>
          </w:p>
        </w:tc>
        <w:tc>
          <w:tcPr>
            <w:tcW w:w="4394" w:type="dxa"/>
            <w:tcBorders>
              <w:top w:val="single" w:sz="4" w:space="0" w:color="auto"/>
              <w:left w:val="single" w:sz="4" w:space="0" w:color="auto"/>
              <w:right w:val="single" w:sz="4" w:space="0" w:color="auto"/>
            </w:tcBorders>
          </w:tcPr>
          <w:p w:rsidR="00545554" w:rsidRPr="00911851" w:rsidRDefault="00545554" w:rsidP="00545554">
            <w:pPr>
              <w:pStyle w:val="TableText"/>
              <w:snapToGrid w:val="0"/>
              <w:rPr>
                <w:lang w:eastAsia="en-GB"/>
              </w:rPr>
            </w:pPr>
            <w:r>
              <w:rPr>
                <w:lang w:eastAsia="en-GB"/>
              </w:rPr>
              <w:t>Number of employees</w:t>
            </w:r>
          </w:p>
        </w:tc>
        <w:tc>
          <w:tcPr>
            <w:tcW w:w="1431" w:type="dxa"/>
            <w:tcBorders>
              <w:top w:val="single" w:sz="4" w:space="0" w:color="auto"/>
              <w:left w:val="single" w:sz="4" w:space="0" w:color="auto"/>
              <w:right w:val="single" w:sz="4" w:space="0" w:color="auto"/>
            </w:tcBorders>
          </w:tcPr>
          <w:p w:rsidR="00545554" w:rsidRPr="0023654F" w:rsidRDefault="00545554" w:rsidP="00545554">
            <w:pPr>
              <w:pStyle w:val="TableText"/>
              <w:snapToGrid w:val="0"/>
              <w:rPr>
                <w:b/>
                <w:noProof/>
                <w:lang w:eastAsia="en-GB"/>
              </w:rPr>
            </w:pPr>
          </w:p>
        </w:tc>
        <w:tc>
          <w:tcPr>
            <w:tcW w:w="1404" w:type="dxa"/>
            <w:tcBorders>
              <w:top w:val="single" w:sz="4" w:space="0" w:color="auto"/>
              <w:left w:val="single" w:sz="4" w:space="0" w:color="auto"/>
              <w:right w:val="single" w:sz="4" w:space="0" w:color="auto"/>
            </w:tcBorders>
            <w:vAlign w:val="center"/>
          </w:tcPr>
          <w:p w:rsidR="00545554" w:rsidRPr="0023654F" w:rsidRDefault="00545554" w:rsidP="00545554">
            <w:pPr>
              <w:pStyle w:val="TableText"/>
              <w:snapToGrid w:val="0"/>
              <w:rPr>
                <w:rFonts w:ascii="Arial" w:hAnsi="Arial"/>
                <w:bCs/>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2</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snapToGrid w:val="0"/>
              <w:rPr>
                <w:lang w:eastAsia="en-GB"/>
              </w:rPr>
            </w:pPr>
            <w:r w:rsidRPr="00DC0262">
              <w:rPr>
                <w:lang w:eastAsia="en-GB"/>
              </w:rPr>
              <w:t>Total</w:t>
            </w:r>
            <w:r>
              <w:rPr>
                <w:lang w:eastAsia="en-GB"/>
              </w:rPr>
              <w:t xml:space="preserve"> fixed remuneration</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3</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317"/>
              </w:tabs>
              <w:snapToGrid w:val="0"/>
              <w:ind w:left="316" w:hangingChars="186" w:hanging="316"/>
              <w:rPr>
                <w:lang w:eastAsia="en-GB"/>
              </w:rPr>
            </w:pPr>
            <w:r>
              <w:rPr>
                <w:lang w:eastAsia="en-GB"/>
              </w:rPr>
              <w:tab/>
              <w:t>Of which: cash-based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4</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5</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DC0262" w:rsidRDefault="00545554" w:rsidP="00545554">
            <w:pPr>
              <w:pStyle w:val="TableText"/>
              <w:tabs>
                <w:tab w:val="left" w:pos="317"/>
              </w:tabs>
              <w:snapToGrid w:val="0"/>
              <w:ind w:left="316" w:hangingChars="186" w:hanging="316"/>
              <w:rPr>
                <w:lang w:eastAsia="en-GB"/>
              </w:rPr>
            </w:pPr>
            <w:r>
              <w:rPr>
                <w:lang w:eastAsia="en-GB"/>
              </w:rPr>
              <w:tab/>
            </w:r>
            <w:r w:rsidRPr="00DC0262">
              <w:rPr>
                <w:lang w:eastAsia="en-GB"/>
              </w:rPr>
              <w:t>Of which: shares or</w:t>
            </w:r>
            <w:r>
              <w:rPr>
                <w:lang w:eastAsia="en-GB"/>
              </w:rPr>
              <w:t xml:space="preserve"> other share-linked instruments</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6</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7</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317"/>
              </w:tabs>
              <w:snapToGrid w:val="0"/>
              <w:ind w:left="316" w:hangingChars="186" w:hanging="316"/>
              <w:rPr>
                <w:lang w:eastAsia="en-GB"/>
              </w:rPr>
            </w:pPr>
            <w:r>
              <w:rPr>
                <w:lang w:eastAsia="en-GB"/>
              </w:rPr>
              <w:tab/>
              <w:t>Of which: other forms</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sidRPr="0023654F">
              <w:rPr>
                <w:lang w:eastAsia="en-GB"/>
              </w:rPr>
              <w:t>8</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top w:val="single" w:sz="4" w:space="0" w:color="auto"/>
              <w:left w:val="nil"/>
              <w:right w:val="single" w:sz="4" w:space="0" w:color="auto"/>
            </w:tcBorders>
          </w:tcPr>
          <w:p w:rsidR="00545554" w:rsidRPr="0023654F" w:rsidRDefault="00545554" w:rsidP="00545554">
            <w:pPr>
              <w:pStyle w:val="TableText"/>
              <w:snapToGrid w:val="0"/>
              <w:rPr>
                <w:lang w:eastAsia="en-GB"/>
              </w:rPr>
            </w:pPr>
            <w:r>
              <w:rPr>
                <w:lang w:eastAsia="en-GB"/>
              </w:rPr>
              <w:t>9</w:t>
            </w:r>
          </w:p>
        </w:tc>
        <w:tc>
          <w:tcPr>
            <w:tcW w:w="1276" w:type="dxa"/>
            <w:vMerge w:val="restart"/>
            <w:tcBorders>
              <w:top w:val="single" w:sz="4" w:space="0" w:color="auto"/>
              <w:left w:val="single" w:sz="4" w:space="0" w:color="auto"/>
              <w:right w:val="single" w:sz="4" w:space="0" w:color="auto"/>
            </w:tcBorders>
            <w:vAlign w:val="center"/>
          </w:tcPr>
          <w:p w:rsidR="00545554" w:rsidRPr="0023654F" w:rsidRDefault="00545554" w:rsidP="00545554">
            <w:pPr>
              <w:pStyle w:val="TableText"/>
              <w:snapToGrid w:val="0"/>
              <w:rPr>
                <w:lang w:eastAsia="en-GB"/>
              </w:rPr>
            </w:pPr>
            <w:r>
              <w:rPr>
                <w:lang w:eastAsia="en-GB"/>
              </w:rPr>
              <w:t>Variable remuneration</w:t>
            </w:r>
          </w:p>
        </w:tc>
        <w:tc>
          <w:tcPr>
            <w:tcW w:w="4394" w:type="dxa"/>
            <w:tcBorders>
              <w:top w:val="single" w:sz="4" w:space="0" w:color="auto"/>
              <w:left w:val="single" w:sz="4" w:space="0" w:color="auto"/>
              <w:right w:val="single" w:sz="4" w:space="0" w:color="auto"/>
            </w:tcBorders>
          </w:tcPr>
          <w:p w:rsidR="00545554" w:rsidRPr="00911851" w:rsidRDefault="00545554" w:rsidP="00545554">
            <w:pPr>
              <w:pStyle w:val="TableText"/>
              <w:snapToGrid w:val="0"/>
              <w:rPr>
                <w:lang w:eastAsia="en-GB"/>
              </w:rPr>
            </w:pPr>
            <w:r>
              <w:rPr>
                <w:lang w:eastAsia="en-GB"/>
              </w:rPr>
              <w:t>Number of employees</w:t>
            </w:r>
          </w:p>
        </w:tc>
        <w:tc>
          <w:tcPr>
            <w:tcW w:w="1431" w:type="dxa"/>
            <w:tcBorders>
              <w:top w:val="single" w:sz="4" w:space="0" w:color="auto"/>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top w:val="single" w:sz="4" w:space="0" w:color="auto"/>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10</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snapToGrid w:val="0"/>
              <w:rPr>
                <w:lang w:eastAsia="en-GB"/>
              </w:rPr>
            </w:pPr>
            <w:r w:rsidRPr="00DC0262">
              <w:rPr>
                <w:lang w:eastAsia="en-GB"/>
              </w:rPr>
              <w:t>Total</w:t>
            </w:r>
            <w:r>
              <w:rPr>
                <w:lang w:eastAsia="en-GB"/>
              </w:rPr>
              <w:t xml:space="preserve"> variable remuneration</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11</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317"/>
              </w:tabs>
              <w:snapToGrid w:val="0"/>
              <w:ind w:left="316" w:hangingChars="186" w:hanging="316"/>
              <w:rPr>
                <w:lang w:eastAsia="en-GB"/>
              </w:rPr>
            </w:pPr>
            <w:r>
              <w:rPr>
                <w:lang w:eastAsia="en-GB"/>
              </w:rPr>
              <w:tab/>
              <w:t>Of which: cash-based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12</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13</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DC0262" w:rsidRDefault="00545554" w:rsidP="00545554">
            <w:pPr>
              <w:pStyle w:val="TableText"/>
              <w:tabs>
                <w:tab w:val="left" w:pos="317"/>
              </w:tabs>
              <w:snapToGrid w:val="0"/>
              <w:ind w:left="316" w:hangingChars="186" w:hanging="316"/>
              <w:rPr>
                <w:lang w:eastAsia="en-GB"/>
              </w:rPr>
            </w:pPr>
            <w:r>
              <w:rPr>
                <w:lang w:eastAsia="en-GB"/>
              </w:rPr>
              <w:tab/>
            </w:r>
            <w:r w:rsidRPr="00DC0262">
              <w:rPr>
                <w:lang w:eastAsia="en-GB"/>
              </w:rPr>
              <w:t>Of which: shares or</w:t>
            </w:r>
            <w:r>
              <w:rPr>
                <w:lang w:eastAsia="en-GB"/>
              </w:rPr>
              <w:t xml:space="preserve"> other share-linked instruments</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14</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right w:val="single" w:sz="4" w:space="0" w:color="auto"/>
            </w:tcBorders>
          </w:tcPr>
          <w:p w:rsidR="00545554" w:rsidRPr="0023654F" w:rsidRDefault="00545554" w:rsidP="00545554">
            <w:pPr>
              <w:pStyle w:val="TableText"/>
              <w:snapToGrid w:val="0"/>
              <w:rPr>
                <w:lang w:eastAsia="en-GB"/>
              </w:rPr>
            </w:pPr>
            <w:r>
              <w:rPr>
                <w:lang w:eastAsia="en-GB"/>
              </w:rPr>
              <w:t>15</w:t>
            </w:r>
          </w:p>
        </w:tc>
        <w:tc>
          <w:tcPr>
            <w:tcW w:w="1276" w:type="dxa"/>
            <w:vMerge/>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right w:val="single" w:sz="4" w:space="0" w:color="auto"/>
            </w:tcBorders>
          </w:tcPr>
          <w:p w:rsidR="00545554" w:rsidRPr="0023654F" w:rsidRDefault="00545554" w:rsidP="00545554">
            <w:pPr>
              <w:pStyle w:val="TableText"/>
              <w:tabs>
                <w:tab w:val="left" w:pos="317"/>
              </w:tabs>
              <w:snapToGrid w:val="0"/>
              <w:ind w:left="316" w:hangingChars="186" w:hanging="316"/>
              <w:rPr>
                <w:lang w:eastAsia="en-GB"/>
              </w:rPr>
            </w:pPr>
            <w:r>
              <w:rPr>
                <w:lang w:eastAsia="en-GB"/>
              </w:rPr>
              <w:tab/>
              <w:t>Of which: other forms</w:t>
            </w:r>
          </w:p>
        </w:tc>
        <w:tc>
          <w:tcPr>
            <w:tcW w:w="1431"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left w:val="nil"/>
              <w:bottom w:val="single" w:sz="4" w:space="0" w:color="auto"/>
              <w:right w:val="single" w:sz="4" w:space="0" w:color="auto"/>
            </w:tcBorders>
          </w:tcPr>
          <w:p w:rsidR="00545554" w:rsidRPr="0023654F" w:rsidRDefault="00545554" w:rsidP="00545554">
            <w:pPr>
              <w:pStyle w:val="TableText"/>
              <w:snapToGrid w:val="0"/>
              <w:rPr>
                <w:lang w:eastAsia="en-GB"/>
              </w:rPr>
            </w:pPr>
            <w:r>
              <w:rPr>
                <w:lang w:eastAsia="en-GB"/>
              </w:rPr>
              <w:t>16</w:t>
            </w:r>
          </w:p>
        </w:tc>
        <w:tc>
          <w:tcPr>
            <w:tcW w:w="1276" w:type="dxa"/>
            <w:vMerge/>
            <w:tcBorders>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en-GB"/>
              </w:rPr>
            </w:pPr>
          </w:p>
        </w:tc>
        <w:tc>
          <w:tcPr>
            <w:tcW w:w="4394" w:type="dxa"/>
            <w:tcBorders>
              <w:left w:val="single" w:sz="4" w:space="0" w:color="auto"/>
              <w:bottom w:val="single" w:sz="4" w:space="0" w:color="auto"/>
              <w:right w:val="single" w:sz="4" w:space="0" w:color="auto"/>
            </w:tcBorders>
          </w:tcPr>
          <w:p w:rsidR="00545554" w:rsidRPr="0023654F" w:rsidRDefault="00545554" w:rsidP="00545554">
            <w:pPr>
              <w:pStyle w:val="TableText"/>
              <w:tabs>
                <w:tab w:val="left" w:pos="601"/>
              </w:tabs>
              <w:snapToGrid w:val="0"/>
              <w:ind w:leftChars="158" w:left="600" w:hangingChars="167" w:hanging="284"/>
              <w:rPr>
                <w:lang w:eastAsia="en-GB"/>
              </w:rPr>
            </w:pPr>
            <w:r>
              <w:rPr>
                <w:lang w:eastAsia="en-GB"/>
              </w:rPr>
              <w:tab/>
              <w:t>Of which: deferred</w:t>
            </w:r>
          </w:p>
        </w:tc>
        <w:tc>
          <w:tcPr>
            <w:tcW w:w="1431" w:type="dxa"/>
            <w:tcBorders>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en-GB"/>
              </w:rPr>
            </w:pPr>
          </w:p>
        </w:tc>
        <w:tc>
          <w:tcPr>
            <w:tcW w:w="1404" w:type="dxa"/>
            <w:tcBorders>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en-GB"/>
              </w:rPr>
            </w:pPr>
          </w:p>
        </w:tc>
      </w:tr>
      <w:tr w:rsidR="00545554" w:rsidRPr="0023654F" w:rsidTr="00545554">
        <w:trPr>
          <w:cantSplit/>
        </w:trPr>
        <w:tc>
          <w:tcPr>
            <w:tcW w:w="709" w:type="dxa"/>
            <w:gridSpan w:val="2"/>
            <w:tcBorders>
              <w:top w:val="single" w:sz="4" w:space="0" w:color="auto"/>
              <w:left w:val="nil"/>
              <w:bottom w:val="single" w:sz="4" w:space="0" w:color="auto"/>
              <w:right w:val="single" w:sz="4" w:space="0" w:color="auto"/>
            </w:tcBorders>
          </w:tcPr>
          <w:p w:rsidR="00545554" w:rsidRPr="0023654F" w:rsidRDefault="00545554" w:rsidP="00545554">
            <w:pPr>
              <w:pStyle w:val="TableText"/>
              <w:snapToGrid w:val="0"/>
              <w:rPr>
                <w:b/>
                <w:lang w:eastAsia="en-GB"/>
              </w:rPr>
            </w:pPr>
            <w:r>
              <w:rPr>
                <w:b/>
                <w:lang w:eastAsia="en-GB"/>
              </w:rPr>
              <w:t>17</w:t>
            </w:r>
          </w:p>
        </w:tc>
        <w:tc>
          <w:tcPr>
            <w:tcW w:w="5670" w:type="dxa"/>
            <w:gridSpan w:val="2"/>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b/>
                <w:noProof/>
                <w:lang w:eastAsia="en-GB"/>
              </w:rPr>
            </w:pPr>
            <w:r>
              <w:rPr>
                <w:b/>
                <w:lang w:eastAsia="en-GB"/>
              </w:rPr>
              <w:t>Total remuneration</w:t>
            </w:r>
          </w:p>
        </w:tc>
        <w:tc>
          <w:tcPr>
            <w:tcW w:w="1431"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b/>
                <w:noProof/>
                <w:lang w:eastAsia="en-GB"/>
              </w:rPr>
            </w:pPr>
          </w:p>
        </w:tc>
        <w:tc>
          <w:tcPr>
            <w:tcW w:w="1404" w:type="dxa"/>
            <w:tcBorders>
              <w:top w:val="single" w:sz="4" w:space="0" w:color="auto"/>
              <w:left w:val="single" w:sz="4" w:space="0" w:color="auto"/>
              <w:bottom w:val="single" w:sz="4" w:space="0" w:color="auto"/>
              <w:right w:val="single" w:sz="4" w:space="0" w:color="auto"/>
            </w:tcBorders>
          </w:tcPr>
          <w:p w:rsidR="00545554" w:rsidRPr="0023654F" w:rsidRDefault="00545554" w:rsidP="00545554">
            <w:pPr>
              <w:pStyle w:val="TableText"/>
              <w:snapToGrid w:val="0"/>
              <w:rPr>
                <w:lang w:eastAsia="en-GB"/>
              </w:rPr>
            </w:pPr>
          </w:p>
        </w:tc>
      </w:tr>
    </w:tbl>
    <w:p w:rsidR="008438FE" w:rsidRDefault="008438FE"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709"/>
        <w:gridCol w:w="8505"/>
      </w:tblGrid>
      <w:tr w:rsidR="00545554" w:rsidRPr="0072444B" w:rsidTr="00545554">
        <w:trPr>
          <w:tblHeader/>
        </w:trPr>
        <w:tc>
          <w:tcPr>
            <w:tcW w:w="9214" w:type="dxa"/>
            <w:gridSpan w:val="2"/>
            <w:shd w:val="clear" w:color="auto" w:fill="BFBFBF" w:themeFill="background1" w:themeFillShade="BF"/>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t>Explanatory Note</w:t>
            </w:r>
          </w:p>
        </w:tc>
      </w:tr>
      <w:tr w:rsidR="00545554" w:rsidRPr="0072444B" w:rsidTr="00545554">
        <w:trPr>
          <w:trHeight w:val="153"/>
        </w:trPr>
        <w:tc>
          <w:tcPr>
            <w:tcW w:w="9214" w:type="dxa"/>
            <w:gridSpan w:val="2"/>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Pr>
                <w:rFonts w:eastAsiaTheme="minorEastAsia"/>
                <w:b/>
                <w:sz w:val="17"/>
                <w:szCs w:val="17"/>
                <w:lang w:eastAsia="en-GB"/>
              </w:rPr>
              <w:t>Columns</w:t>
            </w:r>
          </w:p>
        </w:tc>
      </w:tr>
      <w:tr w:rsidR="00545554" w:rsidRPr="0072444B" w:rsidTr="00545554">
        <w:tc>
          <w:tcPr>
            <w:tcW w:w="709"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 xml:space="preserve">(a) and </w:t>
            </w:r>
            <w:r>
              <w:rPr>
                <w:rFonts w:cs="Segoe UI"/>
                <w:sz w:val="17"/>
                <w:szCs w:val="17"/>
                <w:lang w:eastAsia="en-GB"/>
              </w:rPr>
              <w:lastRenderedPageBreak/>
              <w:t>(b)</w:t>
            </w:r>
          </w:p>
        </w:tc>
        <w:tc>
          <w:tcPr>
            <w:tcW w:w="8505" w:type="dxa"/>
          </w:tcPr>
          <w:p w:rsidR="00545554" w:rsidRPr="0072444B" w:rsidRDefault="00545554" w:rsidP="00545554">
            <w:pPr>
              <w:pStyle w:val="TableText"/>
              <w:keepNext/>
              <w:jc w:val="both"/>
              <w:rPr>
                <w:szCs w:val="17"/>
              </w:rPr>
            </w:pPr>
            <w:r w:rsidRPr="008933E6">
              <w:rPr>
                <w:szCs w:val="17"/>
              </w:rPr>
              <w:lastRenderedPageBreak/>
              <w:t xml:space="preserve">Senior management and </w:t>
            </w:r>
            <w:r>
              <w:rPr>
                <w:szCs w:val="17"/>
              </w:rPr>
              <w:t>key personnel</w:t>
            </w:r>
            <w:r w:rsidRPr="008933E6">
              <w:rPr>
                <w:szCs w:val="17"/>
              </w:rPr>
              <w:t xml:space="preserve"> categories in columns (a) and (b) </w:t>
            </w:r>
            <w:r>
              <w:rPr>
                <w:szCs w:val="17"/>
              </w:rPr>
              <w:t>should</w:t>
            </w:r>
            <w:r w:rsidRPr="008933E6">
              <w:rPr>
                <w:szCs w:val="17"/>
              </w:rPr>
              <w:t xml:space="preserve"> correspond to the type of </w:t>
            </w:r>
            <w:r w:rsidRPr="008933E6">
              <w:rPr>
                <w:szCs w:val="17"/>
              </w:rPr>
              <w:lastRenderedPageBreak/>
              <w:t>emp</w:t>
            </w:r>
            <w:r>
              <w:rPr>
                <w:szCs w:val="17"/>
              </w:rPr>
              <w:t>loyees described in Table REMA.</w:t>
            </w:r>
            <w:r w:rsidR="000826CD">
              <w:rPr>
                <w:szCs w:val="17"/>
              </w:rPr>
              <w:t xml:space="preserve">  (Note: </w:t>
            </w:r>
            <w:r w:rsidR="000826CD" w:rsidRPr="001B530B">
              <w:rPr>
                <w:szCs w:val="17"/>
              </w:rPr>
              <w:t>If an AI has such a small number of executives that individuals’ remuneration could be easily deduced from disclosure of a breakdown of the figures, it is acceptable for the AI, in so far as the sensitivity of the information will be disadvantageous to the AI, to disclose aggregate figures for senior management and key personnel.  This is, however, provided that this fact and the reason for doing so (i.e. disclosing aggregate figures instead of disclosing separate figures) are adequately disclosed in the accompanying narrative.</w:t>
            </w:r>
            <w:r w:rsidR="001A57C6">
              <w:rPr>
                <w:szCs w:val="17"/>
              </w:rPr>
              <w:t>)</w:t>
            </w:r>
          </w:p>
        </w:tc>
      </w:tr>
      <w:tr w:rsidR="00545554" w:rsidRPr="0072444B" w:rsidTr="00545554">
        <w:tc>
          <w:tcPr>
            <w:tcW w:w="9214" w:type="dxa"/>
            <w:gridSpan w:val="2"/>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lastRenderedPageBreak/>
              <w:t>Rows</w:t>
            </w:r>
          </w:p>
        </w:tc>
      </w:tr>
      <w:tr w:rsidR="00545554" w:rsidRPr="0072444B" w:rsidTr="00545554">
        <w:trPr>
          <w:trHeight w:val="309"/>
        </w:trPr>
        <w:tc>
          <w:tcPr>
            <w:tcW w:w="709" w:type="dxa"/>
          </w:tcPr>
          <w:p w:rsidR="00545554" w:rsidRPr="0072444B"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2</w:t>
            </w:r>
          </w:p>
        </w:tc>
        <w:tc>
          <w:tcPr>
            <w:tcW w:w="8505" w:type="dxa"/>
          </w:tcPr>
          <w:p w:rsidR="00545554" w:rsidRPr="0072444B" w:rsidRDefault="00545554" w:rsidP="00545554">
            <w:pPr>
              <w:pStyle w:val="TableText"/>
              <w:keepNext/>
              <w:jc w:val="both"/>
              <w:rPr>
                <w:szCs w:val="17"/>
              </w:rPr>
            </w:pPr>
            <w:r w:rsidRPr="00BF621A">
              <w:rPr>
                <w:i/>
                <w:lang w:eastAsia="en-GB"/>
              </w:rPr>
              <w:t>Total fixed remuneration</w:t>
            </w:r>
            <w:r>
              <w:rPr>
                <w:lang w:eastAsia="en-GB"/>
              </w:rPr>
              <w:t xml:space="preserve">: </w:t>
            </w:r>
            <w:r>
              <w:rPr>
                <w:szCs w:val="17"/>
              </w:rPr>
              <w:t>the sum of values in rows 3, 5 and 7.</w:t>
            </w:r>
          </w:p>
        </w:tc>
      </w:tr>
      <w:tr w:rsidR="00545554" w:rsidRPr="0072444B" w:rsidTr="00545554">
        <w:trPr>
          <w:trHeight w:val="309"/>
        </w:trPr>
        <w:tc>
          <w:tcPr>
            <w:tcW w:w="709"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7</w:t>
            </w:r>
          </w:p>
        </w:tc>
        <w:tc>
          <w:tcPr>
            <w:tcW w:w="8505" w:type="dxa"/>
          </w:tcPr>
          <w:p w:rsidR="00545554" w:rsidRPr="00452577" w:rsidRDefault="00545554" w:rsidP="00545554">
            <w:pPr>
              <w:pStyle w:val="TableText"/>
              <w:keepNext/>
              <w:jc w:val="both"/>
              <w:rPr>
                <w:i/>
                <w:lang w:val="en-US" w:eastAsia="en-GB"/>
              </w:rPr>
            </w:pPr>
            <w:r w:rsidRPr="00452577">
              <w:rPr>
                <w:i/>
                <w:lang w:eastAsia="en-GB"/>
              </w:rPr>
              <w:t>Fixed remuneration – Of which: other forms</w:t>
            </w:r>
            <w:r>
              <w:rPr>
                <w:lang w:eastAsia="en-GB"/>
              </w:rPr>
              <w:t xml:space="preserve">: </w:t>
            </w:r>
            <w:r>
              <w:rPr>
                <w:szCs w:val="17"/>
              </w:rPr>
              <w:t>t</w:t>
            </w:r>
            <w:r w:rsidRPr="00452577">
              <w:rPr>
                <w:szCs w:val="17"/>
              </w:rPr>
              <w:t>he</w:t>
            </w:r>
            <w:r>
              <w:rPr>
                <w:szCs w:val="17"/>
              </w:rPr>
              <w:t>se other forms of fixed remuneration</w:t>
            </w:r>
            <w:r w:rsidRPr="00452577">
              <w:rPr>
                <w:szCs w:val="17"/>
              </w:rPr>
              <w:t xml:space="preserve"> </w:t>
            </w:r>
            <w:r>
              <w:rPr>
                <w:szCs w:val="17"/>
              </w:rPr>
              <w:t>must</w:t>
            </w:r>
            <w:r w:rsidRPr="00452577">
              <w:rPr>
                <w:szCs w:val="17"/>
              </w:rPr>
              <w:t xml:space="preserve"> be described in </w:t>
            </w:r>
            <w:r>
              <w:rPr>
                <w:szCs w:val="17"/>
              </w:rPr>
              <w:t>T</w:t>
            </w:r>
            <w:r w:rsidRPr="00452577">
              <w:rPr>
                <w:szCs w:val="17"/>
              </w:rPr>
              <w:t xml:space="preserve">able REMA and, </w:t>
            </w:r>
            <w:r>
              <w:rPr>
                <w:szCs w:val="17"/>
              </w:rPr>
              <w:t>where relevant</w:t>
            </w:r>
            <w:r w:rsidRPr="00452577">
              <w:rPr>
                <w:szCs w:val="17"/>
              </w:rPr>
              <w:t>,</w:t>
            </w:r>
            <w:r>
              <w:rPr>
                <w:szCs w:val="17"/>
              </w:rPr>
              <w:t xml:space="preserve"> in the accompanying narrative of this template.</w:t>
            </w:r>
          </w:p>
        </w:tc>
      </w:tr>
      <w:tr w:rsidR="00545554" w:rsidRPr="0072444B" w:rsidTr="00545554">
        <w:trPr>
          <w:trHeight w:val="373"/>
        </w:trPr>
        <w:tc>
          <w:tcPr>
            <w:tcW w:w="709" w:type="dxa"/>
          </w:tcPr>
          <w:p w:rsidR="00545554" w:rsidRPr="0072444B"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10</w:t>
            </w:r>
          </w:p>
        </w:tc>
        <w:tc>
          <w:tcPr>
            <w:tcW w:w="8505" w:type="dxa"/>
          </w:tcPr>
          <w:p w:rsidR="00545554" w:rsidRPr="0072444B" w:rsidRDefault="00545554" w:rsidP="00545554">
            <w:pPr>
              <w:pStyle w:val="TableText"/>
              <w:keepNext/>
              <w:jc w:val="both"/>
              <w:rPr>
                <w:szCs w:val="17"/>
              </w:rPr>
            </w:pPr>
            <w:r w:rsidRPr="00BF621A">
              <w:rPr>
                <w:i/>
                <w:lang w:eastAsia="en-GB"/>
              </w:rPr>
              <w:t xml:space="preserve">Total </w:t>
            </w:r>
            <w:r>
              <w:rPr>
                <w:i/>
                <w:lang w:eastAsia="en-GB"/>
              </w:rPr>
              <w:t>variable</w:t>
            </w:r>
            <w:r w:rsidRPr="00BF621A">
              <w:rPr>
                <w:i/>
                <w:lang w:eastAsia="en-GB"/>
              </w:rPr>
              <w:t xml:space="preserve"> remuneration</w:t>
            </w:r>
            <w:r>
              <w:rPr>
                <w:lang w:eastAsia="en-GB"/>
              </w:rPr>
              <w:t xml:space="preserve">: </w:t>
            </w:r>
            <w:r>
              <w:rPr>
                <w:szCs w:val="17"/>
              </w:rPr>
              <w:t>the sum of values in rows 11, 13 and 15.</w:t>
            </w:r>
          </w:p>
        </w:tc>
      </w:tr>
      <w:tr w:rsidR="00545554" w:rsidRPr="0072444B" w:rsidTr="00545554">
        <w:trPr>
          <w:trHeight w:val="373"/>
        </w:trPr>
        <w:tc>
          <w:tcPr>
            <w:tcW w:w="709" w:type="dxa"/>
          </w:tcPr>
          <w:p w:rsidR="00545554"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15</w:t>
            </w:r>
          </w:p>
        </w:tc>
        <w:tc>
          <w:tcPr>
            <w:tcW w:w="8505" w:type="dxa"/>
          </w:tcPr>
          <w:p w:rsidR="00545554" w:rsidRPr="00452577" w:rsidRDefault="00545554" w:rsidP="00545554">
            <w:pPr>
              <w:pStyle w:val="TableText"/>
              <w:keepNext/>
              <w:jc w:val="both"/>
              <w:rPr>
                <w:i/>
                <w:lang w:val="en-US" w:eastAsia="en-GB"/>
              </w:rPr>
            </w:pPr>
            <w:r>
              <w:rPr>
                <w:i/>
                <w:lang w:eastAsia="en-GB"/>
              </w:rPr>
              <w:t>Variable</w:t>
            </w:r>
            <w:r w:rsidRPr="00452577">
              <w:rPr>
                <w:i/>
                <w:lang w:eastAsia="en-GB"/>
              </w:rPr>
              <w:t xml:space="preserve"> remuneration – Of which: other forms</w:t>
            </w:r>
            <w:r>
              <w:rPr>
                <w:lang w:eastAsia="en-GB"/>
              </w:rPr>
              <w:t xml:space="preserve">: </w:t>
            </w:r>
            <w:r>
              <w:rPr>
                <w:szCs w:val="17"/>
              </w:rPr>
              <w:t>t</w:t>
            </w:r>
            <w:r w:rsidRPr="00452577">
              <w:rPr>
                <w:szCs w:val="17"/>
              </w:rPr>
              <w:t>he</w:t>
            </w:r>
            <w:r>
              <w:rPr>
                <w:szCs w:val="17"/>
              </w:rPr>
              <w:t>se other forms of variable remuneration</w:t>
            </w:r>
            <w:r w:rsidRPr="00452577">
              <w:rPr>
                <w:szCs w:val="17"/>
              </w:rPr>
              <w:t xml:space="preserve"> </w:t>
            </w:r>
            <w:r>
              <w:rPr>
                <w:szCs w:val="17"/>
              </w:rPr>
              <w:t>must</w:t>
            </w:r>
            <w:r w:rsidRPr="00452577">
              <w:rPr>
                <w:szCs w:val="17"/>
              </w:rPr>
              <w:t xml:space="preserve"> be described in </w:t>
            </w:r>
            <w:r>
              <w:rPr>
                <w:szCs w:val="17"/>
              </w:rPr>
              <w:t>T</w:t>
            </w:r>
            <w:r w:rsidRPr="00452577">
              <w:rPr>
                <w:szCs w:val="17"/>
              </w:rPr>
              <w:t>able REMA and,</w:t>
            </w:r>
            <w:r>
              <w:rPr>
                <w:szCs w:val="17"/>
              </w:rPr>
              <w:t xml:space="preserve"> where relevant</w:t>
            </w:r>
            <w:r w:rsidRPr="00452577">
              <w:rPr>
                <w:szCs w:val="17"/>
              </w:rPr>
              <w:t>,</w:t>
            </w:r>
            <w:r>
              <w:rPr>
                <w:szCs w:val="17"/>
              </w:rPr>
              <w:t xml:space="preserve"> in the accompanying narrative of this template.</w:t>
            </w:r>
          </w:p>
        </w:tc>
      </w:tr>
      <w:tr w:rsidR="00545554" w:rsidRPr="0072444B" w:rsidTr="00545554">
        <w:trPr>
          <w:trHeight w:val="373"/>
        </w:trPr>
        <w:tc>
          <w:tcPr>
            <w:tcW w:w="709" w:type="dxa"/>
          </w:tcPr>
          <w:p w:rsidR="00545554" w:rsidRPr="0072444B"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17</w:t>
            </w:r>
          </w:p>
        </w:tc>
        <w:tc>
          <w:tcPr>
            <w:tcW w:w="8505" w:type="dxa"/>
          </w:tcPr>
          <w:p w:rsidR="00545554" w:rsidRPr="0072444B" w:rsidRDefault="00545554" w:rsidP="00545554">
            <w:pPr>
              <w:pStyle w:val="TableText"/>
              <w:keepNext/>
              <w:jc w:val="both"/>
              <w:rPr>
                <w:szCs w:val="17"/>
              </w:rPr>
            </w:pPr>
            <w:r w:rsidRPr="00BF621A">
              <w:rPr>
                <w:i/>
                <w:lang w:eastAsia="en-GB"/>
              </w:rPr>
              <w:t>Total remuneration</w:t>
            </w:r>
            <w:r>
              <w:rPr>
                <w:lang w:eastAsia="en-GB"/>
              </w:rPr>
              <w:t xml:space="preserve">: </w:t>
            </w:r>
            <w:r>
              <w:rPr>
                <w:szCs w:val="17"/>
              </w:rPr>
              <w:t>the sum of values in rows 2 and 10.</w:t>
            </w:r>
          </w:p>
        </w:tc>
      </w:tr>
    </w:tbl>
    <w:p w:rsidR="00545554" w:rsidRDefault="00545554" w:rsidP="00545554">
      <w:pPr>
        <w:spacing w:before="120" w:after="120"/>
        <w:rPr>
          <w:sz w:val="22"/>
        </w:rPr>
      </w:pPr>
    </w:p>
    <w:p w:rsidR="00545554" w:rsidRDefault="00545554" w:rsidP="00545554">
      <w:pPr>
        <w:sectPr w:rsidR="00545554">
          <w:headerReference w:type="even" r:id="rId84"/>
          <w:headerReference w:type="default" r:id="rId85"/>
          <w:footerReference w:type="even" r:id="rId86"/>
          <w:footerReference w:type="default" r:id="rId87"/>
          <w:headerReference w:type="first" r:id="rId88"/>
          <w:footerReference w:type="first" r:id="rId89"/>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REM2</w:t>
            </w:r>
            <w:r w:rsidRPr="0023654F">
              <w:rPr>
                <w:sz w:val="22"/>
              </w:rPr>
              <w:t xml:space="preserve">: </w:t>
            </w:r>
            <w:r>
              <w:rPr>
                <w:sz w:val="22"/>
              </w:rPr>
              <w:t>Special payments</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025AEC" w:rsidRDefault="00545554" w:rsidP="00545554">
            <w:pPr>
              <w:spacing w:before="40" w:after="40"/>
              <w:jc w:val="both"/>
              <w:rPr>
                <w:rFonts w:eastAsiaTheme="minorEastAsia"/>
                <w:sz w:val="17"/>
                <w:lang w:eastAsia="en-GB"/>
              </w:rPr>
            </w:pPr>
            <w:r w:rsidRPr="00025AEC">
              <w:rPr>
                <w:rFonts w:eastAsiaTheme="minorEastAsia"/>
                <w:sz w:val="17"/>
                <w:lang w:eastAsia="en-GB"/>
              </w:rPr>
              <w:t xml:space="preserve">To </w:t>
            </w:r>
            <w:r>
              <w:rPr>
                <w:rFonts w:eastAsiaTheme="minorEastAsia"/>
                <w:sz w:val="17"/>
                <w:lang w:eastAsia="en-GB"/>
              </w:rPr>
              <w:t>p</w:t>
            </w:r>
            <w:r>
              <w:rPr>
                <w:sz w:val="17"/>
                <w:szCs w:val="17"/>
              </w:rPr>
              <w:t>rovide quantitative information on special payment for the financial year.</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025AEC" w:rsidRDefault="00545554" w:rsidP="00545554">
            <w:pPr>
              <w:spacing w:before="40" w:after="40"/>
              <w:jc w:val="both"/>
              <w:rPr>
                <w:rFonts w:eastAsiaTheme="minorEastAsia"/>
                <w:sz w:val="17"/>
                <w:lang w:eastAsia="en-GB"/>
              </w:rPr>
            </w:pPr>
            <w:r w:rsidRPr="0023654F">
              <w:rPr>
                <w:rFonts w:eastAsiaTheme="minorEastAsia"/>
                <w:sz w:val="17"/>
                <w:lang w:eastAsia="en-GB"/>
              </w:rPr>
              <w:t xml:space="preserve">The template is mandatory for </w:t>
            </w:r>
            <w:r>
              <w:rPr>
                <w:rFonts w:eastAsiaTheme="minorEastAsia"/>
                <w:sz w:val="17"/>
                <w:lang w:eastAsia="en-GB"/>
              </w:rPr>
              <w:t>all AI</w:t>
            </w:r>
            <w:r w:rsidRPr="0023654F">
              <w:rPr>
                <w:rFonts w:eastAsiaTheme="minorEastAsia"/>
                <w:sz w:val="17"/>
                <w:lang w:eastAsia="en-GB"/>
              </w:rPr>
              <w:t xml:space="preserve">s </w:t>
            </w:r>
            <w:r>
              <w:rPr>
                <w:rFonts w:eastAsiaTheme="minorEastAsia"/>
                <w:sz w:val="17"/>
                <w:lang w:eastAsia="en-GB"/>
              </w:rPr>
              <w:t>incorporated in Hong Kong.</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070A41" w:rsidRDefault="00545554" w:rsidP="00FE0F7C">
            <w:pPr>
              <w:spacing w:before="40" w:after="40"/>
              <w:jc w:val="both"/>
              <w:rPr>
                <w:rFonts w:eastAsiaTheme="minorEastAsia"/>
                <w:sz w:val="17"/>
                <w:lang w:eastAsia="en-GB"/>
              </w:rPr>
            </w:pPr>
            <w:r w:rsidRPr="00070A41">
              <w:rPr>
                <w:rFonts w:eastAsiaTheme="minorEastAsia"/>
                <w:sz w:val="17"/>
                <w:lang w:eastAsia="en-GB"/>
              </w:rPr>
              <w:t>Quantitative</w:t>
            </w:r>
            <w:r>
              <w:rPr>
                <w:sz w:val="17"/>
                <w:lang w:eastAsia="en-GB"/>
              </w:rPr>
              <w:t xml:space="preserve"> information.</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070A41" w:rsidRDefault="00545554" w:rsidP="00545554">
            <w:pPr>
              <w:pStyle w:val="TableText"/>
              <w:jc w:val="both"/>
              <w:rPr>
                <w:rFonts w:eastAsiaTheme="minorEastAsia"/>
                <w:lang w:eastAsia="en-GB"/>
              </w:rPr>
            </w:pPr>
            <w:r w:rsidRPr="0023654F">
              <w:rPr>
                <w:lang w:eastAsia="en-GB"/>
              </w:rPr>
              <w:t>Annual.</w:t>
            </w:r>
            <w:r w:rsidRPr="00070A41">
              <w:rPr>
                <w:rFonts w:eastAsiaTheme="minorEastAsia"/>
                <w:lang w:eastAsia="en-GB"/>
              </w:rPr>
              <w:t xml:space="preserve"> </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Pr>
                <w:lang w:eastAsia="en-GB"/>
              </w:rPr>
              <w:t>Flexible.</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070A41" w:rsidRDefault="00545554" w:rsidP="00545554">
            <w:pPr>
              <w:spacing w:before="40" w:after="40"/>
              <w:jc w:val="both"/>
              <w:rPr>
                <w:noProof/>
                <w:sz w:val="17"/>
                <w:szCs w:val="17"/>
                <w:lang w:val="en-US" w:eastAsia="en-GB"/>
              </w:rPr>
            </w:pPr>
            <w:r w:rsidRPr="00070A41">
              <w:rPr>
                <w:sz w:val="17"/>
                <w:szCs w:val="17"/>
                <w:lang w:eastAsia="en-GB"/>
              </w:rPr>
              <w:t xml:space="preserve">An </w:t>
            </w:r>
            <w:r w:rsidRPr="00070A41">
              <w:rPr>
                <w:rFonts w:eastAsiaTheme="minorEastAsia"/>
                <w:sz w:val="17"/>
                <w:szCs w:val="17"/>
                <w:lang w:eastAsia="en-GB"/>
              </w:rPr>
              <w:t>AI</w:t>
            </w:r>
            <w:r w:rsidRPr="00070A41">
              <w:rPr>
                <w:sz w:val="17"/>
                <w:szCs w:val="17"/>
                <w:lang w:eastAsia="en-GB"/>
              </w:rPr>
              <w:t xml:space="preserve"> </w:t>
            </w:r>
            <w:r>
              <w:rPr>
                <w:sz w:val="17"/>
                <w:szCs w:val="17"/>
              </w:rPr>
              <w:t>should</w:t>
            </w:r>
            <w:r w:rsidRPr="00070A41">
              <w:rPr>
                <w:sz w:val="17"/>
                <w:szCs w:val="17"/>
              </w:rPr>
              <w:t xml:space="preserve"> supplement the template with a narrative commentary to explain any significant movements over the reporting period and the key drivers of such movements.</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Default="00545554" w:rsidP="001324D2">
            <w:pPr>
              <w:pStyle w:val="TableText"/>
              <w:jc w:val="both"/>
              <w:rPr>
                <w:szCs w:val="17"/>
                <w:lang w:eastAsia="en-GB"/>
              </w:rPr>
            </w:pPr>
            <w:r w:rsidRPr="001B530B">
              <w:rPr>
                <w:szCs w:val="17"/>
                <w:lang w:eastAsia="en-GB"/>
              </w:rPr>
              <w:t>16ZU</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6"/>
        <w:gridCol w:w="143"/>
        <w:gridCol w:w="1276"/>
        <w:gridCol w:w="1204"/>
        <w:gridCol w:w="1205"/>
        <w:gridCol w:w="1205"/>
        <w:gridCol w:w="1205"/>
        <w:gridCol w:w="1205"/>
        <w:gridCol w:w="1205"/>
      </w:tblGrid>
      <w:tr w:rsidR="00545554" w:rsidRPr="0023654F" w:rsidTr="00545554">
        <w:trPr>
          <w:cantSplit/>
          <w:trHeight w:val="249"/>
          <w:tblHeader/>
        </w:trPr>
        <w:tc>
          <w:tcPr>
            <w:tcW w:w="566" w:type="dxa"/>
            <w:tcBorders>
              <w:top w:val="nil"/>
              <w:left w:val="nil"/>
              <w:bottom w:val="single" w:sz="4" w:space="0" w:color="auto"/>
              <w:right w:val="nil"/>
            </w:tcBorders>
          </w:tcPr>
          <w:p w:rsidR="00545554" w:rsidRPr="0023654F" w:rsidRDefault="00545554" w:rsidP="00545554">
            <w:pPr>
              <w:pStyle w:val="TableText"/>
              <w:snapToGrid w:val="0"/>
              <w:rPr>
                <w:lang w:eastAsia="en-GB"/>
              </w:rPr>
            </w:pPr>
          </w:p>
        </w:tc>
        <w:tc>
          <w:tcPr>
            <w:tcW w:w="1419" w:type="dxa"/>
            <w:gridSpan w:val="2"/>
            <w:tcBorders>
              <w:top w:val="nil"/>
              <w:left w:val="nil"/>
              <w:bottom w:val="single" w:sz="4" w:space="0" w:color="auto"/>
              <w:right w:val="single" w:sz="4" w:space="0" w:color="auto"/>
            </w:tcBorders>
            <w:vAlign w:val="center"/>
          </w:tcPr>
          <w:p w:rsidR="00545554" w:rsidRPr="0023654F" w:rsidRDefault="00545554" w:rsidP="00545554">
            <w:pPr>
              <w:pStyle w:val="TableText"/>
              <w:snapToGrid w:val="0"/>
              <w:rPr>
                <w:lang w:eastAsia="en-GB"/>
              </w:rPr>
            </w:pPr>
          </w:p>
        </w:tc>
        <w:tc>
          <w:tcPr>
            <w:tcW w:w="1204"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w:t>
            </w:r>
            <w:r w:rsidRPr="0023654F">
              <w:rPr>
                <w:bCs/>
                <w:szCs w:val="17"/>
                <w:lang w:eastAsia="it-IT"/>
              </w:rPr>
              <w:t>a</w:t>
            </w:r>
            <w:r>
              <w:rPr>
                <w:bCs/>
                <w:szCs w:val="17"/>
                <w:lang w:eastAsia="it-IT"/>
              </w:rPr>
              <w:t>)</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(b)</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lang w:eastAsia="en-GB"/>
              </w:rPr>
            </w:pPr>
            <w:r>
              <w:rPr>
                <w:lang w:eastAsia="en-GB"/>
              </w:rPr>
              <w:t>(c)</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lang w:eastAsia="en-GB"/>
              </w:rPr>
            </w:pPr>
            <w:r>
              <w:rPr>
                <w:lang w:eastAsia="en-GB"/>
              </w:rPr>
              <w:t>(d)</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(e)</w:t>
            </w:r>
          </w:p>
        </w:tc>
        <w:tc>
          <w:tcPr>
            <w:tcW w:w="1205" w:type="dxa"/>
            <w:tcBorders>
              <w:top w:val="single" w:sz="4" w:space="0" w:color="auto"/>
              <w:left w:val="single" w:sz="4" w:space="0" w:color="auto"/>
              <w:bottom w:val="single" w:sz="4" w:space="0" w:color="auto"/>
              <w:right w:val="single" w:sz="4" w:space="0" w:color="auto"/>
            </w:tcBorders>
            <w:vAlign w:val="center"/>
          </w:tcPr>
          <w:p w:rsidR="00545554" w:rsidRPr="0023654F" w:rsidRDefault="00545554" w:rsidP="00545554">
            <w:pPr>
              <w:pStyle w:val="TableText"/>
              <w:snapToGrid w:val="0"/>
              <w:jc w:val="center"/>
              <w:rPr>
                <w:bCs/>
                <w:szCs w:val="17"/>
                <w:lang w:eastAsia="it-IT"/>
              </w:rPr>
            </w:pPr>
            <w:r>
              <w:rPr>
                <w:bCs/>
                <w:szCs w:val="17"/>
                <w:lang w:eastAsia="it-IT"/>
              </w:rPr>
              <w:t>(f)</w:t>
            </w:r>
          </w:p>
        </w:tc>
      </w:tr>
      <w:tr w:rsidR="00545554" w:rsidRPr="0023654F" w:rsidTr="00545554">
        <w:trPr>
          <w:cantSplit/>
          <w:tblHeader/>
        </w:trPr>
        <w:tc>
          <w:tcPr>
            <w:tcW w:w="1985" w:type="dxa"/>
            <w:gridSpan w:val="3"/>
            <w:vMerge w:val="restart"/>
            <w:tcBorders>
              <w:top w:val="single" w:sz="4" w:space="0" w:color="auto"/>
              <w:left w:val="nil"/>
              <w:right w:val="single" w:sz="4" w:space="0" w:color="auto"/>
            </w:tcBorders>
          </w:tcPr>
          <w:p w:rsidR="00FF2C4F" w:rsidRDefault="00FF2C4F" w:rsidP="00FF2C4F">
            <w:pPr>
              <w:pStyle w:val="TableText"/>
              <w:snapToGrid w:val="0"/>
              <w:spacing w:before="0" w:after="0"/>
              <w:rPr>
                <w:lang w:eastAsia="en-GB"/>
              </w:rPr>
            </w:pPr>
          </w:p>
          <w:p w:rsidR="00545554" w:rsidRPr="0023654F" w:rsidRDefault="00545554" w:rsidP="00FF2C4F">
            <w:pPr>
              <w:pStyle w:val="TableText"/>
              <w:snapToGrid w:val="0"/>
              <w:spacing w:before="0" w:after="0"/>
              <w:rPr>
                <w:lang w:eastAsia="en-GB"/>
              </w:rPr>
            </w:pPr>
            <w:r>
              <w:rPr>
                <w:lang w:eastAsia="en-GB"/>
              </w:rPr>
              <w:t>Special payments</w:t>
            </w:r>
          </w:p>
        </w:tc>
        <w:tc>
          <w:tcPr>
            <w:tcW w:w="2409" w:type="dxa"/>
            <w:gridSpan w:val="2"/>
            <w:tcBorders>
              <w:top w:val="single" w:sz="4" w:space="0" w:color="auto"/>
              <w:left w:val="nil"/>
              <w:bottom w:val="single" w:sz="4" w:space="0" w:color="auto"/>
              <w:right w:val="single" w:sz="4" w:space="0" w:color="auto"/>
            </w:tcBorders>
            <w:vAlign w:val="center"/>
          </w:tcPr>
          <w:p w:rsidR="00545554" w:rsidRPr="0023654F" w:rsidRDefault="00545554" w:rsidP="00FF2C4F">
            <w:pPr>
              <w:pStyle w:val="TableText"/>
              <w:snapToGrid w:val="0"/>
              <w:spacing w:before="0" w:after="0"/>
              <w:jc w:val="center"/>
              <w:rPr>
                <w:lang w:eastAsia="en-GB"/>
              </w:rPr>
            </w:pPr>
            <w:r>
              <w:rPr>
                <w:lang w:eastAsia="en-GB"/>
              </w:rPr>
              <w:t>Guaranteed bonuses</w:t>
            </w:r>
          </w:p>
        </w:tc>
        <w:tc>
          <w:tcPr>
            <w:tcW w:w="2410" w:type="dxa"/>
            <w:gridSpan w:val="2"/>
            <w:tcBorders>
              <w:top w:val="single" w:sz="4" w:space="0" w:color="auto"/>
              <w:left w:val="nil"/>
              <w:bottom w:val="single" w:sz="4" w:space="0" w:color="auto"/>
              <w:right w:val="single" w:sz="4" w:space="0" w:color="auto"/>
            </w:tcBorders>
            <w:vAlign w:val="center"/>
          </w:tcPr>
          <w:p w:rsidR="00545554" w:rsidRPr="0023654F" w:rsidRDefault="00545554" w:rsidP="00FF2C4F">
            <w:pPr>
              <w:pStyle w:val="TableText"/>
              <w:snapToGrid w:val="0"/>
              <w:spacing w:before="0" w:after="0"/>
              <w:jc w:val="center"/>
              <w:rPr>
                <w:lang w:eastAsia="en-GB"/>
              </w:rPr>
            </w:pPr>
            <w:r>
              <w:rPr>
                <w:lang w:eastAsia="en-GB"/>
              </w:rPr>
              <w:t>Sign-on awards</w:t>
            </w:r>
          </w:p>
        </w:tc>
        <w:tc>
          <w:tcPr>
            <w:tcW w:w="2410" w:type="dxa"/>
            <w:gridSpan w:val="2"/>
            <w:tcBorders>
              <w:top w:val="single" w:sz="4" w:space="0" w:color="auto"/>
              <w:left w:val="nil"/>
              <w:bottom w:val="single" w:sz="4" w:space="0" w:color="auto"/>
              <w:right w:val="single" w:sz="4" w:space="0" w:color="auto"/>
            </w:tcBorders>
            <w:vAlign w:val="center"/>
          </w:tcPr>
          <w:p w:rsidR="00545554" w:rsidRPr="00911851" w:rsidRDefault="00545554" w:rsidP="00FF2C4F">
            <w:pPr>
              <w:pStyle w:val="TableText"/>
              <w:snapToGrid w:val="0"/>
              <w:spacing w:before="0" w:after="0"/>
              <w:jc w:val="center"/>
              <w:rPr>
                <w:lang w:eastAsia="en-GB"/>
              </w:rPr>
            </w:pPr>
            <w:r>
              <w:rPr>
                <w:lang w:eastAsia="en-GB"/>
              </w:rPr>
              <w:t>Severance payments</w:t>
            </w:r>
          </w:p>
        </w:tc>
      </w:tr>
      <w:tr w:rsidR="00545554" w:rsidRPr="0023654F" w:rsidTr="00545554">
        <w:trPr>
          <w:cantSplit/>
          <w:tblHeader/>
        </w:trPr>
        <w:tc>
          <w:tcPr>
            <w:tcW w:w="1985" w:type="dxa"/>
            <w:gridSpan w:val="3"/>
            <w:vMerge/>
            <w:tcBorders>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rPr>
                <w:lang w:eastAsia="en-GB"/>
              </w:rPr>
            </w:pPr>
          </w:p>
        </w:tc>
        <w:tc>
          <w:tcPr>
            <w:tcW w:w="1204" w:type="dxa"/>
            <w:tcBorders>
              <w:top w:val="single" w:sz="4" w:space="0" w:color="auto"/>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Number of employees</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Total amount</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Number of employees</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Total amount</w:t>
            </w:r>
          </w:p>
        </w:tc>
        <w:tc>
          <w:tcPr>
            <w:tcW w:w="1205" w:type="dxa"/>
            <w:tcBorders>
              <w:top w:val="single" w:sz="4" w:space="0" w:color="auto"/>
              <w:left w:val="nil"/>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Number of employees</w:t>
            </w:r>
          </w:p>
        </w:tc>
        <w:tc>
          <w:tcPr>
            <w:tcW w:w="1205" w:type="dxa"/>
            <w:tcBorders>
              <w:top w:val="single" w:sz="4" w:space="0" w:color="auto"/>
              <w:left w:val="single" w:sz="4" w:space="0" w:color="auto"/>
              <w:bottom w:val="single" w:sz="4" w:space="0" w:color="auto"/>
              <w:right w:val="single" w:sz="4" w:space="0" w:color="auto"/>
            </w:tcBorders>
            <w:vAlign w:val="center"/>
          </w:tcPr>
          <w:p w:rsidR="00545554" w:rsidRPr="0023654F" w:rsidRDefault="00545554" w:rsidP="001B530B">
            <w:pPr>
              <w:pStyle w:val="TableText"/>
              <w:snapToGrid w:val="0"/>
              <w:spacing w:before="0" w:after="0"/>
              <w:jc w:val="center"/>
              <w:rPr>
                <w:lang w:eastAsia="en-GB"/>
              </w:rPr>
            </w:pPr>
            <w:r>
              <w:rPr>
                <w:lang w:eastAsia="en-GB"/>
              </w:rPr>
              <w:t>Total amount</w:t>
            </w:r>
          </w:p>
        </w:tc>
      </w:tr>
      <w:tr w:rsidR="00545554" w:rsidRPr="0023654F" w:rsidTr="00545554">
        <w:trPr>
          <w:cantSplit/>
          <w:tblHeader/>
        </w:trPr>
        <w:tc>
          <w:tcPr>
            <w:tcW w:w="709" w:type="dxa"/>
            <w:gridSpan w:val="2"/>
            <w:tcBorders>
              <w:top w:val="single" w:sz="4" w:space="0" w:color="auto"/>
              <w:left w:val="nil"/>
              <w:bottom w:val="single" w:sz="4" w:space="0" w:color="auto"/>
              <w:right w:val="single" w:sz="4" w:space="0" w:color="auto"/>
            </w:tcBorders>
          </w:tcPr>
          <w:p w:rsidR="00545554" w:rsidRPr="00911851" w:rsidRDefault="00545554" w:rsidP="00FF2C4F">
            <w:pPr>
              <w:pStyle w:val="TableText"/>
              <w:snapToGrid w:val="0"/>
              <w:spacing w:before="0" w:after="0"/>
              <w:rPr>
                <w:lang w:eastAsia="en-GB"/>
              </w:rPr>
            </w:pPr>
            <w:r>
              <w:rPr>
                <w:lang w:eastAsia="en-GB"/>
              </w:rPr>
              <w:t>1</w:t>
            </w:r>
          </w:p>
        </w:tc>
        <w:tc>
          <w:tcPr>
            <w:tcW w:w="1276" w:type="dxa"/>
            <w:tcBorders>
              <w:top w:val="single" w:sz="4" w:space="0" w:color="auto"/>
              <w:left w:val="single" w:sz="4" w:space="0" w:color="auto"/>
              <w:bottom w:val="single" w:sz="4" w:space="0" w:color="auto"/>
              <w:right w:val="single" w:sz="4" w:space="0" w:color="auto"/>
            </w:tcBorders>
            <w:vAlign w:val="center"/>
          </w:tcPr>
          <w:p w:rsidR="00545554" w:rsidRPr="00911851" w:rsidRDefault="00545554" w:rsidP="00FF2C4F">
            <w:pPr>
              <w:pStyle w:val="TableText"/>
              <w:snapToGrid w:val="0"/>
              <w:spacing w:before="0" w:after="0"/>
              <w:ind w:rightChars="-54" w:right="-108"/>
              <w:rPr>
                <w:lang w:eastAsia="en-GB"/>
              </w:rPr>
            </w:pPr>
            <w:r>
              <w:rPr>
                <w:lang w:eastAsia="en-GB"/>
              </w:rPr>
              <w:t>Senior management</w:t>
            </w:r>
          </w:p>
        </w:tc>
        <w:tc>
          <w:tcPr>
            <w:tcW w:w="1204" w:type="dxa"/>
            <w:tcBorders>
              <w:top w:val="single" w:sz="4" w:space="0" w:color="auto"/>
              <w:left w:val="single" w:sz="4" w:space="0" w:color="auto"/>
              <w:bottom w:val="single" w:sz="4" w:space="0" w:color="auto"/>
              <w:right w:val="single" w:sz="4" w:space="0" w:color="auto"/>
            </w:tcBorders>
          </w:tcPr>
          <w:p w:rsidR="00545554" w:rsidRPr="00911851"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911851"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911851"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911851"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b/>
                <w:noProof/>
                <w:lang w:eastAsia="en-GB"/>
              </w:rPr>
            </w:pPr>
          </w:p>
        </w:tc>
        <w:tc>
          <w:tcPr>
            <w:tcW w:w="1205" w:type="dxa"/>
            <w:tcBorders>
              <w:top w:val="single" w:sz="4" w:space="0" w:color="auto"/>
              <w:left w:val="single" w:sz="4" w:space="0" w:color="auto"/>
              <w:bottom w:val="single" w:sz="4" w:space="0" w:color="auto"/>
              <w:right w:val="single" w:sz="4" w:space="0" w:color="auto"/>
            </w:tcBorders>
            <w:vAlign w:val="center"/>
          </w:tcPr>
          <w:p w:rsidR="00545554" w:rsidRPr="00D24D7E" w:rsidRDefault="00545554" w:rsidP="00FF2C4F">
            <w:pPr>
              <w:pStyle w:val="TableText"/>
              <w:snapToGrid w:val="0"/>
              <w:spacing w:before="0" w:after="0"/>
              <w:rPr>
                <w:lang w:eastAsia="en-GB"/>
              </w:rPr>
            </w:pPr>
          </w:p>
        </w:tc>
      </w:tr>
      <w:tr w:rsidR="00545554" w:rsidRPr="0023654F" w:rsidTr="00545554">
        <w:trPr>
          <w:cantSplit/>
        </w:trPr>
        <w:tc>
          <w:tcPr>
            <w:tcW w:w="709" w:type="dxa"/>
            <w:gridSpan w:val="2"/>
            <w:tcBorders>
              <w:top w:val="single" w:sz="4" w:space="0" w:color="auto"/>
              <w:left w:val="nil"/>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r w:rsidRPr="0023654F">
              <w:rPr>
                <w:lang w:eastAsia="en-GB"/>
              </w:rPr>
              <w:t>2</w:t>
            </w:r>
          </w:p>
        </w:tc>
        <w:tc>
          <w:tcPr>
            <w:tcW w:w="1276"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ind w:rightChars="-54" w:right="-108"/>
              <w:rPr>
                <w:lang w:eastAsia="en-GB"/>
              </w:rPr>
            </w:pPr>
            <w:r>
              <w:rPr>
                <w:lang w:eastAsia="en-GB"/>
              </w:rPr>
              <w:t>Key personnel</w:t>
            </w:r>
          </w:p>
        </w:tc>
        <w:tc>
          <w:tcPr>
            <w:tcW w:w="1204"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c>
          <w:tcPr>
            <w:tcW w:w="1205" w:type="dxa"/>
            <w:tcBorders>
              <w:top w:val="single" w:sz="4" w:space="0" w:color="auto"/>
              <w:left w:val="single" w:sz="4" w:space="0" w:color="auto"/>
              <w:bottom w:val="single" w:sz="4" w:space="0" w:color="auto"/>
              <w:right w:val="single" w:sz="4" w:space="0" w:color="auto"/>
            </w:tcBorders>
          </w:tcPr>
          <w:p w:rsidR="00545554" w:rsidRPr="0023654F" w:rsidRDefault="00545554" w:rsidP="00FF2C4F">
            <w:pPr>
              <w:pStyle w:val="TableText"/>
              <w:snapToGrid w:val="0"/>
              <w:spacing w:before="0" w:after="0"/>
              <w:rPr>
                <w:lang w:eastAsia="en-GB"/>
              </w:rPr>
            </w:pPr>
          </w:p>
        </w:tc>
      </w:tr>
    </w:tbl>
    <w:p w:rsidR="00545554" w:rsidRDefault="00545554"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709"/>
        <w:gridCol w:w="8505"/>
      </w:tblGrid>
      <w:tr w:rsidR="00545554" w:rsidRPr="0072444B" w:rsidTr="00545554">
        <w:trPr>
          <w:tblHeader/>
        </w:trPr>
        <w:tc>
          <w:tcPr>
            <w:tcW w:w="9214" w:type="dxa"/>
            <w:gridSpan w:val="2"/>
            <w:shd w:val="clear" w:color="auto" w:fill="BFBFBF" w:themeFill="background1" w:themeFillShade="BF"/>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t>Explanatory Note</w:t>
            </w:r>
          </w:p>
        </w:tc>
      </w:tr>
      <w:tr w:rsidR="00545554" w:rsidRPr="0072444B" w:rsidTr="00545554">
        <w:trPr>
          <w:trHeight w:val="153"/>
        </w:trPr>
        <w:tc>
          <w:tcPr>
            <w:tcW w:w="9214" w:type="dxa"/>
            <w:gridSpan w:val="2"/>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Pr>
                <w:rFonts w:eastAsiaTheme="minorEastAsia"/>
                <w:b/>
                <w:sz w:val="17"/>
                <w:szCs w:val="17"/>
                <w:lang w:eastAsia="en-GB"/>
              </w:rPr>
              <w:t>Columns</w:t>
            </w:r>
          </w:p>
        </w:tc>
      </w:tr>
      <w:tr w:rsidR="00545554" w:rsidRPr="0072444B" w:rsidTr="00545554">
        <w:tc>
          <w:tcPr>
            <w:tcW w:w="709"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(a) and (b)</w:t>
            </w:r>
          </w:p>
        </w:tc>
        <w:tc>
          <w:tcPr>
            <w:tcW w:w="8505" w:type="dxa"/>
          </w:tcPr>
          <w:p w:rsidR="00545554" w:rsidRPr="0072444B" w:rsidRDefault="00545554" w:rsidP="00545554">
            <w:pPr>
              <w:pStyle w:val="TableText"/>
              <w:keepNext/>
              <w:jc w:val="both"/>
              <w:rPr>
                <w:szCs w:val="17"/>
              </w:rPr>
            </w:pPr>
            <w:r w:rsidRPr="00B93D9F">
              <w:rPr>
                <w:i/>
                <w:szCs w:val="17"/>
              </w:rPr>
              <w:t>Guaranteed bonuses</w:t>
            </w:r>
            <w:r>
              <w:rPr>
                <w:szCs w:val="17"/>
              </w:rPr>
              <w:t>:</w:t>
            </w:r>
            <w:r w:rsidRPr="00620E40">
              <w:rPr>
                <w:szCs w:val="17"/>
              </w:rPr>
              <w:t xml:space="preserve"> </w:t>
            </w:r>
            <w:r>
              <w:rPr>
                <w:szCs w:val="17"/>
              </w:rPr>
              <w:t xml:space="preserve">the number of employees granted and the </w:t>
            </w:r>
            <w:r w:rsidRPr="00620E40">
              <w:rPr>
                <w:szCs w:val="17"/>
              </w:rPr>
              <w:t>payments of guaranteed bon</w:t>
            </w:r>
            <w:r>
              <w:rPr>
                <w:szCs w:val="17"/>
              </w:rPr>
              <w:t>uses during the financial year.</w:t>
            </w:r>
          </w:p>
        </w:tc>
      </w:tr>
      <w:tr w:rsidR="00545554" w:rsidRPr="0072444B" w:rsidTr="00545554">
        <w:tc>
          <w:tcPr>
            <w:tcW w:w="709"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(c) and (d)</w:t>
            </w:r>
          </w:p>
        </w:tc>
        <w:tc>
          <w:tcPr>
            <w:tcW w:w="8505" w:type="dxa"/>
          </w:tcPr>
          <w:p w:rsidR="00545554" w:rsidRPr="0072444B" w:rsidRDefault="00545554" w:rsidP="00545554">
            <w:pPr>
              <w:pStyle w:val="TableText"/>
              <w:keepNext/>
              <w:jc w:val="both"/>
              <w:rPr>
                <w:szCs w:val="17"/>
              </w:rPr>
            </w:pPr>
            <w:r w:rsidRPr="00B93D9F">
              <w:rPr>
                <w:i/>
                <w:szCs w:val="17"/>
              </w:rPr>
              <w:t>Sign-on awards</w:t>
            </w:r>
            <w:r>
              <w:rPr>
                <w:szCs w:val="17"/>
              </w:rPr>
              <w:t>:</w:t>
            </w:r>
            <w:r w:rsidRPr="00620E40">
              <w:rPr>
                <w:szCs w:val="17"/>
              </w:rPr>
              <w:t xml:space="preserve"> </w:t>
            </w:r>
            <w:r>
              <w:rPr>
                <w:szCs w:val="17"/>
              </w:rPr>
              <w:t xml:space="preserve">the number of employees granted and the </w:t>
            </w:r>
            <w:r w:rsidRPr="00620E40">
              <w:rPr>
                <w:szCs w:val="17"/>
              </w:rPr>
              <w:t>payments allocated to employees upon recruit</w:t>
            </w:r>
            <w:r>
              <w:rPr>
                <w:szCs w:val="17"/>
              </w:rPr>
              <w:t>ment during the financial year.</w:t>
            </w:r>
          </w:p>
        </w:tc>
      </w:tr>
      <w:tr w:rsidR="00545554" w:rsidRPr="0072444B" w:rsidTr="00545554">
        <w:tc>
          <w:tcPr>
            <w:tcW w:w="709"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(e) and (f)</w:t>
            </w:r>
          </w:p>
        </w:tc>
        <w:tc>
          <w:tcPr>
            <w:tcW w:w="8505" w:type="dxa"/>
          </w:tcPr>
          <w:p w:rsidR="00545554" w:rsidRPr="0072444B" w:rsidRDefault="00545554" w:rsidP="00545554">
            <w:pPr>
              <w:pStyle w:val="TableText"/>
              <w:keepNext/>
              <w:jc w:val="both"/>
              <w:rPr>
                <w:szCs w:val="17"/>
              </w:rPr>
            </w:pPr>
            <w:r w:rsidRPr="00B93D9F">
              <w:rPr>
                <w:i/>
                <w:szCs w:val="17"/>
              </w:rPr>
              <w:t>Severance payments</w:t>
            </w:r>
            <w:r>
              <w:rPr>
                <w:szCs w:val="17"/>
              </w:rPr>
              <w:t xml:space="preserve">: the number of dismissed employees compensated with severance payments and the </w:t>
            </w:r>
            <w:r w:rsidRPr="00620E40">
              <w:rPr>
                <w:szCs w:val="17"/>
              </w:rPr>
              <w:t>payments allocated to employees dismissed during the financial year.</w:t>
            </w:r>
          </w:p>
        </w:tc>
      </w:tr>
      <w:tr w:rsidR="00545554" w:rsidRPr="0072444B" w:rsidTr="00545554">
        <w:tc>
          <w:tcPr>
            <w:tcW w:w="9214" w:type="dxa"/>
            <w:gridSpan w:val="2"/>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t>Rows</w:t>
            </w:r>
          </w:p>
        </w:tc>
      </w:tr>
      <w:tr w:rsidR="00545554" w:rsidRPr="0072444B" w:rsidTr="00545554">
        <w:trPr>
          <w:trHeight w:val="309"/>
        </w:trPr>
        <w:tc>
          <w:tcPr>
            <w:tcW w:w="709" w:type="dxa"/>
          </w:tcPr>
          <w:p w:rsidR="00545554" w:rsidRPr="0072444B" w:rsidRDefault="00545554" w:rsidP="00545554">
            <w:pPr>
              <w:keepLines/>
              <w:widowControl w:val="0"/>
              <w:tabs>
                <w:tab w:val="left" w:pos="150"/>
                <w:tab w:val="left" w:pos="397"/>
                <w:tab w:val="left" w:pos="794"/>
                <w:tab w:val="left" w:pos="1191"/>
              </w:tabs>
              <w:spacing w:before="40" w:after="40"/>
              <w:rPr>
                <w:rFonts w:cs="Segoe UI"/>
                <w:sz w:val="17"/>
                <w:szCs w:val="17"/>
                <w:lang w:eastAsia="en-GB"/>
              </w:rPr>
            </w:pPr>
            <w:r>
              <w:rPr>
                <w:rFonts w:cs="Segoe UI"/>
                <w:sz w:val="17"/>
                <w:szCs w:val="17"/>
                <w:lang w:eastAsia="en-GB"/>
              </w:rPr>
              <w:t>1 and 2</w:t>
            </w:r>
          </w:p>
        </w:tc>
        <w:tc>
          <w:tcPr>
            <w:tcW w:w="8505" w:type="dxa"/>
          </w:tcPr>
          <w:p w:rsidR="00545554" w:rsidRPr="0072444B" w:rsidRDefault="00545554" w:rsidP="00545554">
            <w:pPr>
              <w:pStyle w:val="TableText"/>
              <w:keepNext/>
              <w:jc w:val="both"/>
              <w:rPr>
                <w:szCs w:val="17"/>
              </w:rPr>
            </w:pPr>
            <w:r w:rsidRPr="00B93D9F">
              <w:rPr>
                <w:i/>
                <w:szCs w:val="17"/>
              </w:rPr>
              <w:t xml:space="preserve">Senior management / </w:t>
            </w:r>
            <w:r>
              <w:rPr>
                <w:i/>
                <w:szCs w:val="17"/>
              </w:rPr>
              <w:t>Key personnel</w:t>
            </w:r>
            <w:r>
              <w:rPr>
                <w:szCs w:val="17"/>
              </w:rPr>
              <w:t>:</w:t>
            </w:r>
            <w:r w:rsidRPr="008933E6">
              <w:rPr>
                <w:szCs w:val="17"/>
              </w:rPr>
              <w:t xml:space="preserve"> </w:t>
            </w:r>
            <w:r>
              <w:rPr>
                <w:szCs w:val="17"/>
              </w:rPr>
              <w:t xml:space="preserve">the </w:t>
            </w:r>
            <w:r w:rsidRPr="008933E6">
              <w:rPr>
                <w:szCs w:val="17"/>
              </w:rPr>
              <w:t xml:space="preserve">categories in </w:t>
            </w:r>
            <w:r>
              <w:rPr>
                <w:szCs w:val="17"/>
              </w:rPr>
              <w:t>rows</w:t>
            </w:r>
            <w:r w:rsidRPr="008933E6">
              <w:rPr>
                <w:szCs w:val="17"/>
              </w:rPr>
              <w:t xml:space="preserve"> </w:t>
            </w:r>
            <w:r>
              <w:rPr>
                <w:szCs w:val="17"/>
              </w:rPr>
              <w:t>1</w:t>
            </w:r>
            <w:r w:rsidRPr="008933E6">
              <w:rPr>
                <w:szCs w:val="17"/>
              </w:rPr>
              <w:t xml:space="preserve"> and </w:t>
            </w:r>
            <w:r>
              <w:rPr>
                <w:szCs w:val="17"/>
              </w:rPr>
              <w:t>2</w:t>
            </w:r>
            <w:r w:rsidRPr="008933E6">
              <w:rPr>
                <w:szCs w:val="17"/>
              </w:rPr>
              <w:t xml:space="preserve"> </w:t>
            </w:r>
            <w:r>
              <w:rPr>
                <w:szCs w:val="17"/>
              </w:rPr>
              <w:t>must</w:t>
            </w:r>
            <w:r w:rsidRPr="008933E6">
              <w:rPr>
                <w:szCs w:val="17"/>
              </w:rPr>
              <w:t xml:space="preserve"> correspond to the type of emp</w:t>
            </w:r>
            <w:r>
              <w:rPr>
                <w:szCs w:val="17"/>
              </w:rPr>
              <w:t>loyees described in Table REMA.</w:t>
            </w:r>
            <w:r w:rsidR="000571FB">
              <w:rPr>
                <w:szCs w:val="17"/>
              </w:rPr>
              <w:t xml:space="preserve"> (Note: </w:t>
            </w:r>
            <w:r w:rsidR="000571FB" w:rsidRPr="00091B90">
              <w:rPr>
                <w:szCs w:val="17"/>
              </w:rPr>
              <w:t>If an AI has such a small number of executives that individuals’ remuneration could be easily deduced from disclosure of a breakdown of the figures, it is acceptable for the AI, in so far as the sensitivity of the information will be disadvantageous to the AI, to disclose aggregate figures for senior management and key personnel.  This is, however, provided that this fact and the reason for doing so (i.e. disclosing aggregate figures instead of disclosing separate figures) are adequately disclosed in the accompanying narrative.</w:t>
            </w:r>
            <w:r w:rsidR="000571FB">
              <w:rPr>
                <w:szCs w:val="17"/>
              </w:rPr>
              <w:t>)</w:t>
            </w:r>
          </w:p>
        </w:tc>
      </w:tr>
    </w:tbl>
    <w:p w:rsidR="00545554" w:rsidRDefault="00545554" w:rsidP="00545554">
      <w:pPr>
        <w:sectPr w:rsidR="00545554">
          <w:headerReference w:type="even" r:id="rId90"/>
          <w:headerReference w:type="default" r:id="rId91"/>
          <w:footerReference w:type="even" r:id="rId92"/>
          <w:footerReference w:type="default" r:id="rId93"/>
          <w:headerReference w:type="first" r:id="rId94"/>
          <w:footerReference w:type="first" r:id="rId95"/>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545554" w:rsidRPr="0023654F" w:rsidTr="00545554">
        <w:tc>
          <w:tcPr>
            <w:tcW w:w="9242" w:type="dxa"/>
            <w:gridSpan w:val="2"/>
            <w:tcBorders>
              <w:top w:val="nil"/>
            </w:tcBorders>
          </w:tcPr>
          <w:p w:rsidR="00545554" w:rsidRPr="0023654F" w:rsidRDefault="00545554" w:rsidP="00545554">
            <w:pPr>
              <w:spacing w:before="40" w:after="40"/>
              <w:jc w:val="both"/>
              <w:rPr>
                <w:noProof/>
                <w:sz w:val="17"/>
                <w:lang w:eastAsia="en-GB"/>
              </w:rPr>
            </w:pPr>
            <w:r w:rsidRPr="0023654F">
              <w:rPr>
                <w:sz w:val="22"/>
              </w:rPr>
              <w:lastRenderedPageBreak/>
              <w:t xml:space="preserve">Template </w:t>
            </w:r>
            <w:r>
              <w:rPr>
                <w:sz w:val="22"/>
              </w:rPr>
              <w:t>REM3</w:t>
            </w:r>
            <w:r w:rsidRPr="0023654F">
              <w:rPr>
                <w:sz w:val="22"/>
              </w:rPr>
              <w:t xml:space="preserve">: </w:t>
            </w:r>
            <w:r>
              <w:rPr>
                <w:sz w:val="22"/>
              </w:rPr>
              <w:t>Deferred remuneration</w:t>
            </w:r>
          </w:p>
        </w:tc>
      </w:tr>
      <w:tr w:rsidR="00545554" w:rsidRPr="005B71C7" w:rsidTr="00545554">
        <w:tc>
          <w:tcPr>
            <w:tcW w:w="2008" w:type="dxa"/>
          </w:tcPr>
          <w:p w:rsidR="00545554" w:rsidRPr="0023654F" w:rsidRDefault="00545554" w:rsidP="00545554">
            <w:pPr>
              <w:spacing w:before="40" w:after="40"/>
              <w:rPr>
                <w:noProof/>
                <w:sz w:val="17"/>
                <w:lang w:eastAsia="en-GB"/>
              </w:rPr>
            </w:pPr>
            <w:r w:rsidRPr="0023654F">
              <w:rPr>
                <w:b/>
                <w:sz w:val="17"/>
                <w:lang w:eastAsia="en-GB"/>
              </w:rPr>
              <w:t>Purpose:</w:t>
            </w:r>
            <w:r w:rsidRPr="0023654F">
              <w:rPr>
                <w:sz w:val="17"/>
                <w:lang w:eastAsia="en-GB"/>
              </w:rPr>
              <w:t xml:space="preserve"> </w:t>
            </w:r>
          </w:p>
        </w:tc>
        <w:tc>
          <w:tcPr>
            <w:tcW w:w="7234" w:type="dxa"/>
          </w:tcPr>
          <w:p w:rsidR="00545554" w:rsidRPr="00E4585F" w:rsidRDefault="00545554" w:rsidP="00545554">
            <w:pPr>
              <w:spacing w:before="40" w:after="40"/>
              <w:jc w:val="both"/>
              <w:rPr>
                <w:sz w:val="17"/>
                <w:szCs w:val="17"/>
              </w:rPr>
            </w:pPr>
            <w:r w:rsidRPr="00025AEC">
              <w:rPr>
                <w:rFonts w:eastAsiaTheme="minorEastAsia"/>
                <w:sz w:val="17"/>
                <w:lang w:eastAsia="en-GB"/>
              </w:rPr>
              <w:t xml:space="preserve">To </w:t>
            </w:r>
            <w:r>
              <w:rPr>
                <w:rFonts w:eastAsiaTheme="minorEastAsia"/>
                <w:sz w:val="17"/>
                <w:lang w:eastAsia="en-GB"/>
              </w:rPr>
              <w:t>p</w:t>
            </w:r>
            <w:r>
              <w:rPr>
                <w:sz w:val="17"/>
                <w:szCs w:val="17"/>
              </w:rPr>
              <w:t>rovide quantitative information on deferred and retained remuneration.</w:t>
            </w:r>
          </w:p>
        </w:tc>
      </w:tr>
      <w:tr w:rsidR="00545554" w:rsidRPr="005B71C7" w:rsidTr="00545554">
        <w:tc>
          <w:tcPr>
            <w:tcW w:w="2008" w:type="dxa"/>
          </w:tcPr>
          <w:p w:rsidR="00545554" w:rsidRPr="0023654F" w:rsidRDefault="00545554" w:rsidP="00545554">
            <w:pPr>
              <w:spacing w:before="40" w:after="40"/>
              <w:rPr>
                <w:b/>
                <w:sz w:val="17"/>
                <w:lang w:eastAsia="en-GB"/>
              </w:rPr>
            </w:pPr>
            <w:r>
              <w:rPr>
                <w:b/>
                <w:sz w:val="17"/>
                <w:lang w:eastAsia="en-GB"/>
              </w:rPr>
              <w:t>Scope of application:</w:t>
            </w:r>
          </w:p>
        </w:tc>
        <w:tc>
          <w:tcPr>
            <w:tcW w:w="7234" w:type="dxa"/>
          </w:tcPr>
          <w:p w:rsidR="00545554" w:rsidRPr="00025AEC" w:rsidRDefault="00545554" w:rsidP="00545554">
            <w:pPr>
              <w:spacing w:before="40" w:after="40"/>
              <w:jc w:val="both"/>
              <w:rPr>
                <w:rFonts w:eastAsiaTheme="minorEastAsia"/>
                <w:sz w:val="17"/>
                <w:lang w:eastAsia="en-GB"/>
              </w:rPr>
            </w:pPr>
            <w:r w:rsidRPr="0023654F">
              <w:rPr>
                <w:rFonts w:eastAsiaTheme="minorEastAsia"/>
                <w:sz w:val="17"/>
                <w:lang w:eastAsia="en-GB"/>
              </w:rPr>
              <w:t xml:space="preserve">The template is mandatory for </w:t>
            </w:r>
            <w:r>
              <w:rPr>
                <w:rFonts w:eastAsiaTheme="minorEastAsia"/>
                <w:sz w:val="17"/>
                <w:lang w:eastAsia="en-GB"/>
              </w:rPr>
              <w:t>all AI</w:t>
            </w:r>
            <w:r w:rsidRPr="0023654F">
              <w:rPr>
                <w:rFonts w:eastAsiaTheme="minorEastAsia"/>
                <w:sz w:val="17"/>
                <w:lang w:eastAsia="en-GB"/>
              </w:rPr>
              <w:t xml:space="preserve">s </w:t>
            </w:r>
            <w:r>
              <w:rPr>
                <w:rFonts w:eastAsiaTheme="minorEastAsia"/>
                <w:sz w:val="17"/>
                <w:lang w:eastAsia="en-GB"/>
              </w:rPr>
              <w:t>incorporated in Hong Kong.</w:t>
            </w:r>
          </w:p>
        </w:tc>
      </w:tr>
      <w:tr w:rsidR="00545554" w:rsidRPr="0023654F" w:rsidTr="00545554">
        <w:tc>
          <w:tcPr>
            <w:tcW w:w="2008" w:type="dxa"/>
          </w:tcPr>
          <w:p w:rsidR="00545554" w:rsidRPr="0023654F" w:rsidRDefault="00545554" w:rsidP="00545554">
            <w:pPr>
              <w:spacing w:before="40" w:after="40"/>
              <w:rPr>
                <w:b/>
                <w:sz w:val="17"/>
                <w:lang w:eastAsia="en-GB"/>
              </w:rPr>
            </w:pPr>
            <w:r>
              <w:rPr>
                <w:b/>
                <w:sz w:val="17"/>
                <w:lang w:eastAsia="en-GB"/>
              </w:rPr>
              <w:t>Content:</w:t>
            </w:r>
          </w:p>
        </w:tc>
        <w:tc>
          <w:tcPr>
            <w:tcW w:w="7234" w:type="dxa"/>
          </w:tcPr>
          <w:p w:rsidR="00545554" w:rsidRPr="00070A41" w:rsidRDefault="00545554" w:rsidP="00FE0F7C">
            <w:pPr>
              <w:spacing w:before="40" w:after="40"/>
              <w:jc w:val="both"/>
              <w:rPr>
                <w:rFonts w:eastAsiaTheme="minorEastAsia"/>
                <w:sz w:val="17"/>
                <w:lang w:eastAsia="en-GB"/>
              </w:rPr>
            </w:pPr>
            <w:r w:rsidRPr="00070A41">
              <w:rPr>
                <w:rFonts w:eastAsiaTheme="minorEastAsia"/>
                <w:sz w:val="17"/>
                <w:lang w:eastAsia="en-GB"/>
              </w:rPr>
              <w:t>Quantitative</w:t>
            </w:r>
            <w:r>
              <w:rPr>
                <w:sz w:val="17"/>
                <w:lang w:eastAsia="en-GB"/>
              </w:rPr>
              <w:t xml:space="preserve"> information (amounts).</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Frequency:</w:t>
            </w:r>
          </w:p>
        </w:tc>
        <w:tc>
          <w:tcPr>
            <w:tcW w:w="7234" w:type="dxa"/>
          </w:tcPr>
          <w:p w:rsidR="00545554" w:rsidRPr="00070A41" w:rsidRDefault="00545554" w:rsidP="00545554">
            <w:pPr>
              <w:pStyle w:val="TableText"/>
              <w:jc w:val="both"/>
              <w:rPr>
                <w:rFonts w:eastAsiaTheme="minorEastAsia"/>
                <w:lang w:eastAsia="en-GB"/>
              </w:rPr>
            </w:pPr>
            <w:r w:rsidRPr="0023654F">
              <w:rPr>
                <w:lang w:eastAsia="en-GB"/>
              </w:rPr>
              <w:t>Annual.</w:t>
            </w:r>
          </w:p>
        </w:tc>
      </w:tr>
      <w:tr w:rsidR="00545554" w:rsidRPr="0023654F" w:rsidTr="00545554">
        <w:tc>
          <w:tcPr>
            <w:tcW w:w="2008" w:type="dxa"/>
          </w:tcPr>
          <w:p w:rsidR="00545554" w:rsidRPr="0023654F" w:rsidRDefault="00545554" w:rsidP="00545554">
            <w:pPr>
              <w:spacing w:before="40" w:after="40"/>
              <w:rPr>
                <w:sz w:val="17"/>
                <w:lang w:eastAsia="en-GB"/>
              </w:rPr>
            </w:pPr>
            <w:r w:rsidRPr="0023654F">
              <w:rPr>
                <w:b/>
                <w:sz w:val="17"/>
                <w:lang w:eastAsia="en-GB"/>
              </w:rPr>
              <w:t>Format:</w:t>
            </w:r>
          </w:p>
        </w:tc>
        <w:tc>
          <w:tcPr>
            <w:tcW w:w="7234" w:type="dxa"/>
          </w:tcPr>
          <w:p w:rsidR="00545554" w:rsidRPr="0023654F" w:rsidRDefault="00545554" w:rsidP="00545554">
            <w:pPr>
              <w:pStyle w:val="TableText"/>
              <w:jc w:val="both"/>
              <w:rPr>
                <w:lang w:eastAsia="en-GB"/>
              </w:rPr>
            </w:pPr>
            <w:r>
              <w:rPr>
                <w:lang w:eastAsia="en-GB"/>
              </w:rPr>
              <w:t>Flexible.</w:t>
            </w:r>
          </w:p>
        </w:tc>
      </w:tr>
      <w:tr w:rsidR="00545554" w:rsidRPr="0023654F" w:rsidTr="00545554">
        <w:tc>
          <w:tcPr>
            <w:tcW w:w="2008" w:type="dxa"/>
          </w:tcPr>
          <w:p w:rsidR="00545554" w:rsidRPr="0023654F" w:rsidRDefault="00545554" w:rsidP="00545554">
            <w:pPr>
              <w:spacing w:before="40" w:after="40"/>
              <w:rPr>
                <w:b/>
                <w:sz w:val="17"/>
                <w:lang w:eastAsia="en-GB"/>
              </w:rPr>
            </w:pPr>
            <w:r w:rsidRPr="0023654F">
              <w:rPr>
                <w:rFonts w:eastAsiaTheme="minorEastAsia"/>
                <w:b/>
                <w:sz w:val="17"/>
                <w:szCs w:val="17"/>
                <w:lang w:eastAsia="en-GB"/>
              </w:rPr>
              <w:t>Accompanying narrative</w:t>
            </w:r>
            <w:r w:rsidRPr="0023654F">
              <w:rPr>
                <w:rFonts w:eastAsiaTheme="minorEastAsia"/>
                <w:sz w:val="17"/>
                <w:szCs w:val="17"/>
                <w:lang w:eastAsia="en-GB"/>
              </w:rPr>
              <w:t>:</w:t>
            </w:r>
          </w:p>
        </w:tc>
        <w:tc>
          <w:tcPr>
            <w:tcW w:w="7234" w:type="dxa"/>
          </w:tcPr>
          <w:p w:rsidR="00545554" w:rsidRPr="00070A41" w:rsidRDefault="00545554" w:rsidP="00545554">
            <w:pPr>
              <w:spacing w:before="40" w:after="40"/>
              <w:jc w:val="both"/>
              <w:rPr>
                <w:noProof/>
                <w:sz w:val="17"/>
                <w:szCs w:val="17"/>
                <w:lang w:val="en-US" w:eastAsia="en-GB"/>
              </w:rPr>
            </w:pPr>
            <w:r w:rsidRPr="00070A41">
              <w:rPr>
                <w:sz w:val="17"/>
                <w:szCs w:val="17"/>
                <w:lang w:eastAsia="en-GB"/>
              </w:rPr>
              <w:t xml:space="preserve">An </w:t>
            </w:r>
            <w:r w:rsidRPr="00070A41">
              <w:rPr>
                <w:rFonts w:eastAsiaTheme="minorEastAsia"/>
                <w:sz w:val="17"/>
                <w:szCs w:val="17"/>
                <w:lang w:eastAsia="en-GB"/>
              </w:rPr>
              <w:t>AI</w:t>
            </w:r>
            <w:r w:rsidRPr="00070A41">
              <w:rPr>
                <w:sz w:val="17"/>
                <w:szCs w:val="17"/>
                <w:lang w:eastAsia="en-GB"/>
              </w:rPr>
              <w:t xml:space="preserve"> </w:t>
            </w:r>
            <w:r>
              <w:rPr>
                <w:sz w:val="17"/>
                <w:szCs w:val="17"/>
              </w:rPr>
              <w:t>should</w:t>
            </w:r>
            <w:r w:rsidRPr="00070A41">
              <w:rPr>
                <w:sz w:val="17"/>
                <w:szCs w:val="17"/>
              </w:rPr>
              <w:t xml:space="preserve"> </w:t>
            </w:r>
            <w:r>
              <w:rPr>
                <w:sz w:val="17"/>
                <w:szCs w:val="17"/>
              </w:rPr>
              <w:t>supplement the template with a narrative commentary to explain any significant movements over the reporting period and the key drivers of such movements</w:t>
            </w:r>
            <w:r w:rsidRPr="00070A41">
              <w:rPr>
                <w:sz w:val="17"/>
                <w:szCs w:val="17"/>
              </w:rPr>
              <w:t>.</w:t>
            </w:r>
          </w:p>
        </w:tc>
      </w:tr>
      <w:tr w:rsidR="00545554" w:rsidRPr="0023654F" w:rsidTr="00545554">
        <w:tc>
          <w:tcPr>
            <w:tcW w:w="2008" w:type="dxa"/>
          </w:tcPr>
          <w:p w:rsidR="00545554" w:rsidRPr="0023654F" w:rsidRDefault="00545554" w:rsidP="00545554">
            <w:pPr>
              <w:spacing w:before="40" w:after="40"/>
              <w:rPr>
                <w:rFonts w:eastAsiaTheme="minorEastAsia"/>
                <w:b/>
                <w:sz w:val="17"/>
                <w:szCs w:val="17"/>
                <w:lang w:eastAsia="en-GB"/>
              </w:rPr>
            </w:pPr>
            <w:r>
              <w:rPr>
                <w:rFonts w:eastAsiaTheme="minorEastAsia"/>
                <w:b/>
                <w:sz w:val="17"/>
                <w:szCs w:val="17"/>
                <w:lang w:eastAsia="en-GB"/>
              </w:rPr>
              <w:t>Corresponding BDR section:</w:t>
            </w:r>
          </w:p>
        </w:tc>
        <w:tc>
          <w:tcPr>
            <w:tcW w:w="7234" w:type="dxa"/>
          </w:tcPr>
          <w:p w:rsidR="00545554" w:rsidRDefault="00545554" w:rsidP="001324D2">
            <w:pPr>
              <w:pStyle w:val="TableText"/>
              <w:jc w:val="both"/>
              <w:rPr>
                <w:szCs w:val="17"/>
                <w:lang w:eastAsia="en-GB"/>
              </w:rPr>
            </w:pPr>
            <w:r w:rsidRPr="001B530B">
              <w:rPr>
                <w:szCs w:val="17"/>
                <w:lang w:eastAsia="en-GB"/>
              </w:rPr>
              <w:t>16ZV</w:t>
            </w:r>
          </w:p>
        </w:tc>
      </w:tr>
    </w:tbl>
    <w:p w:rsidR="00545554" w:rsidRDefault="00545554" w:rsidP="00545554">
      <w:pPr>
        <w:spacing w:before="120" w:after="120"/>
        <w:rPr>
          <w:sz w:val="22"/>
        </w:rPr>
      </w:pPr>
    </w:p>
    <w:tbl>
      <w:tblPr>
        <w:tblW w:w="9214" w:type="dxa"/>
        <w:tblInd w:w="-459"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6"/>
        <w:gridCol w:w="1419"/>
        <w:gridCol w:w="1445"/>
        <w:gridCol w:w="1446"/>
        <w:gridCol w:w="1446"/>
        <w:gridCol w:w="1446"/>
        <w:gridCol w:w="1446"/>
      </w:tblGrid>
      <w:tr w:rsidR="00545554" w:rsidRPr="0023654F" w:rsidTr="00545554">
        <w:trPr>
          <w:cantSplit/>
          <w:trHeight w:val="249"/>
          <w:tblHeader/>
        </w:trPr>
        <w:tc>
          <w:tcPr>
            <w:tcW w:w="566" w:type="dxa"/>
            <w:tcBorders>
              <w:top w:val="nil"/>
              <w:left w:val="nil"/>
              <w:bottom w:val="single" w:sz="4" w:space="0" w:color="auto"/>
              <w:right w:val="nil"/>
            </w:tcBorders>
          </w:tcPr>
          <w:p w:rsidR="00545554" w:rsidRPr="0023654F" w:rsidRDefault="00545554" w:rsidP="00545554">
            <w:pPr>
              <w:pStyle w:val="TableText"/>
              <w:snapToGrid w:val="0"/>
              <w:rPr>
                <w:lang w:eastAsia="en-GB"/>
              </w:rPr>
            </w:pPr>
          </w:p>
        </w:tc>
        <w:tc>
          <w:tcPr>
            <w:tcW w:w="1419" w:type="dxa"/>
            <w:tcBorders>
              <w:top w:val="nil"/>
              <w:left w:val="nil"/>
              <w:bottom w:val="single" w:sz="4" w:space="0" w:color="auto"/>
              <w:right w:val="single" w:sz="4" w:space="0" w:color="auto"/>
            </w:tcBorders>
            <w:vAlign w:val="center"/>
          </w:tcPr>
          <w:p w:rsidR="00545554" w:rsidRPr="0023654F" w:rsidRDefault="00545554" w:rsidP="00545554">
            <w:pPr>
              <w:pStyle w:val="TableText"/>
              <w:snapToGrid w:val="0"/>
              <w:rPr>
                <w:lang w:eastAsia="en-GB"/>
              </w:rPr>
            </w:pPr>
          </w:p>
        </w:tc>
        <w:tc>
          <w:tcPr>
            <w:tcW w:w="1445" w:type="dxa"/>
            <w:tcBorders>
              <w:top w:val="single" w:sz="4" w:space="0" w:color="auto"/>
              <w:left w:val="nil"/>
              <w:bottom w:val="single" w:sz="4" w:space="0" w:color="auto"/>
              <w:right w:val="single" w:sz="4" w:space="0" w:color="auto"/>
            </w:tcBorders>
            <w:vAlign w:val="center"/>
          </w:tcPr>
          <w:p w:rsidR="00545554" w:rsidRPr="00701CEA" w:rsidRDefault="00545554" w:rsidP="00545554">
            <w:pPr>
              <w:pStyle w:val="TableText"/>
              <w:snapToGrid w:val="0"/>
              <w:jc w:val="center"/>
              <w:rPr>
                <w:bCs/>
                <w:szCs w:val="17"/>
                <w:lang w:eastAsia="it-IT"/>
              </w:rPr>
            </w:pPr>
            <w:r w:rsidRPr="00701CEA">
              <w:rPr>
                <w:bCs/>
                <w:szCs w:val="17"/>
                <w:lang w:eastAsia="it-IT"/>
              </w:rPr>
              <w:t>(a)</w:t>
            </w:r>
          </w:p>
        </w:tc>
        <w:tc>
          <w:tcPr>
            <w:tcW w:w="1446" w:type="dxa"/>
            <w:tcBorders>
              <w:top w:val="single" w:sz="4" w:space="0" w:color="auto"/>
              <w:left w:val="nil"/>
              <w:bottom w:val="single" w:sz="4" w:space="0" w:color="auto"/>
              <w:right w:val="single" w:sz="4" w:space="0" w:color="auto"/>
            </w:tcBorders>
            <w:vAlign w:val="center"/>
          </w:tcPr>
          <w:p w:rsidR="00545554" w:rsidRPr="00701CEA" w:rsidRDefault="00545554" w:rsidP="00545554">
            <w:pPr>
              <w:pStyle w:val="TableText"/>
              <w:snapToGrid w:val="0"/>
              <w:jc w:val="center"/>
              <w:rPr>
                <w:bCs/>
                <w:szCs w:val="17"/>
                <w:lang w:eastAsia="it-IT"/>
              </w:rPr>
            </w:pPr>
            <w:r w:rsidRPr="00701CEA">
              <w:rPr>
                <w:bCs/>
                <w:szCs w:val="17"/>
                <w:lang w:eastAsia="it-IT"/>
              </w:rPr>
              <w:t>(b)</w:t>
            </w:r>
          </w:p>
        </w:tc>
        <w:tc>
          <w:tcPr>
            <w:tcW w:w="1446" w:type="dxa"/>
            <w:tcBorders>
              <w:top w:val="single" w:sz="4" w:space="0" w:color="auto"/>
              <w:left w:val="nil"/>
              <w:bottom w:val="single" w:sz="4" w:space="0" w:color="auto"/>
              <w:right w:val="single" w:sz="4" w:space="0" w:color="auto"/>
            </w:tcBorders>
            <w:vAlign w:val="center"/>
          </w:tcPr>
          <w:p w:rsidR="00545554" w:rsidRPr="00701CEA" w:rsidRDefault="00545554" w:rsidP="00545554">
            <w:pPr>
              <w:pStyle w:val="TableText"/>
              <w:snapToGrid w:val="0"/>
              <w:jc w:val="center"/>
              <w:rPr>
                <w:szCs w:val="17"/>
                <w:lang w:eastAsia="en-GB"/>
              </w:rPr>
            </w:pPr>
            <w:r w:rsidRPr="00701CEA">
              <w:rPr>
                <w:szCs w:val="17"/>
                <w:lang w:eastAsia="en-GB"/>
              </w:rPr>
              <w:t>(c)</w:t>
            </w:r>
          </w:p>
        </w:tc>
        <w:tc>
          <w:tcPr>
            <w:tcW w:w="1446" w:type="dxa"/>
            <w:tcBorders>
              <w:top w:val="single" w:sz="4" w:space="0" w:color="auto"/>
              <w:left w:val="nil"/>
              <w:bottom w:val="single" w:sz="4" w:space="0" w:color="auto"/>
              <w:right w:val="single" w:sz="4" w:space="0" w:color="auto"/>
            </w:tcBorders>
            <w:vAlign w:val="center"/>
          </w:tcPr>
          <w:p w:rsidR="00545554" w:rsidRPr="00701CEA" w:rsidRDefault="00545554" w:rsidP="00545554">
            <w:pPr>
              <w:pStyle w:val="TableText"/>
              <w:snapToGrid w:val="0"/>
              <w:jc w:val="center"/>
              <w:rPr>
                <w:szCs w:val="17"/>
                <w:lang w:eastAsia="en-GB"/>
              </w:rPr>
            </w:pPr>
            <w:r w:rsidRPr="00701CEA">
              <w:rPr>
                <w:szCs w:val="17"/>
                <w:lang w:eastAsia="en-GB"/>
              </w:rPr>
              <w:t>(d)</w:t>
            </w:r>
          </w:p>
        </w:tc>
        <w:tc>
          <w:tcPr>
            <w:tcW w:w="1446" w:type="dxa"/>
            <w:tcBorders>
              <w:top w:val="single" w:sz="4" w:space="0" w:color="auto"/>
              <w:left w:val="single" w:sz="4" w:space="0" w:color="auto"/>
              <w:bottom w:val="single" w:sz="4" w:space="0" w:color="auto"/>
              <w:right w:val="single" w:sz="4" w:space="0" w:color="auto"/>
            </w:tcBorders>
            <w:vAlign w:val="center"/>
          </w:tcPr>
          <w:p w:rsidR="00545554" w:rsidRPr="00701CEA" w:rsidRDefault="00545554" w:rsidP="00545554">
            <w:pPr>
              <w:pStyle w:val="TableText"/>
              <w:snapToGrid w:val="0"/>
              <w:jc w:val="center"/>
              <w:rPr>
                <w:bCs/>
                <w:szCs w:val="17"/>
                <w:lang w:eastAsia="it-IT"/>
              </w:rPr>
            </w:pPr>
            <w:r w:rsidRPr="00701CEA">
              <w:rPr>
                <w:bCs/>
                <w:szCs w:val="17"/>
                <w:lang w:eastAsia="it-IT"/>
              </w:rPr>
              <w:t>(e)</w:t>
            </w:r>
          </w:p>
        </w:tc>
      </w:tr>
      <w:tr w:rsidR="00545554" w:rsidRPr="0023654F" w:rsidTr="00545554">
        <w:trPr>
          <w:cantSplit/>
          <w:tblHeader/>
        </w:trPr>
        <w:tc>
          <w:tcPr>
            <w:tcW w:w="1985" w:type="dxa"/>
            <w:gridSpan w:val="2"/>
            <w:tcBorders>
              <w:top w:val="nil"/>
              <w:left w:val="nil"/>
              <w:bottom w:val="single" w:sz="4" w:space="0" w:color="auto"/>
              <w:right w:val="single" w:sz="4" w:space="0" w:color="auto"/>
            </w:tcBorders>
          </w:tcPr>
          <w:p w:rsidR="00545554" w:rsidRPr="0023654F" w:rsidRDefault="00545554" w:rsidP="00545554">
            <w:pPr>
              <w:pStyle w:val="TableText"/>
              <w:snapToGrid w:val="0"/>
              <w:rPr>
                <w:lang w:eastAsia="en-GB"/>
              </w:rPr>
            </w:pPr>
            <w:r>
              <w:rPr>
                <w:lang w:eastAsia="en-GB"/>
              </w:rPr>
              <w:t>Deferred and retained remuneration</w:t>
            </w:r>
          </w:p>
        </w:tc>
        <w:tc>
          <w:tcPr>
            <w:tcW w:w="1445" w:type="dxa"/>
            <w:tcBorders>
              <w:top w:val="single" w:sz="4" w:space="0" w:color="auto"/>
              <w:left w:val="nil"/>
              <w:bottom w:val="single" w:sz="4" w:space="0" w:color="auto"/>
              <w:right w:val="single" w:sz="4" w:space="0" w:color="auto"/>
            </w:tcBorders>
          </w:tcPr>
          <w:p w:rsidR="00545554" w:rsidRPr="00701CEA" w:rsidRDefault="00545554" w:rsidP="00545554">
            <w:pPr>
              <w:pStyle w:val="TableText"/>
              <w:snapToGrid w:val="0"/>
              <w:rPr>
                <w:szCs w:val="17"/>
                <w:lang w:val="en-US" w:eastAsia="en-GB"/>
              </w:rPr>
            </w:pPr>
            <w:r w:rsidRPr="00701CEA">
              <w:rPr>
                <w:szCs w:val="17"/>
              </w:rPr>
              <w:t>Total amount of outstanding deferred remuneration</w:t>
            </w:r>
          </w:p>
        </w:tc>
        <w:tc>
          <w:tcPr>
            <w:tcW w:w="1446" w:type="dxa"/>
            <w:tcBorders>
              <w:top w:val="single" w:sz="4" w:space="0" w:color="auto"/>
              <w:left w:val="nil"/>
              <w:bottom w:val="single" w:sz="4" w:space="0" w:color="auto"/>
              <w:right w:val="single" w:sz="4" w:space="0" w:color="auto"/>
            </w:tcBorders>
          </w:tcPr>
          <w:p w:rsidR="00545554" w:rsidRPr="00701CEA" w:rsidRDefault="00545554" w:rsidP="00545554">
            <w:pPr>
              <w:pStyle w:val="TableText"/>
              <w:snapToGrid w:val="0"/>
              <w:rPr>
                <w:szCs w:val="17"/>
              </w:rPr>
            </w:pPr>
            <w:r w:rsidRPr="00701CEA">
              <w:rPr>
                <w:szCs w:val="17"/>
              </w:rPr>
              <w:t>Of which: Total amount of outstanding deferred and retained remuneration exposed to ex post explicit and/or implicit adjustment</w:t>
            </w:r>
          </w:p>
        </w:tc>
        <w:tc>
          <w:tcPr>
            <w:tcW w:w="1446" w:type="dxa"/>
            <w:tcBorders>
              <w:top w:val="single" w:sz="4" w:space="0" w:color="auto"/>
              <w:left w:val="nil"/>
              <w:bottom w:val="single" w:sz="4" w:space="0" w:color="auto"/>
              <w:right w:val="single" w:sz="4" w:space="0" w:color="auto"/>
            </w:tcBorders>
          </w:tcPr>
          <w:p w:rsidR="00545554" w:rsidRPr="00701CEA" w:rsidRDefault="00545554" w:rsidP="00545554">
            <w:pPr>
              <w:pStyle w:val="TableText"/>
              <w:snapToGrid w:val="0"/>
              <w:rPr>
                <w:szCs w:val="17"/>
              </w:rPr>
            </w:pPr>
            <w:r w:rsidRPr="00701CEA">
              <w:rPr>
                <w:szCs w:val="17"/>
              </w:rPr>
              <w:t>Total amount of amendment during the year due to ex post explicit adjustments</w:t>
            </w:r>
          </w:p>
        </w:tc>
        <w:tc>
          <w:tcPr>
            <w:tcW w:w="1446" w:type="dxa"/>
            <w:tcBorders>
              <w:top w:val="single" w:sz="4" w:space="0" w:color="auto"/>
              <w:left w:val="nil"/>
              <w:bottom w:val="single" w:sz="4" w:space="0" w:color="auto"/>
              <w:right w:val="single" w:sz="4" w:space="0" w:color="auto"/>
            </w:tcBorders>
          </w:tcPr>
          <w:p w:rsidR="00545554" w:rsidRPr="00701CEA" w:rsidRDefault="00545554" w:rsidP="00545554">
            <w:pPr>
              <w:pStyle w:val="TableText"/>
              <w:snapToGrid w:val="0"/>
              <w:rPr>
                <w:szCs w:val="17"/>
              </w:rPr>
            </w:pPr>
            <w:r w:rsidRPr="00701CEA">
              <w:rPr>
                <w:szCs w:val="17"/>
              </w:rPr>
              <w:t>Total amount of amendment during the year due to ex post implicit adjustments</w:t>
            </w:r>
          </w:p>
        </w:tc>
        <w:tc>
          <w:tcPr>
            <w:tcW w:w="1446" w:type="dxa"/>
            <w:tcBorders>
              <w:top w:val="single" w:sz="4" w:space="0" w:color="auto"/>
              <w:left w:val="single" w:sz="4" w:space="0" w:color="auto"/>
              <w:bottom w:val="single" w:sz="4" w:space="0" w:color="auto"/>
              <w:right w:val="single" w:sz="4" w:space="0" w:color="auto"/>
            </w:tcBorders>
          </w:tcPr>
          <w:p w:rsidR="00545554" w:rsidRPr="00701CEA" w:rsidRDefault="00545554" w:rsidP="00545554">
            <w:pPr>
              <w:pStyle w:val="TableText"/>
              <w:snapToGrid w:val="0"/>
              <w:rPr>
                <w:szCs w:val="17"/>
              </w:rPr>
            </w:pPr>
            <w:r w:rsidRPr="00701CEA">
              <w:rPr>
                <w:szCs w:val="17"/>
              </w:rPr>
              <w:t>Total amount of deferred remuneration paid out in the financial year</w:t>
            </w:r>
          </w:p>
        </w:tc>
      </w:tr>
      <w:tr w:rsidR="00545554" w:rsidRPr="0023654F" w:rsidTr="00545554">
        <w:trPr>
          <w:cantSplit/>
          <w:tblHeader/>
        </w:trPr>
        <w:tc>
          <w:tcPr>
            <w:tcW w:w="566"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911851" w:rsidRDefault="00545554" w:rsidP="00FF2C4F">
            <w:pPr>
              <w:pStyle w:val="TableText"/>
              <w:snapToGrid w:val="0"/>
              <w:spacing w:before="15" w:after="15"/>
              <w:rPr>
                <w:lang w:eastAsia="en-GB"/>
              </w:rPr>
            </w:pPr>
            <w:r>
              <w:rPr>
                <w:lang w:eastAsia="en-GB"/>
              </w:rPr>
              <w:t>1</w:t>
            </w:r>
          </w:p>
        </w:tc>
        <w:tc>
          <w:tcPr>
            <w:tcW w:w="14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45554" w:rsidRPr="00701CEA" w:rsidRDefault="00545554" w:rsidP="00FF2C4F">
            <w:pPr>
              <w:pStyle w:val="TableText"/>
              <w:snapToGrid w:val="0"/>
              <w:spacing w:before="15" w:after="15"/>
              <w:rPr>
                <w:szCs w:val="17"/>
                <w:lang w:eastAsia="en-GB"/>
              </w:rPr>
            </w:pPr>
            <w:r w:rsidRPr="00701CEA">
              <w:rPr>
                <w:szCs w:val="17"/>
              </w:rPr>
              <w:t>Senior management</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auto"/>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sidRPr="0023654F">
              <w:rPr>
                <w:lang w:eastAsia="en-GB"/>
              </w:rPr>
              <w:t>2</w:t>
            </w:r>
          </w:p>
        </w:tc>
        <w:tc>
          <w:tcPr>
            <w:tcW w:w="1419"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Cash</w:t>
            </w:r>
          </w:p>
        </w:tc>
        <w:tc>
          <w:tcPr>
            <w:tcW w:w="1445"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Pr>
                <w:lang w:eastAsia="en-GB"/>
              </w:rPr>
              <w:t>3</w:t>
            </w:r>
          </w:p>
        </w:tc>
        <w:tc>
          <w:tcPr>
            <w:tcW w:w="1419"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Shares</w:t>
            </w:r>
          </w:p>
        </w:tc>
        <w:tc>
          <w:tcPr>
            <w:tcW w:w="1445"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Pr>
                <w:lang w:eastAsia="en-GB"/>
              </w:rPr>
              <w:t>4</w:t>
            </w:r>
          </w:p>
        </w:tc>
        <w:tc>
          <w:tcPr>
            <w:tcW w:w="1419"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Cash-linked instruments</w:t>
            </w:r>
          </w:p>
        </w:tc>
        <w:tc>
          <w:tcPr>
            <w:tcW w:w="1445"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auto"/>
              <w:right w:val="single" w:sz="4" w:space="0" w:color="auto"/>
            </w:tcBorders>
          </w:tcPr>
          <w:p w:rsidR="00545554" w:rsidRPr="0023654F" w:rsidRDefault="00545554" w:rsidP="00FF2C4F">
            <w:pPr>
              <w:pStyle w:val="TableText"/>
              <w:snapToGrid w:val="0"/>
              <w:spacing w:before="15" w:after="15"/>
              <w:rPr>
                <w:lang w:eastAsia="en-GB"/>
              </w:rPr>
            </w:pPr>
            <w:r>
              <w:rPr>
                <w:lang w:eastAsia="en-GB"/>
              </w:rPr>
              <w:t>5</w:t>
            </w:r>
          </w:p>
        </w:tc>
        <w:tc>
          <w:tcPr>
            <w:tcW w:w="1419"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r>
            <w:r w:rsidRPr="00701CEA">
              <w:rPr>
                <w:szCs w:val="17"/>
              </w:rPr>
              <w:t>Other</w:t>
            </w:r>
          </w:p>
        </w:tc>
        <w:tc>
          <w:tcPr>
            <w:tcW w:w="1445"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auto"/>
              <w:left w:val="nil"/>
              <w:bottom w:val="single" w:sz="4" w:space="0" w:color="auto"/>
              <w:right w:val="single" w:sz="4" w:space="0" w:color="auto"/>
            </w:tcBorders>
            <w:shd w:val="clear" w:color="auto" w:fill="F2F2F2" w:themeFill="background1" w:themeFillShade="F2"/>
          </w:tcPr>
          <w:p w:rsidR="00545554" w:rsidRPr="0023654F" w:rsidRDefault="00545554" w:rsidP="00FF2C4F">
            <w:pPr>
              <w:pStyle w:val="TableText"/>
              <w:snapToGrid w:val="0"/>
              <w:spacing w:before="15" w:after="15"/>
              <w:rPr>
                <w:lang w:eastAsia="en-GB"/>
              </w:rPr>
            </w:pPr>
            <w:r>
              <w:rPr>
                <w:lang w:eastAsia="en-GB"/>
              </w:rPr>
              <w:t>6</w:t>
            </w:r>
          </w:p>
        </w:tc>
        <w:tc>
          <w:tcPr>
            <w:tcW w:w="14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r>
              <w:rPr>
                <w:szCs w:val="17"/>
              </w:rPr>
              <w:t>Key personnel</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auto"/>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Pr>
                <w:lang w:eastAsia="en-GB"/>
              </w:rPr>
              <w:t>7</w:t>
            </w:r>
          </w:p>
        </w:tc>
        <w:tc>
          <w:tcPr>
            <w:tcW w:w="1419"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Cash</w:t>
            </w:r>
          </w:p>
        </w:tc>
        <w:tc>
          <w:tcPr>
            <w:tcW w:w="1445"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auto"/>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Pr>
                <w:lang w:eastAsia="en-GB"/>
              </w:rPr>
              <w:t>8</w:t>
            </w:r>
          </w:p>
        </w:tc>
        <w:tc>
          <w:tcPr>
            <w:tcW w:w="1419"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Shares</w:t>
            </w:r>
          </w:p>
        </w:tc>
        <w:tc>
          <w:tcPr>
            <w:tcW w:w="1445"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D9D9D9" w:themeColor="background1" w:themeShade="D9"/>
              <w:right w:val="single" w:sz="4" w:space="0" w:color="auto"/>
            </w:tcBorders>
          </w:tcPr>
          <w:p w:rsidR="00545554" w:rsidRPr="0023654F" w:rsidRDefault="00545554" w:rsidP="00FF2C4F">
            <w:pPr>
              <w:pStyle w:val="TableText"/>
              <w:snapToGrid w:val="0"/>
              <w:spacing w:before="15" w:after="15"/>
              <w:rPr>
                <w:lang w:eastAsia="en-GB"/>
              </w:rPr>
            </w:pPr>
            <w:r>
              <w:rPr>
                <w:lang w:eastAsia="en-GB"/>
              </w:rPr>
              <w:t>9</w:t>
            </w:r>
          </w:p>
        </w:tc>
        <w:tc>
          <w:tcPr>
            <w:tcW w:w="1419"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t>Cash-linked instruments</w:t>
            </w:r>
          </w:p>
        </w:tc>
        <w:tc>
          <w:tcPr>
            <w:tcW w:w="1445"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D9D9D9" w:themeColor="background1" w:themeShade="D9"/>
              <w:left w:val="nil"/>
              <w:bottom w:val="single" w:sz="4" w:space="0" w:color="auto"/>
              <w:right w:val="single" w:sz="4" w:space="0" w:color="auto"/>
            </w:tcBorders>
          </w:tcPr>
          <w:p w:rsidR="00545554" w:rsidRDefault="00545554" w:rsidP="00FF2C4F">
            <w:pPr>
              <w:pStyle w:val="TableText"/>
              <w:snapToGrid w:val="0"/>
              <w:spacing w:before="15" w:after="15"/>
              <w:rPr>
                <w:lang w:eastAsia="en-GB"/>
              </w:rPr>
            </w:pPr>
            <w:r>
              <w:rPr>
                <w:lang w:eastAsia="en-GB"/>
              </w:rPr>
              <w:t>10</w:t>
            </w:r>
          </w:p>
        </w:tc>
        <w:tc>
          <w:tcPr>
            <w:tcW w:w="1419"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ind w:left="177" w:hangingChars="104" w:hanging="177"/>
              <w:rPr>
                <w:szCs w:val="17"/>
              </w:rPr>
            </w:pPr>
            <w:r>
              <w:rPr>
                <w:szCs w:val="17"/>
              </w:rPr>
              <w:tab/>
            </w:r>
            <w:r w:rsidRPr="00701CEA">
              <w:rPr>
                <w:szCs w:val="17"/>
              </w:rPr>
              <w:t>Other</w:t>
            </w:r>
          </w:p>
        </w:tc>
        <w:tc>
          <w:tcPr>
            <w:tcW w:w="1445"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c>
          <w:tcPr>
            <w:tcW w:w="1446" w:type="dxa"/>
            <w:tcBorders>
              <w:top w:val="single" w:sz="4" w:space="0" w:color="D9D9D9" w:themeColor="background1" w:themeShade="D9"/>
              <w:left w:val="single" w:sz="4" w:space="0" w:color="auto"/>
              <w:bottom w:val="single" w:sz="4" w:space="0" w:color="auto"/>
              <w:right w:val="single" w:sz="4" w:space="0" w:color="auto"/>
            </w:tcBorders>
          </w:tcPr>
          <w:p w:rsidR="00545554" w:rsidRPr="00701CEA" w:rsidRDefault="00545554" w:rsidP="00FF2C4F">
            <w:pPr>
              <w:pStyle w:val="TableText"/>
              <w:snapToGrid w:val="0"/>
              <w:spacing w:before="15" w:after="15"/>
              <w:rPr>
                <w:szCs w:val="17"/>
                <w:lang w:eastAsia="en-GB"/>
              </w:rPr>
            </w:pPr>
          </w:p>
        </w:tc>
      </w:tr>
      <w:tr w:rsidR="00545554" w:rsidRPr="0023654F" w:rsidTr="00545554">
        <w:trPr>
          <w:cantSplit/>
        </w:trPr>
        <w:tc>
          <w:tcPr>
            <w:tcW w:w="566" w:type="dxa"/>
            <w:tcBorders>
              <w:top w:val="single" w:sz="4" w:space="0" w:color="auto"/>
              <w:left w:val="nil"/>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lang w:eastAsia="en-GB"/>
              </w:rPr>
            </w:pPr>
            <w:r w:rsidRPr="00701CEA">
              <w:rPr>
                <w:b/>
                <w:lang w:eastAsia="en-GB"/>
              </w:rPr>
              <w:t>11</w:t>
            </w:r>
          </w:p>
        </w:tc>
        <w:tc>
          <w:tcPr>
            <w:tcW w:w="1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ind w:rightChars="-54" w:right="-108"/>
              <w:rPr>
                <w:b/>
                <w:lang w:eastAsia="en-GB"/>
              </w:rPr>
            </w:pPr>
            <w:r>
              <w:rPr>
                <w:b/>
                <w:lang w:eastAsia="en-GB"/>
              </w:rPr>
              <w:t>Total</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szCs w:val="17"/>
                <w:lang w:eastAsia="en-GB"/>
              </w:rPr>
            </w:pPr>
          </w:p>
        </w:tc>
        <w:tc>
          <w:tcPr>
            <w:tcW w:w="1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5554" w:rsidRPr="00701CEA" w:rsidRDefault="00545554" w:rsidP="00FF2C4F">
            <w:pPr>
              <w:pStyle w:val="TableText"/>
              <w:snapToGrid w:val="0"/>
              <w:spacing w:before="15" w:after="15"/>
              <w:rPr>
                <w:b/>
                <w:szCs w:val="17"/>
                <w:lang w:eastAsia="en-GB"/>
              </w:rPr>
            </w:pPr>
          </w:p>
        </w:tc>
      </w:tr>
    </w:tbl>
    <w:p w:rsidR="00FE0F7C" w:rsidRDefault="00FE0F7C" w:rsidP="00545554">
      <w:pPr>
        <w:spacing w:before="120" w:after="120"/>
        <w:ind w:leftChars="-283" w:left="-566"/>
        <w:rPr>
          <w:sz w:val="22"/>
        </w:rPr>
      </w:pPr>
    </w:p>
    <w:tbl>
      <w:tblPr>
        <w:tblStyle w:val="TableGrid"/>
        <w:tblW w:w="9214" w:type="dxa"/>
        <w:tblInd w:w="-459" w:type="dxa"/>
        <w:tblLook w:val="04A0" w:firstRow="1" w:lastRow="0" w:firstColumn="1" w:lastColumn="0" w:noHBand="0" w:noVBand="1"/>
      </w:tblPr>
      <w:tblGrid>
        <w:gridCol w:w="567"/>
        <w:gridCol w:w="8647"/>
      </w:tblGrid>
      <w:tr w:rsidR="00545554" w:rsidRPr="0072444B" w:rsidTr="00545554">
        <w:trPr>
          <w:tblHeader/>
        </w:trPr>
        <w:tc>
          <w:tcPr>
            <w:tcW w:w="9214" w:type="dxa"/>
            <w:gridSpan w:val="2"/>
            <w:shd w:val="clear" w:color="auto" w:fill="BFBFBF" w:themeFill="background1" w:themeFillShade="BF"/>
          </w:tcPr>
          <w:p w:rsidR="00545554" w:rsidRPr="0072444B" w:rsidRDefault="00545554" w:rsidP="00545554">
            <w:pPr>
              <w:spacing w:before="40" w:after="40"/>
              <w:jc w:val="both"/>
              <w:rPr>
                <w:rFonts w:eastAsiaTheme="minorEastAsia"/>
                <w:b/>
                <w:sz w:val="17"/>
                <w:szCs w:val="17"/>
                <w:lang w:eastAsia="en-GB"/>
              </w:rPr>
            </w:pPr>
            <w:r w:rsidRPr="0072444B">
              <w:rPr>
                <w:rFonts w:eastAsiaTheme="minorEastAsia"/>
                <w:b/>
                <w:sz w:val="17"/>
                <w:szCs w:val="17"/>
                <w:lang w:eastAsia="en-GB"/>
              </w:rPr>
              <w:t>Explanatory Note</w:t>
            </w:r>
          </w:p>
        </w:tc>
      </w:tr>
      <w:tr w:rsidR="00545554" w:rsidRPr="0072444B" w:rsidTr="00545554">
        <w:trPr>
          <w:trHeight w:val="153"/>
        </w:trPr>
        <w:tc>
          <w:tcPr>
            <w:tcW w:w="9214" w:type="dxa"/>
            <w:gridSpan w:val="2"/>
            <w:shd w:val="clear" w:color="auto" w:fill="F2F2F2" w:themeFill="background1" w:themeFillShade="F2"/>
          </w:tcPr>
          <w:p w:rsidR="00545554" w:rsidRPr="0072444B" w:rsidRDefault="00545554" w:rsidP="00545554">
            <w:pPr>
              <w:spacing w:before="40" w:after="40"/>
              <w:jc w:val="both"/>
              <w:rPr>
                <w:rFonts w:eastAsiaTheme="minorEastAsia"/>
                <w:b/>
                <w:sz w:val="17"/>
                <w:szCs w:val="17"/>
                <w:lang w:eastAsia="en-GB"/>
              </w:rPr>
            </w:pPr>
            <w:r>
              <w:rPr>
                <w:rFonts w:eastAsiaTheme="minorEastAsia"/>
                <w:b/>
                <w:sz w:val="17"/>
                <w:szCs w:val="17"/>
                <w:lang w:eastAsia="en-GB"/>
              </w:rPr>
              <w:t>Columns</w:t>
            </w:r>
          </w:p>
        </w:tc>
      </w:tr>
      <w:tr w:rsidR="00545554" w:rsidRPr="0072444B" w:rsidTr="00545554">
        <w:tc>
          <w:tcPr>
            <w:tcW w:w="567"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(a)</w:t>
            </w:r>
          </w:p>
        </w:tc>
        <w:tc>
          <w:tcPr>
            <w:tcW w:w="8647" w:type="dxa"/>
          </w:tcPr>
          <w:p w:rsidR="00545554" w:rsidRPr="00F63A6A" w:rsidRDefault="00545554" w:rsidP="00545554">
            <w:pPr>
              <w:pStyle w:val="TableText"/>
              <w:keepNext/>
              <w:jc w:val="both"/>
              <w:rPr>
                <w:szCs w:val="17"/>
              </w:rPr>
            </w:pPr>
            <w:r>
              <w:rPr>
                <w:rFonts w:eastAsiaTheme="minorEastAsia" w:cs="Segoe UI"/>
                <w:color w:val="000000"/>
                <w:szCs w:val="17"/>
                <w:lang w:val="en-US" w:eastAsia="zh-TW"/>
              </w:rPr>
              <w:t>This column should report t</w:t>
            </w:r>
            <w:r w:rsidRPr="00F63A6A">
              <w:rPr>
                <w:rFonts w:eastAsiaTheme="minorEastAsia" w:cs="Segoe UI"/>
                <w:color w:val="000000"/>
                <w:szCs w:val="17"/>
                <w:lang w:val="en-US" w:eastAsia="zh-TW"/>
              </w:rPr>
              <w:t xml:space="preserve">he amounts </w:t>
            </w:r>
            <w:r>
              <w:rPr>
                <w:rFonts w:eastAsiaTheme="minorEastAsia" w:cs="Segoe UI"/>
                <w:color w:val="000000"/>
                <w:szCs w:val="17"/>
                <w:lang w:val="en-US" w:eastAsia="zh-TW"/>
              </w:rPr>
              <w:t>of deferred remuneration accrued</w:t>
            </w:r>
            <w:r w:rsidRPr="00F63A6A">
              <w:rPr>
                <w:rFonts w:eastAsiaTheme="minorEastAsia" w:cs="Segoe UI"/>
                <w:color w:val="000000"/>
                <w:szCs w:val="17"/>
                <w:lang w:val="en-US" w:eastAsia="zh-TW"/>
              </w:rPr>
              <w:t xml:space="preserve"> (cumulated)</w:t>
            </w:r>
            <w:r>
              <w:rPr>
                <w:rFonts w:eastAsiaTheme="minorEastAsia" w:cs="Segoe UI"/>
                <w:color w:val="000000"/>
                <w:szCs w:val="17"/>
                <w:lang w:val="en-US" w:eastAsia="zh-TW"/>
              </w:rPr>
              <w:t xml:space="preserve"> </w:t>
            </w:r>
            <w:r w:rsidRPr="00F63A6A">
              <w:rPr>
                <w:rFonts w:eastAsiaTheme="minorEastAsia" w:cs="Segoe UI"/>
                <w:color w:val="000000"/>
                <w:szCs w:val="17"/>
                <w:lang w:val="en-US" w:eastAsia="zh-TW"/>
              </w:rPr>
              <w:t>over the previous years as of the reporting date.</w:t>
            </w:r>
          </w:p>
        </w:tc>
      </w:tr>
      <w:tr w:rsidR="00545554" w:rsidRPr="0072444B" w:rsidTr="00545554">
        <w:tc>
          <w:tcPr>
            <w:tcW w:w="567" w:type="dxa"/>
          </w:tcPr>
          <w:p w:rsidR="00545554"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lastRenderedPageBreak/>
              <w:t>(b)</w:t>
            </w:r>
          </w:p>
        </w:tc>
        <w:tc>
          <w:tcPr>
            <w:tcW w:w="8647" w:type="dxa"/>
          </w:tcPr>
          <w:p w:rsidR="00545554" w:rsidRPr="002D7154" w:rsidRDefault="00545554" w:rsidP="00545554">
            <w:pPr>
              <w:pStyle w:val="TableText"/>
              <w:keepNext/>
              <w:jc w:val="both"/>
              <w:rPr>
                <w:rFonts w:eastAsiaTheme="minorEastAsia" w:cs="Segoe UI"/>
                <w:color w:val="000000"/>
                <w:szCs w:val="17"/>
                <w:lang w:val="en-US" w:eastAsia="zh-TW"/>
              </w:rPr>
            </w:pPr>
            <w:r w:rsidRPr="002D7154">
              <w:rPr>
                <w:rFonts w:eastAsiaTheme="minorEastAsia" w:cs="Segoe UI"/>
                <w:color w:val="000000"/>
                <w:szCs w:val="17"/>
                <w:lang w:val="en-US" w:eastAsia="zh-TW"/>
              </w:rPr>
              <w:t>The amount reported in this column is a subset of that reported in column (a) which is subject to the following:</w:t>
            </w:r>
          </w:p>
          <w:p w:rsidR="00545554" w:rsidRPr="002D7154" w:rsidRDefault="00545554" w:rsidP="00545554">
            <w:pPr>
              <w:pStyle w:val="ListParagraph"/>
              <w:numPr>
                <w:ilvl w:val="0"/>
                <w:numId w:val="42"/>
              </w:numPr>
              <w:tabs>
                <w:tab w:val="left" w:pos="459"/>
              </w:tabs>
              <w:autoSpaceDE w:val="0"/>
              <w:autoSpaceDN w:val="0"/>
              <w:adjustRightInd w:val="0"/>
              <w:ind w:leftChars="0" w:left="459" w:hanging="459"/>
              <w:jc w:val="both"/>
              <w:rPr>
                <w:rFonts w:ascii="Segoe UI" w:hAnsi="Segoe UI" w:cs="Segoe UI"/>
                <w:color w:val="000000"/>
                <w:sz w:val="17"/>
                <w:szCs w:val="17"/>
              </w:rPr>
            </w:pPr>
            <w:r w:rsidRPr="002D7154">
              <w:rPr>
                <w:rFonts w:ascii="Segoe UI" w:hAnsi="Segoe UI" w:cs="Segoe UI"/>
                <w:i/>
                <w:iCs/>
                <w:color w:val="000000"/>
                <w:sz w:val="17"/>
                <w:szCs w:val="17"/>
              </w:rPr>
              <w:t>Outstanding exposed to ex post explicit adjustment</w:t>
            </w:r>
            <w:r w:rsidRPr="002D7154">
              <w:rPr>
                <w:rFonts w:ascii="Segoe UI" w:hAnsi="Segoe UI" w:cs="Segoe UI"/>
                <w:iCs/>
                <w:color w:val="000000"/>
                <w:sz w:val="17"/>
                <w:szCs w:val="17"/>
              </w:rPr>
              <w:t>:</w:t>
            </w:r>
            <w:r w:rsidRPr="002D7154">
              <w:rPr>
                <w:rFonts w:ascii="Segoe UI" w:hAnsi="Segoe UI" w:cs="Segoe UI"/>
                <w:i/>
                <w:iCs/>
                <w:color w:val="000000"/>
                <w:sz w:val="17"/>
                <w:szCs w:val="17"/>
              </w:rPr>
              <w:t xml:space="preserve"> </w:t>
            </w:r>
            <w:r w:rsidRPr="002D7154">
              <w:rPr>
                <w:rFonts w:ascii="Segoe UI" w:hAnsi="Segoe UI" w:cs="Segoe UI"/>
                <w:color w:val="000000"/>
                <w:sz w:val="17"/>
                <w:szCs w:val="17"/>
              </w:rPr>
              <w:t xml:space="preserve">part of the deferred and retained remuneration that is subject to direct adjustment clauses (for instance, subject to malus, clawbacks or similar reversal or downward revaluations of awards). </w:t>
            </w:r>
          </w:p>
          <w:p w:rsidR="00545554" w:rsidRPr="002D7154" w:rsidRDefault="00545554" w:rsidP="00545554">
            <w:pPr>
              <w:pStyle w:val="ListParagraph"/>
              <w:numPr>
                <w:ilvl w:val="0"/>
                <w:numId w:val="42"/>
              </w:numPr>
              <w:tabs>
                <w:tab w:val="left" w:pos="459"/>
              </w:tabs>
              <w:autoSpaceDE w:val="0"/>
              <w:autoSpaceDN w:val="0"/>
              <w:adjustRightInd w:val="0"/>
              <w:ind w:leftChars="0" w:left="459" w:hanging="459"/>
              <w:jc w:val="both"/>
              <w:rPr>
                <w:rFonts w:ascii="Segoe UI" w:hAnsi="Segoe UI" w:cs="Segoe UI"/>
                <w:color w:val="000000"/>
                <w:sz w:val="17"/>
                <w:szCs w:val="17"/>
              </w:rPr>
            </w:pPr>
            <w:r w:rsidRPr="002D7154">
              <w:rPr>
                <w:rFonts w:ascii="Segoe UI" w:hAnsi="Segoe UI" w:cs="Segoe UI"/>
                <w:i/>
                <w:color w:val="000000"/>
                <w:sz w:val="17"/>
                <w:szCs w:val="17"/>
              </w:rPr>
              <w:t>Outstanding</w:t>
            </w:r>
            <w:r w:rsidRPr="002D7154">
              <w:rPr>
                <w:rFonts w:ascii="Segoe UI" w:hAnsi="Segoe UI" w:cs="Segoe UI"/>
                <w:i/>
                <w:iCs/>
                <w:color w:val="000000"/>
                <w:sz w:val="17"/>
                <w:szCs w:val="17"/>
              </w:rPr>
              <w:t xml:space="preserve"> exposed to ex post implicit adjustment</w:t>
            </w:r>
            <w:r w:rsidRPr="002D7154">
              <w:rPr>
                <w:rFonts w:ascii="Segoe UI" w:hAnsi="Segoe UI" w:cs="Segoe UI"/>
                <w:iCs/>
                <w:color w:val="000000"/>
                <w:sz w:val="17"/>
                <w:szCs w:val="17"/>
              </w:rPr>
              <w:t>:</w:t>
            </w:r>
            <w:r w:rsidRPr="002D7154">
              <w:rPr>
                <w:rFonts w:ascii="Segoe UI" w:hAnsi="Segoe UI" w:cs="Segoe UI"/>
                <w:i/>
                <w:iCs/>
                <w:color w:val="000000"/>
                <w:sz w:val="17"/>
                <w:szCs w:val="17"/>
              </w:rPr>
              <w:t xml:space="preserve"> </w:t>
            </w:r>
            <w:r w:rsidRPr="002D7154">
              <w:rPr>
                <w:rFonts w:ascii="Segoe UI" w:hAnsi="Segoe UI" w:cs="Segoe UI"/>
                <w:color w:val="000000"/>
                <w:sz w:val="17"/>
                <w:szCs w:val="17"/>
              </w:rPr>
              <w:t>part of the deferred and retained remuneration that is subject to adjustment clauses that could change the remuneration, due to the fact that they are linked to the performance of other indicators (for instance, fluctuation in the value of shares performance or performance units).</w:t>
            </w:r>
          </w:p>
        </w:tc>
      </w:tr>
      <w:tr w:rsidR="00545554" w:rsidRPr="0072444B" w:rsidTr="00545554">
        <w:tc>
          <w:tcPr>
            <w:tcW w:w="567"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(c)</w:t>
            </w:r>
          </w:p>
        </w:tc>
        <w:tc>
          <w:tcPr>
            <w:tcW w:w="8647" w:type="dxa"/>
          </w:tcPr>
          <w:p w:rsidR="00545554" w:rsidRPr="002D7154" w:rsidRDefault="00545554" w:rsidP="00545554">
            <w:pPr>
              <w:pStyle w:val="TableText"/>
              <w:keepNext/>
              <w:jc w:val="both"/>
              <w:rPr>
                <w:rFonts w:cs="Segoe UI"/>
                <w:szCs w:val="17"/>
              </w:rPr>
            </w:pPr>
            <w:r w:rsidRPr="002D7154">
              <w:rPr>
                <w:rFonts w:cs="Segoe UI"/>
                <w:szCs w:val="17"/>
              </w:rPr>
              <w:t xml:space="preserve">The definition in explanatory note (b)(i) above applies.  It shows the </w:t>
            </w:r>
            <w:r w:rsidRPr="002D7154">
              <w:rPr>
                <w:rFonts w:eastAsiaTheme="minorEastAsia" w:cs="Segoe UI"/>
                <w:color w:val="000000"/>
                <w:szCs w:val="17"/>
                <w:lang w:val="en-US" w:eastAsia="zh-TW"/>
              </w:rPr>
              <w:t>movements specifically related to column (b) during the financial year.</w:t>
            </w:r>
          </w:p>
        </w:tc>
      </w:tr>
      <w:tr w:rsidR="00545554" w:rsidRPr="0072444B" w:rsidTr="00545554">
        <w:tc>
          <w:tcPr>
            <w:tcW w:w="567" w:type="dxa"/>
          </w:tcPr>
          <w:p w:rsidR="00545554"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(d)</w:t>
            </w:r>
          </w:p>
        </w:tc>
        <w:tc>
          <w:tcPr>
            <w:tcW w:w="8647" w:type="dxa"/>
          </w:tcPr>
          <w:p w:rsidR="00545554" w:rsidRPr="00F63A6A" w:rsidRDefault="00545554" w:rsidP="00545554">
            <w:pPr>
              <w:pStyle w:val="TableText"/>
              <w:keepNext/>
              <w:jc w:val="both"/>
              <w:rPr>
                <w:szCs w:val="17"/>
              </w:rPr>
            </w:pPr>
            <w:r w:rsidRPr="00F63A6A">
              <w:rPr>
                <w:szCs w:val="17"/>
              </w:rPr>
              <w:t>The definition in explanatory note (b)(i</w:t>
            </w:r>
            <w:r>
              <w:rPr>
                <w:szCs w:val="17"/>
              </w:rPr>
              <w:t>i</w:t>
            </w:r>
            <w:r w:rsidRPr="00F63A6A">
              <w:rPr>
                <w:szCs w:val="17"/>
              </w:rPr>
              <w:t xml:space="preserve">) above applies.  </w:t>
            </w:r>
            <w:r>
              <w:rPr>
                <w:szCs w:val="17"/>
              </w:rPr>
              <w:t>It</w:t>
            </w:r>
            <w:r w:rsidRPr="00F63A6A">
              <w:rPr>
                <w:szCs w:val="17"/>
              </w:rPr>
              <w:t xml:space="preserve"> shows the movements specifically related to column (b) during the financial year.</w:t>
            </w:r>
          </w:p>
        </w:tc>
      </w:tr>
      <w:tr w:rsidR="00545554" w:rsidRPr="0072444B" w:rsidTr="00545554">
        <w:tc>
          <w:tcPr>
            <w:tcW w:w="567" w:type="dxa"/>
          </w:tcPr>
          <w:p w:rsidR="00545554" w:rsidRPr="008933E6"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(e)</w:t>
            </w:r>
          </w:p>
        </w:tc>
        <w:tc>
          <w:tcPr>
            <w:tcW w:w="8647" w:type="dxa"/>
          </w:tcPr>
          <w:p w:rsidR="00545554" w:rsidRPr="00F63A6A" w:rsidRDefault="00545554" w:rsidP="00545554">
            <w:pPr>
              <w:pStyle w:val="TableText"/>
              <w:keepNext/>
              <w:jc w:val="both"/>
              <w:rPr>
                <w:szCs w:val="17"/>
              </w:rPr>
            </w:pPr>
            <w:r w:rsidRPr="00F63A6A">
              <w:rPr>
                <w:szCs w:val="17"/>
              </w:rPr>
              <w:t>Th</w:t>
            </w:r>
            <w:r>
              <w:rPr>
                <w:szCs w:val="17"/>
              </w:rPr>
              <w:t>is</w:t>
            </w:r>
            <w:r w:rsidRPr="00F63A6A">
              <w:rPr>
                <w:szCs w:val="17"/>
              </w:rPr>
              <w:t xml:space="preserve"> column, which shows the movements during the financial year, represents the payments that have affected the value disclosed in column (a).</w:t>
            </w:r>
          </w:p>
        </w:tc>
      </w:tr>
      <w:tr w:rsidR="00545554" w:rsidRPr="0072444B" w:rsidTr="00545554">
        <w:tc>
          <w:tcPr>
            <w:tcW w:w="9214" w:type="dxa"/>
            <w:gridSpan w:val="2"/>
            <w:shd w:val="clear" w:color="auto" w:fill="F2F2F2" w:themeFill="background1" w:themeFillShade="F2"/>
          </w:tcPr>
          <w:p w:rsidR="00545554" w:rsidRPr="00F63A6A" w:rsidRDefault="00545554" w:rsidP="00545554">
            <w:pPr>
              <w:spacing w:before="40" w:after="40"/>
              <w:jc w:val="both"/>
              <w:rPr>
                <w:szCs w:val="17"/>
              </w:rPr>
            </w:pPr>
            <w:r w:rsidRPr="00E34968">
              <w:rPr>
                <w:rFonts w:eastAsiaTheme="minorEastAsia"/>
                <w:b/>
                <w:sz w:val="17"/>
                <w:szCs w:val="17"/>
                <w:lang w:eastAsia="en-GB"/>
              </w:rPr>
              <w:t>Rows</w:t>
            </w:r>
          </w:p>
        </w:tc>
      </w:tr>
      <w:tr w:rsidR="00545554" w:rsidRPr="0072444B" w:rsidTr="00545554">
        <w:tc>
          <w:tcPr>
            <w:tcW w:w="567" w:type="dxa"/>
          </w:tcPr>
          <w:p w:rsidR="00545554"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1</w:t>
            </w:r>
          </w:p>
        </w:tc>
        <w:tc>
          <w:tcPr>
            <w:tcW w:w="8647" w:type="dxa"/>
          </w:tcPr>
          <w:p w:rsidR="00545554" w:rsidRPr="00F63A6A" w:rsidRDefault="00545554" w:rsidP="00545554">
            <w:pPr>
              <w:pStyle w:val="TableText"/>
              <w:keepNext/>
              <w:jc w:val="both"/>
              <w:rPr>
                <w:szCs w:val="17"/>
              </w:rPr>
            </w:pPr>
            <w:r w:rsidRPr="009B3D5D">
              <w:rPr>
                <w:i/>
                <w:szCs w:val="17"/>
              </w:rPr>
              <w:t>Senior management</w:t>
            </w:r>
            <w:r>
              <w:rPr>
                <w:szCs w:val="17"/>
              </w:rPr>
              <w:t>:</w:t>
            </w:r>
            <w:r w:rsidRPr="008933E6">
              <w:rPr>
                <w:szCs w:val="17"/>
              </w:rPr>
              <w:t xml:space="preserve"> </w:t>
            </w:r>
            <w:r>
              <w:rPr>
                <w:szCs w:val="17"/>
              </w:rPr>
              <w:t>it</w:t>
            </w:r>
            <w:r w:rsidRPr="008933E6">
              <w:rPr>
                <w:szCs w:val="17"/>
              </w:rPr>
              <w:t xml:space="preserve"> </w:t>
            </w:r>
            <w:r>
              <w:rPr>
                <w:szCs w:val="17"/>
              </w:rPr>
              <w:t>should</w:t>
            </w:r>
            <w:r w:rsidRPr="008933E6">
              <w:rPr>
                <w:szCs w:val="17"/>
              </w:rPr>
              <w:t xml:space="preserve"> correspond to the type of emp</w:t>
            </w:r>
            <w:r>
              <w:rPr>
                <w:szCs w:val="17"/>
              </w:rPr>
              <w:t>loyees described in table REMA, and its value is equal to the sum of values in rows 2 to 5.</w:t>
            </w:r>
          </w:p>
        </w:tc>
      </w:tr>
      <w:tr w:rsidR="00545554" w:rsidRPr="0072444B" w:rsidTr="00545554">
        <w:tc>
          <w:tcPr>
            <w:tcW w:w="567" w:type="dxa"/>
          </w:tcPr>
          <w:p w:rsidR="00545554"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6</w:t>
            </w:r>
          </w:p>
        </w:tc>
        <w:tc>
          <w:tcPr>
            <w:tcW w:w="8647" w:type="dxa"/>
          </w:tcPr>
          <w:p w:rsidR="00545554" w:rsidRPr="00F63A6A" w:rsidRDefault="00545554" w:rsidP="00545554">
            <w:pPr>
              <w:pStyle w:val="TableText"/>
              <w:keepNext/>
              <w:jc w:val="both"/>
              <w:rPr>
                <w:szCs w:val="17"/>
              </w:rPr>
            </w:pPr>
            <w:r>
              <w:rPr>
                <w:i/>
                <w:szCs w:val="17"/>
              </w:rPr>
              <w:t>Key personnel</w:t>
            </w:r>
            <w:r>
              <w:rPr>
                <w:szCs w:val="17"/>
              </w:rPr>
              <w:t>:</w:t>
            </w:r>
            <w:r w:rsidRPr="008933E6">
              <w:rPr>
                <w:szCs w:val="17"/>
              </w:rPr>
              <w:t xml:space="preserve"> </w:t>
            </w:r>
            <w:r>
              <w:rPr>
                <w:szCs w:val="17"/>
              </w:rPr>
              <w:t>it</w:t>
            </w:r>
            <w:r w:rsidRPr="008933E6">
              <w:rPr>
                <w:szCs w:val="17"/>
              </w:rPr>
              <w:t xml:space="preserve"> </w:t>
            </w:r>
            <w:r>
              <w:rPr>
                <w:szCs w:val="17"/>
              </w:rPr>
              <w:t>should</w:t>
            </w:r>
            <w:r w:rsidRPr="008933E6">
              <w:rPr>
                <w:szCs w:val="17"/>
              </w:rPr>
              <w:t xml:space="preserve"> correspond to the type of emp</w:t>
            </w:r>
            <w:r>
              <w:rPr>
                <w:szCs w:val="17"/>
              </w:rPr>
              <w:t>loyees described in table REMA, and its value is equal to the sum of values in rows 7 to 10.</w:t>
            </w:r>
          </w:p>
        </w:tc>
      </w:tr>
      <w:tr w:rsidR="000571FB" w:rsidRPr="0072444B" w:rsidTr="00545554">
        <w:tc>
          <w:tcPr>
            <w:tcW w:w="567" w:type="dxa"/>
          </w:tcPr>
          <w:p w:rsidR="000571FB" w:rsidRDefault="000571FB"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1 &amp; 6</w:t>
            </w:r>
          </w:p>
        </w:tc>
        <w:tc>
          <w:tcPr>
            <w:tcW w:w="8647" w:type="dxa"/>
          </w:tcPr>
          <w:p w:rsidR="000571FB" w:rsidRDefault="000571FB" w:rsidP="000571FB">
            <w:pPr>
              <w:pStyle w:val="TableText"/>
              <w:keepNext/>
              <w:jc w:val="both"/>
              <w:rPr>
                <w:i/>
                <w:szCs w:val="17"/>
              </w:rPr>
            </w:pPr>
            <w:r w:rsidRPr="00091B90">
              <w:rPr>
                <w:szCs w:val="17"/>
              </w:rPr>
              <w:t>If an AI has such a small number of executives that individuals’ remuneration could be easily deduced from disclosure of a breakdown of the figures, it is acceptable for the AI, in so far as the sensitivity of the information will be disadvantageous to the AI, to disclose aggregate figures for senior management and key personnel.  This is, however, provided that this fact and the reason for doing so (i.e. disclosing aggregate figures instead of disclosing separate figures) are adequately disclosed in the accompanying narrative.</w:t>
            </w:r>
          </w:p>
        </w:tc>
      </w:tr>
      <w:tr w:rsidR="00545554" w:rsidRPr="0072444B" w:rsidTr="00545554">
        <w:tc>
          <w:tcPr>
            <w:tcW w:w="567" w:type="dxa"/>
          </w:tcPr>
          <w:p w:rsidR="00545554" w:rsidRDefault="00545554" w:rsidP="00545554">
            <w:pPr>
              <w:keepLines/>
              <w:widowControl w:val="0"/>
              <w:tabs>
                <w:tab w:val="left" w:pos="794"/>
                <w:tab w:val="left" w:pos="1191"/>
              </w:tabs>
              <w:spacing w:before="40" w:after="40"/>
              <w:ind w:rightChars="-54" w:right="-108"/>
              <w:rPr>
                <w:rFonts w:cs="Segoe UI"/>
                <w:sz w:val="17"/>
                <w:szCs w:val="17"/>
                <w:lang w:eastAsia="en-GB"/>
              </w:rPr>
            </w:pPr>
            <w:r>
              <w:rPr>
                <w:rFonts w:cs="Segoe UI"/>
                <w:sz w:val="17"/>
                <w:szCs w:val="17"/>
                <w:lang w:eastAsia="en-GB"/>
              </w:rPr>
              <w:t>11</w:t>
            </w:r>
          </w:p>
        </w:tc>
        <w:tc>
          <w:tcPr>
            <w:tcW w:w="8647" w:type="dxa"/>
          </w:tcPr>
          <w:p w:rsidR="00545554" w:rsidRPr="00F63A6A" w:rsidRDefault="00545554" w:rsidP="00545554">
            <w:pPr>
              <w:pStyle w:val="TableText"/>
              <w:keepNext/>
              <w:jc w:val="both"/>
              <w:rPr>
                <w:szCs w:val="17"/>
              </w:rPr>
            </w:pPr>
            <w:r w:rsidRPr="009B3D5D">
              <w:rPr>
                <w:i/>
                <w:szCs w:val="17"/>
              </w:rPr>
              <w:t>Total</w:t>
            </w:r>
            <w:r>
              <w:rPr>
                <w:szCs w:val="17"/>
              </w:rPr>
              <w:t>: the sum of values in rows 1 and 6.</w:t>
            </w:r>
          </w:p>
        </w:tc>
      </w:tr>
    </w:tbl>
    <w:p w:rsidR="00545554" w:rsidRDefault="00545554" w:rsidP="00545554">
      <w:pPr>
        <w:spacing w:before="120" w:after="120"/>
        <w:rPr>
          <w:sz w:val="22"/>
        </w:rPr>
      </w:pPr>
    </w:p>
    <w:p w:rsidR="00545554" w:rsidRPr="00545554" w:rsidRDefault="00545554" w:rsidP="00545554"/>
    <w:sectPr w:rsidR="00545554" w:rsidRPr="00545554">
      <w:headerReference w:type="even" r:id="rId96"/>
      <w:headerReference w:type="default" r:id="rId97"/>
      <w:footerReference w:type="even" r:id="rId98"/>
      <w:footerReference w:type="default" r:id="rId99"/>
      <w:headerReference w:type="first" r:id="rId100"/>
      <w:footerReference w:type="first" r:id="rId1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601" w:rsidRDefault="00AA6601">
      <w:r>
        <w:separator/>
      </w:r>
    </w:p>
  </w:endnote>
  <w:endnote w:type="continuationSeparator" w:id="0">
    <w:p w:rsidR="00AA6601" w:rsidRDefault="00AA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Pr="003F0A7B" w:rsidRDefault="00AA6601" w:rsidP="006B4688">
    <w:pPr>
      <w:pStyle w:val="Footer"/>
      <w:tabs>
        <w:tab w:val="clear" w:pos="4153"/>
        <w:tab w:val="clear" w:pos="8306"/>
        <w:tab w:val="center" w:pos="6979"/>
      </w:tabs>
      <w:rPr>
        <w:rFonts w:cs="Segoe UI"/>
      </w:rPr>
    </w:pPr>
    <w:r w:rsidRPr="003F0A7B">
      <w:rPr>
        <w:rFonts w:cs="Segoe UI"/>
      </w:rPr>
      <w:t>Summary of disclosure templates and tables</w:t>
    </w:r>
    <w:r>
      <w:rPr>
        <w:rFonts w:cs="Segoe UI"/>
      </w:rPr>
      <w:tab/>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3</w:t>
    </w:r>
    <w:r w:rsidRPr="009D2A25">
      <w:rPr>
        <w:rFonts w:ascii="Arial" w:hAnsi="Arial" w:cs="Arial"/>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Pr="00A57841" w:rsidRDefault="00AA6601">
    <w:pPr>
      <w:pStyle w:val="Footer"/>
    </w:pPr>
    <w:r>
      <w:t>Part IIA – CCA</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37</w:t>
    </w:r>
    <w:r w:rsidRPr="009D2A25">
      <w:rPr>
        <w:rFonts w:ascii="Arial" w:hAnsi="Arial" w:cs="Arial"/>
        <w:noProof/>
      </w:rPr>
      <w:fldChar w:fldCharType="end"/>
    </w:r>
    <w:r>
      <w:ptab w:relativeTo="margin" w:alignment="right" w:leader="none"/>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IIB – GSIB1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39</w:t>
    </w:r>
    <w:r w:rsidRPr="009D2A25">
      <w:rPr>
        <w:rFonts w:ascii="Arial" w:hAnsi="Arial" w:cs="Arial"/>
        <w:noProof/>
      </w:rPr>
      <w:fldChar w:fldCharType="end"/>
    </w:r>
    <w:r>
      <w:ptab w:relativeTo="margin" w:alignment="right" w:leader="none"/>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rsidP="00545554">
    <w:pPr>
      <w:pStyle w:val="Footer"/>
    </w:pPr>
    <w:r>
      <w:t>Part IIB – CCyB</w:t>
    </w:r>
    <w:r w:rsidRPr="00C142F8">
      <w:t>1</w:t>
    </w:r>
    <w:r w:rsidRPr="00C142F8">
      <w:tab/>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42</w:t>
    </w:r>
    <w:r w:rsidRPr="009D2A25">
      <w:rPr>
        <w:rFonts w:ascii="Arial" w:hAnsi="Arial" w:cs="Arial"/>
        <w:noProof/>
      </w:rPr>
      <w:fldChar w:fldCharType="end"/>
    </w:r>
    <w: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IIC – LR1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45</w:t>
    </w:r>
    <w:r w:rsidRPr="009D2A25">
      <w:rPr>
        <w:rFonts w:ascii="Arial" w:hAnsi="Arial" w:cs="Arial"/>
        <w:noProof/>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Pr="00D33522" w:rsidRDefault="00AA6601" w:rsidP="00545554">
    <w:pPr>
      <w:pStyle w:val="Footer"/>
    </w:pPr>
    <w:r>
      <w:t>Part I – KM1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6</w:t>
    </w:r>
    <w:r w:rsidRPr="009D2A25">
      <w:rPr>
        <w:rFonts w:ascii="Arial" w:hAnsi="Arial" w:cs="Arial"/>
        <w:noProof/>
      </w:rPr>
      <w:fldChar w:fldCharType="end"/>
    </w:r>
    <w:r>
      <w:ptab w:relativeTo="margin" w:alignment="right" w:leader="none"/>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IIC – LR2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49</w:t>
    </w:r>
    <w:r w:rsidRPr="009D2A25">
      <w:rPr>
        <w:rFonts w:ascii="Arial" w:hAnsi="Arial" w:cs="Arial"/>
        <w:noProof/>
      </w:rPr>
      <w:fldChar w:fldCharType="end"/>
    </w:r>
    <w:r>
      <w:ptab w:relativeTo="margin" w:alignment="right" w:leader="none"/>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 xml:space="preserve">Part IID – LIQA </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51</w:t>
    </w:r>
    <w:r w:rsidRPr="009D2A25">
      <w:rPr>
        <w:rFonts w:ascii="Arial" w:hAnsi="Arial" w:cs="Arial"/>
        <w:noProof/>
      </w:rPr>
      <w:fldChar w:fldCharType="end"/>
    </w:r>
    <w:r>
      <w:ptab w:relativeTo="margin" w:alignment="right" w:leader="none"/>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IID – LIQ1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58</w:t>
    </w:r>
    <w:r w:rsidRPr="009D2A25">
      <w:rPr>
        <w:rFonts w:ascii="Arial" w:hAnsi="Arial" w:cs="Arial"/>
        <w:noProof/>
      </w:rPr>
      <w:fldChar w:fldCharType="end"/>
    </w:r>
    <w:r>
      <w:ptab w:relativeTo="margin" w:alignment="right" w:leader="none"/>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Pr="00994E37" w:rsidRDefault="00AA6601" w:rsidP="00545554">
    <w:pPr>
      <w:pStyle w:val="Footer"/>
      <w:tabs>
        <w:tab w:val="clear" w:pos="4153"/>
        <w:tab w:val="clear" w:pos="8306"/>
        <w:tab w:val="left" w:pos="1403"/>
        <w:tab w:val="center" w:pos="4156"/>
        <w:tab w:val="right" w:pos="8312"/>
      </w:tabs>
      <w:rPr>
        <w:rFonts w:ascii="Arial" w:hAnsi="Arial" w:cs="Arial"/>
      </w:rPr>
    </w:pPr>
    <w:r>
      <w:t>Part I – OV1</w:t>
    </w:r>
    <w:r>
      <w:tab/>
    </w:r>
    <w:r>
      <w:tab/>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12</w:t>
    </w:r>
    <w:r w:rsidRPr="009D2A25">
      <w:rPr>
        <w:rFonts w:ascii="Arial" w:hAnsi="Arial" w:cs="Arial"/>
        <w:noProof/>
      </w:rPr>
      <w:fldChar w:fldCharType="end"/>
    </w:r>
    <w:r>
      <w:rPr>
        <w:rFonts w:ascii="Arial" w:hAnsi="Arial" w:cs="Arial"/>
        <w:noProof/>
      </w:rPr>
      <w:tab/>
    </w:r>
    <w:r>
      <w:rPr>
        <w:rFonts w:ascii="Arial" w:hAnsi="Arial" w:cs="Arial"/>
        <w:noProof/>
      </w:rPr>
      <w:tab/>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IID – LIQ2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59</w:t>
    </w:r>
    <w:r w:rsidRPr="009D2A25">
      <w:rPr>
        <w:rFonts w:ascii="Arial" w:hAnsi="Arial" w:cs="Arial"/>
        <w:noProof/>
      </w:rPr>
      <w:fldChar w:fldCharType="end"/>
    </w:r>
    <w:r>
      <w:ptab w:relativeTo="margin" w:alignment="right" w:leader="none"/>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 – IRRBB</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66</w:t>
    </w:r>
    <w:r w:rsidRPr="009D2A25">
      <w:rPr>
        <w:rFonts w:ascii="Arial" w:hAnsi="Arial" w:cs="Arial"/>
        <w:noProof/>
      </w:rPr>
      <w:fldChar w:fldCharType="end"/>
    </w:r>
    <w:r>
      <w:ptab w:relativeTo="margin" w:alignment="right" w:leader="none"/>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 xml:space="preserve">Part VII – IRRBBA </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68</w:t>
    </w:r>
    <w:r w:rsidRPr="009D2A25">
      <w:rPr>
        <w:rFonts w:ascii="Arial" w:hAnsi="Arial" w:cs="Arial"/>
        <w:noProof/>
      </w:rPr>
      <w:fldChar w:fldCharType="end"/>
    </w:r>
    <w:r>
      <w:ptab w:relativeTo="margin" w:alignment="right" w:leader="none"/>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 – IRRBB1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70</w:t>
    </w:r>
    <w:r w:rsidRPr="009D2A25">
      <w:rPr>
        <w:rFonts w:ascii="Arial" w:hAnsi="Arial" w:cs="Arial"/>
        <w:noProof/>
      </w:rPr>
      <w:fldChar w:fldCharType="end"/>
    </w:r>
    <w:r>
      <w:ptab w:relativeTo="margin" w:alignment="right" w:leader="none"/>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VIII – REMA</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72</w:t>
    </w:r>
    <w:r w:rsidRPr="009D2A25">
      <w:rPr>
        <w:rFonts w:ascii="Arial" w:hAnsi="Arial" w:cs="Arial"/>
        <w:noProof/>
      </w:rPr>
      <w:fldChar w:fldCharType="end"/>
    </w:r>
    <w: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 – PV1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15</w:t>
    </w:r>
    <w:r w:rsidRPr="009D2A25">
      <w:rPr>
        <w:rFonts w:ascii="Arial" w:hAnsi="Arial" w:cs="Arial"/>
        <w:noProof/>
      </w:rPr>
      <w:fldChar w:fldCharType="end"/>
    </w:r>
    <w:r>
      <w:ptab w:relativeTo="margin" w:alignment="right" w:leader="none"/>
    </w:r>
    <w:r>
      <w:ptab w:relativeTo="margin" w:alignment="right" w:leader="none"/>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VIII – REM1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74</w:t>
    </w:r>
    <w:r w:rsidRPr="009D2A25">
      <w:rPr>
        <w:rFonts w:ascii="Arial" w:hAnsi="Arial" w:cs="Arial"/>
        <w:noProof/>
      </w:rPr>
      <w:fldChar w:fldCharType="end"/>
    </w:r>
    <w:r>
      <w:ptab w:relativeTo="margin" w:alignment="right" w:leader="none"/>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VIII – REM2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75</w:t>
    </w:r>
    <w:r w:rsidRPr="009D2A25">
      <w:rPr>
        <w:rFonts w:ascii="Arial" w:hAnsi="Arial" w:cs="Arial"/>
        <w:noProof/>
      </w:rPr>
      <w:fldChar w:fldCharType="end"/>
    </w:r>
    <w:r>
      <w:ptab w:relativeTo="margin" w:alignment="right" w:leader="none"/>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VIII – REM3</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77</w:t>
    </w:r>
    <w:r w:rsidRPr="009D2A25">
      <w:rPr>
        <w:rFonts w:ascii="Arial" w:hAnsi="Arial" w:cs="Arial"/>
        <w:noProof/>
      </w:rPr>
      <w:fldChar w:fldCharType="end"/>
    </w:r>
    <w:r>
      <w:ptab w:relativeTo="margin" w:alignment="right" w:leader="none"/>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IIA – CC1</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29</w:t>
    </w:r>
    <w:r w:rsidRPr="009D2A25">
      <w:rPr>
        <w:rFonts w:ascii="Arial" w:hAnsi="Arial" w:cs="Arial"/>
        <w:noProof/>
      </w:rPr>
      <w:fldChar w:fldCharType="end"/>
    </w:r>
    <w:r>
      <w:ptab w:relativeTo="margin" w:alignment="right"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Footer"/>
    </w:pPr>
    <w:r>
      <w:t>Part IIA – CC2</w:t>
    </w:r>
    <w:r>
      <w:ptab w:relativeTo="margin" w:alignment="center" w:leader="none"/>
    </w:r>
    <w:r w:rsidRPr="009D2A25">
      <w:rPr>
        <w:rFonts w:ascii="Arial" w:hAnsi="Arial" w:cs="Arial"/>
      </w:rPr>
      <w:fldChar w:fldCharType="begin"/>
    </w:r>
    <w:r w:rsidRPr="009D2A25">
      <w:rPr>
        <w:rFonts w:ascii="Arial" w:hAnsi="Arial" w:cs="Arial"/>
      </w:rPr>
      <w:instrText xml:space="preserve"> PAGE   \* MERGEFORMAT </w:instrText>
    </w:r>
    <w:r w:rsidRPr="009D2A25">
      <w:rPr>
        <w:rFonts w:ascii="Arial" w:hAnsi="Arial" w:cs="Arial"/>
      </w:rPr>
      <w:fldChar w:fldCharType="separate"/>
    </w:r>
    <w:r w:rsidR="004D134E">
      <w:rPr>
        <w:rFonts w:ascii="Arial" w:hAnsi="Arial" w:cs="Arial"/>
        <w:noProof/>
      </w:rPr>
      <w:t>32</w:t>
    </w:r>
    <w:r w:rsidRPr="009D2A25">
      <w:rPr>
        <w:rFonts w:ascii="Arial" w:hAnsi="Arial" w:cs="Arial"/>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601" w:rsidRDefault="00AA6601">
      <w:r>
        <w:separator/>
      </w:r>
    </w:p>
  </w:footnote>
  <w:footnote w:type="continuationSeparator" w:id="0">
    <w:p w:rsidR="00AA6601" w:rsidRDefault="00AA6601">
      <w:r>
        <w:continuationSeparator/>
      </w:r>
    </w:p>
  </w:footnote>
  <w:footnote w:id="1">
    <w:p w:rsidR="00AA6601" w:rsidRPr="003F5295" w:rsidRDefault="00AA6601" w:rsidP="000F6D32">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Pr>
          <w:rFonts w:ascii="Segoe UI" w:hAnsi="Segoe UI" w:cs="Segoe UI"/>
          <w:sz w:val="16"/>
          <w:szCs w:val="16"/>
        </w:rPr>
        <w:tab/>
      </w:r>
      <w:r w:rsidRPr="003F5295">
        <w:rPr>
          <w:rFonts w:ascii="Segoe UI" w:hAnsi="Segoe UI" w:cs="Segoe UI"/>
          <w:sz w:val="16"/>
          <w:szCs w:val="16"/>
        </w:rPr>
        <w:t xml:space="preserve">Regulatory treatment of capital instruments subject to transitional arrangements provided for in Schedule 4H </w:t>
      </w:r>
      <w:r>
        <w:rPr>
          <w:rFonts w:ascii="Segoe UI" w:hAnsi="Segoe UI" w:cs="Segoe UI"/>
          <w:sz w:val="16"/>
          <w:szCs w:val="16"/>
        </w:rPr>
        <w:t xml:space="preserve">to the </w:t>
      </w:r>
      <w:r w:rsidRPr="003F5295">
        <w:rPr>
          <w:rFonts w:ascii="Segoe UI" w:hAnsi="Segoe UI" w:cs="Segoe UI"/>
          <w:sz w:val="16"/>
          <w:szCs w:val="16"/>
        </w:rPr>
        <w:t>BCR.</w:t>
      </w:r>
    </w:p>
  </w:footnote>
  <w:footnote w:id="2">
    <w:p w:rsidR="00AA6601" w:rsidRPr="003F5295" w:rsidRDefault="00AA6601" w:rsidP="000F6D32">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Pr>
          <w:rFonts w:ascii="Segoe UI" w:hAnsi="Segoe UI" w:cs="Segoe UI"/>
          <w:sz w:val="16"/>
          <w:szCs w:val="16"/>
        </w:rPr>
        <w:tab/>
      </w:r>
      <w:r w:rsidRPr="003F5295">
        <w:rPr>
          <w:rFonts w:ascii="Segoe UI" w:hAnsi="Segoe UI" w:cs="Segoe UI"/>
          <w:sz w:val="16"/>
          <w:szCs w:val="16"/>
        </w:rPr>
        <w:t xml:space="preserve">Regulatory treatment of capital instruments not subject to transitional arrangements provided for in Schedule 4H </w:t>
      </w:r>
      <w:r>
        <w:rPr>
          <w:rFonts w:ascii="Segoe UI" w:hAnsi="Segoe UI" w:cs="Segoe UI"/>
          <w:sz w:val="16"/>
          <w:szCs w:val="16"/>
        </w:rPr>
        <w:t xml:space="preserve">to the </w:t>
      </w:r>
      <w:r w:rsidRPr="003F5295">
        <w:rPr>
          <w:rFonts w:ascii="Segoe UI" w:hAnsi="Segoe UI" w:cs="Segoe UI"/>
          <w:sz w:val="16"/>
          <w:szCs w:val="16"/>
        </w:rPr>
        <w:t>BCR.</w:t>
      </w:r>
    </w:p>
  </w:footnote>
  <w:footnote w:id="3">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 xml:space="preserve">“G-SIBs” for the purpose of disclosures in this template, refers to G-SIBs for which the MA is the home regulatory authority. </w:t>
      </w:r>
    </w:p>
  </w:footnote>
  <w:footnote w:id="4">
    <w:p w:rsidR="00AA6601" w:rsidRPr="003F5295" w:rsidRDefault="00AA6601" w:rsidP="003F5295">
      <w:pPr>
        <w:pStyle w:val="FootnoteText"/>
        <w:tabs>
          <w:tab w:val="left" w:pos="284"/>
        </w:tabs>
        <w:ind w:left="1"/>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For application of this threshold, the applicable exchange rates prescribed by the BCBS will be used.</w:t>
      </w:r>
    </w:p>
  </w:footnote>
  <w:footnote w:id="5">
    <w:p w:rsidR="00AA6601" w:rsidRPr="003F5295" w:rsidRDefault="00AA6601" w:rsidP="003F5295">
      <w:pPr>
        <w:pStyle w:val="FootnoteText"/>
        <w:tabs>
          <w:tab w:val="left" w:pos="284"/>
        </w:tabs>
        <w:ind w:left="1"/>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 xml:space="preserve">A reference to the template format and reporting instructions could be found on the BIS website: </w:t>
      </w:r>
      <w:hyperlink r:id="rId1" w:history="1">
        <w:r w:rsidRPr="003F5295">
          <w:rPr>
            <w:rStyle w:val="Hyperlink"/>
            <w:rFonts w:ascii="Segoe UI" w:hAnsi="Segoe UI" w:cs="Segoe UI"/>
            <w:color w:val="0000FF"/>
            <w:sz w:val="16"/>
            <w:szCs w:val="16"/>
          </w:rPr>
          <w:t>https://www.bis.org/bcbs/gsib/reporting_instructions.htm</w:t>
        </w:r>
      </w:hyperlink>
      <w:r w:rsidRPr="003F5295">
        <w:rPr>
          <w:rFonts w:ascii="Segoe UI" w:hAnsi="Segoe UI" w:cs="Segoe UI"/>
          <w:sz w:val="16"/>
          <w:szCs w:val="16"/>
        </w:rPr>
        <w:t>.</w:t>
      </w:r>
    </w:p>
  </w:footnote>
  <w:footnote w:id="6">
    <w:p w:rsidR="00AA6601" w:rsidRPr="003F5295" w:rsidRDefault="00AA6601" w:rsidP="003F5295">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 xml:space="preserve">The allocation of exposures to jurisdictions should be made taking into account the clarifications provided by </w:t>
      </w:r>
      <w:r>
        <w:rPr>
          <w:rFonts w:ascii="Segoe UI" w:hAnsi="Segoe UI" w:cs="Segoe UI"/>
          <w:sz w:val="16"/>
          <w:szCs w:val="16"/>
        </w:rPr>
        <w:t xml:space="preserve">the </w:t>
      </w:r>
      <w:r w:rsidRPr="003F5295">
        <w:rPr>
          <w:rFonts w:ascii="Segoe UI" w:hAnsi="Segoe UI" w:cs="Segoe UI"/>
          <w:sz w:val="16"/>
          <w:szCs w:val="16"/>
        </w:rPr>
        <w:t>BCBS</w:t>
      </w:r>
      <w:r>
        <w:rPr>
          <w:rFonts w:ascii="Segoe UI" w:hAnsi="Segoe UI" w:cs="Segoe UI"/>
          <w:sz w:val="16"/>
          <w:szCs w:val="16"/>
        </w:rPr>
        <w:t>’s document</w:t>
      </w:r>
      <w:r w:rsidRPr="003F5295">
        <w:rPr>
          <w:rFonts w:ascii="Segoe UI" w:hAnsi="Segoe UI" w:cs="Segoe UI"/>
          <w:sz w:val="16"/>
          <w:szCs w:val="16"/>
        </w:rPr>
        <w:t xml:space="preserve">, </w:t>
      </w:r>
      <w:r w:rsidRPr="003F5295">
        <w:rPr>
          <w:rFonts w:ascii="Segoe UI" w:hAnsi="Segoe UI" w:cs="Segoe UI"/>
          <w:i/>
          <w:iCs/>
          <w:sz w:val="16"/>
          <w:szCs w:val="16"/>
        </w:rPr>
        <w:t>Frequently asked questions on the Basel III countercyclical capital buffer</w:t>
      </w:r>
      <w:r w:rsidRPr="003F5295">
        <w:rPr>
          <w:rFonts w:ascii="Segoe UI" w:hAnsi="Segoe UI" w:cs="Segoe UI"/>
          <w:sz w:val="16"/>
          <w:szCs w:val="16"/>
        </w:rPr>
        <w:t xml:space="preserve">, </w:t>
      </w:r>
      <w:r>
        <w:rPr>
          <w:rFonts w:ascii="Segoe UI" w:hAnsi="Segoe UI" w:cs="Segoe UI"/>
          <w:sz w:val="16"/>
          <w:szCs w:val="16"/>
        </w:rPr>
        <w:t xml:space="preserve">dated </w:t>
      </w:r>
      <w:r w:rsidRPr="003F5295">
        <w:rPr>
          <w:rFonts w:ascii="Segoe UI" w:hAnsi="Segoe UI" w:cs="Segoe UI"/>
          <w:sz w:val="16"/>
          <w:szCs w:val="16"/>
        </w:rPr>
        <w:t xml:space="preserve">October 2015, </w:t>
      </w:r>
      <w:hyperlink r:id="rId2" w:history="1">
        <w:r w:rsidRPr="00283AA0">
          <w:rPr>
            <w:rStyle w:val="Hyperlink"/>
            <w:rFonts w:ascii="Segoe UI" w:hAnsi="Segoe UI" w:cs="Segoe UI"/>
            <w:sz w:val="16"/>
            <w:szCs w:val="16"/>
          </w:rPr>
          <w:t>www.bis.org/bcbs/publ/d339.pdf</w:t>
        </w:r>
      </w:hyperlink>
      <w:r w:rsidRPr="003F5295">
        <w:rPr>
          <w:rFonts w:ascii="Segoe UI" w:hAnsi="Segoe UI" w:cs="Segoe UI"/>
          <w:sz w:val="16"/>
          <w:szCs w:val="16"/>
        </w:rPr>
        <w:t>.</w:t>
      </w:r>
    </w:p>
  </w:footnote>
  <w:footnote w:id="7">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 xml:space="preserve">For mapping purpose, the explanatory notes to the following rows also provide the corresponding items in Part 2, Section (I) of the Return of Liquidity Position, in big brackets (i.e. </w:t>
      </w:r>
      <w:r w:rsidRPr="003F5295">
        <w:rPr>
          <w:rFonts w:ascii="Segoe UI" w:hAnsi="Segoe UI" w:cs="Segoe UI"/>
          <w:b/>
          <w:sz w:val="16"/>
          <w:szCs w:val="16"/>
        </w:rPr>
        <w:t>{  }</w:t>
      </w:r>
      <w:r w:rsidRPr="003F5295">
        <w:rPr>
          <w:rFonts w:ascii="Segoe UI" w:hAnsi="Segoe UI" w:cs="Segoe UI"/>
          <w:sz w:val="16"/>
          <w:szCs w:val="16"/>
        </w:rPr>
        <w:t>).  However, AIs should be cautious that they are only definition references for the items and should not be interpreted as a simple formula using which the values disclosed in the following rows are to be derived.  For example, the definition reference for row 2 (item “Retail deposits and small business funding”) is {Sum of items B1 to B4}.  The value to be disclosed in [LIQ1: 2/a] of this template for a particular quarter is, however, not equal to the simple summation of the principal amounts of items B1 to B4 as reported in Section (I), Part 2 of the Return of Liquidity Position for the month that ends on the close of the quarter.  Rather, the value in [LIQ1: 2/a] should be calculated as the arithmetic mean of the unweighted value of “Retail deposits and small business funding” as at the end of each working day within the quarter (i.e. the average of all data points of item “Retail deposits and small business funding” in that quarter).  See explanatory notes to columns (a) and (b) for the calculation method in details.</w:t>
      </w:r>
    </w:p>
  </w:footnote>
  <w:footnote w:id="8">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These refer to the 15% ceiling on level 2B assets and the 40% ceiling on the sum of level 2A and level 2B assets.</w:t>
      </w:r>
    </w:p>
  </w:footnote>
  <w:footnote w:id="9">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To avoid doubt, this row includes unsecured wholesale funding received in the course of providing correspondent banking and prime brokerage services (as defined in BLR rule 39).</w:t>
      </w:r>
    </w:p>
  </w:footnote>
  <w:footnote w:id="10">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To avoid doubt, any expected cash outflows arising from the redemption of asset-backed securities, covered bonds or other structured financial instruments issued by the category 1 institution within the LCR period are to be reported in row 12 instead.</w:t>
      </w:r>
    </w:p>
  </w:footnote>
  <w:footnote w:id="11">
    <w:p w:rsidR="00AA6601" w:rsidRPr="003F5295" w:rsidRDefault="00AA6601" w:rsidP="008438FE">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The 75% inflow cap is binding on a category 1 institution if its weighted amount of total expected cash inflows exceeds 75% of its weighted amount of total expected cash outflows, in which case the excess portion cannot be used to offset the weighted amount of total expected cash outflows</w:t>
      </w:r>
    </w:p>
  </w:footnote>
  <w:footnote w:id="12">
    <w:p w:rsidR="00AA6601" w:rsidRDefault="00AA6601" w:rsidP="003F5295">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sidRPr="003F5295">
        <w:rPr>
          <w:rFonts w:ascii="Segoe UI" w:hAnsi="Segoe UI" w:cs="Segoe UI"/>
          <w:sz w:val="16"/>
          <w:szCs w:val="16"/>
        </w:rPr>
        <w:tab/>
        <w:t>The local implementation of add-on RSF charge on derivative liabilities under the NSFR has been deferred (see the HKMA</w:t>
      </w:r>
      <w:r>
        <w:rPr>
          <w:rFonts w:ascii="Segoe UI" w:hAnsi="Segoe UI" w:cs="Segoe UI"/>
          <w:sz w:val="16"/>
          <w:szCs w:val="16"/>
        </w:rPr>
        <w:t>’s</w:t>
      </w:r>
      <w:r w:rsidRPr="003F5295">
        <w:rPr>
          <w:rFonts w:ascii="Segoe UI" w:hAnsi="Segoe UI" w:cs="Segoe UI"/>
          <w:sz w:val="16"/>
          <w:szCs w:val="16"/>
        </w:rPr>
        <w:t xml:space="preserve"> letter</w:t>
      </w:r>
      <w:r>
        <w:rPr>
          <w:rFonts w:ascii="Segoe UI" w:hAnsi="Segoe UI" w:cs="Segoe UI"/>
          <w:sz w:val="16"/>
          <w:szCs w:val="16"/>
        </w:rPr>
        <w:t xml:space="preserve"> to the industry</w:t>
      </w:r>
      <w:r w:rsidRPr="003F5295">
        <w:rPr>
          <w:rFonts w:ascii="Segoe UI" w:hAnsi="Segoe UI" w:cs="Segoe UI"/>
          <w:sz w:val="16"/>
          <w:szCs w:val="16"/>
        </w:rPr>
        <w:t xml:space="preserve"> “</w:t>
      </w:r>
      <w:r w:rsidRPr="003F5295">
        <w:rPr>
          <w:rFonts w:ascii="Segoe UI" w:hAnsi="Segoe UI" w:cs="Segoe UI"/>
          <w:i/>
          <w:sz w:val="16"/>
          <w:szCs w:val="16"/>
        </w:rPr>
        <w:t>Consultation on draft Banking (Liquidity) (Amendment) Rules 2017”</w:t>
      </w:r>
      <w:r w:rsidRPr="003F5295">
        <w:rPr>
          <w:rFonts w:ascii="Segoe UI" w:hAnsi="Segoe UI" w:cs="Segoe UI"/>
          <w:sz w:val="16"/>
          <w:szCs w:val="16"/>
        </w:rPr>
        <w:t xml:space="preserve"> dated 20 October 2017 for details).  </w:t>
      </w:r>
    </w:p>
    <w:p w:rsidR="00AA6601" w:rsidRPr="003F5295" w:rsidRDefault="00AA6601" w:rsidP="003F5295">
      <w:pPr>
        <w:pStyle w:val="FootnoteText"/>
        <w:tabs>
          <w:tab w:val="left" w:pos="284"/>
        </w:tabs>
        <w:jc w:val="both"/>
        <w:rPr>
          <w:rFonts w:ascii="Segoe UI" w:hAnsi="Segoe UI" w:cs="Segoe UI"/>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601" w:rsidRDefault="00AA6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C5D"/>
    <w:multiLevelType w:val="hybridMultilevel"/>
    <w:tmpl w:val="33629920"/>
    <w:lvl w:ilvl="0" w:tplc="D28022E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1F7C92"/>
    <w:multiLevelType w:val="hybridMultilevel"/>
    <w:tmpl w:val="D6843CE8"/>
    <w:lvl w:ilvl="0" w:tplc="22F09EBA">
      <w:start w:val="1"/>
      <w:numFmt w:val="lowerLetter"/>
      <w:lvlText w:val="(%1)"/>
      <w:lvlJc w:val="left"/>
      <w:pPr>
        <w:ind w:left="916" w:hanging="480"/>
      </w:pPr>
      <w:rPr>
        <w:rFonts w:hint="default"/>
      </w:rPr>
    </w:lvl>
    <w:lvl w:ilvl="1" w:tplc="08090001">
      <w:start w:val="1"/>
      <w:numFmt w:val="bullet"/>
      <w:lvlText w:val=""/>
      <w:lvlJc w:val="left"/>
      <w:pPr>
        <w:ind w:left="1396" w:hanging="480"/>
      </w:pPr>
      <w:rPr>
        <w:rFonts w:ascii="Symbol" w:hAnsi="Symbol" w:hint="default"/>
      </w:rPr>
    </w:lvl>
    <w:lvl w:ilvl="2" w:tplc="0409001B" w:tentative="1">
      <w:start w:val="1"/>
      <w:numFmt w:val="lowerRoman"/>
      <w:lvlText w:val="%3."/>
      <w:lvlJc w:val="right"/>
      <w:pPr>
        <w:ind w:left="1876" w:hanging="480"/>
      </w:pPr>
    </w:lvl>
    <w:lvl w:ilvl="3" w:tplc="0409000F" w:tentative="1">
      <w:start w:val="1"/>
      <w:numFmt w:val="decimal"/>
      <w:lvlText w:val="%4."/>
      <w:lvlJc w:val="left"/>
      <w:pPr>
        <w:ind w:left="2356" w:hanging="480"/>
      </w:pPr>
    </w:lvl>
    <w:lvl w:ilvl="4" w:tplc="04090019" w:tentative="1">
      <w:start w:val="1"/>
      <w:numFmt w:val="ideographTraditional"/>
      <w:lvlText w:val="%5、"/>
      <w:lvlJc w:val="left"/>
      <w:pPr>
        <w:ind w:left="2836" w:hanging="480"/>
      </w:pPr>
    </w:lvl>
    <w:lvl w:ilvl="5" w:tplc="0409001B" w:tentative="1">
      <w:start w:val="1"/>
      <w:numFmt w:val="lowerRoman"/>
      <w:lvlText w:val="%6."/>
      <w:lvlJc w:val="right"/>
      <w:pPr>
        <w:ind w:left="3316" w:hanging="480"/>
      </w:pPr>
    </w:lvl>
    <w:lvl w:ilvl="6" w:tplc="0409000F" w:tentative="1">
      <w:start w:val="1"/>
      <w:numFmt w:val="decimal"/>
      <w:lvlText w:val="%7."/>
      <w:lvlJc w:val="left"/>
      <w:pPr>
        <w:ind w:left="3796" w:hanging="480"/>
      </w:pPr>
    </w:lvl>
    <w:lvl w:ilvl="7" w:tplc="04090019" w:tentative="1">
      <w:start w:val="1"/>
      <w:numFmt w:val="ideographTraditional"/>
      <w:lvlText w:val="%8、"/>
      <w:lvlJc w:val="left"/>
      <w:pPr>
        <w:ind w:left="4276" w:hanging="480"/>
      </w:pPr>
    </w:lvl>
    <w:lvl w:ilvl="8" w:tplc="0409001B" w:tentative="1">
      <w:start w:val="1"/>
      <w:numFmt w:val="lowerRoman"/>
      <w:lvlText w:val="%9."/>
      <w:lvlJc w:val="right"/>
      <w:pPr>
        <w:ind w:left="4756" w:hanging="480"/>
      </w:pPr>
    </w:lvl>
  </w:abstractNum>
  <w:abstractNum w:abstractNumId="2">
    <w:nsid w:val="0746412D"/>
    <w:multiLevelType w:val="hybridMultilevel"/>
    <w:tmpl w:val="91F85D8A"/>
    <w:lvl w:ilvl="0" w:tplc="A51C8C8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4F13A5"/>
    <w:multiLevelType w:val="hybridMultilevel"/>
    <w:tmpl w:val="A888FAE6"/>
    <w:lvl w:ilvl="0" w:tplc="4B8E1EC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540CE4"/>
    <w:multiLevelType w:val="hybridMultilevel"/>
    <w:tmpl w:val="89C823F2"/>
    <w:lvl w:ilvl="0" w:tplc="9886C12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F002F88"/>
    <w:multiLevelType w:val="hybridMultilevel"/>
    <w:tmpl w:val="35E29C5A"/>
    <w:lvl w:ilvl="0" w:tplc="C9766C4E">
      <w:start w:val="1"/>
      <w:numFmt w:val="lowerRoman"/>
      <w:lvlText w:val="(%1)"/>
      <w:lvlJc w:val="left"/>
      <w:pPr>
        <w:ind w:left="-206" w:hanging="360"/>
      </w:pPr>
      <w:rPr>
        <w:rFonts w:hint="eastAsia"/>
        <w:i/>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6">
    <w:nsid w:val="10EF4487"/>
    <w:multiLevelType w:val="hybridMultilevel"/>
    <w:tmpl w:val="6944E1AA"/>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17C7020"/>
    <w:multiLevelType w:val="hybridMultilevel"/>
    <w:tmpl w:val="06507728"/>
    <w:lvl w:ilvl="0" w:tplc="C0BCA6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0A61B5"/>
    <w:multiLevelType w:val="hybridMultilevel"/>
    <w:tmpl w:val="4B60104C"/>
    <w:lvl w:ilvl="0" w:tplc="5DDC3EB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7B12473"/>
    <w:multiLevelType w:val="hybridMultilevel"/>
    <w:tmpl w:val="EB84AA14"/>
    <w:lvl w:ilvl="0" w:tplc="06F671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7075F1"/>
    <w:multiLevelType w:val="hybridMultilevel"/>
    <w:tmpl w:val="19B235CA"/>
    <w:lvl w:ilvl="0" w:tplc="D0CA924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ED03739"/>
    <w:multiLevelType w:val="hybridMultilevel"/>
    <w:tmpl w:val="EB108256"/>
    <w:lvl w:ilvl="0" w:tplc="55F02D6C">
      <w:start w:val="1"/>
      <w:numFmt w:val="lowerRoman"/>
      <w:lvlText w:val="(%1)"/>
      <w:lvlJc w:val="left"/>
      <w:pPr>
        <w:ind w:left="720" w:hanging="72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9939AE"/>
    <w:multiLevelType w:val="hybridMultilevel"/>
    <w:tmpl w:val="EF285A80"/>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4447E4D"/>
    <w:multiLevelType w:val="hybridMultilevel"/>
    <w:tmpl w:val="85BAC182"/>
    <w:lvl w:ilvl="0" w:tplc="336AD26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4E04C4A"/>
    <w:multiLevelType w:val="hybridMultilevel"/>
    <w:tmpl w:val="C07C0000"/>
    <w:lvl w:ilvl="0" w:tplc="962EF6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6665250"/>
    <w:multiLevelType w:val="hybridMultilevel"/>
    <w:tmpl w:val="2E9ED40A"/>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8A3414F"/>
    <w:multiLevelType w:val="hybridMultilevel"/>
    <w:tmpl w:val="627210EA"/>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1BD5EEA"/>
    <w:multiLevelType w:val="hybridMultilevel"/>
    <w:tmpl w:val="0E3C8944"/>
    <w:lvl w:ilvl="0" w:tplc="71AA265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1F131A5"/>
    <w:multiLevelType w:val="hybridMultilevel"/>
    <w:tmpl w:val="E27A1512"/>
    <w:lvl w:ilvl="0" w:tplc="9E9A14C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3D82505"/>
    <w:multiLevelType w:val="hybridMultilevel"/>
    <w:tmpl w:val="73B08AF4"/>
    <w:lvl w:ilvl="0" w:tplc="9EBAF3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53D287E"/>
    <w:multiLevelType w:val="hybridMultilevel"/>
    <w:tmpl w:val="BD4EE1C4"/>
    <w:lvl w:ilvl="0" w:tplc="68922D5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7EB7B5F"/>
    <w:multiLevelType w:val="hybridMultilevel"/>
    <w:tmpl w:val="B4325370"/>
    <w:lvl w:ilvl="0" w:tplc="FF3648F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A2F6DE0"/>
    <w:multiLevelType w:val="hybridMultilevel"/>
    <w:tmpl w:val="604CA0DC"/>
    <w:lvl w:ilvl="0" w:tplc="1774294A">
      <w:start w:val="1"/>
      <w:numFmt w:val="upperLetter"/>
      <w:lvlText w:val="%1."/>
      <w:lvlJc w:val="left"/>
      <w:pPr>
        <w:ind w:left="417" w:hanging="360"/>
      </w:pPr>
      <w:rPr>
        <w:rFonts w:hint="eastAsia"/>
        <w:sz w:val="17"/>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3">
    <w:nsid w:val="3CA67095"/>
    <w:multiLevelType w:val="hybridMultilevel"/>
    <w:tmpl w:val="A48CF78C"/>
    <w:lvl w:ilvl="0" w:tplc="C158FDD2">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2EF0385"/>
    <w:multiLevelType w:val="hybridMultilevel"/>
    <w:tmpl w:val="38269250"/>
    <w:lvl w:ilvl="0" w:tplc="CF7A17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49D6B56"/>
    <w:multiLevelType w:val="hybridMultilevel"/>
    <w:tmpl w:val="E5EADA42"/>
    <w:lvl w:ilvl="0" w:tplc="C158FDD2">
      <w:start w:val="1"/>
      <w:numFmt w:val="lowerRoman"/>
      <w:lvlText w:val="(%1)"/>
      <w:lvlJc w:val="left"/>
      <w:pPr>
        <w:ind w:left="480" w:hanging="480"/>
      </w:pPr>
      <w:rPr>
        <w:rFont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5906095"/>
    <w:multiLevelType w:val="hybridMultilevel"/>
    <w:tmpl w:val="0C98875A"/>
    <w:lvl w:ilvl="0" w:tplc="4F18B7A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77C2E4E"/>
    <w:multiLevelType w:val="hybridMultilevel"/>
    <w:tmpl w:val="5FAEE9DE"/>
    <w:lvl w:ilvl="0" w:tplc="107A6F0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9767335"/>
    <w:multiLevelType w:val="hybridMultilevel"/>
    <w:tmpl w:val="B866CEBA"/>
    <w:lvl w:ilvl="0" w:tplc="592E8B6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F22111D"/>
    <w:multiLevelType w:val="hybridMultilevel"/>
    <w:tmpl w:val="779403EC"/>
    <w:lvl w:ilvl="0" w:tplc="44083D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20F632F"/>
    <w:multiLevelType w:val="hybridMultilevel"/>
    <w:tmpl w:val="EAE870E2"/>
    <w:lvl w:ilvl="0" w:tplc="A42A752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21B103A"/>
    <w:multiLevelType w:val="hybridMultilevel"/>
    <w:tmpl w:val="5562225C"/>
    <w:lvl w:ilvl="0" w:tplc="01580DD0">
      <w:start w:val="1"/>
      <w:numFmt w:val="lowerRoman"/>
      <w:lvlText w:val="(%1)"/>
      <w:lvlJc w:val="left"/>
      <w:pPr>
        <w:ind w:left="720" w:hanging="72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21E076D"/>
    <w:multiLevelType w:val="hybridMultilevel"/>
    <w:tmpl w:val="696E20D8"/>
    <w:lvl w:ilvl="0" w:tplc="F182946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6C62520"/>
    <w:multiLevelType w:val="hybridMultilevel"/>
    <w:tmpl w:val="69E2730E"/>
    <w:lvl w:ilvl="0" w:tplc="7EB8E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7301839"/>
    <w:multiLevelType w:val="hybridMultilevel"/>
    <w:tmpl w:val="F4F2B05A"/>
    <w:lvl w:ilvl="0" w:tplc="C0528BE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CAE3861"/>
    <w:multiLevelType w:val="hybridMultilevel"/>
    <w:tmpl w:val="357AF872"/>
    <w:lvl w:ilvl="0" w:tplc="7E26F720">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38F2A07"/>
    <w:multiLevelType w:val="hybridMultilevel"/>
    <w:tmpl w:val="8AA2FFC6"/>
    <w:lvl w:ilvl="0" w:tplc="5F4ECB6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7B97AC7"/>
    <w:multiLevelType w:val="hybridMultilevel"/>
    <w:tmpl w:val="CB424E0A"/>
    <w:lvl w:ilvl="0" w:tplc="9E28EC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B764CF4"/>
    <w:multiLevelType w:val="hybridMultilevel"/>
    <w:tmpl w:val="714E5374"/>
    <w:lvl w:ilvl="0" w:tplc="FDB4A5D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F0558D4"/>
    <w:multiLevelType w:val="hybridMultilevel"/>
    <w:tmpl w:val="8CD068B4"/>
    <w:lvl w:ilvl="0" w:tplc="3A145A1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04B375D"/>
    <w:multiLevelType w:val="hybridMultilevel"/>
    <w:tmpl w:val="16564374"/>
    <w:lvl w:ilvl="0" w:tplc="05B8CADC">
      <w:start w:val="1"/>
      <w:numFmt w:val="lowerRoman"/>
      <w:lvlText w:val="(%1)"/>
      <w:lvlJc w:val="left"/>
      <w:pPr>
        <w:ind w:left="720" w:hanging="720"/>
      </w:pPr>
      <w:rPr>
        <w:rFonts w:hint="default"/>
        <w:i/>
        <w:sz w:val="17"/>
        <w:szCs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07B01CA"/>
    <w:multiLevelType w:val="hybridMultilevel"/>
    <w:tmpl w:val="36305FB0"/>
    <w:lvl w:ilvl="0" w:tplc="5260A7D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0D9043F"/>
    <w:multiLevelType w:val="hybridMultilevel"/>
    <w:tmpl w:val="269EC038"/>
    <w:lvl w:ilvl="0" w:tplc="A1BAC98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19A67CA"/>
    <w:multiLevelType w:val="hybridMultilevel"/>
    <w:tmpl w:val="7568AD1A"/>
    <w:lvl w:ilvl="0" w:tplc="A81852F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20278E0"/>
    <w:multiLevelType w:val="hybridMultilevel"/>
    <w:tmpl w:val="443AAFD4"/>
    <w:lvl w:ilvl="0" w:tplc="6650A7C8">
      <w:start w:val="1"/>
      <w:numFmt w:val="lowerRoman"/>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45">
    <w:nsid w:val="73D8098E"/>
    <w:multiLevelType w:val="hybridMultilevel"/>
    <w:tmpl w:val="578E4812"/>
    <w:lvl w:ilvl="0" w:tplc="F09659A0">
      <w:start w:val="1"/>
      <w:numFmt w:val="upperLetter"/>
      <w:lvlText w:val="%1."/>
      <w:lvlJc w:val="left"/>
      <w:pPr>
        <w:ind w:left="417" w:hanging="360"/>
      </w:pPr>
      <w:rPr>
        <w:rFonts w:hint="eastAsia"/>
        <w:sz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5EF1209"/>
    <w:multiLevelType w:val="hybridMultilevel"/>
    <w:tmpl w:val="EE827D00"/>
    <w:lvl w:ilvl="0" w:tplc="22F09EBA">
      <w:start w:val="1"/>
      <w:numFmt w:val="lowerLetter"/>
      <w:lvlText w:val="(%1)"/>
      <w:lvlJc w:val="left"/>
      <w:pPr>
        <w:ind w:left="916" w:hanging="480"/>
      </w:pPr>
      <w:rPr>
        <w:rFonts w:hint="default"/>
      </w:rPr>
    </w:lvl>
    <w:lvl w:ilvl="1" w:tplc="08090001">
      <w:start w:val="1"/>
      <w:numFmt w:val="bullet"/>
      <w:lvlText w:val=""/>
      <w:lvlJc w:val="left"/>
      <w:pPr>
        <w:ind w:left="1396" w:hanging="480"/>
      </w:pPr>
      <w:rPr>
        <w:rFonts w:ascii="Symbol" w:hAnsi="Symbol" w:hint="default"/>
      </w:rPr>
    </w:lvl>
    <w:lvl w:ilvl="2" w:tplc="0409001B" w:tentative="1">
      <w:start w:val="1"/>
      <w:numFmt w:val="lowerRoman"/>
      <w:lvlText w:val="%3."/>
      <w:lvlJc w:val="right"/>
      <w:pPr>
        <w:ind w:left="1876" w:hanging="480"/>
      </w:pPr>
    </w:lvl>
    <w:lvl w:ilvl="3" w:tplc="0409000F" w:tentative="1">
      <w:start w:val="1"/>
      <w:numFmt w:val="decimal"/>
      <w:lvlText w:val="%4."/>
      <w:lvlJc w:val="left"/>
      <w:pPr>
        <w:ind w:left="2356" w:hanging="480"/>
      </w:pPr>
    </w:lvl>
    <w:lvl w:ilvl="4" w:tplc="04090019" w:tentative="1">
      <w:start w:val="1"/>
      <w:numFmt w:val="ideographTraditional"/>
      <w:lvlText w:val="%5、"/>
      <w:lvlJc w:val="left"/>
      <w:pPr>
        <w:ind w:left="2836" w:hanging="480"/>
      </w:pPr>
    </w:lvl>
    <w:lvl w:ilvl="5" w:tplc="0409001B" w:tentative="1">
      <w:start w:val="1"/>
      <w:numFmt w:val="lowerRoman"/>
      <w:lvlText w:val="%6."/>
      <w:lvlJc w:val="right"/>
      <w:pPr>
        <w:ind w:left="3316" w:hanging="480"/>
      </w:pPr>
    </w:lvl>
    <w:lvl w:ilvl="6" w:tplc="0409000F" w:tentative="1">
      <w:start w:val="1"/>
      <w:numFmt w:val="decimal"/>
      <w:lvlText w:val="%7."/>
      <w:lvlJc w:val="left"/>
      <w:pPr>
        <w:ind w:left="3796" w:hanging="480"/>
      </w:pPr>
    </w:lvl>
    <w:lvl w:ilvl="7" w:tplc="04090019" w:tentative="1">
      <w:start w:val="1"/>
      <w:numFmt w:val="ideographTraditional"/>
      <w:lvlText w:val="%8、"/>
      <w:lvlJc w:val="left"/>
      <w:pPr>
        <w:ind w:left="4276" w:hanging="480"/>
      </w:pPr>
    </w:lvl>
    <w:lvl w:ilvl="8" w:tplc="0409001B" w:tentative="1">
      <w:start w:val="1"/>
      <w:numFmt w:val="lowerRoman"/>
      <w:lvlText w:val="%9."/>
      <w:lvlJc w:val="right"/>
      <w:pPr>
        <w:ind w:left="4756" w:hanging="480"/>
      </w:pPr>
    </w:lvl>
  </w:abstractNum>
  <w:abstractNum w:abstractNumId="47">
    <w:nsid w:val="76EE6501"/>
    <w:multiLevelType w:val="hybridMultilevel"/>
    <w:tmpl w:val="D04A2140"/>
    <w:lvl w:ilvl="0" w:tplc="8F24C01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7281889"/>
    <w:multiLevelType w:val="hybridMultilevel"/>
    <w:tmpl w:val="415CC944"/>
    <w:lvl w:ilvl="0" w:tplc="DCF659D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73C7C44"/>
    <w:multiLevelType w:val="hybridMultilevel"/>
    <w:tmpl w:val="E57ECAE2"/>
    <w:lvl w:ilvl="0" w:tplc="8C983CC6">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7C244903"/>
    <w:multiLevelType w:val="hybridMultilevel"/>
    <w:tmpl w:val="41C0CC06"/>
    <w:lvl w:ilvl="0" w:tplc="2BEC7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7F1218D4"/>
    <w:multiLevelType w:val="hybridMultilevel"/>
    <w:tmpl w:val="80A4B8E2"/>
    <w:lvl w:ilvl="0" w:tplc="DD5A4066">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9"/>
  </w:num>
  <w:num w:numId="3">
    <w:abstractNumId w:val="6"/>
  </w:num>
  <w:num w:numId="4">
    <w:abstractNumId w:val="38"/>
  </w:num>
  <w:num w:numId="5">
    <w:abstractNumId w:val="41"/>
  </w:num>
  <w:num w:numId="6">
    <w:abstractNumId w:val="23"/>
  </w:num>
  <w:num w:numId="7">
    <w:abstractNumId w:val="43"/>
  </w:num>
  <w:num w:numId="8">
    <w:abstractNumId w:val="19"/>
  </w:num>
  <w:num w:numId="9">
    <w:abstractNumId w:val="14"/>
  </w:num>
  <w:num w:numId="10">
    <w:abstractNumId w:val="29"/>
  </w:num>
  <w:num w:numId="11">
    <w:abstractNumId w:val="51"/>
  </w:num>
  <w:num w:numId="12">
    <w:abstractNumId w:val="49"/>
  </w:num>
  <w:num w:numId="13">
    <w:abstractNumId w:val="22"/>
  </w:num>
  <w:num w:numId="14">
    <w:abstractNumId w:val="34"/>
  </w:num>
  <w:num w:numId="15">
    <w:abstractNumId w:val="24"/>
  </w:num>
  <w:num w:numId="16">
    <w:abstractNumId w:val="13"/>
  </w:num>
  <w:num w:numId="17">
    <w:abstractNumId w:val="21"/>
  </w:num>
  <w:num w:numId="18">
    <w:abstractNumId w:val="7"/>
  </w:num>
  <w:num w:numId="19">
    <w:abstractNumId w:val="44"/>
  </w:num>
  <w:num w:numId="20">
    <w:abstractNumId w:val="35"/>
  </w:num>
  <w:num w:numId="21">
    <w:abstractNumId w:val="50"/>
  </w:num>
  <w:num w:numId="22">
    <w:abstractNumId w:val="40"/>
  </w:num>
  <w:num w:numId="23">
    <w:abstractNumId w:val="16"/>
  </w:num>
  <w:num w:numId="24">
    <w:abstractNumId w:val="33"/>
  </w:num>
  <w:num w:numId="25">
    <w:abstractNumId w:val="17"/>
  </w:num>
  <w:num w:numId="26">
    <w:abstractNumId w:val="5"/>
  </w:num>
  <w:num w:numId="27">
    <w:abstractNumId w:val="11"/>
  </w:num>
  <w:num w:numId="28">
    <w:abstractNumId w:val="37"/>
  </w:num>
  <w:num w:numId="29">
    <w:abstractNumId w:val="10"/>
  </w:num>
  <w:num w:numId="30">
    <w:abstractNumId w:val="3"/>
  </w:num>
  <w:num w:numId="31">
    <w:abstractNumId w:val="1"/>
  </w:num>
  <w:num w:numId="32">
    <w:abstractNumId w:val="26"/>
  </w:num>
  <w:num w:numId="33">
    <w:abstractNumId w:val="46"/>
  </w:num>
  <w:num w:numId="34">
    <w:abstractNumId w:val="8"/>
  </w:num>
  <w:num w:numId="35">
    <w:abstractNumId w:val="0"/>
  </w:num>
  <w:num w:numId="36">
    <w:abstractNumId w:val="39"/>
  </w:num>
  <w:num w:numId="37">
    <w:abstractNumId w:val="18"/>
  </w:num>
  <w:num w:numId="38">
    <w:abstractNumId w:val="32"/>
  </w:num>
  <w:num w:numId="39">
    <w:abstractNumId w:val="42"/>
  </w:num>
  <w:num w:numId="40">
    <w:abstractNumId w:val="48"/>
  </w:num>
  <w:num w:numId="41">
    <w:abstractNumId w:val="36"/>
  </w:num>
  <w:num w:numId="42">
    <w:abstractNumId w:val="25"/>
  </w:num>
  <w:num w:numId="43">
    <w:abstractNumId w:val="2"/>
  </w:num>
  <w:num w:numId="44">
    <w:abstractNumId w:val="30"/>
  </w:num>
  <w:num w:numId="45">
    <w:abstractNumId w:val="12"/>
  </w:num>
  <w:num w:numId="46">
    <w:abstractNumId w:val="31"/>
  </w:num>
  <w:num w:numId="47">
    <w:abstractNumId w:val="45"/>
  </w:num>
  <w:num w:numId="48">
    <w:abstractNumId w:val="4"/>
  </w:num>
  <w:num w:numId="49">
    <w:abstractNumId w:val="20"/>
  </w:num>
  <w:num w:numId="50">
    <w:abstractNumId w:val="27"/>
  </w:num>
  <w:num w:numId="51">
    <w:abstractNumId w:val="28"/>
  </w:num>
  <w:num w:numId="52">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trackRevisions/>
  <w:documentProtection w:edit="readOnly" w:enforcement="0"/>
  <w:defaultTabStop w:val="480"/>
  <w:drawingGridHorizontalSpacing w:val="10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A5"/>
    <w:rsid w:val="00003FB1"/>
    <w:rsid w:val="00005D7B"/>
    <w:rsid w:val="00013033"/>
    <w:rsid w:val="00025890"/>
    <w:rsid w:val="00033417"/>
    <w:rsid w:val="000416DA"/>
    <w:rsid w:val="00051179"/>
    <w:rsid w:val="000571FB"/>
    <w:rsid w:val="000672DA"/>
    <w:rsid w:val="000826CD"/>
    <w:rsid w:val="000852AF"/>
    <w:rsid w:val="000A07EF"/>
    <w:rsid w:val="000A7C62"/>
    <w:rsid w:val="000B605A"/>
    <w:rsid w:val="000C23D4"/>
    <w:rsid w:val="000C30BE"/>
    <w:rsid w:val="000C5C30"/>
    <w:rsid w:val="000D4EB4"/>
    <w:rsid w:val="000D76A4"/>
    <w:rsid w:val="000F089D"/>
    <w:rsid w:val="000F08CB"/>
    <w:rsid w:val="000F2EE5"/>
    <w:rsid w:val="000F6D32"/>
    <w:rsid w:val="00101F24"/>
    <w:rsid w:val="00114F17"/>
    <w:rsid w:val="00127B51"/>
    <w:rsid w:val="001324D2"/>
    <w:rsid w:val="00141378"/>
    <w:rsid w:val="00147BF3"/>
    <w:rsid w:val="00166A0D"/>
    <w:rsid w:val="00176B3B"/>
    <w:rsid w:val="00182DB9"/>
    <w:rsid w:val="00191550"/>
    <w:rsid w:val="0019316E"/>
    <w:rsid w:val="00197043"/>
    <w:rsid w:val="001A0647"/>
    <w:rsid w:val="001A57C6"/>
    <w:rsid w:val="001B47CF"/>
    <w:rsid w:val="001B530B"/>
    <w:rsid w:val="001D733A"/>
    <w:rsid w:val="001F08BE"/>
    <w:rsid w:val="001F3C9A"/>
    <w:rsid w:val="002256B0"/>
    <w:rsid w:val="002462DA"/>
    <w:rsid w:val="0026315E"/>
    <w:rsid w:val="002705F9"/>
    <w:rsid w:val="0028410F"/>
    <w:rsid w:val="00291822"/>
    <w:rsid w:val="00295C4D"/>
    <w:rsid w:val="002B07D1"/>
    <w:rsid w:val="002C00CE"/>
    <w:rsid w:val="002D62A8"/>
    <w:rsid w:val="002D7154"/>
    <w:rsid w:val="002E2785"/>
    <w:rsid w:val="002E3E3D"/>
    <w:rsid w:val="002F15DD"/>
    <w:rsid w:val="003052A3"/>
    <w:rsid w:val="00310756"/>
    <w:rsid w:val="00313580"/>
    <w:rsid w:val="0031392C"/>
    <w:rsid w:val="0031407C"/>
    <w:rsid w:val="00316726"/>
    <w:rsid w:val="00325243"/>
    <w:rsid w:val="00337884"/>
    <w:rsid w:val="003408A4"/>
    <w:rsid w:val="003472A0"/>
    <w:rsid w:val="00354F22"/>
    <w:rsid w:val="00374D90"/>
    <w:rsid w:val="00375975"/>
    <w:rsid w:val="0039131A"/>
    <w:rsid w:val="003915F0"/>
    <w:rsid w:val="00391E48"/>
    <w:rsid w:val="003A1FDB"/>
    <w:rsid w:val="003A62DE"/>
    <w:rsid w:val="003B7289"/>
    <w:rsid w:val="003B7769"/>
    <w:rsid w:val="003C4773"/>
    <w:rsid w:val="003D0708"/>
    <w:rsid w:val="003F0A7B"/>
    <w:rsid w:val="003F5295"/>
    <w:rsid w:val="00401186"/>
    <w:rsid w:val="0043033F"/>
    <w:rsid w:val="004406FA"/>
    <w:rsid w:val="00461E7B"/>
    <w:rsid w:val="00477DD4"/>
    <w:rsid w:val="004A2DDA"/>
    <w:rsid w:val="004B5E85"/>
    <w:rsid w:val="004C5CF5"/>
    <w:rsid w:val="004D12A5"/>
    <w:rsid w:val="004D134E"/>
    <w:rsid w:val="004D2142"/>
    <w:rsid w:val="004E5D3A"/>
    <w:rsid w:val="004E7078"/>
    <w:rsid w:val="004F31E9"/>
    <w:rsid w:val="00511AA8"/>
    <w:rsid w:val="00517128"/>
    <w:rsid w:val="00521C11"/>
    <w:rsid w:val="00522725"/>
    <w:rsid w:val="0053252C"/>
    <w:rsid w:val="00534E89"/>
    <w:rsid w:val="00542B36"/>
    <w:rsid w:val="00545554"/>
    <w:rsid w:val="005558EF"/>
    <w:rsid w:val="00560DF8"/>
    <w:rsid w:val="00561074"/>
    <w:rsid w:val="005613B2"/>
    <w:rsid w:val="00571848"/>
    <w:rsid w:val="00583828"/>
    <w:rsid w:val="00584A90"/>
    <w:rsid w:val="005904BA"/>
    <w:rsid w:val="005A630E"/>
    <w:rsid w:val="005B3DC3"/>
    <w:rsid w:val="005B68BD"/>
    <w:rsid w:val="005C5A88"/>
    <w:rsid w:val="005E25C4"/>
    <w:rsid w:val="005E3EAA"/>
    <w:rsid w:val="005F3B05"/>
    <w:rsid w:val="005F68AA"/>
    <w:rsid w:val="00630234"/>
    <w:rsid w:val="00636E49"/>
    <w:rsid w:val="00647BCA"/>
    <w:rsid w:val="006649FF"/>
    <w:rsid w:val="0068190A"/>
    <w:rsid w:val="006A446C"/>
    <w:rsid w:val="006B4688"/>
    <w:rsid w:val="006B4FDC"/>
    <w:rsid w:val="006C21FE"/>
    <w:rsid w:val="006D22DE"/>
    <w:rsid w:val="006D32CF"/>
    <w:rsid w:val="006E2F92"/>
    <w:rsid w:val="006E3D7C"/>
    <w:rsid w:val="006E4B37"/>
    <w:rsid w:val="006E7C3D"/>
    <w:rsid w:val="00756329"/>
    <w:rsid w:val="007829EF"/>
    <w:rsid w:val="00787C11"/>
    <w:rsid w:val="007910A4"/>
    <w:rsid w:val="007A003E"/>
    <w:rsid w:val="007A7271"/>
    <w:rsid w:val="007F4EF9"/>
    <w:rsid w:val="007F7642"/>
    <w:rsid w:val="00801068"/>
    <w:rsid w:val="0080142E"/>
    <w:rsid w:val="00812259"/>
    <w:rsid w:val="00813A0B"/>
    <w:rsid w:val="0082599A"/>
    <w:rsid w:val="00841325"/>
    <w:rsid w:val="008424BD"/>
    <w:rsid w:val="008438FE"/>
    <w:rsid w:val="00844CB5"/>
    <w:rsid w:val="00855419"/>
    <w:rsid w:val="00874F37"/>
    <w:rsid w:val="0089465D"/>
    <w:rsid w:val="00897571"/>
    <w:rsid w:val="008A39CF"/>
    <w:rsid w:val="008A5F4E"/>
    <w:rsid w:val="008B3237"/>
    <w:rsid w:val="008E64A4"/>
    <w:rsid w:val="008F2507"/>
    <w:rsid w:val="00905078"/>
    <w:rsid w:val="009064B0"/>
    <w:rsid w:val="00907421"/>
    <w:rsid w:val="009106FE"/>
    <w:rsid w:val="0092221A"/>
    <w:rsid w:val="00922320"/>
    <w:rsid w:val="00932940"/>
    <w:rsid w:val="00964989"/>
    <w:rsid w:val="00970113"/>
    <w:rsid w:val="00985138"/>
    <w:rsid w:val="00990650"/>
    <w:rsid w:val="00990E32"/>
    <w:rsid w:val="00992836"/>
    <w:rsid w:val="009D731F"/>
    <w:rsid w:val="009D7822"/>
    <w:rsid w:val="009F1745"/>
    <w:rsid w:val="009F3E8B"/>
    <w:rsid w:val="00A047C6"/>
    <w:rsid w:val="00A237CE"/>
    <w:rsid w:val="00A23C56"/>
    <w:rsid w:val="00A4258D"/>
    <w:rsid w:val="00A56E2F"/>
    <w:rsid w:val="00A672FC"/>
    <w:rsid w:val="00AA6601"/>
    <w:rsid w:val="00AC0640"/>
    <w:rsid w:val="00AD6BB6"/>
    <w:rsid w:val="00AE62F6"/>
    <w:rsid w:val="00B01772"/>
    <w:rsid w:val="00B067C9"/>
    <w:rsid w:val="00B12A03"/>
    <w:rsid w:val="00B14FFB"/>
    <w:rsid w:val="00B227E1"/>
    <w:rsid w:val="00B27D51"/>
    <w:rsid w:val="00B40267"/>
    <w:rsid w:val="00B42678"/>
    <w:rsid w:val="00B46303"/>
    <w:rsid w:val="00B50BEA"/>
    <w:rsid w:val="00B55F7D"/>
    <w:rsid w:val="00B57A60"/>
    <w:rsid w:val="00B621AB"/>
    <w:rsid w:val="00B73354"/>
    <w:rsid w:val="00B74BF6"/>
    <w:rsid w:val="00B84656"/>
    <w:rsid w:val="00B84F1C"/>
    <w:rsid w:val="00B91458"/>
    <w:rsid w:val="00B950D4"/>
    <w:rsid w:val="00B9530F"/>
    <w:rsid w:val="00BA1DAA"/>
    <w:rsid w:val="00BB1352"/>
    <w:rsid w:val="00BC1EFC"/>
    <w:rsid w:val="00BC735F"/>
    <w:rsid w:val="00BD1E04"/>
    <w:rsid w:val="00BD2F69"/>
    <w:rsid w:val="00BE06CC"/>
    <w:rsid w:val="00C050E0"/>
    <w:rsid w:val="00C07909"/>
    <w:rsid w:val="00C15A1D"/>
    <w:rsid w:val="00C24CB0"/>
    <w:rsid w:val="00C262C3"/>
    <w:rsid w:val="00C6064E"/>
    <w:rsid w:val="00C60C87"/>
    <w:rsid w:val="00C82D9E"/>
    <w:rsid w:val="00C83C1D"/>
    <w:rsid w:val="00C93AD0"/>
    <w:rsid w:val="00C965C1"/>
    <w:rsid w:val="00CB1E42"/>
    <w:rsid w:val="00CC76C9"/>
    <w:rsid w:val="00D013D3"/>
    <w:rsid w:val="00D02F61"/>
    <w:rsid w:val="00D153A5"/>
    <w:rsid w:val="00D1749B"/>
    <w:rsid w:val="00D259F7"/>
    <w:rsid w:val="00D32CCE"/>
    <w:rsid w:val="00D334F9"/>
    <w:rsid w:val="00D34955"/>
    <w:rsid w:val="00D51E67"/>
    <w:rsid w:val="00D54087"/>
    <w:rsid w:val="00D67008"/>
    <w:rsid w:val="00D7209A"/>
    <w:rsid w:val="00DA473B"/>
    <w:rsid w:val="00DC15B0"/>
    <w:rsid w:val="00DE58ED"/>
    <w:rsid w:val="00DE5ED0"/>
    <w:rsid w:val="00DF3F77"/>
    <w:rsid w:val="00E17FF9"/>
    <w:rsid w:val="00E34CA5"/>
    <w:rsid w:val="00E5136A"/>
    <w:rsid w:val="00E70C18"/>
    <w:rsid w:val="00EA37FF"/>
    <w:rsid w:val="00EB1F62"/>
    <w:rsid w:val="00EB5F6A"/>
    <w:rsid w:val="00EB739B"/>
    <w:rsid w:val="00EC2911"/>
    <w:rsid w:val="00EC3710"/>
    <w:rsid w:val="00EC3838"/>
    <w:rsid w:val="00EC57C8"/>
    <w:rsid w:val="00EF580D"/>
    <w:rsid w:val="00EF63F2"/>
    <w:rsid w:val="00EF7395"/>
    <w:rsid w:val="00F0111E"/>
    <w:rsid w:val="00F1064A"/>
    <w:rsid w:val="00F23017"/>
    <w:rsid w:val="00F25A08"/>
    <w:rsid w:val="00F278F3"/>
    <w:rsid w:val="00F4304E"/>
    <w:rsid w:val="00FA39B3"/>
    <w:rsid w:val="00FE0F7C"/>
    <w:rsid w:val="00FE15CA"/>
    <w:rsid w:val="00FF2C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A5"/>
    <w:rPr>
      <w:rFonts w:ascii="Segoe UI" w:eastAsia="Times New Roman" w:hAnsi="Segoe UI" w:cs="Times New Roman"/>
      <w:kern w:val="0"/>
      <w:sz w:val="20"/>
      <w:szCs w:val="20"/>
      <w:lang w:val="en-GB" w:eastAsia="en-US"/>
    </w:rPr>
  </w:style>
  <w:style w:type="paragraph" w:styleId="Heading1">
    <w:name w:val="heading 1"/>
    <w:basedOn w:val="Normal"/>
    <w:next w:val="Normal"/>
    <w:link w:val="Heading1Char"/>
    <w:qFormat/>
    <w:rsid w:val="00E34CA5"/>
    <w:pPr>
      <w:keepNext/>
      <w:keepLines/>
      <w:tabs>
        <w:tab w:val="left" w:pos="794"/>
      </w:tabs>
      <w:spacing w:before="600" w:after="360"/>
      <w:outlineLvl w:val="0"/>
    </w:pPr>
    <w:rPr>
      <w:color w:val="AA322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CA5"/>
    <w:rPr>
      <w:rFonts w:ascii="Segoe UI" w:eastAsia="Times New Roman" w:hAnsi="Segoe UI" w:cs="Times New Roman"/>
      <w:color w:val="AA322F"/>
      <w:kern w:val="0"/>
      <w:sz w:val="28"/>
      <w:szCs w:val="20"/>
      <w:lang w:val="en-GB" w:eastAsia="en-US"/>
    </w:rPr>
  </w:style>
  <w:style w:type="paragraph" w:styleId="Footer">
    <w:name w:val="footer"/>
    <w:basedOn w:val="Normal"/>
    <w:link w:val="FooterChar"/>
    <w:uiPriority w:val="99"/>
    <w:unhideWhenUsed/>
    <w:rsid w:val="00E34CA5"/>
    <w:pPr>
      <w:tabs>
        <w:tab w:val="center" w:pos="4153"/>
        <w:tab w:val="right" w:pos="8306"/>
      </w:tabs>
      <w:snapToGrid w:val="0"/>
    </w:pPr>
  </w:style>
  <w:style w:type="character" w:customStyle="1" w:styleId="FooterChar">
    <w:name w:val="Footer Char"/>
    <w:basedOn w:val="DefaultParagraphFont"/>
    <w:link w:val="Footer"/>
    <w:uiPriority w:val="99"/>
    <w:rsid w:val="00E34CA5"/>
    <w:rPr>
      <w:rFonts w:ascii="Segoe UI" w:eastAsia="Times New Roman" w:hAnsi="Segoe UI" w:cs="Times New Roman"/>
      <w:kern w:val="0"/>
      <w:sz w:val="20"/>
      <w:szCs w:val="20"/>
      <w:lang w:val="en-GB" w:eastAsia="en-US"/>
    </w:rPr>
  </w:style>
  <w:style w:type="paragraph" w:customStyle="1" w:styleId="TableText">
    <w:name w:val="TableText"/>
    <w:basedOn w:val="Normal"/>
    <w:rsid w:val="00E34CA5"/>
    <w:pPr>
      <w:spacing w:before="40" w:after="40"/>
    </w:pPr>
    <w:rPr>
      <w:sz w:val="17"/>
    </w:rPr>
  </w:style>
  <w:style w:type="character" w:styleId="Hyperlink">
    <w:name w:val="Hyperlink"/>
    <w:basedOn w:val="DefaultParagraphFont"/>
    <w:uiPriority w:val="99"/>
    <w:unhideWhenUsed/>
    <w:rsid w:val="00E34CA5"/>
    <w:rPr>
      <w:color w:val="0000FF" w:themeColor="hyperlink"/>
      <w:u w:val="single"/>
    </w:rPr>
  </w:style>
  <w:style w:type="table" w:styleId="TableGrid">
    <w:name w:val="Table Grid"/>
    <w:basedOn w:val="TableNormal"/>
    <w:uiPriority w:val="59"/>
    <w:rsid w:val="00E34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CA5"/>
    <w:pPr>
      <w:tabs>
        <w:tab w:val="center" w:pos="4153"/>
        <w:tab w:val="right" w:pos="8306"/>
      </w:tabs>
      <w:snapToGrid w:val="0"/>
    </w:pPr>
  </w:style>
  <w:style w:type="character" w:customStyle="1" w:styleId="HeaderChar">
    <w:name w:val="Header Char"/>
    <w:basedOn w:val="DefaultParagraphFont"/>
    <w:link w:val="Header"/>
    <w:uiPriority w:val="99"/>
    <w:rsid w:val="00E34CA5"/>
    <w:rPr>
      <w:rFonts w:ascii="Segoe UI" w:eastAsia="Times New Roman" w:hAnsi="Segoe UI" w:cs="Times New Roman"/>
      <w:kern w:val="0"/>
      <w:sz w:val="20"/>
      <w:szCs w:val="20"/>
      <w:lang w:val="en-GB" w:eastAsia="en-US"/>
    </w:rPr>
  </w:style>
  <w:style w:type="paragraph" w:customStyle="1" w:styleId="TableNote">
    <w:name w:val="TableNote"/>
    <w:basedOn w:val="Normal"/>
    <w:rsid w:val="00E34CA5"/>
    <w:pPr>
      <w:spacing w:before="60" w:after="120"/>
      <w:jc w:val="both"/>
    </w:pPr>
    <w:rPr>
      <w:sz w:val="15"/>
    </w:rPr>
  </w:style>
  <w:style w:type="table" w:customStyle="1" w:styleId="TableGrid1">
    <w:name w:val="Table Grid1"/>
    <w:basedOn w:val="TableNormal"/>
    <w:next w:val="TableGrid"/>
    <w:uiPriority w:val="59"/>
    <w:rsid w:val="0054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45554"/>
    <w:pPr>
      <w:widowControl w:val="0"/>
      <w:snapToGrid w:val="0"/>
    </w:pPr>
    <w:rPr>
      <w:rFonts w:asciiTheme="minorHAnsi" w:eastAsiaTheme="minorEastAsia" w:hAnsiTheme="minorHAnsi" w:cstheme="minorBidi"/>
      <w:kern w:val="2"/>
      <w:lang w:val="en-US" w:eastAsia="zh-TW"/>
    </w:rPr>
  </w:style>
  <w:style w:type="character" w:customStyle="1" w:styleId="FootnoteTextChar">
    <w:name w:val="Footnote Text Char"/>
    <w:basedOn w:val="DefaultParagraphFont"/>
    <w:link w:val="FootnoteText"/>
    <w:uiPriority w:val="99"/>
    <w:rsid w:val="00545554"/>
    <w:rPr>
      <w:sz w:val="20"/>
      <w:szCs w:val="20"/>
    </w:rPr>
  </w:style>
  <w:style w:type="character" w:styleId="FootnoteReference">
    <w:name w:val="footnote reference"/>
    <w:uiPriority w:val="99"/>
    <w:rsid w:val="00545554"/>
    <w:rPr>
      <w:rFonts w:ascii="Segoe UI" w:hAnsi="Segoe UI" w:cs="Times New Roman"/>
      <w:vertAlign w:val="superscript"/>
    </w:rPr>
  </w:style>
  <w:style w:type="paragraph" w:styleId="ListParagraph">
    <w:name w:val="List Paragraph"/>
    <w:basedOn w:val="Normal"/>
    <w:uiPriority w:val="34"/>
    <w:qFormat/>
    <w:rsid w:val="00545554"/>
    <w:pPr>
      <w:widowControl w:val="0"/>
      <w:ind w:leftChars="200" w:left="480"/>
    </w:pPr>
    <w:rPr>
      <w:rFonts w:asciiTheme="minorHAnsi" w:eastAsiaTheme="minorEastAsia" w:hAnsiTheme="minorHAnsi" w:cstheme="minorBidi"/>
      <w:kern w:val="2"/>
      <w:sz w:val="24"/>
      <w:szCs w:val="22"/>
      <w:lang w:val="en-US" w:eastAsia="zh-TW"/>
    </w:rPr>
  </w:style>
  <w:style w:type="paragraph" w:styleId="BalloonText">
    <w:name w:val="Balloon Text"/>
    <w:basedOn w:val="Normal"/>
    <w:link w:val="BalloonTextChar"/>
    <w:uiPriority w:val="99"/>
    <w:semiHidden/>
    <w:unhideWhenUsed/>
    <w:rsid w:val="0054555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45554"/>
    <w:rPr>
      <w:rFonts w:asciiTheme="majorHAnsi" w:eastAsiaTheme="majorEastAsia" w:hAnsiTheme="majorHAnsi" w:cstheme="majorBidi"/>
      <w:kern w:val="0"/>
      <w:sz w:val="16"/>
      <w:szCs w:val="16"/>
      <w:lang w:val="en-GB" w:eastAsia="en-US"/>
    </w:rPr>
  </w:style>
  <w:style w:type="character" w:styleId="CommentReference">
    <w:name w:val="annotation reference"/>
    <w:basedOn w:val="DefaultParagraphFont"/>
    <w:uiPriority w:val="99"/>
    <w:semiHidden/>
    <w:unhideWhenUsed/>
    <w:rsid w:val="00545554"/>
    <w:rPr>
      <w:sz w:val="18"/>
      <w:szCs w:val="18"/>
    </w:rPr>
  </w:style>
  <w:style w:type="paragraph" w:styleId="CommentText">
    <w:name w:val="annotation text"/>
    <w:basedOn w:val="Normal"/>
    <w:link w:val="CommentTextChar"/>
    <w:uiPriority w:val="99"/>
    <w:unhideWhenUsed/>
    <w:rsid w:val="00545554"/>
  </w:style>
  <w:style w:type="character" w:customStyle="1" w:styleId="CommentTextChar">
    <w:name w:val="Comment Text Char"/>
    <w:basedOn w:val="DefaultParagraphFont"/>
    <w:link w:val="CommentText"/>
    <w:uiPriority w:val="99"/>
    <w:rsid w:val="00545554"/>
    <w:rPr>
      <w:rFonts w:ascii="Segoe UI" w:eastAsia="Times New Roman" w:hAnsi="Segoe UI" w:cs="Times New Roman"/>
      <w:kern w:val="0"/>
      <w:sz w:val="20"/>
      <w:szCs w:val="20"/>
      <w:lang w:val="en-GB" w:eastAsia="en-US"/>
    </w:rPr>
  </w:style>
  <w:style w:type="paragraph" w:styleId="CommentSubject">
    <w:name w:val="annotation subject"/>
    <w:basedOn w:val="CommentText"/>
    <w:next w:val="CommentText"/>
    <w:link w:val="CommentSubjectChar"/>
    <w:uiPriority w:val="99"/>
    <w:semiHidden/>
    <w:unhideWhenUsed/>
    <w:rsid w:val="00545554"/>
    <w:rPr>
      <w:b/>
      <w:bCs/>
    </w:rPr>
  </w:style>
  <w:style w:type="character" w:customStyle="1" w:styleId="CommentSubjectChar">
    <w:name w:val="Comment Subject Char"/>
    <w:basedOn w:val="CommentTextChar"/>
    <w:link w:val="CommentSubject"/>
    <w:uiPriority w:val="99"/>
    <w:semiHidden/>
    <w:rsid w:val="00545554"/>
    <w:rPr>
      <w:rFonts w:ascii="Segoe UI" w:eastAsia="Times New Roman" w:hAnsi="Segoe UI" w:cs="Times New Roman"/>
      <w:b/>
      <w:bCs/>
      <w:kern w:val="0"/>
      <w:sz w:val="20"/>
      <w:szCs w:val="20"/>
      <w:lang w:val="en-GB" w:eastAsia="en-US"/>
    </w:rPr>
  </w:style>
  <w:style w:type="paragraph" w:customStyle="1" w:styleId="Default">
    <w:name w:val="Default"/>
    <w:rsid w:val="00545554"/>
    <w:pPr>
      <w:widowControl w:val="0"/>
      <w:autoSpaceDE w:val="0"/>
      <w:autoSpaceDN w:val="0"/>
      <w:adjustRightInd w:val="0"/>
    </w:pPr>
    <w:rPr>
      <w:rFonts w:ascii="Segoe UI" w:hAnsi="Segoe UI" w:cs="Segoe UI"/>
      <w:color w:val="000000"/>
      <w:kern w:val="0"/>
      <w:szCs w:val="24"/>
    </w:rPr>
  </w:style>
  <w:style w:type="paragraph" w:styleId="Revision">
    <w:name w:val="Revision"/>
    <w:hidden/>
    <w:uiPriority w:val="99"/>
    <w:semiHidden/>
    <w:rsid w:val="00545554"/>
    <w:rPr>
      <w:rFonts w:ascii="Segoe UI" w:eastAsia="Times New Roman" w:hAnsi="Segoe UI" w:cs="Times New Roman"/>
      <w:kern w:val="0"/>
      <w:sz w:val="20"/>
      <w:szCs w:val="20"/>
      <w:lang w:val="en-GB" w:eastAsia="en-US"/>
    </w:rPr>
  </w:style>
  <w:style w:type="paragraph" w:customStyle="1" w:styleId="Bulletpoint">
    <w:name w:val="Bullet point"/>
    <w:basedOn w:val="Normal"/>
    <w:qFormat/>
    <w:rsid w:val="00FF2C4F"/>
    <w:pPr>
      <w:tabs>
        <w:tab w:val="left" w:pos="794"/>
        <w:tab w:val="left" w:pos="1191"/>
      </w:tabs>
      <w:spacing w:after="120"/>
      <w:jc w:val="both"/>
    </w:pPr>
    <w:rPr>
      <w:noProof/>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A5"/>
    <w:rPr>
      <w:rFonts w:ascii="Segoe UI" w:eastAsia="Times New Roman" w:hAnsi="Segoe UI" w:cs="Times New Roman"/>
      <w:kern w:val="0"/>
      <w:sz w:val="20"/>
      <w:szCs w:val="20"/>
      <w:lang w:val="en-GB" w:eastAsia="en-US"/>
    </w:rPr>
  </w:style>
  <w:style w:type="paragraph" w:styleId="Heading1">
    <w:name w:val="heading 1"/>
    <w:basedOn w:val="Normal"/>
    <w:next w:val="Normal"/>
    <w:link w:val="Heading1Char"/>
    <w:qFormat/>
    <w:rsid w:val="00E34CA5"/>
    <w:pPr>
      <w:keepNext/>
      <w:keepLines/>
      <w:tabs>
        <w:tab w:val="left" w:pos="794"/>
      </w:tabs>
      <w:spacing w:before="600" w:after="360"/>
      <w:outlineLvl w:val="0"/>
    </w:pPr>
    <w:rPr>
      <w:color w:val="AA322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CA5"/>
    <w:rPr>
      <w:rFonts w:ascii="Segoe UI" w:eastAsia="Times New Roman" w:hAnsi="Segoe UI" w:cs="Times New Roman"/>
      <w:color w:val="AA322F"/>
      <w:kern w:val="0"/>
      <w:sz w:val="28"/>
      <w:szCs w:val="20"/>
      <w:lang w:val="en-GB" w:eastAsia="en-US"/>
    </w:rPr>
  </w:style>
  <w:style w:type="paragraph" w:styleId="Footer">
    <w:name w:val="footer"/>
    <w:basedOn w:val="Normal"/>
    <w:link w:val="FooterChar"/>
    <w:uiPriority w:val="99"/>
    <w:unhideWhenUsed/>
    <w:rsid w:val="00E34CA5"/>
    <w:pPr>
      <w:tabs>
        <w:tab w:val="center" w:pos="4153"/>
        <w:tab w:val="right" w:pos="8306"/>
      </w:tabs>
      <w:snapToGrid w:val="0"/>
    </w:pPr>
  </w:style>
  <w:style w:type="character" w:customStyle="1" w:styleId="FooterChar">
    <w:name w:val="Footer Char"/>
    <w:basedOn w:val="DefaultParagraphFont"/>
    <w:link w:val="Footer"/>
    <w:uiPriority w:val="99"/>
    <w:rsid w:val="00E34CA5"/>
    <w:rPr>
      <w:rFonts w:ascii="Segoe UI" w:eastAsia="Times New Roman" w:hAnsi="Segoe UI" w:cs="Times New Roman"/>
      <w:kern w:val="0"/>
      <w:sz w:val="20"/>
      <w:szCs w:val="20"/>
      <w:lang w:val="en-GB" w:eastAsia="en-US"/>
    </w:rPr>
  </w:style>
  <w:style w:type="paragraph" w:customStyle="1" w:styleId="TableText">
    <w:name w:val="TableText"/>
    <w:basedOn w:val="Normal"/>
    <w:rsid w:val="00E34CA5"/>
    <w:pPr>
      <w:spacing w:before="40" w:after="40"/>
    </w:pPr>
    <w:rPr>
      <w:sz w:val="17"/>
    </w:rPr>
  </w:style>
  <w:style w:type="character" w:styleId="Hyperlink">
    <w:name w:val="Hyperlink"/>
    <w:basedOn w:val="DefaultParagraphFont"/>
    <w:uiPriority w:val="99"/>
    <w:unhideWhenUsed/>
    <w:rsid w:val="00E34CA5"/>
    <w:rPr>
      <w:color w:val="0000FF" w:themeColor="hyperlink"/>
      <w:u w:val="single"/>
    </w:rPr>
  </w:style>
  <w:style w:type="table" w:styleId="TableGrid">
    <w:name w:val="Table Grid"/>
    <w:basedOn w:val="TableNormal"/>
    <w:uiPriority w:val="59"/>
    <w:rsid w:val="00E34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CA5"/>
    <w:pPr>
      <w:tabs>
        <w:tab w:val="center" w:pos="4153"/>
        <w:tab w:val="right" w:pos="8306"/>
      </w:tabs>
      <w:snapToGrid w:val="0"/>
    </w:pPr>
  </w:style>
  <w:style w:type="character" w:customStyle="1" w:styleId="HeaderChar">
    <w:name w:val="Header Char"/>
    <w:basedOn w:val="DefaultParagraphFont"/>
    <w:link w:val="Header"/>
    <w:uiPriority w:val="99"/>
    <w:rsid w:val="00E34CA5"/>
    <w:rPr>
      <w:rFonts w:ascii="Segoe UI" w:eastAsia="Times New Roman" w:hAnsi="Segoe UI" w:cs="Times New Roman"/>
      <w:kern w:val="0"/>
      <w:sz w:val="20"/>
      <w:szCs w:val="20"/>
      <w:lang w:val="en-GB" w:eastAsia="en-US"/>
    </w:rPr>
  </w:style>
  <w:style w:type="paragraph" w:customStyle="1" w:styleId="TableNote">
    <w:name w:val="TableNote"/>
    <w:basedOn w:val="Normal"/>
    <w:rsid w:val="00E34CA5"/>
    <w:pPr>
      <w:spacing w:before="60" w:after="120"/>
      <w:jc w:val="both"/>
    </w:pPr>
    <w:rPr>
      <w:sz w:val="15"/>
    </w:rPr>
  </w:style>
  <w:style w:type="table" w:customStyle="1" w:styleId="TableGrid1">
    <w:name w:val="Table Grid1"/>
    <w:basedOn w:val="TableNormal"/>
    <w:next w:val="TableGrid"/>
    <w:uiPriority w:val="59"/>
    <w:rsid w:val="0054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45554"/>
    <w:pPr>
      <w:widowControl w:val="0"/>
      <w:snapToGrid w:val="0"/>
    </w:pPr>
    <w:rPr>
      <w:rFonts w:asciiTheme="minorHAnsi" w:eastAsiaTheme="minorEastAsia" w:hAnsiTheme="minorHAnsi" w:cstheme="minorBidi"/>
      <w:kern w:val="2"/>
      <w:lang w:val="en-US" w:eastAsia="zh-TW"/>
    </w:rPr>
  </w:style>
  <w:style w:type="character" w:customStyle="1" w:styleId="FootnoteTextChar">
    <w:name w:val="Footnote Text Char"/>
    <w:basedOn w:val="DefaultParagraphFont"/>
    <w:link w:val="FootnoteText"/>
    <w:uiPriority w:val="99"/>
    <w:rsid w:val="00545554"/>
    <w:rPr>
      <w:sz w:val="20"/>
      <w:szCs w:val="20"/>
    </w:rPr>
  </w:style>
  <w:style w:type="character" w:styleId="FootnoteReference">
    <w:name w:val="footnote reference"/>
    <w:uiPriority w:val="99"/>
    <w:rsid w:val="00545554"/>
    <w:rPr>
      <w:rFonts w:ascii="Segoe UI" w:hAnsi="Segoe UI" w:cs="Times New Roman"/>
      <w:vertAlign w:val="superscript"/>
    </w:rPr>
  </w:style>
  <w:style w:type="paragraph" w:styleId="ListParagraph">
    <w:name w:val="List Paragraph"/>
    <w:basedOn w:val="Normal"/>
    <w:uiPriority w:val="34"/>
    <w:qFormat/>
    <w:rsid w:val="00545554"/>
    <w:pPr>
      <w:widowControl w:val="0"/>
      <w:ind w:leftChars="200" w:left="480"/>
    </w:pPr>
    <w:rPr>
      <w:rFonts w:asciiTheme="minorHAnsi" w:eastAsiaTheme="minorEastAsia" w:hAnsiTheme="minorHAnsi" w:cstheme="minorBidi"/>
      <w:kern w:val="2"/>
      <w:sz w:val="24"/>
      <w:szCs w:val="22"/>
      <w:lang w:val="en-US" w:eastAsia="zh-TW"/>
    </w:rPr>
  </w:style>
  <w:style w:type="paragraph" w:styleId="BalloonText">
    <w:name w:val="Balloon Text"/>
    <w:basedOn w:val="Normal"/>
    <w:link w:val="BalloonTextChar"/>
    <w:uiPriority w:val="99"/>
    <w:semiHidden/>
    <w:unhideWhenUsed/>
    <w:rsid w:val="0054555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45554"/>
    <w:rPr>
      <w:rFonts w:asciiTheme="majorHAnsi" w:eastAsiaTheme="majorEastAsia" w:hAnsiTheme="majorHAnsi" w:cstheme="majorBidi"/>
      <w:kern w:val="0"/>
      <w:sz w:val="16"/>
      <w:szCs w:val="16"/>
      <w:lang w:val="en-GB" w:eastAsia="en-US"/>
    </w:rPr>
  </w:style>
  <w:style w:type="character" w:styleId="CommentReference">
    <w:name w:val="annotation reference"/>
    <w:basedOn w:val="DefaultParagraphFont"/>
    <w:uiPriority w:val="99"/>
    <w:semiHidden/>
    <w:unhideWhenUsed/>
    <w:rsid w:val="00545554"/>
    <w:rPr>
      <w:sz w:val="18"/>
      <w:szCs w:val="18"/>
    </w:rPr>
  </w:style>
  <w:style w:type="paragraph" w:styleId="CommentText">
    <w:name w:val="annotation text"/>
    <w:basedOn w:val="Normal"/>
    <w:link w:val="CommentTextChar"/>
    <w:uiPriority w:val="99"/>
    <w:unhideWhenUsed/>
    <w:rsid w:val="00545554"/>
  </w:style>
  <w:style w:type="character" w:customStyle="1" w:styleId="CommentTextChar">
    <w:name w:val="Comment Text Char"/>
    <w:basedOn w:val="DefaultParagraphFont"/>
    <w:link w:val="CommentText"/>
    <w:uiPriority w:val="99"/>
    <w:rsid w:val="00545554"/>
    <w:rPr>
      <w:rFonts w:ascii="Segoe UI" w:eastAsia="Times New Roman" w:hAnsi="Segoe UI" w:cs="Times New Roman"/>
      <w:kern w:val="0"/>
      <w:sz w:val="20"/>
      <w:szCs w:val="20"/>
      <w:lang w:val="en-GB" w:eastAsia="en-US"/>
    </w:rPr>
  </w:style>
  <w:style w:type="paragraph" w:styleId="CommentSubject">
    <w:name w:val="annotation subject"/>
    <w:basedOn w:val="CommentText"/>
    <w:next w:val="CommentText"/>
    <w:link w:val="CommentSubjectChar"/>
    <w:uiPriority w:val="99"/>
    <w:semiHidden/>
    <w:unhideWhenUsed/>
    <w:rsid w:val="00545554"/>
    <w:rPr>
      <w:b/>
      <w:bCs/>
    </w:rPr>
  </w:style>
  <w:style w:type="character" w:customStyle="1" w:styleId="CommentSubjectChar">
    <w:name w:val="Comment Subject Char"/>
    <w:basedOn w:val="CommentTextChar"/>
    <w:link w:val="CommentSubject"/>
    <w:uiPriority w:val="99"/>
    <w:semiHidden/>
    <w:rsid w:val="00545554"/>
    <w:rPr>
      <w:rFonts w:ascii="Segoe UI" w:eastAsia="Times New Roman" w:hAnsi="Segoe UI" w:cs="Times New Roman"/>
      <w:b/>
      <w:bCs/>
      <w:kern w:val="0"/>
      <w:sz w:val="20"/>
      <w:szCs w:val="20"/>
      <w:lang w:val="en-GB" w:eastAsia="en-US"/>
    </w:rPr>
  </w:style>
  <w:style w:type="paragraph" w:customStyle="1" w:styleId="Default">
    <w:name w:val="Default"/>
    <w:rsid w:val="00545554"/>
    <w:pPr>
      <w:widowControl w:val="0"/>
      <w:autoSpaceDE w:val="0"/>
      <w:autoSpaceDN w:val="0"/>
      <w:adjustRightInd w:val="0"/>
    </w:pPr>
    <w:rPr>
      <w:rFonts w:ascii="Segoe UI" w:hAnsi="Segoe UI" w:cs="Segoe UI"/>
      <w:color w:val="000000"/>
      <w:kern w:val="0"/>
      <w:szCs w:val="24"/>
    </w:rPr>
  </w:style>
  <w:style w:type="paragraph" w:styleId="Revision">
    <w:name w:val="Revision"/>
    <w:hidden/>
    <w:uiPriority w:val="99"/>
    <w:semiHidden/>
    <w:rsid w:val="00545554"/>
    <w:rPr>
      <w:rFonts w:ascii="Segoe UI" w:eastAsia="Times New Roman" w:hAnsi="Segoe UI" w:cs="Times New Roman"/>
      <w:kern w:val="0"/>
      <w:sz w:val="20"/>
      <w:szCs w:val="20"/>
      <w:lang w:val="en-GB" w:eastAsia="en-US"/>
    </w:rPr>
  </w:style>
  <w:style w:type="paragraph" w:customStyle="1" w:styleId="Bulletpoint">
    <w:name w:val="Bullet point"/>
    <w:basedOn w:val="Normal"/>
    <w:qFormat/>
    <w:rsid w:val="00FF2C4F"/>
    <w:pPr>
      <w:tabs>
        <w:tab w:val="left" w:pos="794"/>
        <w:tab w:val="left" w:pos="1191"/>
      </w:tabs>
      <w:spacing w:after="120"/>
      <w:jc w:val="both"/>
    </w:pPr>
    <w:rPr>
      <w:noProo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8.xml"/><Relationship Id="rId47" Type="http://schemas.openxmlformats.org/officeDocument/2006/relationships/header" Target="header17.xml"/><Relationship Id="rId63" Type="http://schemas.openxmlformats.org/officeDocument/2006/relationships/footer" Target="footer29.xml"/><Relationship Id="rId68" Type="http://schemas.openxmlformats.org/officeDocument/2006/relationships/footer" Target="footer32.xml"/><Relationship Id="rId84" Type="http://schemas.openxmlformats.org/officeDocument/2006/relationships/header" Target="header34.xml"/><Relationship Id="rId89" Type="http://schemas.openxmlformats.org/officeDocument/2006/relationships/footer" Target="footer43.xml"/><Relationship Id="rId7" Type="http://schemas.openxmlformats.org/officeDocument/2006/relationships/footnotes" Target="footnotes.xml"/><Relationship Id="rId71" Type="http://schemas.openxmlformats.org/officeDocument/2006/relationships/footer" Target="footer34.xml"/><Relationship Id="rId92" Type="http://schemas.openxmlformats.org/officeDocument/2006/relationships/footer" Target="footer44.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www.bis.org/bcbs/gsib/reporting_instructions.htm" TargetMode="Externa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20.xml"/><Relationship Id="rId53" Type="http://schemas.openxmlformats.org/officeDocument/2006/relationships/header" Target="header20.xml"/><Relationship Id="rId58" Type="http://schemas.openxmlformats.org/officeDocument/2006/relationships/header" Target="header22.xml"/><Relationship Id="rId66" Type="http://schemas.openxmlformats.org/officeDocument/2006/relationships/header" Target="header25.xml"/><Relationship Id="rId74" Type="http://schemas.openxmlformats.org/officeDocument/2006/relationships/footer" Target="footer35.xml"/><Relationship Id="rId79" Type="http://schemas.openxmlformats.org/officeDocument/2006/relationships/header" Target="header32.xml"/><Relationship Id="rId87" Type="http://schemas.openxmlformats.org/officeDocument/2006/relationships/footer" Target="footer42.xm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28.xml"/><Relationship Id="rId82" Type="http://schemas.openxmlformats.org/officeDocument/2006/relationships/header" Target="header33.xml"/><Relationship Id="rId90" Type="http://schemas.openxmlformats.org/officeDocument/2006/relationships/header" Target="header37.xml"/><Relationship Id="rId95" Type="http://schemas.openxmlformats.org/officeDocument/2006/relationships/footer" Target="footer46.xml"/><Relationship Id="rId19" Type="http://schemas.openxmlformats.org/officeDocument/2006/relationships/footer" Target="footer7.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footer" Target="footer19.xml"/><Relationship Id="rId48" Type="http://schemas.openxmlformats.org/officeDocument/2006/relationships/footer" Target="footer21.xml"/><Relationship Id="rId56" Type="http://schemas.openxmlformats.org/officeDocument/2006/relationships/header" Target="header21.xml"/><Relationship Id="rId64" Type="http://schemas.openxmlformats.org/officeDocument/2006/relationships/footer" Target="footer30.xml"/><Relationship Id="rId69" Type="http://schemas.openxmlformats.org/officeDocument/2006/relationships/footer" Target="footer33.xml"/><Relationship Id="rId77" Type="http://schemas.openxmlformats.org/officeDocument/2006/relationships/footer" Target="footer37.xml"/><Relationship Id="rId100" Type="http://schemas.openxmlformats.org/officeDocument/2006/relationships/header" Target="header42.xml"/><Relationship Id="rId8" Type="http://schemas.openxmlformats.org/officeDocument/2006/relationships/endnotes" Target="endnotes.xml"/><Relationship Id="rId51" Type="http://schemas.openxmlformats.org/officeDocument/2006/relationships/footer" Target="footer23.xml"/><Relationship Id="rId72" Type="http://schemas.openxmlformats.org/officeDocument/2006/relationships/header" Target="header28.xml"/><Relationship Id="rId80" Type="http://schemas.openxmlformats.org/officeDocument/2006/relationships/footer" Target="footer38.xml"/><Relationship Id="rId85" Type="http://schemas.openxmlformats.org/officeDocument/2006/relationships/header" Target="header35.xml"/><Relationship Id="rId93" Type="http://schemas.openxmlformats.org/officeDocument/2006/relationships/footer" Target="footer45.xml"/><Relationship Id="rId98" Type="http://schemas.openxmlformats.org/officeDocument/2006/relationships/footer" Target="footer4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header" Target="header10.xml"/><Relationship Id="rId38" Type="http://schemas.openxmlformats.org/officeDocument/2006/relationships/footer" Target="footer16.xml"/><Relationship Id="rId46" Type="http://schemas.openxmlformats.org/officeDocument/2006/relationships/header" Target="header16.xml"/><Relationship Id="rId59" Type="http://schemas.openxmlformats.org/officeDocument/2006/relationships/header" Target="header23.xml"/><Relationship Id="rId67" Type="http://schemas.openxmlformats.org/officeDocument/2006/relationships/header" Target="header26.xml"/><Relationship Id="rId103"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header" Target="header14.xml"/><Relationship Id="rId54" Type="http://schemas.openxmlformats.org/officeDocument/2006/relationships/footer" Target="footer24.xml"/><Relationship Id="rId62" Type="http://schemas.openxmlformats.org/officeDocument/2006/relationships/header" Target="header24.xml"/><Relationship Id="rId70" Type="http://schemas.openxmlformats.org/officeDocument/2006/relationships/header" Target="header27.xml"/><Relationship Id="rId75" Type="http://schemas.openxmlformats.org/officeDocument/2006/relationships/footer" Target="footer36.xml"/><Relationship Id="rId83" Type="http://schemas.openxmlformats.org/officeDocument/2006/relationships/footer" Target="footer40.xml"/><Relationship Id="rId88" Type="http://schemas.openxmlformats.org/officeDocument/2006/relationships/header" Target="header36.xml"/><Relationship Id="rId91" Type="http://schemas.openxmlformats.org/officeDocument/2006/relationships/header" Target="header38.xml"/><Relationship Id="rId96" Type="http://schemas.openxmlformats.org/officeDocument/2006/relationships/header" Target="header4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oter" Target="footer22.xml"/><Relationship Id="rId57" Type="http://schemas.openxmlformats.org/officeDocument/2006/relationships/footer" Target="footer26.xm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oter" Target="footer27.xml"/><Relationship Id="rId65" Type="http://schemas.openxmlformats.org/officeDocument/2006/relationships/footer" Target="footer31.xml"/><Relationship Id="rId73" Type="http://schemas.openxmlformats.org/officeDocument/2006/relationships/header" Target="header29.xml"/><Relationship Id="rId78" Type="http://schemas.openxmlformats.org/officeDocument/2006/relationships/header" Target="header31.xml"/><Relationship Id="rId81" Type="http://schemas.openxmlformats.org/officeDocument/2006/relationships/footer" Target="footer39.xml"/><Relationship Id="rId86" Type="http://schemas.openxmlformats.org/officeDocument/2006/relationships/footer" Target="footer41.xml"/><Relationship Id="rId94" Type="http://schemas.openxmlformats.org/officeDocument/2006/relationships/header" Target="header39.xml"/><Relationship Id="rId99" Type="http://schemas.openxmlformats.org/officeDocument/2006/relationships/footer" Target="footer48.xml"/><Relationship Id="rId101" Type="http://schemas.openxmlformats.org/officeDocument/2006/relationships/footer" Target="footer49.xml"/><Relationship Id="rId4" Type="http://schemas.microsoft.com/office/2007/relationships/stylesWithEffects" Target="stylesWithEffects.xml"/><Relationship Id="rId9" Type="http://schemas.openxmlformats.org/officeDocument/2006/relationships/hyperlink" Target="http://www.hkma.gov.hk/media/eng/doc/key-functions/banking-stability/disclosure/20170330e1.pdf" TargetMode="External"/><Relationship Id="rId13" Type="http://schemas.openxmlformats.org/officeDocument/2006/relationships/footer" Target="footer4.xml"/><Relationship Id="rId18" Type="http://schemas.openxmlformats.org/officeDocument/2006/relationships/header" Target="header3.xml"/><Relationship Id="rId39" Type="http://schemas.openxmlformats.org/officeDocument/2006/relationships/footer" Target="footer17.xml"/><Relationship Id="rId34" Type="http://schemas.openxmlformats.org/officeDocument/2006/relationships/header" Target="header11.xml"/><Relationship Id="rId50" Type="http://schemas.openxmlformats.org/officeDocument/2006/relationships/header" Target="header18.xml"/><Relationship Id="rId55" Type="http://schemas.openxmlformats.org/officeDocument/2006/relationships/footer" Target="footer25.xml"/><Relationship Id="rId76" Type="http://schemas.openxmlformats.org/officeDocument/2006/relationships/header" Target="header30.xml"/><Relationship Id="rId97" Type="http://schemas.openxmlformats.org/officeDocument/2006/relationships/header" Target="header41.xml"/></Relationships>
</file>

<file path=word/_rels/footnotes.xml.rels><?xml version="1.0" encoding="UTF-8" standalone="yes"?>
<Relationships xmlns="http://schemas.openxmlformats.org/package/2006/relationships"><Relationship Id="rId2" Type="http://schemas.openxmlformats.org/officeDocument/2006/relationships/hyperlink" Target="http://www.bis.org/bcbs/publ/d339.pdf" TargetMode="External"/><Relationship Id="rId1" Type="http://schemas.openxmlformats.org/officeDocument/2006/relationships/hyperlink" Target="https://www.bis.org/bcbs/gsib/reporting_instru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7AA81-303D-4970-ADB9-E51DB71D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77</Pages>
  <Words>24875</Words>
  <Characters>141794</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166337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 Lai-chun</dc:creator>
  <cp:lastModifiedBy>HKMA</cp:lastModifiedBy>
  <cp:revision>21</cp:revision>
  <cp:lastPrinted>2018-08-02T08:12:00Z</cp:lastPrinted>
  <dcterms:created xsi:type="dcterms:W3CDTF">2018-08-06T07:15:00Z</dcterms:created>
  <dcterms:modified xsi:type="dcterms:W3CDTF">2019-03-21T07:57:00Z</dcterms:modified>
</cp:coreProperties>
</file>