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B64" w:rsidRDefault="00B83B64" w:rsidP="00BF2ECC">
      <w:pPr>
        <w:rPr>
          <w:color w:val="AA322F"/>
          <w:sz w:val="28"/>
        </w:rPr>
      </w:pPr>
      <w:bookmarkStart w:id="0" w:name="_Toc404328151"/>
      <w:r>
        <w:rPr>
          <w:color w:val="AA322F"/>
          <w:sz w:val="28"/>
        </w:rPr>
        <w:t>Summary of disclosure templates and tables</w:t>
      </w:r>
      <w:r w:rsidR="000301D4">
        <w:rPr>
          <w:rStyle w:val="FootnoteReference"/>
          <w:color w:val="AA322F"/>
          <w:sz w:val="28"/>
        </w:rPr>
        <w:footnoteReference w:id="1"/>
      </w:r>
      <w:r w:rsidR="00756650">
        <w:rPr>
          <w:color w:val="AA322F"/>
          <w:sz w:val="28"/>
        </w:rPr>
        <w:t xml:space="preserve"> </w:t>
      </w:r>
    </w:p>
    <w:p w:rsidR="0064032A" w:rsidRDefault="0064032A" w:rsidP="00BF2ECC">
      <w:pPr>
        <w:rPr>
          <w:color w:val="AA322F"/>
          <w:sz w:val="28"/>
        </w:rPr>
      </w:pPr>
      <w:r>
        <w:t>[Note:  For ease of reference,</w:t>
      </w:r>
      <w:r>
        <w:rPr>
          <w:rFonts w:cs="Segoe UI"/>
        </w:rPr>
        <w:t xml:space="preserve"> the title of templates that have been revised in this round of amendments are highlighted in blue.]</w:t>
      </w:r>
    </w:p>
    <w:tbl>
      <w:tblPr>
        <w:tblW w:w="14459"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4111"/>
        <w:gridCol w:w="992"/>
        <w:gridCol w:w="1624"/>
        <w:gridCol w:w="1244"/>
        <w:gridCol w:w="1134"/>
        <w:gridCol w:w="1134"/>
        <w:gridCol w:w="1276"/>
        <w:gridCol w:w="1101"/>
      </w:tblGrid>
      <w:tr w:rsidR="00BF2ECC" w:rsidTr="00CE1D6C">
        <w:trPr>
          <w:cantSplit/>
          <w:trHeight w:val="244"/>
          <w:tblHeader/>
        </w:trPr>
        <w:tc>
          <w:tcPr>
            <w:tcW w:w="1843" w:type="dxa"/>
            <w:vMerge w:val="restart"/>
            <w:tcBorders>
              <w:top w:val="single" w:sz="12" w:space="0" w:color="auto"/>
              <w:left w:val="nil"/>
              <w:right w:val="single" w:sz="12" w:space="0" w:color="auto"/>
            </w:tcBorders>
            <w:shd w:val="clear" w:color="auto" w:fill="BFBFBF"/>
            <w:vAlign w:val="center"/>
          </w:tcPr>
          <w:p w:rsidR="00BF2ECC" w:rsidRDefault="00BF2ECC">
            <w:pPr>
              <w:tabs>
                <w:tab w:val="left" w:pos="794"/>
              </w:tabs>
              <w:jc w:val="center"/>
              <w:rPr>
                <w:rFonts w:cs="Segoe UI"/>
                <w:b/>
                <w:lang w:eastAsia="en-GB"/>
              </w:rPr>
            </w:pPr>
            <w:r>
              <w:rPr>
                <w:rFonts w:cs="Segoe UI"/>
                <w:b/>
                <w:lang w:eastAsia="en-GB"/>
              </w:rPr>
              <w:t>Disclosure requirement</w:t>
            </w:r>
          </w:p>
        </w:tc>
        <w:tc>
          <w:tcPr>
            <w:tcW w:w="4111" w:type="dxa"/>
            <w:vMerge w:val="restart"/>
            <w:tcBorders>
              <w:top w:val="single" w:sz="12" w:space="0" w:color="auto"/>
              <w:left w:val="single" w:sz="12" w:space="0" w:color="auto"/>
              <w:right w:val="single" w:sz="12" w:space="0" w:color="auto"/>
            </w:tcBorders>
            <w:shd w:val="clear" w:color="auto" w:fill="BFBFBF"/>
            <w:vAlign w:val="center"/>
          </w:tcPr>
          <w:p w:rsidR="00BF2ECC" w:rsidRDefault="00A132E4" w:rsidP="0064032A">
            <w:pPr>
              <w:tabs>
                <w:tab w:val="left" w:pos="794"/>
              </w:tabs>
              <w:jc w:val="center"/>
              <w:rPr>
                <w:rFonts w:cs="Segoe UI"/>
                <w:b/>
                <w:lang w:eastAsia="en-GB"/>
              </w:rPr>
            </w:pPr>
            <w:r>
              <w:rPr>
                <w:rFonts w:cs="Segoe UI"/>
                <w:b/>
                <w:lang w:eastAsia="en-GB"/>
              </w:rPr>
              <w:t>Tables and templates</w:t>
            </w:r>
          </w:p>
        </w:tc>
        <w:tc>
          <w:tcPr>
            <w:tcW w:w="992" w:type="dxa"/>
            <w:vMerge w:val="restart"/>
            <w:tcBorders>
              <w:top w:val="single" w:sz="12" w:space="0" w:color="auto"/>
              <w:left w:val="single" w:sz="12" w:space="0" w:color="auto"/>
              <w:right w:val="single" w:sz="12" w:space="0" w:color="auto"/>
            </w:tcBorders>
            <w:shd w:val="clear" w:color="auto" w:fill="BFBFBF"/>
            <w:vAlign w:val="center"/>
          </w:tcPr>
          <w:p w:rsidR="00BF2ECC" w:rsidRDefault="00BF2ECC" w:rsidP="00C639E1">
            <w:pPr>
              <w:jc w:val="center"/>
              <w:rPr>
                <w:rFonts w:cs="Segoe UI"/>
                <w:b/>
                <w:lang w:eastAsia="en-GB"/>
              </w:rPr>
            </w:pPr>
            <w:r>
              <w:rPr>
                <w:rFonts w:cs="Segoe UI"/>
                <w:b/>
                <w:lang w:eastAsia="en-GB"/>
              </w:rPr>
              <w:t>Phase</w:t>
            </w:r>
          </w:p>
        </w:tc>
        <w:tc>
          <w:tcPr>
            <w:tcW w:w="1624" w:type="dxa"/>
            <w:vMerge w:val="restart"/>
            <w:tcBorders>
              <w:top w:val="single" w:sz="12" w:space="0" w:color="auto"/>
              <w:left w:val="single" w:sz="12" w:space="0" w:color="auto"/>
              <w:right w:val="single" w:sz="12" w:space="0" w:color="auto"/>
            </w:tcBorders>
            <w:shd w:val="clear" w:color="auto" w:fill="BFBFBF"/>
            <w:vAlign w:val="center"/>
          </w:tcPr>
          <w:p w:rsidR="00A132E4" w:rsidRDefault="00BF2ECC" w:rsidP="005001D9">
            <w:pPr>
              <w:jc w:val="center"/>
              <w:rPr>
                <w:rFonts w:cs="Segoe UI"/>
                <w:b/>
                <w:lang w:eastAsia="en-GB"/>
              </w:rPr>
            </w:pPr>
            <w:r>
              <w:rPr>
                <w:rFonts w:cs="Segoe UI"/>
                <w:b/>
                <w:lang w:eastAsia="en-GB"/>
              </w:rPr>
              <w:t>Applicability</w:t>
            </w:r>
            <w:r w:rsidR="00A4439D">
              <w:rPr>
                <w:rStyle w:val="FootnoteReference"/>
                <w:b/>
                <w:lang w:eastAsia="en-GB"/>
              </w:rPr>
              <w:footnoteReference w:id="2"/>
            </w:r>
          </w:p>
        </w:tc>
        <w:tc>
          <w:tcPr>
            <w:tcW w:w="2378" w:type="dxa"/>
            <w:gridSpan w:val="2"/>
            <w:tcBorders>
              <w:top w:val="single" w:sz="12" w:space="0" w:color="auto"/>
              <w:left w:val="single" w:sz="12" w:space="0" w:color="auto"/>
              <w:bottom w:val="single" w:sz="12" w:space="0" w:color="auto"/>
              <w:right w:val="single" w:sz="12" w:space="0" w:color="auto"/>
            </w:tcBorders>
            <w:shd w:val="clear" w:color="auto" w:fill="BFBFBF"/>
            <w:vAlign w:val="center"/>
          </w:tcPr>
          <w:p w:rsidR="00BF2ECC" w:rsidRDefault="00BF2ECC">
            <w:pPr>
              <w:jc w:val="center"/>
              <w:rPr>
                <w:rFonts w:cs="Segoe UI"/>
                <w:b/>
                <w:lang w:eastAsia="en-GB"/>
              </w:rPr>
            </w:pPr>
            <w:r>
              <w:rPr>
                <w:rFonts w:cs="Segoe UI"/>
                <w:b/>
                <w:lang w:eastAsia="en-GB"/>
              </w:rPr>
              <w:t>Format</w:t>
            </w:r>
          </w:p>
        </w:tc>
        <w:tc>
          <w:tcPr>
            <w:tcW w:w="3511" w:type="dxa"/>
            <w:gridSpan w:val="3"/>
            <w:tcBorders>
              <w:top w:val="single" w:sz="12" w:space="0" w:color="auto"/>
              <w:left w:val="single" w:sz="12" w:space="0" w:color="auto"/>
              <w:bottom w:val="single" w:sz="12" w:space="0" w:color="auto"/>
              <w:right w:val="single" w:sz="12" w:space="0" w:color="auto"/>
            </w:tcBorders>
            <w:shd w:val="clear" w:color="auto" w:fill="BFBFBF"/>
            <w:vAlign w:val="center"/>
          </w:tcPr>
          <w:p w:rsidR="00BF2ECC" w:rsidRDefault="00BF2ECC">
            <w:pPr>
              <w:jc w:val="center"/>
              <w:rPr>
                <w:rFonts w:cs="Segoe UI"/>
                <w:b/>
                <w:lang w:eastAsia="en-GB"/>
              </w:rPr>
            </w:pPr>
            <w:r>
              <w:rPr>
                <w:rFonts w:cs="Segoe UI"/>
                <w:b/>
                <w:lang w:eastAsia="en-GB"/>
              </w:rPr>
              <w:t>Frequency of disclosure</w:t>
            </w:r>
          </w:p>
        </w:tc>
      </w:tr>
      <w:tr w:rsidR="00C639E1" w:rsidTr="00CE1D6C">
        <w:trPr>
          <w:cantSplit/>
          <w:trHeight w:val="283"/>
          <w:tblHeader/>
        </w:trPr>
        <w:tc>
          <w:tcPr>
            <w:tcW w:w="1843" w:type="dxa"/>
            <w:vMerge/>
            <w:tcBorders>
              <w:left w:val="nil"/>
              <w:bottom w:val="single" w:sz="12" w:space="0" w:color="auto"/>
              <w:right w:val="single" w:sz="12" w:space="0" w:color="auto"/>
            </w:tcBorders>
            <w:shd w:val="clear" w:color="auto" w:fill="BFBFBF"/>
          </w:tcPr>
          <w:p w:rsidR="00BF2ECC" w:rsidRDefault="00BF2ECC">
            <w:pPr>
              <w:tabs>
                <w:tab w:val="left" w:pos="794"/>
              </w:tabs>
              <w:jc w:val="center"/>
              <w:rPr>
                <w:rFonts w:cs="Segoe UI"/>
                <w:b/>
                <w:lang w:eastAsia="en-GB"/>
              </w:rPr>
            </w:pPr>
          </w:p>
        </w:tc>
        <w:tc>
          <w:tcPr>
            <w:tcW w:w="4111" w:type="dxa"/>
            <w:vMerge/>
            <w:tcBorders>
              <w:left w:val="single" w:sz="12" w:space="0" w:color="auto"/>
              <w:bottom w:val="single" w:sz="12" w:space="0" w:color="auto"/>
              <w:right w:val="single" w:sz="12" w:space="0" w:color="auto"/>
            </w:tcBorders>
            <w:shd w:val="clear" w:color="auto" w:fill="BFBFBF"/>
            <w:vAlign w:val="center"/>
          </w:tcPr>
          <w:p w:rsidR="00BF2ECC" w:rsidRDefault="00BF2ECC">
            <w:pPr>
              <w:tabs>
                <w:tab w:val="left" w:pos="794"/>
              </w:tabs>
              <w:jc w:val="center"/>
              <w:rPr>
                <w:rFonts w:cs="Segoe UI"/>
                <w:b/>
                <w:lang w:eastAsia="en-GB"/>
              </w:rPr>
            </w:pPr>
          </w:p>
        </w:tc>
        <w:tc>
          <w:tcPr>
            <w:tcW w:w="992" w:type="dxa"/>
            <w:vMerge/>
            <w:tcBorders>
              <w:left w:val="single" w:sz="12" w:space="0" w:color="auto"/>
              <w:bottom w:val="single" w:sz="12" w:space="0" w:color="auto"/>
              <w:right w:val="single" w:sz="12" w:space="0" w:color="auto"/>
            </w:tcBorders>
            <w:shd w:val="clear" w:color="auto" w:fill="BFBFBF"/>
          </w:tcPr>
          <w:p w:rsidR="00BF2ECC" w:rsidRDefault="00BF2ECC" w:rsidP="00C639E1">
            <w:pPr>
              <w:jc w:val="center"/>
              <w:rPr>
                <w:rFonts w:cs="Segoe UI"/>
                <w:b/>
                <w:lang w:eastAsia="en-GB"/>
              </w:rPr>
            </w:pPr>
          </w:p>
        </w:tc>
        <w:tc>
          <w:tcPr>
            <w:tcW w:w="1624" w:type="dxa"/>
            <w:vMerge/>
            <w:tcBorders>
              <w:left w:val="single" w:sz="12" w:space="0" w:color="auto"/>
              <w:bottom w:val="single" w:sz="12" w:space="0" w:color="auto"/>
              <w:right w:val="single" w:sz="12" w:space="0" w:color="auto"/>
            </w:tcBorders>
            <w:shd w:val="clear" w:color="auto" w:fill="BFBFBF"/>
            <w:vAlign w:val="center"/>
          </w:tcPr>
          <w:p w:rsidR="00BF2ECC" w:rsidRDefault="00BF2ECC">
            <w:pPr>
              <w:jc w:val="center"/>
              <w:rPr>
                <w:rFonts w:cs="Segoe UI"/>
                <w:b/>
                <w:lang w:eastAsia="en-GB"/>
              </w:rPr>
            </w:pPr>
          </w:p>
        </w:tc>
        <w:tc>
          <w:tcPr>
            <w:tcW w:w="1244" w:type="dxa"/>
            <w:tcBorders>
              <w:top w:val="single" w:sz="12" w:space="0" w:color="auto"/>
              <w:left w:val="single" w:sz="12" w:space="0" w:color="auto"/>
              <w:bottom w:val="single" w:sz="12" w:space="0" w:color="auto"/>
            </w:tcBorders>
            <w:shd w:val="clear" w:color="auto" w:fill="BFBFBF"/>
            <w:vAlign w:val="center"/>
          </w:tcPr>
          <w:p w:rsidR="00BF2ECC" w:rsidRDefault="00BF2ECC">
            <w:pPr>
              <w:jc w:val="center"/>
              <w:rPr>
                <w:rFonts w:cs="Segoe UI"/>
                <w:b/>
                <w:lang w:eastAsia="en-GB"/>
              </w:rPr>
            </w:pPr>
            <w:r>
              <w:rPr>
                <w:rFonts w:cs="Segoe UI"/>
                <w:b/>
                <w:lang w:eastAsia="en-GB"/>
              </w:rPr>
              <w:t>Fixed</w:t>
            </w:r>
          </w:p>
        </w:tc>
        <w:tc>
          <w:tcPr>
            <w:tcW w:w="1134" w:type="dxa"/>
            <w:tcBorders>
              <w:top w:val="single" w:sz="12" w:space="0" w:color="auto"/>
              <w:bottom w:val="single" w:sz="12" w:space="0" w:color="auto"/>
              <w:right w:val="single" w:sz="12" w:space="0" w:color="auto"/>
            </w:tcBorders>
            <w:shd w:val="clear" w:color="auto" w:fill="BFBFBF"/>
            <w:vAlign w:val="center"/>
          </w:tcPr>
          <w:p w:rsidR="00BF2ECC" w:rsidRDefault="00BF2ECC">
            <w:pPr>
              <w:jc w:val="center"/>
              <w:rPr>
                <w:rFonts w:cs="Segoe UI"/>
                <w:b/>
                <w:lang w:eastAsia="en-GB"/>
              </w:rPr>
            </w:pPr>
            <w:r>
              <w:rPr>
                <w:rFonts w:cs="Segoe UI"/>
                <w:b/>
                <w:lang w:eastAsia="en-GB"/>
              </w:rPr>
              <w:t>Flexible</w:t>
            </w:r>
          </w:p>
        </w:tc>
        <w:tc>
          <w:tcPr>
            <w:tcW w:w="1134" w:type="dxa"/>
            <w:tcBorders>
              <w:top w:val="single" w:sz="12" w:space="0" w:color="auto"/>
              <w:left w:val="single" w:sz="12" w:space="0" w:color="auto"/>
              <w:bottom w:val="single" w:sz="12" w:space="0" w:color="auto"/>
            </w:tcBorders>
            <w:shd w:val="clear" w:color="auto" w:fill="BFBFBF"/>
            <w:vAlign w:val="center"/>
          </w:tcPr>
          <w:p w:rsidR="00BF2ECC" w:rsidRDefault="00BF2ECC">
            <w:pPr>
              <w:jc w:val="center"/>
              <w:rPr>
                <w:rFonts w:cs="Segoe UI"/>
                <w:b/>
                <w:lang w:eastAsia="en-GB"/>
              </w:rPr>
            </w:pPr>
            <w:r>
              <w:rPr>
                <w:rFonts w:cs="Segoe UI"/>
                <w:b/>
                <w:lang w:eastAsia="en-GB"/>
              </w:rPr>
              <w:t>Quarterly</w:t>
            </w:r>
          </w:p>
        </w:tc>
        <w:tc>
          <w:tcPr>
            <w:tcW w:w="1276" w:type="dxa"/>
            <w:tcBorders>
              <w:top w:val="single" w:sz="12" w:space="0" w:color="auto"/>
              <w:bottom w:val="single" w:sz="12" w:space="0" w:color="auto"/>
            </w:tcBorders>
            <w:shd w:val="clear" w:color="auto" w:fill="BFBFBF"/>
            <w:vAlign w:val="center"/>
          </w:tcPr>
          <w:p w:rsidR="00BF2ECC" w:rsidRDefault="00BF2ECC">
            <w:pPr>
              <w:jc w:val="center"/>
              <w:rPr>
                <w:rFonts w:cs="Segoe UI"/>
                <w:b/>
                <w:lang w:eastAsia="en-GB"/>
              </w:rPr>
            </w:pPr>
            <w:r>
              <w:rPr>
                <w:rFonts w:cs="Segoe UI"/>
                <w:b/>
                <w:lang w:eastAsia="en-GB"/>
              </w:rPr>
              <w:t>Semi-</w:t>
            </w:r>
          </w:p>
          <w:p w:rsidR="00BF2ECC" w:rsidRDefault="00BF2ECC">
            <w:pPr>
              <w:jc w:val="center"/>
              <w:rPr>
                <w:rFonts w:cs="Segoe UI"/>
                <w:b/>
                <w:lang w:eastAsia="en-GB"/>
              </w:rPr>
            </w:pPr>
            <w:r>
              <w:rPr>
                <w:rFonts w:cs="Segoe UI"/>
                <w:b/>
                <w:lang w:eastAsia="en-GB"/>
              </w:rPr>
              <w:t>annual</w:t>
            </w:r>
          </w:p>
        </w:tc>
        <w:tc>
          <w:tcPr>
            <w:tcW w:w="1101" w:type="dxa"/>
            <w:tcBorders>
              <w:top w:val="single" w:sz="12" w:space="0" w:color="auto"/>
              <w:bottom w:val="single" w:sz="12" w:space="0" w:color="auto"/>
              <w:right w:val="single" w:sz="12" w:space="0" w:color="auto"/>
            </w:tcBorders>
            <w:shd w:val="clear" w:color="auto" w:fill="BFBFBF"/>
            <w:vAlign w:val="center"/>
          </w:tcPr>
          <w:p w:rsidR="00BF2ECC" w:rsidRDefault="00BF2ECC">
            <w:pPr>
              <w:jc w:val="center"/>
              <w:rPr>
                <w:rFonts w:cs="Segoe UI"/>
                <w:b/>
                <w:lang w:eastAsia="en-GB"/>
              </w:rPr>
            </w:pPr>
            <w:r>
              <w:rPr>
                <w:rFonts w:cs="Segoe UI"/>
                <w:b/>
                <w:lang w:eastAsia="en-GB"/>
              </w:rPr>
              <w:t>Annual</w:t>
            </w:r>
          </w:p>
        </w:tc>
      </w:tr>
      <w:tr w:rsidR="007136E5" w:rsidTr="009A68E3">
        <w:trPr>
          <w:cantSplit/>
          <w:trHeight w:val="283"/>
        </w:trPr>
        <w:tc>
          <w:tcPr>
            <w:tcW w:w="1843" w:type="dxa"/>
            <w:vMerge w:val="restart"/>
            <w:tcBorders>
              <w:top w:val="single" w:sz="12" w:space="0" w:color="auto"/>
              <w:left w:val="nil"/>
              <w:right w:val="single" w:sz="12" w:space="0" w:color="auto"/>
            </w:tcBorders>
          </w:tcPr>
          <w:p w:rsidR="00BF2ECC" w:rsidRDefault="00BF2ECC" w:rsidP="001B61CF">
            <w:pPr>
              <w:rPr>
                <w:rFonts w:cs="Segoe UI"/>
                <w:lang w:eastAsia="en-GB"/>
              </w:rPr>
            </w:pPr>
            <w:r>
              <w:rPr>
                <w:rFonts w:cs="Segoe UI"/>
                <w:lang w:eastAsia="en-GB"/>
              </w:rPr>
              <w:t xml:space="preserve">Part I : </w:t>
            </w:r>
            <w:r w:rsidR="001B61CF" w:rsidRPr="005D7A74">
              <w:rPr>
                <w:rFonts w:cs="Segoe UI"/>
                <w:lang w:eastAsia="en-GB"/>
              </w:rPr>
              <w:t>Key prudential ratios,</w:t>
            </w:r>
            <w:r w:rsidR="001B61CF">
              <w:rPr>
                <w:rFonts w:cs="Segoe UI"/>
                <w:lang w:eastAsia="en-GB"/>
              </w:rPr>
              <w:t xml:space="preserve"> o</w:t>
            </w:r>
            <w:r w:rsidR="001B61CF" w:rsidRPr="00F914B1">
              <w:rPr>
                <w:rFonts w:cs="Segoe UI"/>
                <w:lang w:eastAsia="en-GB"/>
              </w:rPr>
              <w:t>verview of risk management and RWA</w:t>
            </w:r>
            <w:r w:rsidR="001B61CF" w:rsidDel="001B61CF">
              <w:rPr>
                <w:rFonts w:cs="Segoe UI"/>
                <w:lang w:eastAsia="en-GB"/>
              </w:rPr>
              <w:t xml:space="preserve"> </w:t>
            </w:r>
          </w:p>
        </w:tc>
        <w:tc>
          <w:tcPr>
            <w:tcW w:w="4111" w:type="dxa"/>
            <w:tcBorders>
              <w:top w:val="single" w:sz="12" w:space="0" w:color="auto"/>
              <w:left w:val="single" w:sz="12" w:space="0" w:color="auto"/>
              <w:bottom w:val="single" w:sz="4" w:space="0" w:color="auto"/>
              <w:right w:val="single" w:sz="12" w:space="0" w:color="auto"/>
            </w:tcBorders>
            <w:shd w:val="clear" w:color="auto" w:fill="auto"/>
          </w:tcPr>
          <w:p w:rsidR="00BF2ECC" w:rsidRDefault="00BF2ECC">
            <w:pPr>
              <w:rPr>
                <w:rFonts w:cs="Segoe UI"/>
                <w:lang w:eastAsia="en-GB"/>
              </w:rPr>
            </w:pPr>
            <w:r>
              <w:rPr>
                <w:rFonts w:cs="Segoe UI"/>
                <w:lang w:eastAsia="en-GB"/>
              </w:rPr>
              <w:t>Table OVA: Overview of risk management</w:t>
            </w:r>
          </w:p>
        </w:tc>
        <w:tc>
          <w:tcPr>
            <w:tcW w:w="992" w:type="dxa"/>
            <w:tcBorders>
              <w:top w:val="single" w:sz="12" w:space="0" w:color="auto"/>
              <w:left w:val="single" w:sz="12" w:space="0" w:color="auto"/>
              <w:bottom w:val="single" w:sz="4" w:space="0" w:color="auto"/>
              <w:right w:val="single" w:sz="12" w:space="0" w:color="auto"/>
            </w:tcBorders>
          </w:tcPr>
          <w:p w:rsidR="00BF2ECC" w:rsidRDefault="00C639E1" w:rsidP="00C639E1">
            <w:pPr>
              <w:jc w:val="center"/>
              <w:rPr>
                <w:rFonts w:cs="Segoe UI"/>
                <w:lang w:eastAsia="en-GB"/>
              </w:rPr>
            </w:pPr>
            <w:r>
              <w:rPr>
                <w:rFonts w:cs="Segoe UI"/>
                <w:lang w:eastAsia="en-GB"/>
              </w:rPr>
              <w:t>I</w:t>
            </w:r>
          </w:p>
        </w:tc>
        <w:tc>
          <w:tcPr>
            <w:tcW w:w="1624" w:type="dxa"/>
            <w:tcBorders>
              <w:top w:val="single" w:sz="12" w:space="0" w:color="auto"/>
              <w:left w:val="single" w:sz="12" w:space="0" w:color="auto"/>
              <w:bottom w:val="single" w:sz="4" w:space="0" w:color="auto"/>
              <w:right w:val="single" w:sz="12" w:space="0" w:color="auto"/>
            </w:tcBorders>
            <w:shd w:val="clear" w:color="auto" w:fill="auto"/>
            <w:vAlign w:val="center"/>
          </w:tcPr>
          <w:p w:rsidR="00BF2ECC" w:rsidRDefault="001B61CF">
            <w:pPr>
              <w:jc w:val="center"/>
              <w:rPr>
                <w:rFonts w:cs="Segoe UI"/>
                <w:lang w:eastAsia="en-GB"/>
              </w:rPr>
            </w:pPr>
            <w:r w:rsidRPr="009A68E3">
              <w:rPr>
                <w:rFonts w:cs="Segoe UI"/>
                <w:noProof/>
                <w:lang w:eastAsia="en-GB"/>
              </w:rPr>
              <w:t>L</w:t>
            </w:r>
          </w:p>
        </w:tc>
        <w:tc>
          <w:tcPr>
            <w:tcW w:w="1244" w:type="dxa"/>
            <w:tcBorders>
              <w:top w:val="single" w:sz="12" w:space="0" w:color="auto"/>
              <w:left w:val="single" w:sz="12" w:space="0" w:color="auto"/>
              <w:bottom w:val="single" w:sz="4" w:space="0" w:color="auto"/>
            </w:tcBorders>
            <w:shd w:val="clear" w:color="auto" w:fill="auto"/>
            <w:vAlign w:val="center"/>
          </w:tcPr>
          <w:p w:rsidR="00BF2ECC" w:rsidRDefault="00BF2ECC">
            <w:pPr>
              <w:rPr>
                <w:rFonts w:cs="Segoe UI"/>
                <w:lang w:eastAsia="en-GB"/>
              </w:rPr>
            </w:pPr>
          </w:p>
        </w:tc>
        <w:tc>
          <w:tcPr>
            <w:tcW w:w="1134" w:type="dxa"/>
            <w:tcBorders>
              <w:top w:val="single" w:sz="12" w:space="0" w:color="auto"/>
              <w:bottom w:val="single" w:sz="4" w:space="0" w:color="auto"/>
              <w:right w:val="single" w:sz="12" w:space="0" w:color="auto"/>
            </w:tcBorders>
            <w:shd w:val="clear" w:color="auto" w:fill="auto"/>
            <w:vAlign w:val="center"/>
          </w:tcPr>
          <w:p w:rsidR="00BF2ECC" w:rsidRDefault="00BF2ECC">
            <w:pPr>
              <w:jc w:val="center"/>
              <w:rPr>
                <w:rFonts w:cs="Segoe UI"/>
                <w:noProof/>
                <w:lang w:eastAsia="en-GB"/>
              </w:rPr>
            </w:pPr>
            <w:r>
              <w:rPr>
                <w:rFonts w:cs="Segoe UI"/>
                <w:lang w:eastAsia="en-GB"/>
              </w:rPr>
              <w:sym w:font="Wingdings 2" w:char="F050"/>
            </w:r>
          </w:p>
        </w:tc>
        <w:tc>
          <w:tcPr>
            <w:tcW w:w="1134" w:type="dxa"/>
            <w:tcBorders>
              <w:top w:val="single" w:sz="12" w:space="0" w:color="auto"/>
              <w:left w:val="single" w:sz="12" w:space="0" w:color="auto"/>
              <w:bottom w:val="single" w:sz="4" w:space="0" w:color="auto"/>
            </w:tcBorders>
            <w:shd w:val="clear" w:color="auto" w:fill="auto"/>
            <w:vAlign w:val="center"/>
          </w:tcPr>
          <w:p w:rsidR="00BF2ECC" w:rsidRDefault="00BF2ECC">
            <w:pPr>
              <w:rPr>
                <w:rFonts w:cs="Segoe UI"/>
                <w:lang w:eastAsia="en-GB"/>
              </w:rPr>
            </w:pPr>
          </w:p>
        </w:tc>
        <w:tc>
          <w:tcPr>
            <w:tcW w:w="1276" w:type="dxa"/>
            <w:tcBorders>
              <w:top w:val="single" w:sz="12" w:space="0" w:color="auto"/>
              <w:bottom w:val="single" w:sz="4" w:space="0" w:color="auto"/>
            </w:tcBorders>
            <w:shd w:val="clear" w:color="auto" w:fill="auto"/>
            <w:vAlign w:val="center"/>
          </w:tcPr>
          <w:p w:rsidR="00BF2ECC" w:rsidRDefault="00BF2ECC">
            <w:pPr>
              <w:rPr>
                <w:rFonts w:cs="Segoe UI"/>
                <w:lang w:eastAsia="en-GB"/>
              </w:rPr>
            </w:pPr>
          </w:p>
        </w:tc>
        <w:tc>
          <w:tcPr>
            <w:tcW w:w="1101" w:type="dxa"/>
            <w:tcBorders>
              <w:top w:val="single" w:sz="12" w:space="0" w:color="auto"/>
              <w:bottom w:val="single" w:sz="4" w:space="0" w:color="auto"/>
              <w:right w:val="single" w:sz="12" w:space="0" w:color="auto"/>
            </w:tcBorders>
            <w:shd w:val="clear" w:color="auto" w:fill="auto"/>
            <w:vAlign w:val="center"/>
          </w:tcPr>
          <w:p w:rsidR="00BF2ECC" w:rsidRDefault="00BF2ECC">
            <w:pPr>
              <w:jc w:val="center"/>
              <w:rPr>
                <w:rFonts w:cs="Segoe UI"/>
                <w:noProof/>
                <w:lang w:eastAsia="en-GB"/>
              </w:rPr>
            </w:pPr>
            <w:r>
              <w:rPr>
                <w:rFonts w:cs="Segoe UI"/>
                <w:lang w:eastAsia="en-GB"/>
              </w:rPr>
              <w:sym w:font="Wingdings 2" w:char="F050"/>
            </w:r>
          </w:p>
        </w:tc>
      </w:tr>
      <w:tr w:rsidR="001B61CF" w:rsidTr="009A68E3">
        <w:trPr>
          <w:cantSplit/>
          <w:trHeight w:val="283"/>
        </w:trPr>
        <w:tc>
          <w:tcPr>
            <w:tcW w:w="1843" w:type="dxa"/>
            <w:vMerge/>
            <w:tcBorders>
              <w:top w:val="single" w:sz="12" w:space="0" w:color="auto"/>
              <w:left w:val="nil"/>
              <w:right w:val="single" w:sz="12" w:space="0" w:color="auto"/>
            </w:tcBorders>
          </w:tcPr>
          <w:p w:rsidR="001B61CF" w:rsidRDefault="001B61CF" w:rsidP="001B61CF">
            <w:pPr>
              <w:rPr>
                <w:rFonts w:cs="Segoe UI"/>
                <w:lang w:eastAsia="en-GB"/>
              </w:rPr>
            </w:pPr>
          </w:p>
        </w:tc>
        <w:tc>
          <w:tcPr>
            <w:tcW w:w="4111" w:type="dxa"/>
            <w:tcBorders>
              <w:top w:val="single" w:sz="4" w:space="0" w:color="auto"/>
              <w:left w:val="single" w:sz="12" w:space="0" w:color="auto"/>
              <w:bottom w:val="single" w:sz="4" w:space="0" w:color="auto"/>
              <w:right w:val="single" w:sz="12" w:space="0" w:color="auto"/>
            </w:tcBorders>
            <w:shd w:val="clear" w:color="auto" w:fill="auto"/>
          </w:tcPr>
          <w:p w:rsidR="001B61CF" w:rsidRDefault="001B61CF">
            <w:pPr>
              <w:rPr>
                <w:rFonts w:cs="Segoe UI"/>
                <w:lang w:eastAsia="en-GB"/>
              </w:rPr>
            </w:pPr>
            <w:r>
              <w:rPr>
                <w:rFonts w:cs="Segoe UI"/>
                <w:lang w:eastAsia="en-GB"/>
              </w:rPr>
              <w:t>Template</w:t>
            </w:r>
            <w:r w:rsidRPr="00F914B1">
              <w:rPr>
                <w:rFonts w:cs="Segoe UI"/>
                <w:lang w:eastAsia="en-GB"/>
              </w:rPr>
              <w:t xml:space="preserve"> </w:t>
            </w:r>
            <w:r w:rsidRPr="003C0ABE">
              <w:rPr>
                <w:rFonts w:cs="Segoe UI"/>
                <w:lang w:eastAsia="en-GB"/>
              </w:rPr>
              <w:t>KM1</w:t>
            </w:r>
            <w:r>
              <w:rPr>
                <w:rFonts w:cs="Segoe UI"/>
                <w:lang w:eastAsia="en-GB"/>
              </w:rPr>
              <w:t xml:space="preserve">: </w:t>
            </w:r>
            <w:r w:rsidRPr="00E630AD">
              <w:rPr>
                <w:rFonts w:cs="Segoe UI"/>
                <w:lang w:eastAsia="en-GB"/>
              </w:rPr>
              <w:t>Key prudential ratios</w:t>
            </w:r>
          </w:p>
        </w:tc>
        <w:tc>
          <w:tcPr>
            <w:tcW w:w="992" w:type="dxa"/>
            <w:tcBorders>
              <w:top w:val="single" w:sz="4" w:space="0" w:color="auto"/>
              <w:left w:val="single" w:sz="12" w:space="0" w:color="auto"/>
              <w:bottom w:val="single" w:sz="4" w:space="0" w:color="auto"/>
              <w:right w:val="single" w:sz="12" w:space="0" w:color="auto"/>
            </w:tcBorders>
          </w:tcPr>
          <w:p w:rsidR="001B61CF" w:rsidRDefault="001B61CF" w:rsidP="00C639E1">
            <w:pPr>
              <w:jc w:val="center"/>
              <w:rPr>
                <w:rFonts w:cs="Segoe UI"/>
                <w:lang w:eastAsia="en-GB"/>
              </w:rPr>
            </w:pPr>
            <w:r>
              <w:rPr>
                <w:rFonts w:cs="Segoe UI"/>
                <w:lang w:eastAsia="en-GB"/>
              </w:rPr>
              <w:t>II</w:t>
            </w:r>
          </w:p>
        </w:tc>
        <w:tc>
          <w:tcPr>
            <w:tcW w:w="1624" w:type="dxa"/>
            <w:tcBorders>
              <w:top w:val="single" w:sz="4" w:space="0" w:color="auto"/>
              <w:left w:val="single" w:sz="12" w:space="0" w:color="auto"/>
              <w:bottom w:val="single" w:sz="4" w:space="0" w:color="auto"/>
              <w:right w:val="single" w:sz="12" w:space="0" w:color="auto"/>
            </w:tcBorders>
            <w:shd w:val="clear" w:color="auto" w:fill="auto"/>
            <w:vAlign w:val="center"/>
          </w:tcPr>
          <w:p w:rsidR="001B61CF" w:rsidDel="001B61CF" w:rsidRDefault="001B61CF">
            <w:pPr>
              <w:jc w:val="center"/>
              <w:rPr>
                <w:rFonts w:cs="Segoe UI"/>
                <w:noProof/>
                <w:lang w:eastAsia="en-GB"/>
              </w:rPr>
            </w:pPr>
            <w:r w:rsidRPr="003936F9">
              <w:rPr>
                <w:rFonts w:cs="Segoe UI" w:hint="eastAsia"/>
                <w:noProof/>
                <w:lang w:eastAsia="en-GB"/>
              </w:rPr>
              <w:t>L</w:t>
            </w:r>
          </w:p>
        </w:tc>
        <w:tc>
          <w:tcPr>
            <w:tcW w:w="1244" w:type="dxa"/>
            <w:tcBorders>
              <w:top w:val="single" w:sz="4" w:space="0" w:color="auto"/>
              <w:left w:val="single" w:sz="12" w:space="0" w:color="auto"/>
              <w:bottom w:val="single" w:sz="4" w:space="0" w:color="auto"/>
            </w:tcBorders>
            <w:shd w:val="clear" w:color="auto" w:fill="auto"/>
            <w:vAlign w:val="center"/>
          </w:tcPr>
          <w:p w:rsidR="001B61CF" w:rsidRDefault="001B61CF" w:rsidP="009A68E3">
            <w:pPr>
              <w:jc w:val="center"/>
              <w:rPr>
                <w:rFonts w:cs="Segoe UI"/>
                <w:lang w:eastAsia="en-GB"/>
              </w:rPr>
            </w:pPr>
            <w:r>
              <w:rPr>
                <w:rFonts w:cs="Segoe UI"/>
                <w:lang w:eastAsia="en-GB"/>
              </w:rPr>
              <w:sym w:font="Wingdings 2" w:char="F050"/>
            </w:r>
          </w:p>
        </w:tc>
        <w:tc>
          <w:tcPr>
            <w:tcW w:w="1134" w:type="dxa"/>
            <w:tcBorders>
              <w:top w:val="single" w:sz="4" w:space="0" w:color="auto"/>
              <w:bottom w:val="single" w:sz="4" w:space="0" w:color="auto"/>
              <w:right w:val="single" w:sz="12" w:space="0" w:color="auto"/>
            </w:tcBorders>
            <w:shd w:val="clear" w:color="auto" w:fill="auto"/>
            <w:vAlign w:val="center"/>
          </w:tcPr>
          <w:p w:rsidR="001B61CF" w:rsidRDefault="001B61CF">
            <w:pPr>
              <w:jc w:val="center"/>
              <w:rPr>
                <w:rFonts w:cs="Segoe UI"/>
                <w:lang w:eastAsia="en-GB"/>
              </w:rPr>
            </w:pPr>
          </w:p>
        </w:tc>
        <w:tc>
          <w:tcPr>
            <w:tcW w:w="1134" w:type="dxa"/>
            <w:tcBorders>
              <w:top w:val="single" w:sz="4" w:space="0" w:color="auto"/>
              <w:left w:val="single" w:sz="12" w:space="0" w:color="auto"/>
              <w:bottom w:val="single" w:sz="4" w:space="0" w:color="auto"/>
            </w:tcBorders>
            <w:shd w:val="clear" w:color="auto" w:fill="auto"/>
            <w:vAlign w:val="center"/>
          </w:tcPr>
          <w:p w:rsidR="001B61CF" w:rsidRDefault="001B61CF" w:rsidP="009A68E3">
            <w:pPr>
              <w:jc w:val="center"/>
              <w:rPr>
                <w:rFonts w:cs="Segoe UI"/>
                <w:lang w:eastAsia="en-GB"/>
              </w:rPr>
            </w:pPr>
            <w:r>
              <w:rPr>
                <w:rFonts w:cs="Segoe UI"/>
                <w:lang w:eastAsia="en-GB"/>
              </w:rPr>
              <w:sym w:font="Wingdings 2" w:char="F050"/>
            </w:r>
          </w:p>
        </w:tc>
        <w:tc>
          <w:tcPr>
            <w:tcW w:w="1276" w:type="dxa"/>
            <w:tcBorders>
              <w:top w:val="single" w:sz="4" w:space="0" w:color="auto"/>
              <w:bottom w:val="single" w:sz="4" w:space="0" w:color="auto"/>
            </w:tcBorders>
            <w:shd w:val="clear" w:color="auto" w:fill="auto"/>
            <w:vAlign w:val="center"/>
          </w:tcPr>
          <w:p w:rsidR="001B61CF" w:rsidRDefault="001B61CF">
            <w:pPr>
              <w:rPr>
                <w:rFonts w:cs="Segoe UI"/>
                <w:lang w:eastAsia="en-GB"/>
              </w:rPr>
            </w:pPr>
          </w:p>
        </w:tc>
        <w:tc>
          <w:tcPr>
            <w:tcW w:w="1101" w:type="dxa"/>
            <w:tcBorders>
              <w:top w:val="single" w:sz="4" w:space="0" w:color="auto"/>
              <w:bottom w:val="single" w:sz="4" w:space="0" w:color="auto"/>
              <w:right w:val="single" w:sz="12" w:space="0" w:color="auto"/>
            </w:tcBorders>
            <w:shd w:val="clear" w:color="auto" w:fill="auto"/>
            <w:vAlign w:val="center"/>
          </w:tcPr>
          <w:p w:rsidR="001B61CF" w:rsidRDefault="001B61CF">
            <w:pPr>
              <w:jc w:val="center"/>
              <w:rPr>
                <w:rFonts w:cs="Segoe UI"/>
                <w:lang w:eastAsia="en-GB"/>
              </w:rPr>
            </w:pPr>
          </w:p>
        </w:tc>
      </w:tr>
      <w:tr w:rsidR="007136E5" w:rsidTr="009A68E3">
        <w:trPr>
          <w:cantSplit/>
          <w:trHeight w:val="283"/>
        </w:trPr>
        <w:tc>
          <w:tcPr>
            <w:tcW w:w="1843" w:type="dxa"/>
            <w:vMerge/>
            <w:tcBorders>
              <w:left w:val="nil"/>
              <w:bottom w:val="single" w:sz="12" w:space="0" w:color="auto"/>
              <w:right w:val="single" w:sz="12" w:space="0" w:color="auto"/>
            </w:tcBorders>
          </w:tcPr>
          <w:p w:rsidR="00BF2ECC" w:rsidRDefault="00BF2ECC">
            <w:pPr>
              <w:rPr>
                <w:rFonts w:cs="Segoe UI"/>
                <w:lang w:eastAsia="en-GB"/>
              </w:rPr>
            </w:pPr>
          </w:p>
        </w:tc>
        <w:tc>
          <w:tcPr>
            <w:tcW w:w="4111" w:type="dxa"/>
            <w:tcBorders>
              <w:top w:val="single" w:sz="4" w:space="0" w:color="auto"/>
              <w:left w:val="single" w:sz="12" w:space="0" w:color="auto"/>
              <w:bottom w:val="single" w:sz="12" w:space="0" w:color="auto"/>
              <w:right w:val="single" w:sz="12" w:space="0" w:color="auto"/>
            </w:tcBorders>
            <w:shd w:val="clear" w:color="auto" w:fill="8EAADB" w:themeFill="accent5" w:themeFillTint="99"/>
          </w:tcPr>
          <w:p w:rsidR="00BF2ECC" w:rsidRDefault="00BF2ECC" w:rsidP="00BF2ECC">
            <w:pPr>
              <w:rPr>
                <w:rFonts w:cs="Segoe UI"/>
                <w:lang w:eastAsia="en-GB"/>
              </w:rPr>
            </w:pPr>
            <w:r>
              <w:rPr>
                <w:rFonts w:cs="Segoe UI"/>
                <w:lang w:eastAsia="en-GB"/>
              </w:rPr>
              <w:t xml:space="preserve">Template OV1: Overview of RWA </w:t>
            </w:r>
          </w:p>
        </w:tc>
        <w:tc>
          <w:tcPr>
            <w:tcW w:w="992" w:type="dxa"/>
            <w:tcBorders>
              <w:top w:val="single" w:sz="4" w:space="0" w:color="auto"/>
              <w:left w:val="single" w:sz="12" w:space="0" w:color="auto"/>
              <w:bottom w:val="single" w:sz="12" w:space="0" w:color="auto"/>
              <w:right w:val="single" w:sz="12" w:space="0" w:color="auto"/>
            </w:tcBorders>
          </w:tcPr>
          <w:p w:rsidR="00BF2ECC" w:rsidRDefault="00BF2ECC" w:rsidP="00C639E1">
            <w:pPr>
              <w:jc w:val="center"/>
              <w:rPr>
                <w:rFonts w:cs="Segoe UI"/>
                <w:noProof/>
                <w:lang w:eastAsia="en-GB"/>
              </w:rPr>
            </w:pPr>
            <w:r>
              <w:rPr>
                <w:rFonts w:cs="Segoe UI"/>
                <w:noProof/>
                <w:lang w:eastAsia="en-GB"/>
              </w:rPr>
              <w:t>II</w:t>
            </w:r>
          </w:p>
        </w:tc>
        <w:tc>
          <w:tcPr>
            <w:tcW w:w="1624" w:type="dxa"/>
            <w:tcBorders>
              <w:top w:val="single" w:sz="4" w:space="0" w:color="auto"/>
              <w:left w:val="single" w:sz="12" w:space="0" w:color="auto"/>
              <w:bottom w:val="single" w:sz="12" w:space="0" w:color="auto"/>
              <w:right w:val="single" w:sz="12" w:space="0" w:color="auto"/>
            </w:tcBorders>
            <w:shd w:val="clear" w:color="auto" w:fill="auto"/>
          </w:tcPr>
          <w:p w:rsidR="00BF2ECC" w:rsidRDefault="001B61CF">
            <w:pPr>
              <w:jc w:val="center"/>
              <w:rPr>
                <w:rFonts w:cs="Segoe UI"/>
                <w:noProof/>
                <w:lang w:eastAsia="en-GB"/>
              </w:rPr>
            </w:pPr>
            <w:r w:rsidRPr="003936F9">
              <w:rPr>
                <w:rFonts w:cs="Segoe UI" w:hint="eastAsia"/>
                <w:noProof/>
                <w:lang w:eastAsia="en-GB"/>
              </w:rPr>
              <w:t>L</w:t>
            </w:r>
          </w:p>
        </w:tc>
        <w:tc>
          <w:tcPr>
            <w:tcW w:w="1244" w:type="dxa"/>
            <w:tcBorders>
              <w:top w:val="single" w:sz="4" w:space="0" w:color="auto"/>
              <w:left w:val="single" w:sz="12" w:space="0" w:color="auto"/>
              <w:bottom w:val="single" w:sz="12" w:space="0" w:color="auto"/>
            </w:tcBorders>
            <w:shd w:val="clear" w:color="auto" w:fill="auto"/>
          </w:tcPr>
          <w:p w:rsidR="00BF2ECC" w:rsidRDefault="00BF2ECC">
            <w:pPr>
              <w:jc w:val="center"/>
              <w:rPr>
                <w:rFonts w:cs="Segoe UI"/>
                <w:noProof/>
                <w:lang w:eastAsia="en-GB"/>
              </w:rPr>
            </w:pPr>
            <w:r>
              <w:rPr>
                <w:rFonts w:cs="Segoe UI"/>
                <w:lang w:eastAsia="en-GB"/>
              </w:rPr>
              <w:sym w:font="Wingdings 2" w:char="F050"/>
            </w:r>
          </w:p>
        </w:tc>
        <w:tc>
          <w:tcPr>
            <w:tcW w:w="1134" w:type="dxa"/>
            <w:tcBorders>
              <w:top w:val="single" w:sz="4" w:space="0" w:color="auto"/>
              <w:bottom w:val="single" w:sz="12" w:space="0" w:color="auto"/>
              <w:right w:val="single" w:sz="12" w:space="0" w:color="auto"/>
            </w:tcBorders>
            <w:shd w:val="clear" w:color="auto" w:fill="auto"/>
          </w:tcPr>
          <w:p w:rsidR="00BF2ECC" w:rsidRDefault="00BF2ECC">
            <w:pPr>
              <w:jc w:val="center"/>
              <w:rPr>
                <w:rFonts w:cs="Segoe UI"/>
                <w:lang w:eastAsia="en-GB"/>
              </w:rPr>
            </w:pPr>
          </w:p>
        </w:tc>
        <w:tc>
          <w:tcPr>
            <w:tcW w:w="1134" w:type="dxa"/>
            <w:tcBorders>
              <w:top w:val="single" w:sz="4" w:space="0" w:color="auto"/>
              <w:left w:val="single" w:sz="12" w:space="0" w:color="auto"/>
              <w:bottom w:val="single" w:sz="12" w:space="0" w:color="auto"/>
            </w:tcBorders>
            <w:shd w:val="clear" w:color="auto" w:fill="auto"/>
          </w:tcPr>
          <w:p w:rsidR="00BF2ECC" w:rsidRDefault="00BF2ECC">
            <w:pPr>
              <w:jc w:val="center"/>
              <w:rPr>
                <w:rFonts w:cs="Segoe UI"/>
                <w:noProof/>
                <w:lang w:eastAsia="en-GB"/>
              </w:rPr>
            </w:pPr>
            <w:r>
              <w:rPr>
                <w:rFonts w:cs="Segoe UI"/>
                <w:lang w:eastAsia="en-GB"/>
              </w:rPr>
              <w:sym w:font="Wingdings 2" w:char="F050"/>
            </w:r>
          </w:p>
        </w:tc>
        <w:tc>
          <w:tcPr>
            <w:tcW w:w="1276" w:type="dxa"/>
            <w:tcBorders>
              <w:top w:val="single" w:sz="4" w:space="0" w:color="auto"/>
              <w:bottom w:val="single" w:sz="12" w:space="0" w:color="auto"/>
            </w:tcBorders>
            <w:shd w:val="clear" w:color="auto" w:fill="auto"/>
          </w:tcPr>
          <w:p w:rsidR="00BF2ECC" w:rsidRDefault="00BF2ECC">
            <w:pPr>
              <w:jc w:val="center"/>
              <w:rPr>
                <w:rFonts w:cs="Segoe UI"/>
                <w:lang w:eastAsia="en-GB"/>
              </w:rPr>
            </w:pPr>
          </w:p>
        </w:tc>
        <w:tc>
          <w:tcPr>
            <w:tcW w:w="1101" w:type="dxa"/>
            <w:tcBorders>
              <w:top w:val="single" w:sz="4" w:space="0" w:color="auto"/>
              <w:bottom w:val="single" w:sz="12" w:space="0" w:color="auto"/>
              <w:right w:val="single" w:sz="12" w:space="0" w:color="auto"/>
            </w:tcBorders>
            <w:shd w:val="clear" w:color="auto" w:fill="auto"/>
          </w:tcPr>
          <w:p w:rsidR="00BF2ECC" w:rsidRDefault="00BF2ECC">
            <w:pPr>
              <w:jc w:val="center"/>
              <w:rPr>
                <w:rFonts w:cs="Segoe UI"/>
                <w:lang w:eastAsia="en-GB"/>
              </w:rPr>
            </w:pPr>
          </w:p>
        </w:tc>
      </w:tr>
      <w:tr w:rsidR="00C639E1" w:rsidTr="00CE1D6C">
        <w:trPr>
          <w:cantSplit/>
          <w:trHeight w:val="283"/>
        </w:trPr>
        <w:tc>
          <w:tcPr>
            <w:tcW w:w="1843" w:type="dxa"/>
            <w:vMerge w:val="restart"/>
            <w:tcBorders>
              <w:top w:val="single" w:sz="12" w:space="0" w:color="auto"/>
              <w:left w:val="nil"/>
              <w:right w:val="single" w:sz="12" w:space="0" w:color="auto"/>
            </w:tcBorders>
          </w:tcPr>
          <w:p w:rsidR="00C639E1" w:rsidRDefault="00C639E1" w:rsidP="00C639E1">
            <w:pPr>
              <w:pStyle w:val="TableText"/>
              <w:spacing w:before="0" w:after="0"/>
              <w:rPr>
                <w:rFonts w:cs="Segoe UI"/>
                <w:sz w:val="20"/>
                <w:lang w:eastAsia="en-GB"/>
              </w:rPr>
            </w:pPr>
            <w:r>
              <w:rPr>
                <w:rFonts w:cs="Segoe UI"/>
                <w:sz w:val="20"/>
                <w:lang w:eastAsia="en-GB"/>
              </w:rPr>
              <w:t>Part II : Linkages between financial statements and regulatory exposures</w:t>
            </w:r>
          </w:p>
        </w:tc>
        <w:tc>
          <w:tcPr>
            <w:tcW w:w="4111" w:type="dxa"/>
            <w:tcBorders>
              <w:top w:val="single" w:sz="12" w:space="0" w:color="auto"/>
              <w:left w:val="single" w:sz="12" w:space="0" w:color="auto"/>
              <w:right w:val="single" w:sz="12" w:space="0" w:color="auto"/>
            </w:tcBorders>
            <w:shd w:val="clear" w:color="auto" w:fill="auto"/>
          </w:tcPr>
          <w:p w:rsidR="00C639E1" w:rsidRDefault="00C639E1" w:rsidP="00C639E1">
            <w:pPr>
              <w:pStyle w:val="TableText"/>
              <w:spacing w:before="0" w:after="0"/>
              <w:rPr>
                <w:rFonts w:cs="Segoe UI"/>
                <w:sz w:val="20"/>
                <w:lang w:eastAsia="en-GB"/>
              </w:rPr>
            </w:pPr>
            <w:r>
              <w:rPr>
                <w:rFonts w:cs="Segoe UI"/>
                <w:sz w:val="20"/>
                <w:lang w:eastAsia="en-GB"/>
              </w:rPr>
              <w:t>Template LI1: Differences between accounting and regulatory scopes of consolidation and mapping of financial statement categories with regulatory risk categories</w:t>
            </w:r>
          </w:p>
        </w:tc>
        <w:tc>
          <w:tcPr>
            <w:tcW w:w="992" w:type="dxa"/>
            <w:tcBorders>
              <w:top w:val="single" w:sz="12" w:space="0" w:color="auto"/>
              <w:left w:val="single" w:sz="12" w:space="0" w:color="auto"/>
              <w:right w:val="single" w:sz="12" w:space="0" w:color="auto"/>
            </w:tcBorders>
          </w:tcPr>
          <w:p w:rsidR="00C639E1" w:rsidRDefault="00C639E1" w:rsidP="00C639E1">
            <w:pPr>
              <w:jc w:val="center"/>
            </w:pPr>
            <w:r w:rsidRPr="000A2BFB">
              <w:rPr>
                <w:rFonts w:cs="Segoe UI"/>
                <w:lang w:eastAsia="en-GB"/>
              </w:rPr>
              <w:t>I</w:t>
            </w:r>
          </w:p>
        </w:tc>
        <w:tc>
          <w:tcPr>
            <w:tcW w:w="1624" w:type="dxa"/>
            <w:tcBorders>
              <w:top w:val="single" w:sz="12" w:space="0" w:color="auto"/>
              <w:left w:val="single" w:sz="12" w:space="0" w:color="auto"/>
              <w:right w:val="single" w:sz="12" w:space="0" w:color="auto"/>
            </w:tcBorders>
            <w:shd w:val="clear" w:color="auto" w:fill="auto"/>
          </w:tcPr>
          <w:p w:rsidR="00C639E1" w:rsidRDefault="00CB2A34" w:rsidP="00C639E1">
            <w:pPr>
              <w:pStyle w:val="TableText"/>
              <w:spacing w:before="0" w:after="0"/>
              <w:jc w:val="center"/>
              <w:rPr>
                <w:rFonts w:cs="Segoe UI"/>
                <w:sz w:val="20"/>
                <w:lang w:eastAsia="en-GB"/>
              </w:rPr>
            </w:pPr>
            <w:r w:rsidRPr="009A68E3">
              <w:rPr>
                <w:rFonts w:cs="Segoe UI"/>
                <w:noProof/>
                <w:sz w:val="20"/>
                <w:lang w:eastAsia="en-GB"/>
              </w:rPr>
              <w:t>L</w:t>
            </w:r>
          </w:p>
        </w:tc>
        <w:tc>
          <w:tcPr>
            <w:tcW w:w="1244" w:type="dxa"/>
            <w:tcBorders>
              <w:top w:val="single" w:sz="12" w:space="0" w:color="auto"/>
              <w:lef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34" w:type="dxa"/>
            <w:tcBorders>
              <w:top w:val="single" w:sz="12" w:space="0" w:color="auto"/>
              <w:righ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34" w:type="dxa"/>
            <w:tcBorders>
              <w:top w:val="single" w:sz="12" w:space="0" w:color="auto"/>
              <w:lef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276" w:type="dxa"/>
            <w:tcBorders>
              <w:top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01" w:type="dxa"/>
            <w:tcBorders>
              <w:top w:val="single" w:sz="12" w:space="0" w:color="auto"/>
              <w:righ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r>
      <w:tr w:rsidR="00C639E1" w:rsidTr="00CE1D6C">
        <w:trPr>
          <w:cantSplit/>
          <w:trHeight w:val="283"/>
        </w:trPr>
        <w:tc>
          <w:tcPr>
            <w:tcW w:w="1843" w:type="dxa"/>
            <w:vMerge/>
            <w:tcBorders>
              <w:left w:val="nil"/>
              <w:right w:val="single" w:sz="12" w:space="0" w:color="auto"/>
            </w:tcBorders>
          </w:tcPr>
          <w:p w:rsidR="00C639E1" w:rsidRDefault="00C639E1" w:rsidP="00C639E1">
            <w:pPr>
              <w:pStyle w:val="TableText"/>
              <w:spacing w:before="0" w:after="0"/>
              <w:rPr>
                <w:rFonts w:cs="Segoe UI"/>
                <w:sz w:val="20"/>
                <w:lang w:eastAsia="en-GB"/>
              </w:rPr>
            </w:pPr>
          </w:p>
        </w:tc>
        <w:tc>
          <w:tcPr>
            <w:tcW w:w="4111" w:type="dxa"/>
            <w:tcBorders>
              <w:left w:val="single" w:sz="12" w:space="0" w:color="auto"/>
              <w:right w:val="single" w:sz="12" w:space="0" w:color="auto"/>
            </w:tcBorders>
            <w:shd w:val="clear" w:color="auto" w:fill="auto"/>
          </w:tcPr>
          <w:p w:rsidR="00C639E1" w:rsidRDefault="00C639E1" w:rsidP="00C639E1">
            <w:pPr>
              <w:pStyle w:val="TableText"/>
              <w:spacing w:before="0" w:after="0"/>
              <w:rPr>
                <w:rFonts w:cs="Segoe UI"/>
                <w:sz w:val="20"/>
                <w:lang w:eastAsia="en-GB"/>
              </w:rPr>
            </w:pPr>
            <w:r>
              <w:rPr>
                <w:rFonts w:cs="Segoe UI"/>
                <w:sz w:val="20"/>
                <w:lang w:eastAsia="en-GB"/>
              </w:rPr>
              <w:t>Template LI2: Main sources of differences between regulatory exposure amounts and carrying values in financial statements</w:t>
            </w:r>
          </w:p>
        </w:tc>
        <w:tc>
          <w:tcPr>
            <w:tcW w:w="992" w:type="dxa"/>
            <w:tcBorders>
              <w:left w:val="single" w:sz="12" w:space="0" w:color="auto"/>
              <w:right w:val="single" w:sz="12" w:space="0" w:color="auto"/>
            </w:tcBorders>
          </w:tcPr>
          <w:p w:rsidR="00C639E1" w:rsidRDefault="00C639E1" w:rsidP="00C639E1">
            <w:pPr>
              <w:jc w:val="center"/>
            </w:pPr>
            <w:r w:rsidRPr="000A2BFB">
              <w:rPr>
                <w:rFonts w:cs="Segoe UI"/>
                <w:lang w:eastAsia="en-GB"/>
              </w:rPr>
              <w:t>I</w:t>
            </w:r>
          </w:p>
        </w:tc>
        <w:tc>
          <w:tcPr>
            <w:tcW w:w="1624" w:type="dxa"/>
            <w:tcBorders>
              <w:left w:val="single" w:sz="12" w:space="0" w:color="auto"/>
              <w:right w:val="single" w:sz="12" w:space="0" w:color="auto"/>
            </w:tcBorders>
            <w:shd w:val="clear" w:color="auto" w:fill="auto"/>
          </w:tcPr>
          <w:p w:rsidR="00C639E1" w:rsidRDefault="00CB2A34" w:rsidP="00C639E1">
            <w:pPr>
              <w:pStyle w:val="TableText"/>
              <w:spacing w:before="0" w:after="0"/>
              <w:jc w:val="center"/>
              <w:rPr>
                <w:rFonts w:cs="Segoe UI"/>
                <w:sz w:val="20"/>
                <w:lang w:eastAsia="en-GB"/>
              </w:rPr>
            </w:pPr>
            <w:r w:rsidRPr="003936F9">
              <w:rPr>
                <w:rFonts w:cs="Segoe UI" w:hint="eastAsia"/>
                <w:noProof/>
                <w:sz w:val="20"/>
                <w:lang w:eastAsia="en-GB"/>
              </w:rPr>
              <w:t>L</w:t>
            </w:r>
          </w:p>
        </w:tc>
        <w:tc>
          <w:tcPr>
            <w:tcW w:w="1244" w:type="dxa"/>
            <w:tcBorders>
              <w:lef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34" w:type="dxa"/>
            <w:tcBorders>
              <w:righ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34" w:type="dxa"/>
            <w:tcBorders>
              <w:lef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276" w:type="dxa"/>
            <w:shd w:val="clear" w:color="auto" w:fill="auto"/>
          </w:tcPr>
          <w:p w:rsidR="00C639E1" w:rsidRDefault="00C639E1" w:rsidP="00C639E1">
            <w:pPr>
              <w:pStyle w:val="TableText"/>
              <w:spacing w:before="0" w:after="0"/>
              <w:jc w:val="center"/>
              <w:rPr>
                <w:rFonts w:cs="Segoe UI"/>
                <w:sz w:val="20"/>
                <w:lang w:eastAsia="en-GB"/>
              </w:rPr>
            </w:pPr>
          </w:p>
        </w:tc>
        <w:tc>
          <w:tcPr>
            <w:tcW w:w="1101" w:type="dxa"/>
            <w:tcBorders>
              <w:righ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r>
      <w:tr w:rsidR="00C639E1" w:rsidTr="00CE1D6C">
        <w:trPr>
          <w:cantSplit/>
          <w:trHeight w:val="283"/>
        </w:trPr>
        <w:tc>
          <w:tcPr>
            <w:tcW w:w="1843" w:type="dxa"/>
            <w:vMerge/>
            <w:tcBorders>
              <w:left w:val="nil"/>
              <w:right w:val="single" w:sz="12" w:space="0" w:color="auto"/>
            </w:tcBorders>
          </w:tcPr>
          <w:p w:rsidR="00C639E1" w:rsidRDefault="00C639E1" w:rsidP="00C639E1">
            <w:pPr>
              <w:pStyle w:val="TableText"/>
              <w:spacing w:before="0" w:after="0"/>
              <w:rPr>
                <w:rFonts w:cs="Segoe UI"/>
                <w:sz w:val="20"/>
                <w:lang w:eastAsia="en-GB"/>
              </w:rPr>
            </w:pPr>
          </w:p>
        </w:tc>
        <w:tc>
          <w:tcPr>
            <w:tcW w:w="4111" w:type="dxa"/>
            <w:tcBorders>
              <w:left w:val="single" w:sz="12" w:space="0" w:color="auto"/>
              <w:right w:val="single" w:sz="12" w:space="0" w:color="auto"/>
            </w:tcBorders>
            <w:shd w:val="clear" w:color="auto" w:fill="auto"/>
          </w:tcPr>
          <w:p w:rsidR="00C639E1" w:rsidRDefault="00C639E1" w:rsidP="00C639E1">
            <w:pPr>
              <w:pStyle w:val="TableText"/>
              <w:spacing w:before="0" w:after="0"/>
              <w:rPr>
                <w:rFonts w:cs="Segoe UI"/>
                <w:noProof/>
                <w:sz w:val="20"/>
                <w:lang w:eastAsia="en-GB"/>
              </w:rPr>
            </w:pPr>
            <w:r>
              <w:rPr>
                <w:rFonts w:cs="Segoe UI"/>
                <w:sz w:val="20"/>
                <w:lang w:eastAsia="en-GB"/>
              </w:rPr>
              <w:t>Table LIA: Explanations of differences between accounting and regulatory exposure amounts</w:t>
            </w:r>
          </w:p>
        </w:tc>
        <w:tc>
          <w:tcPr>
            <w:tcW w:w="992" w:type="dxa"/>
            <w:tcBorders>
              <w:left w:val="single" w:sz="12" w:space="0" w:color="auto"/>
              <w:right w:val="single" w:sz="12" w:space="0" w:color="auto"/>
            </w:tcBorders>
          </w:tcPr>
          <w:p w:rsidR="00C639E1" w:rsidRDefault="00C639E1" w:rsidP="00C639E1">
            <w:pPr>
              <w:jc w:val="center"/>
            </w:pPr>
            <w:r w:rsidRPr="000A2BFB">
              <w:rPr>
                <w:rFonts w:cs="Segoe UI"/>
                <w:lang w:eastAsia="en-GB"/>
              </w:rPr>
              <w:t>I</w:t>
            </w:r>
          </w:p>
        </w:tc>
        <w:tc>
          <w:tcPr>
            <w:tcW w:w="1624" w:type="dxa"/>
            <w:tcBorders>
              <w:left w:val="single" w:sz="12" w:space="0" w:color="auto"/>
              <w:right w:val="single" w:sz="12" w:space="0" w:color="auto"/>
            </w:tcBorders>
            <w:shd w:val="clear" w:color="auto" w:fill="auto"/>
          </w:tcPr>
          <w:p w:rsidR="00C639E1" w:rsidRDefault="00CB2A34" w:rsidP="00C639E1">
            <w:pPr>
              <w:pStyle w:val="TableText"/>
              <w:spacing w:before="0" w:after="0"/>
              <w:jc w:val="center"/>
              <w:rPr>
                <w:rFonts w:cs="Segoe UI"/>
                <w:sz w:val="20"/>
                <w:lang w:eastAsia="en-GB"/>
              </w:rPr>
            </w:pPr>
            <w:r w:rsidRPr="003936F9">
              <w:rPr>
                <w:rFonts w:cs="Segoe UI" w:hint="eastAsia"/>
                <w:noProof/>
                <w:sz w:val="20"/>
                <w:lang w:eastAsia="en-GB"/>
              </w:rPr>
              <w:t>L</w:t>
            </w:r>
          </w:p>
        </w:tc>
        <w:tc>
          <w:tcPr>
            <w:tcW w:w="1244" w:type="dxa"/>
            <w:tcBorders>
              <w:lef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34" w:type="dxa"/>
            <w:tcBorders>
              <w:righ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34" w:type="dxa"/>
            <w:tcBorders>
              <w:lef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276" w:type="dxa"/>
            <w:shd w:val="clear" w:color="auto" w:fill="auto"/>
          </w:tcPr>
          <w:p w:rsidR="00C639E1" w:rsidRDefault="00C639E1" w:rsidP="00C639E1">
            <w:pPr>
              <w:pStyle w:val="TableText"/>
              <w:spacing w:before="0" w:after="0"/>
              <w:jc w:val="center"/>
              <w:rPr>
                <w:rFonts w:cs="Segoe UI"/>
                <w:sz w:val="20"/>
                <w:lang w:eastAsia="en-GB"/>
              </w:rPr>
            </w:pPr>
          </w:p>
        </w:tc>
        <w:tc>
          <w:tcPr>
            <w:tcW w:w="1101" w:type="dxa"/>
            <w:tcBorders>
              <w:righ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r>
      <w:tr w:rsidR="007136E5" w:rsidTr="00CE1D6C">
        <w:trPr>
          <w:cantSplit/>
          <w:trHeight w:val="283"/>
        </w:trPr>
        <w:tc>
          <w:tcPr>
            <w:tcW w:w="1843" w:type="dxa"/>
            <w:vMerge/>
            <w:tcBorders>
              <w:left w:val="nil"/>
              <w:bottom w:val="single" w:sz="12" w:space="0" w:color="auto"/>
              <w:right w:val="single" w:sz="12" w:space="0" w:color="auto"/>
            </w:tcBorders>
          </w:tcPr>
          <w:p w:rsidR="00BF2ECC" w:rsidRDefault="00BF2ECC" w:rsidP="00BF2ECC">
            <w:pPr>
              <w:pStyle w:val="TableText"/>
              <w:spacing w:before="0" w:after="0"/>
              <w:rPr>
                <w:rFonts w:cs="Segoe UI"/>
                <w:sz w:val="20"/>
                <w:lang w:eastAsia="en-GB"/>
              </w:rPr>
            </w:pPr>
          </w:p>
        </w:tc>
        <w:tc>
          <w:tcPr>
            <w:tcW w:w="4111" w:type="dxa"/>
            <w:tcBorders>
              <w:left w:val="single" w:sz="12" w:space="0" w:color="auto"/>
              <w:bottom w:val="single" w:sz="12" w:space="0" w:color="auto"/>
              <w:right w:val="single" w:sz="12" w:space="0" w:color="auto"/>
            </w:tcBorders>
            <w:shd w:val="clear" w:color="auto" w:fill="auto"/>
          </w:tcPr>
          <w:p w:rsidR="00BF2ECC" w:rsidRPr="00A2049C" w:rsidRDefault="00BF2ECC" w:rsidP="00BF2ECC">
            <w:pPr>
              <w:pStyle w:val="TableText"/>
              <w:spacing w:before="0" w:after="0"/>
              <w:rPr>
                <w:rFonts w:cs="Segoe UI"/>
                <w:sz w:val="20"/>
                <w:lang w:val="en-US" w:eastAsia="en-GB"/>
              </w:rPr>
            </w:pPr>
            <w:r w:rsidRPr="00F914B1">
              <w:rPr>
                <w:rFonts w:cs="Segoe UI"/>
                <w:sz w:val="20"/>
                <w:lang w:eastAsia="en-GB"/>
              </w:rPr>
              <w:t>Template</w:t>
            </w:r>
            <w:r>
              <w:rPr>
                <w:rFonts w:cs="Segoe UI"/>
                <w:sz w:val="20"/>
                <w:lang w:eastAsia="en-GB"/>
              </w:rPr>
              <w:t xml:space="preserve"> </w:t>
            </w:r>
            <w:r w:rsidRPr="00A2049C">
              <w:rPr>
                <w:rFonts w:cs="Segoe UI"/>
                <w:sz w:val="20"/>
                <w:lang w:eastAsia="en-GB"/>
              </w:rPr>
              <w:t>PV1</w:t>
            </w:r>
            <w:r>
              <w:rPr>
                <w:rFonts w:cs="Segoe UI"/>
                <w:sz w:val="20"/>
                <w:lang w:eastAsia="en-GB"/>
              </w:rPr>
              <w:t>:</w:t>
            </w:r>
            <w:r w:rsidRPr="00A2049C">
              <w:rPr>
                <w:rFonts w:cs="Segoe UI"/>
                <w:sz w:val="20"/>
                <w:lang w:eastAsia="en-GB"/>
              </w:rPr>
              <w:t xml:space="preserve"> Pru</w:t>
            </w:r>
            <w:r>
              <w:rPr>
                <w:rFonts w:cs="Segoe UI"/>
                <w:sz w:val="20"/>
                <w:lang w:eastAsia="en-GB"/>
              </w:rPr>
              <w:t>dent valuation adjustments</w:t>
            </w:r>
          </w:p>
        </w:tc>
        <w:tc>
          <w:tcPr>
            <w:tcW w:w="992" w:type="dxa"/>
            <w:tcBorders>
              <w:left w:val="single" w:sz="12" w:space="0" w:color="auto"/>
              <w:bottom w:val="single" w:sz="12" w:space="0" w:color="auto"/>
              <w:right w:val="single" w:sz="12" w:space="0" w:color="auto"/>
            </w:tcBorders>
          </w:tcPr>
          <w:p w:rsidR="00BF2ECC" w:rsidRDefault="00BF2ECC" w:rsidP="00C639E1">
            <w:pPr>
              <w:pStyle w:val="TableText"/>
              <w:spacing w:before="0" w:after="0"/>
              <w:jc w:val="center"/>
              <w:rPr>
                <w:rFonts w:cs="Segoe UI"/>
                <w:sz w:val="20"/>
                <w:lang w:eastAsia="en-GB"/>
              </w:rPr>
            </w:pPr>
            <w:r>
              <w:rPr>
                <w:rFonts w:cs="Segoe UI"/>
                <w:sz w:val="20"/>
                <w:lang w:eastAsia="en-GB"/>
              </w:rPr>
              <w:t>II</w:t>
            </w:r>
          </w:p>
        </w:tc>
        <w:tc>
          <w:tcPr>
            <w:tcW w:w="1624" w:type="dxa"/>
            <w:tcBorders>
              <w:left w:val="single" w:sz="12" w:space="0" w:color="auto"/>
              <w:bottom w:val="single" w:sz="12" w:space="0" w:color="auto"/>
              <w:right w:val="single" w:sz="12" w:space="0" w:color="auto"/>
            </w:tcBorders>
            <w:shd w:val="clear" w:color="auto" w:fill="auto"/>
          </w:tcPr>
          <w:p w:rsidR="00BF2ECC" w:rsidRPr="00F914B1" w:rsidRDefault="00BF2ECC" w:rsidP="00BF2ECC">
            <w:pPr>
              <w:pStyle w:val="TableText"/>
              <w:spacing w:before="0" w:after="0"/>
              <w:jc w:val="center"/>
              <w:rPr>
                <w:rFonts w:cs="Segoe UI"/>
                <w:sz w:val="20"/>
                <w:lang w:eastAsia="en-GB"/>
              </w:rPr>
            </w:pPr>
            <w:r>
              <w:rPr>
                <w:rFonts w:cs="Segoe UI"/>
                <w:sz w:val="20"/>
                <w:lang w:eastAsia="en-GB"/>
              </w:rPr>
              <w:t>L</w:t>
            </w:r>
          </w:p>
        </w:tc>
        <w:tc>
          <w:tcPr>
            <w:tcW w:w="1244" w:type="dxa"/>
            <w:tcBorders>
              <w:left w:val="single" w:sz="12" w:space="0" w:color="auto"/>
              <w:bottom w:val="single" w:sz="12" w:space="0" w:color="auto"/>
            </w:tcBorders>
            <w:shd w:val="clear" w:color="auto" w:fill="auto"/>
          </w:tcPr>
          <w:p w:rsidR="00BF2ECC" w:rsidRPr="00F914B1" w:rsidRDefault="00BF2ECC" w:rsidP="00BF2ECC">
            <w:pPr>
              <w:pStyle w:val="TableText"/>
              <w:spacing w:before="0" w:after="0"/>
              <w:jc w:val="center"/>
              <w:rPr>
                <w:rFonts w:cs="Segoe UI"/>
                <w:noProof/>
                <w:sz w:val="20"/>
                <w:lang w:eastAsia="en-GB"/>
              </w:rPr>
            </w:pPr>
            <w:r w:rsidRPr="00F914B1">
              <w:rPr>
                <w:rFonts w:cs="Segoe UI"/>
                <w:sz w:val="20"/>
                <w:lang w:eastAsia="en-GB"/>
              </w:rPr>
              <w:sym w:font="Wingdings 2" w:char="F050"/>
            </w:r>
          </w:p>
        </w:tc>
        <w:tc>
          <w:tcPr>
            <w:tcW w:w="1134" w:type="dxa"/>
            <w:tcBorders>
              <w:bottom w:val="single" w:sz="12" w:space="0" w:color="auto"/>
              <w:right w:val="single" w:sz="12" w:space="0" w:color="auto"/>
            </w:tcBorders>
            <w:shd w:val="clear" w:color="auto" w:fill="auto"/>
          </w:tcPr>
          <w:p w:rsidR="00BF2ECC" w:rsidRPr="00F914B1" w:rsidRDefault="00BF2ECC" w:rsidP="00BF2ECC">
            <w:pPr>
              <w:pStyle w:val="TableText"/>
              <w:spacing w:before="0" w:after="0"/>
              <w:jc w:val="center"/>
              <w:rPr>
                <w:rFonts w:cs="Segoe UI"/>
                <w:noProof/>
                <w:sz w:val="20"/>
                <w:lang w:eastAsia="en-GB"/>
              </w:rPr>
            </w:pPr>
          </w:p>
        </w:tc>
        <w:tc>
          <w:tcPr>
            <w:tcW w:w="1134" w:type="dxa"/>
            <w:tcBorders>
              <w:left w:val="single" w:sz="12" w:space="0" w:color="auto"/>
              <w:bottom w:val="single" w:sz="12" w:space="0" w:color="auto"/>
            </w:tcBorders>
            <w:shd w:val="clear" w:color="auto" w:fill="auto"/>
          </w:tcPr>
          <w:p w:rsidR="00BF2ECC" w:rsidRPr="00F914B1" w:rsidRDefault="00BF2ECC" w:rsidP="00BF2ECC">
            <w:pPr>
              <w:pStyle w:val="TableText"/>
              <w:spacing w:before="0" w:after="0"/>
              <w:jc w:val="center"/>
              <w:rPr>
                <w:rFonts w:cs="Segoe UI"/>
                <w:sz w:val="20"/>
                <w:lang w:eastAsia="en-GB"/>
              </w:rPr>
            </w:pPr>
          </w:p>
        </w:tc>
        <w:tc>
          <w:tcPr>
            <w:tcW w:w="1276" w:type="dxa"/>
            <w:tcBorders>
              <w:bottom w:val="single" w:sz="12" w:space="0" w:color="auto"/>
            </w:tcBorders>
            <w:shd w:val="clear" w:color="auto" w:fill="auto"/>
          </w:tcPr>
          <w:p w:rsidR="00BF2ECC" w:rsidRPr="00F914B1" w:rsidRDefault="00BF2ECC" w:rsidP="00BF2ECC">
            <w:pPr>
              <w:pStyle w:val="TableText"/>
              <w:spacing w:before="0" w:after="0"/>
              <w:jc w:val="center"/>
              <w:rPr>
                <w:rFonts w:cs="Segoe UI"/>
                <w:sz w:val="20"/>
                <w:lang w:eastAsia="en-GB"/>
              </w:rPr>
            </w:pPr>
          </w:p>
        </w:tc>
        <w:tc>
          <w:tcPr>
            <w:tcW w:w="1101" w:type="dxa"/>
            <w:tcBorders>
              <w:bottom w:val="single" w:sz="12" w:space="0" w:color="auto"/>
              <w:right w:val="single" w:sz="12" w:space="0" w:color="auto"/>
            </w:tcBorders>
            <w:shd w:val="clear" w:color="auto" w:fill="auto"/>
          </w:tcPr>
          <w:p w:rsidR="00BF2ECC" w:rsidRPr="00F914B1" w:rsidRDefault="00BF2ECC" w:rsidP="00BF2ECC">
            <w:pPr>
              <w:pStyle w:val="TableText"/>
              <w:spacing w:before="0" w:after="0"/>
              <w:jc w:val="center"/>
              <w:rPr>
                <w:rFonts w:cs="Segoe UI"/>
                <w:noProof/>
                <w:sz w:val="20"/>
                <w:lang w:eastAsia="en-GB"/>
              </w:rPr>
            </w:pPr>
            <w:r w:rsidRPr="00F914B1">
              <w:rPr>
                <w:rFonts w:cs="Segoe UI"/>
                <w:sz w:val="20"/>
                <w:lang w:eastAsia="en-GB"/>
              </w:rPr>
              <w:sym w:font="Wingdings 2" w:char="F050"/>
            </w:r>
          </w:p>
        </w:tc>
      </w:tr>
      <w:tr w:rsidR="00CE1D6C" w:rsidTr="009A68E3">
        <w:trPr>
          <w:cantSplit/>
          <w:trHeight w:val="283"/>
        </w:trPr>
        <w:tc>
          <w:tcPr>
            <w:tcW w:w="1843" w:type="dxa"/>
            <w:vMerge w:val="restart"/>
            <w:tcBorders>
              <w:top w:val="single" w:sz="12" w:space="0" w:color="auto"/>
              <w:left w:val="nil"/>
              <w:right w:val="single" w:sz="12" w:space="0" w:color="auto"/>
            </w:tcBorders>
          </w:tcPr>
          <w:p w:rsidR="00CE1D6C" w:rsidRPr="007B3828" w:rsidRDefault="00CE1D6C" w:rsidP="007136E5">
            <w:pPr>
              <w:pStyle w:val="TableText"/>
              <w:spacing w:before="0" w:after="0"/>
              <w:rPr>
                <w:rFonts w:cs="Segoe UI"/>
                <w:sz w:val="20"/>
                <w:lang w:eastAsia="en-GB"/>
              </w:rPr>
            </w:pPr>
            <w:r w:rsidRPr="007B3828">
              <w:rPr>
                <w:rFonts w:cs="Segoe UI"/>
                <w:sz w:val="20"/>
                <w:lang w:eastAsia="en-GB"/>
              </w:rPr>
              <w:t xml:space="preserve">Part IIA : Composition of </w:t>
            </w:r>
            <w:r>
              <w:rPr>
                <w:rFonts w:cs="Segoe UI"/>
                <w:sz w:val="20"/>
                <w:lang w:eastAsia="en-GB"/>
              </w:rPr>
              <w:t xml:space="preserve">regulatory </w:t>
            </w:r>
            <w:r w:rsidRPr="007B3828">
              <w:rPr>
                <w:rFonts w:cs="Segoe UI"/>
                <w:sz w:val="20"/>
                <w:lang w:eastAsia="en-GB"/>
              </w:rPr>
              <w:t>capital</w:t>
            </w:r>
          </w:p>
        </w:tc>
        <w:tc>
          <w:tcPr>
            <w:tcW w:w="4111" w:type="dxa"/>
            <w:tcBorders>
              <w:top w:val="single" w:sz="12" w:space="0" w:color="auto"/>
              <w:left w:val="single" w:sz="12" w:space="0" w:color="auto"/>
              <w:bottom w:val="single" w:sz="4" w:space="0" w:color="auto"/>
              <w:right w:val="single" w:sz="12" w:space="0" w:color="auto"/>
            </w:tcBorders>
            <w:shd w:val="clear" w:color="auto" w:fill="auto"/>
          </w:tcPr>
          <w:p w:rsidR="00CE1D6C" w:rsidRPr="00026A25" w:rsidRDefault="00CE1D6C" w:rsidP="007136E5">
            <w:pPr>
              <w:pStyle w:val="TableText"/>
              <w:spacing w:before="0" w:after="0"/>
              <w:rPr>
                <w:rFonts w:cs="Segoe UI"/>
                <w:sz w:val="20"/>
                <w:lang w:val="en-US" w:eastAsia="en-GB"/>
              </w:rPr>
            </w:pPr>
            <w:r>
              <w:rPr>
                <w:rFonts w:cs="Segoe UI"/>
                <w:sz w:val="20"/>
                <w:lang w:val="en-US" w:eastAsia="en-GB"/>
              </w:rPr>
              <w:t xml:space="preserve">Template </w:t>
            </w:r>
            <w:r w:rsidRPr="00026A25">
              <w:rPr>
                <w:rFonts w:cs="Segoe UI"/>
                <w:sz w:val="20"/>
                <w:lang w:val="en-US" w:eastAsia="en-GB"/>
              </w:rPr>
              <w:t>CC1</w:t>
            </w:r>
            <w:r>
              <w:rPr>
                <w:rFonts w:cs="Segoe UI"/>
                <w:sz w:val="20"/>
                <w:lang w:val="en-US" w:eastAsia="en-GB"/>
              </w:rPr>
              <w:t>:</w:t>
            </w:r>
            <w:r w:rsidRPr="00026A25">
              <w:rPr>
                <w:rFonts w:cs="Segoe UI"/>
                <w:sz w:val="20"/>
                <w:lang w:val="en-US" w:eastAsia="en-GB"/>
              </w:rPr>
              <w:t xml:space="preserve"> Composition of regulatory capital</w:t>
            </w:r>
          </w:p>
        </w:tc>
        <w:tc>
          <w:tcPr>
            <w:tcW w:w="992" w:type="dxa"/>
            <w:tcBorders>
              <w:top w:val="single" w:sz="12" w:space="0" w:color="auto"/>
              <w:left w:val="single" w:sz="12" w:space="0" w:color="auto"/>
              <w:bottom w:val="single" w:sz="4" w:space="0" w:color="auto"/>
              <w:right w:val="single" w:sz="12" w:space="0" w:color="auto"/>
            </w:tcBorders>
          </w:tcPr>
          <w:p w:rsidR="00CE1D6C" w:rsidRDefault="00CE1D6C" w:rsidP="00C639E1">
            <w:pPr>
              <w:pStyle w:val="TableText"/>
              <w:spacing w:before="0" w:after="0"/>
              <w:jc w:val="center"/>
              <w:rPr>
                <w:rFonts w:cs="Segoe UI"/>
                <w:sz w:val="20"/>
                <w:lang w:eastAsia="en-GB"/>
              </w:rPr>
            </w:pPr>
            <w:r>
              <w:rPr>
                <w:rFonts w:cs="Segoe UI"/>
                <w:sz w:val="20"/>
                <w:lang w:eastAsia="en-GB"/>
              </w:rPr>
              <w:t>II</w:t>
            </w:r>
          </w:p>
        </w:tc>
        <w:tc>
          <w:tcPr>
            <w:tcW w:w="1624" w:type="dxa"/>
            <w:tcBorders>
              <w:top w:val="single" w:sz="12" w:space="0" w:color="auto"/>
              <w:left w:val="single" w:sz="12" w:space="0" w:color="auto"/>
              <w:bottom w:val="single" w:sz="4"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Pr>
                <w:rFonts w:cs="Segoe UI"/>
                <w:sz w:val="20"/>
                <w:lang w:eastAsia="en-GB"/>
              </w:rPr>
              <w:t>L</w:t>
            </w:r>
          </w:p>
        </w:tc>
        <w:tc>
          <w:tcPr>
            <w:tcW w:w="1244" w:type="dxa"/>
            <w:tcBorders>
              <w:top w:val="single" w:sz="12" w:space="0" w:color="auto"/>
              <w:left w:val="single" w:sz="12" w:space="0" w:color="auto"/>
              <w:bottom w:val="single" w:sz="4" w:space="0" w:color="auto"/>
            </w:tcBorders>
            <w:shd w:val="clear" w:color="auto" w:fill="auto"/>
          </w:tcPr>
          <w:p w:rsidR="00CE1D6C" w:rsidRPr="00F914B1" w:rsidRDefault="00CE1D6C" w:rsidP="007136E5">
            <w:pPr>
              <w:pStyle w:val="TableText"/>
              <w:spacing w:before="0" w:after="0"/>
              <w:jc w:val="center"/>
              <w:rPr>
                <w:rFonts w:cs="Segoe UI"/>
                <w:noProof/>
                <w:sz w:val="20"/>
                <w:lang w:eastAsia="en-GB"/>
              </w:rPr>
            </w:pPr>
            <w:r w:rsidRPr="00F914B1">
              <w:rPr>
                <w:rFonts w:cs="Segoe UI"/>
                <w:sz w:val="20"/>
                <w:lang w:eastAsia="en-GB"/>
              </w:rPr>
              <w:sym w:font="Wingdings 2" w:char="F050"/>
            </w:r>
          </w:p>
        </w:tc>
        <w:tc>
          <w:tcPr>
            <w:tcW w:w="1134" w:type="dxa"/>
            <w:tcBorders>
              <w:top w:val="single" w:sz="12" w:space="0" w:color="auto"/>
              <w:bottom w:val="single" w:sz="4"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noProof/>
                <w:sz w:val="20"/>
                <w:lang w:eastAsia="en-GB"/>
              </w:rPr>
            </w:pPr>
          </w:p>
        </w:tc>
        <w:tc>
          <w:tcPr>
            <w:tcW w:w="1134" w:type="dxa"/>
            <w:tcBorders>
              <w:top w:val="single" w:sz="12" w:space="0" w:color="auto"/>
              <w:left w:val="single" w:sz="12" w:space="0" w:color="auto"/>
              <w:bottom w:val="single" w:sz="4"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276" w:type="dxa"/>
            <w:tcBorders>
              <w:top w:val="single" w:sz="12" w:space="0" w:color="auto"/>
              <w:bottom w:val="single" w:sz="4" w:space="0" w:color="auto"/>
            </w:tcBorders>
            <w:shd w:val="clear" w:color="auto" w:fill="auto"/>
          </w:tcPr>
          <w:p w:rsidR="00CE1D6C" w:rsidRPr="00F914B1" w:rsidRDefault="00CE1D6C" w:rsidP="007136E5">
            <w:pPr>
              <w:pStyle w:val="TableText"/>
              <w:spacing w:before="0" w:after="0"/>
              <w:jc w:val="center"/>
              <w:rPr>
                <w:rFonts w:cs="Segoe UI"/>
                <w:noProof/>
                <w:sz w:val="20"/>
                <w:lang w:eastAsia="en-GB"/>
              </w:rPr>
            </w:pPr>
            <w:r w:rsidRPr="00F914B1">
              <w:rPr>
                <w:rFonts w:cs="Segoe UI"/>
                <w:sz w:val="20"/>
                <w:lang w:eastAsia="en-GB"/>
              </w:rPr>
              <w:sym w:font="Wingdings 2" w:char="F050"/>
            </w:r>
          </w:p>
        </w:tc>
        <w:tc>
          <w:tcPr>
            <w:tcW w:w="1101" w:type="dxa"/>
            <w:tcBorders>
              <w:top w:val="single" w:sz="12" w:space="0" w:color="auto"/>
              <w:bottom w:val="single" w:sz="4"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r>
      <w:tr w:rsidR="00CE1D6C" w:rsidTr="009A68E3">
        <w:trPr>
          <w:cantSplit/>
          <w:trHeight w:val="283"/>
        </w:trPr>
        <w:tc>
          <w:tcPr>
            <w:tcW w:w="1843" w:type="dxa"/>
            <w:vMerge/>
            <w:tcBorders>
              <w:left w:val="nil"/>
              <w:right w:val="single" w:sz="12" w:space="0" w:color="auto"/>
            </w:tcBorders>
          </w:tcPr>
          <w:p w:rsidR="00CE1D6C" w:rsidRPr="007B3828" w:rsidRDefault="00CE1D6C" w:rsidP="007136E5">
            <w:pPr>
              <w:pStyle w:val="TableText"/>
              <w:spacing w:before="0" w:after="0"/>
              <w:rPr>
                <w:rFonts w:cs="Segoe UI"/>
                <w:sz w:val="20"/>
                <w:lang w:eastAsia="en-GB"/>
              </w:rPr>
            </w:pPr>
          </w:p>
        </w:tc>
        <w:tc>
          <w:tcPr>
            <w:tcW w:w="4111" w:type="dxa"/>
            <w:tcBorders>
              <w:top w:val="single" w:sz="4" w:space="0" w:color="auto"/>
              <w:left w:val="single" w:sz="12" w:space="0" w:color="auto"/>
              <w:bottom w:val="single" w:sz="4" w:space="0" w:color="auto"/>
              <w:right w:val="single" w:sz="12" w:space="0" w:color="auto"/>
            </w:tcBorders>
            <w:shd w:val="clear" w:color="auto" w:fill="auto"/>
          </w:tcPr>
          <w:p w:rsidR="00CE1D6C" w:rsidRPr="00026A25" w:rsidRDefault="00CE1D6C" w:rsidP="007136E5">
            <w:pPr>
              <w:pStyle w:val="TableText"/>
              <w:spacing w:before="0" w:after="0"/>
              <w:rPr>
                <w:rFonts w:cs="Segoe UI"/>
                <w:sz w:val="20"/>
                <w:lang w:val="en-US" w:eastAsia="en-GB"/>
              </w:rPr>
            </w:pPr>
            <w:r>
              <w:rPr>
                <w:rFonts w:cs="Segoe UI"/>
                <w:sz w:val="20"/>
                <w:lang w:eastAsia="en-GB"/>
              </w:rPr>
              <w:t xml:space="preserve">Template CC2: </w:t>
            </w:r>
            <w:r w:rsidRPr="00026A25">
              <w:rPr>
                <w:rFonts w:cs="Segoe UI"/>
                <w:sz w:val="20"/>
                <w:lang w:eastAsia="en-GB"/>
              </w:rPr>
              <w:t>Reconciliation of regulatory capital to balance sheet</w:t>
            </w:r>
          </w:p>
        </w:tc>
        <w:tc>
          <w:tcPr>
            <w:tcW w:w="992" w:type="dxa"/>
            <w:tcBorders>
              <w:top w:val="single" w:sz="4" w:space="0" w:color="auto"/>
              <w:left w:val="single" w:sz="12" w:space="0" w:color="auto"/>
              <w:bottom w:val="single" w:sz="4" w:space="0" w:color="auto"/>
              <w:right w:val="single" w:sz="12" w:space="0" w:color="auto"/>
            </w:tcBorders>
          </w:tcPr>
          <w:p w:rsidR="00CE1D6C" w:rsidRDefault="00CE1D6C" w:rsidP="00C639E1">
            <w:pPr>
              <w:jc w:val="center"/>
            </w:pPr>
            <w:r w:rsidRPr="00A90974">
              <w:rPr>
                <w:rFonts w:cs="Segoe UI"/>
                <w:lang w:eastAsia="en-GB"/>
              </w:rPr>
              <w:t>II</w:t>
            </w:r>
          </w:p>
        </w:tc>
        <w:tc>
          <w:tcPr>
            <w:tcW w:w="1624" w:type="dxa"/>
            <w:tcBorders>
              <w:top w:val="single" w:sz="4" w:space="0" w:color="auto"/>
              <w:left w:val="single" w:sz="12" w:space="0" w:color="auto"/>
              <w:bottom w:val="single" w:sz="4"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Pr>
                <w:rFonts w:cs="Segoe UI"/>
                <w:sz w:val="20"/>
                <w:lang w:eastAsia="en-GB"/>
              </w:rPr>
              <w:t>L</w:t>
            </w:r>
          </w:p>
        </w:tc>
        <w:tc>
          <w:tcPr>
            <w:tcW w:w="1244" w:type="dxa"/>
            <w:tcBorders>
              <w:top w:val="single" w:sz="4" w:space="0" w:color="auto"/>
              <w:left w:val="single" w:sz="12" w:space="0" w:color="auto"/>
              <w:bottom w:val="single" w:sz="4"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134" w:type="dxa"/>
            <w:tcBorders>
              <w:top w:val="single" w:sz="4" w:space="0" w:color="auto"/>
              <w:bottom w:val="single" w:sz="4"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noProof/>
                <w:sz w:val="20"/>
                <w:lang w:eastAsia="en-GB"/>
              </w:rPr>
            </w:pPr>
            <w:r w:rsidRPr="00F914B1">
              <w:rPr>
                <w:rFonts w:cs="Segoe UI"/>
                <w:sz w:val="20"/>
                <w:lang w:eastAsia="en-GB"/>
              </w:rPr>
              <w:sym w:font="Wingdings 2" w:char="F050"/>
            </w:r>
          </w:p>
        </w:tc>
        <w:tc>
          <w:tcPr>
            <w:tcW w:w="1134" w:type="dxa"/>
            <w:tcBorders>
              <w:top w:val="single" w:sz="4" w:space="0" w:color="auto"/>
              <w:left w:val="single" w:sz="12" w:space="0" w:color="auto"/>
              <w:bottom w:val="single" w:sz="4"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276" w:type="dxa"/>
            <w:tcBorders>
              <w:top w:val="single" w:sz="4" w:space="0" w:color="auto"/>
              <w:bottom w:val="single" w:sz="4" w:space="0" w:color="auto"/>
            </w:tcBorders>
            <w:shd w:val="clear" w:color="auto" w:fill="auto"/>
          </w:tcPr>
          <w:p w:rsidR="00CE1D6C" w:rsidRPr="00F914B1" w:rsidRDefault="00CE1D6C" w:rsidP="007136E5">
            <w:pPr>
              <w:pStyle w:val="TableText"/>
              <w:spacing w:before="0" w:after="0"/>
              <w:jc w:val="center"/>
              <w:rPr>
                <w:rFonts w:cs="Segoe UI"/>
                <w:noProof/>
                <w:sz w:val="20"/>
                <w:lang w:eastAsia="en-GB"/>
              </w:rPr>
            </w:pPr>
            <w:r w:rsidRPr="00F914B1">
              <w:rPr>
                <w:rFonts w:cs="Segoe UI"/>
                <w:sz w:val="20"/>
                <w:lang w:eastAsia="en-GB"/>
              </w:rPr>
              <w:sym w:font="Wingdings 2" w:char="F050"/>
            </w:r>
          </w:p>
        </w:tc>
        <w:tc>
          <w:tcPr>
            <w:tcW w:w="1101" w:type="dxa"/>
            <w:tcBorders>
              <w:top w:val="single" w:sz="4" w:space="0" w:color="auto"/>
              <w:bottom w:val="single" w:sz="4"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r>
      <w:tr w:rsidR="00CE1D6C" w:rsidTr="002C3E66">
        <w:trPr>
          <w:cantSplit/>
          <w:trHeight w:val="283"/>
        </w:trPr>
        <w:tc>
          <w:tcPr>
            <w:tcW w:w="1843" w:type="dxa"/>
            <w:vMerge/>
            <w:tcBorders>
              <w:left w:val="nil"/>
              <w:right w:val="single" w:sz="12" w:space="0" w:color="auto"/>
            </w:tcBorders>
          </w:tcPr>
          <w:p w:rsidR="00CE1D6C" w:rsidRPr="007B3828" w:rsidRDefault="00CE1D6C" w:rsidP="007136E5">
            <w:pPr>
              <w:pStyle w:val="TableText"/>
              <w:spacing w:before="0" w:after="0"/>
              <w:rPr>
                <w:rFonts w:cs="Segoe UI"/>
                <w:sz w:val="20"/>
                <w:lang w:eastAsia="en-GB"/>
              </w:rPr>
            </w:pPr>
          </w:p>
        </w:tc>
        <w:tc>
          <w:tcPr>
            <w:tcW w:w="4111" w:type="dxa"/>
            <w:tcBorders>
              <w:top w:val="single" w:sz="4" w:space="0" w:color="auto"/>
              <w:left w:val="single" w:sz="12" w:space="0" w:color="auto"/>
              <w:bottom w:val="single" w:sz="12" w:space="0" w:color="auto"/>
              <w:right w:val="single" w:sz="12" w:space="0" w:color="auto"/>
            </w:tcBorders>
            <w:shd w:val="clear" w:color="auto" w:fill="auto"/>
          </w:tcPr>
          <w:p w:rsidR="00CE1D6C" w:rsidRPr="00026A25" w:rsidRDefault="00CE1D6C" w:rsidP="007136E5">
            <w:pPr>
              <w:pStyle w:val="TableText"/>
              <w:spacing w:before="0" w:after="0"/>
              <w:rPr>
                <w:rFonts w:cs="Segoe UI"/>
                <w:sz w:val="20"/>
                <w:lang w:val="en-US" w:eastAsia="en-GB"/>
              </w:rPr>
            </w:pPr>
            <w:r>
              <w:rPr>
                <w:rFonts w:cs="Segoe UI"/>
                <w:sz w:val="20"/>
                <w:lang w:eastAsia="en-GB"/>
              </w:rPr>
              <w:t xml:space="preserve">Table </w:t>
            </w:r>
            <w:r w:rsidRPr="00026A25">
              <w:rPr>
                <w:rFonts w:cs="Segoe UI"/>
                <w:sz w:val="20"/>
                <w:lang w:eastAsia="en-GB"/>
              </w:rPr>
              <w:t>CCA</w:t>
            </w:r>
            <w:r>
              <w:rPr>
                <w:rFonts w:cs="Segoe UI"/>
                <w:sz w:val="20"/>
                <w:lang w:eastAsia="en-GB"/>
              </w:rPr>
              <w:t>:</w:t>
            </w:r>
            <w:r w:rsidRPr="00026A25">
              <w:rPr>
                <w:rFonts w:cs="Segoe UI"/>
                <w:sz w:val="20"/>
                <w:lang w:eastAsia="en-GB"/>
              </w:rPr>
              <w:t xml:space="preserve"> Main features of regulatory capital instruments </w:t>
            </w:r>
          </w:p>
        </w:tc>
        <w:tc>
          <w:tcPr>
            <w:tcW w:w="992" w:type="dxa"/>
            <w:tcBorders>
              <w:top w:val="single" w:sz="4" w:space="0" w:color="auto"/>
              <w:left w:val="single" w:sz="12" w:space="0" w:color="auto"/>
              <w:bottom w:val="single" w:sz="12" w:space="0" w:color="auto"/>
              <w:right w:val="single" w:sz="12" w:space="0" w:color="auto"/>
            </w:tcBorders>
          </w:tcPr>
          <w:p w:rsidR="00CE1D6C" w:rsidRDefault="00CE1D6C" w:rsidP="00C639E1">
            <w:pPr>
              <w:jc w:val="center"/>
            </w:pPr>
            <w:r w:rsidRPr="00A90974">
              <w:rPr>
                <w:rFonts w:cs="Segoe UI"/>
                <w:lang w:eastAsia="en-GB"/>
              </w:rPr>
              <w:t>II</w:t>
            </w:r>
          </w:p>
        </w:tc>
        <w:tc>
          <w:tcPr>
            <w:tcW w:w="1624" w:type="dxa"/>
            <w:tcBorders>
              <w:top w:val="single" w:sz="4" w:space="0" w:color="auto"/>
              <w:left w:val="single" w:sz="12" w:space="0" w:color="auto"/>
              <w:bottom w:val="single" w:sz="12"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Pr>
                <w:rFonts w:cs="Segoe UI"/>
                <w:sz w:val="20"/>
                <w:lang w:eastAsia="en-GB"/>
              </w:rPr>
              <w:t>L</w:t>
            </w:r>
          </w:p>
        </w:tc>
        <w:tc>
          <w:tcPr>
            <w:tcW w:w="1244" w:type="dxa"/>
            <w:tcBorders>
              <w:top w:val="single" w:sz="4" w:space="0" w:color="auto"/>
              <w:left w:val="single" w:sz="12" w:space="0" w:color="auto"/>
              <w:bottom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134" w:type="dxa"/>
            <w:tcBorders>
              <w:top w:val="single" w:sz="4" w:space="0" w:color="auto"/>
              <w:bottom w:val="single" w:sz="12"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noProof/>
                <w:sz w:val="20"/>
                <w:lang w:eastAsia="en-GB"/>
              </w:rPr>
            </w:pPr>
            <w:r w:rsidRPr="00F914B1">
              <w:rPr>
                <w:rFonts w:cs="Segoe UI"/>
                <w:sz w:val="20"/>
                <w:lang w:eastAsia="en-GB"/>
              </w:rPr>
              <w:sym w:font="Wingdings 2" w:char="F050"/>
            </w:r>
          </w:p>
        </w:tc>
        <w:tc>
          <w:tcPr>
            <w:tcW w:w="1134" w:type="dxa"/>
            <w:tcBorders>
              <w:top w:val="single" w:sz="4" w:space="0" w:color="auto"/>
              <w:left w:val="single" w:sz="12" w:space="0" w:color="auto"/>
              <w:bottom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276" w:type="dxa"/>
            <w:tcBorders>
              <w:top w:val="single" w:sz="4" w:space="0" w:color="auto"/>
              <w:bottom w:val="single" w:sz="12" w:space="0" w:color="auto"/>
            </w:tcBorders>
            <w:shd w:val="clear" w:color="auto" w:fill="auto"/>
          </w:tcPr>
          <w:p w:rsidR="00CE1D6C" w:rsidRPr="00F914B1" w:rsidRDefault="00CE1D6C" w:rsidP="007136E5">
            <w:pPr>
              <w:pStyle w:val="TableText"/>
              <w:spacing w:before="0" w:after="0"/>
              <w:jc w:val="center"/>
              <w:rPr>
                <w:rFonts w:cs="Segoe UI"/>
                <w:noProof/>
                <w:sz w:val="20"/>
                <w:lang w:eastAsia="en-GB"/>
              </w:rPr>
            </w:pPr>
            <w:r w:rsidRPr="00F914B1">
              <w:rPr>
                <w:rFonts w:cs="Segoe UI"/>
                <w:sz w:val="20"/>
                <w:lang w:eastAsia="en-GB"/>
              </w:rPr>
              <w:sym w:font="Wingdings 2" w:char="F050"/>
            </w:r>
          </w:p>
        </w:tc>
        <w:tc>
          <w:tcPr>
            <w:tcW w:w="1101" w:type="dxa"/>
            <w:tcBorders>
              <w:top w:val="single" w:sz="4" w:space="0" w:color="auto"/>
              <w:bottom w:val="single" w:sz="12"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r>
      <w:tr w:rsidR="00CE1D6C" w:rsidTr="002C3E66">
        <w:trPr>
          <w:cantSplit/>
          <w:trHeight w:val="283"/>
        </w:trPr>
        <w:tc>
          <w:tcPr>
            <w:tcW w:w="1843" w:type="dxa"/>
            <w:vMerge w:val="restart"/>
            <w:tcBorders>
              <w:top w:val="single" w:sz="12" w:space="0" w:color="auto"/>
              <w:left w:val="nil"/>
              <w:right w:val="single" w:sz="12" w:space="0" w:color="auto"/>
            </w:tcBorders>
          </w:tcPr>
          <w:p w:rsidR="00CE1D6C" w:rsidRPr="007B3828" w:rsidRDefault="00CE1D6C" w:rsidP="007136E5">
            <w:pPr>
              <w:pStyle w:val="TableText"/>
              <w:spacing w:before="0" w:after="0"/>
              <w:rPr>
                <w:rFonts w:cs="Segoe UI"/>
                <w:sz w:val="20"/>
                <w:lang w:eastAsia="en-GB"/>
              </w:rPr>
            </w:pPr>
            <w:r w:rsidRPr="007B3828">
              <w:rPr>
                <w:rFonts w:cs="Segoe UI"/>
                <w:sz w:val="20"/>
                <w:lang w:eastAsia="en-GB"/>
              </w:rPr>
              <w:t xml:space="preserve">Part IIB : </w:t>
            </w:r>
            <w:proofErr w:type="spellStart"/>
            <w:r w:rsidRPr="007B3828">
              <w:rPr>
                <w:rFonts w:cs="Segoe UI"/>
                <w:sz w:val="20"/>
                <w:lang w:eastAsia="en-GB"/>
              </w:rPr>
              <w:t>Macroprudential</w:t>
            </w:r>
            <w:proofErr w:type="spellEnd"/>
            <w:r w:rsidRPr="007B3828">
              <w:rPr>
                <w:rFonts w:cs="Segoe UI"/>
                <w:sz w:val="20"/>
                <w:lang w:eastAsia="en-GB"/>
              </w:rPr>
              <w:t xml:space="preserve"> supervisory measures</w:t>
            </w:r>
          </w:p>
        </w:tc>
        <w:tc>
          <w:tcPr>
            <w:tcW w:w="4111" w:type="dxa"/>
            <w:tcBorders>
              <w:top w:val="single" w:sz="12" w:space="0" w:color="auto"/>
              <w:left w:val="single" w:sz="12" w:space="0" w:color="auto"/>
              <w:bottom w:val="single" w:sz="8" w:space="0" w:color="000000"/>
              <w:right w:val="single" w:sz="12" w:space="0" w:color="auto"/>
            </w:tcBorders>
            <w:shd w:val="clear" w:color="auto" w:fill="auto"/>
          </w:tcPr>
          <w:p w:rsidR="00CE1D6C" w:rsidRPr="00746660" w:rsidRDefault="00CE1D6C" w:rsidP="007136E5">
            <w:pPr>
              <w:pStyle w:val="TableText"/>
              <w:spacing w:before="0" w:after="0"/>
              <w:rPr>
                <w:rFonts w:cs="Segoe UI"/>
                <w:noProof/>
                <w:sz w:val="20"/>
                <w:lang w:val="en-US" w:eastAsia="en-GB"/>
              </w:rPr>
            </w:pPr>
            <w:r w:rsidRPr="00F914B1">
              <w:rPr>
                <w:rFonts w:cs="Segoe UI"/>
                <w:sz w:val="20"/>
                <w:lang w:eastAsia="en-GB"/>
              </w:rPr>
              <w:t xml:space="preserve">Template </w:t>
            </w:r>
            <w:r w:rsidRPr="00746660">
              <w:rPr>
                <w:rFonts w:cs="Segoe UI"/>
                <w:sz w:val="20"/>
                <w:lang w:eastAsia="en-GB"/>
              </w:rPr>
              <w:t>GSIB1</w:t>
            </w:r>
            <w:r>
              <w:rPr>
                <w:rFonts w:cs="Segoe UI"/>
                <w:sz w:val="20"/>
                <w:lang w:eastAsia="en-GB"/>
              </w:rPr>
              <w:t>:</w:t>
            </w:r>
            <w:r w:rsidRPr="00746660">
              <w:rPr>
                <w:rFonts w:cs="Segoe UI"/>
                <w:sz w:val="20"/>
                <w:lang w:eastAsia="en-GB"/>
              </w:rPr>
              <w:t xml:space="preserve"> G-SIB indicators</w:t>
            </w:r>
          </w:p>
        </w:tc>
        <w:tc>
          <w:tcPr>
            <w:tcW w:w="992" w:type="dxa"/>
            <w:tcBorders>
              <w:top w:val="single" w:sz="12" w:space="0" w:color="auto"/>
              <w:left w:val="single" w:sz="12" w:space="0" w:color="auto"/>
              <w:bottom w:val="single" w:sz="8" w:space="0" w:color="000000"/>
              <w:right w:val="single" w:sz="12" w:space="0" w:color="auto"/>
            </w:tcBorders>
          </w:tcPr>
          <w:p w:rsidR="00CE1D6C" w:rsidRDefault="00CE1D6C" w:rsidP="00C639E1">
            <w:pPr>
              <w:jc w:val="center"/>
            </w:pPr>
            <w:r w:rsidRPr="00A90974">
              <w:rPr>
                <w:rFonts w:cs="Segoe UI"/>
                <w:lang w:eastAsia="en-GB"/>
              </w:rPr>
              <w:t>II</w:t>
            </w:r>
          </w:p>
        </w:tc>
        <w:tc>
          <w:tcPr>
            <w:tcW w:w="1624" w:type="dxa"/>
            <w:tcBorders>
              <w:top w:val="single" w:sz="12" w:space="0" w:color="auto"/>
              <w:left w:val="single" w:sz="12" w:space="0" w:color="auto"/>
              <w:bottom w:val="single" w:sz="8" w:space="0" w:color="000000"/>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Pr>
                <w:rFonts w:cs="Segoe UI"/>
                <w:sz w:val="20"/>
                <w:lang w:eastAsia="en-GB"/>
              </w:rPr>
              <w:t xml:space="preserve">L [G-SIBs, or AIs falling within BDR </w:t>
            </w:r>
            <w:r w:rsidRPr="001B530B">
              <w:rPr>
                <w:rFonts w:cs="Segoe UI"/>
                <w:sz w:val="20"/>
                <w:lang w:eastAsia="en-GB"/>
              </w:rPr>
              <w:t>§16FF(1)</w:t>
            </w:r>
            <w:r>
              <w:rPr>
                <w:rFonts w:cs="Segoe UI"/>
                <w:sz w:val="20"/>
                <w:lang w:eastAsia="en-GB"/>
              </w:rPr>
              <w:t>]</w:t>
            </w:r>
          </w:p>
        </w:tc>
        <w:tc>
          <w:tcPr>
            <w:tcW w:w="1244" w:type="dxa"/>
            <w:tcBorders>
              <w:top w:val="single" w:sz="12" w:space="0" w:color="auto"/>
              <w:left w:val="single" w:sz="12" w:space="0" w:color="auto"/>
              <w:bottom w:val="single" w:sz="8" w:space="0" w:color="000000"/>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134" w:type="dxa"/>
            <w:tcBorders>
              <w:top w:val="single" w:sz="12" w:space="0" w:color="auto"/>
              <w:bottom w:val="single" w:sz="8" w:space="0" w:color="000000"/>
              <w:right w:val="single" w:sz="12" w:space="0" w:color="auto"/>
            </w:tcBorders>
            <w:shd w:val="clear" w:color="auto" w:fill="auto"/>
          </w:tcPr>
          <w:p w:rsidR="00CE1D6C" w:rsidRPr="00F914B1" w:rsidRDefault="00CE1D6C" w:rsidP="007136E5">
            <w:pPr>
              <w:pStyle w:val="TableText"/>
              <w:spacing w:before="0" w:after="0"/>
              <w:jc w:val="center"/>
              <w:rPr>
                <w:rFonts w:cs="Segoe UI"/>
                <w:noProof/>
                <w:sz w:val="20"/>
                <w:lang w:eastAsia="en-GB"/>
              </w:rPr>
            </w:pPr>
            <w:r w:rsidRPr="00F914B1">
              <w:rPr>
                <w:rFonts w:cs="Segoe UI"/>
                <w:sz w:val="20"/>
                <w:lang w:eastAsia="en-GB"/>
              </w:rPr>
              <w:sym w:font="Wingdings 2" w:char="F050"/>
            </w:r>
          </w:p>
        </w:tc>
        <w:tc>
          <w:tcPr>
            <w:tcW w:w="1134" w:type="dxa"/>
            <w:tcBorders>
              <w:top w:val="single" w:sz="12" w:space="0" w:color="auto"/>
              <w:left w:val="single" w:sz="12" w:space="0" w:color="auto"/>
              <w:bottom w:val="single" w:sz="8" w:space="0" w:color="000000"/>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276" w:type="dxa"/>
            <w:tcBorders>
              <w:top w:val="single" w:sz="12" w:space="0" w:color="auto"/>
              <w:bottom w:val="single" w:sz="8" w:space="0" w:color="000000"/>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101" w:type="dxa"/>
            <w:tcBorders>
              <w:top w:val="single" w:sz="12" w:space="0" w:color="auto"/>
              <w:bottom w:val="single" w:sz="8" w:space="0" w:color="000000"/>
              <w:right w:val="single" w:sz="12" w:space="0" w:color="auto"/>
            </w:tcBorders>
            <w:shd w:val="clear" w:color="auto" w:fill="auto"/>
          </w:tcPr>
          <w:p w:rsidR="00CE1D6C" w:rsidRPr="00F914B1" w:rsidRDefault="00CE1D6C" w:rsidP="007136E5">
            <w:pPr>
              <w:pStyle w:val="TableText"/>
              <w:spacing w:before="0" w:after="0"/>
              <w:jc w:val="center"/>
              <w:rPr>
                <w:rFonts w:cs="Segoe UI"/>
                <w:noProof/>
                <w:sz w:val="20"/>
                <w:lang w:eastAsia="en-GB"/>
              </w:rPr>
            </w:pPr>
            <w:r w:rsidRPr="00F914B1">
              <w:rPr>
                <w:rFonts w:cs="Segoe UI"/>
                <w:sz w:val="20"/>
                <w:lang w:eastAsia="en-GB"/>
              </w:rPr>
              <w:sym w:font="Wingdings 2" w:char="F050"/>
            </w:r>
          </w:p>
        </w:tc>
      </w:tr>
      <w:tr w:rsidR="00CE1D6C" w:rsidTr="002C3E66">
        <w:trPr>
          <w:cantSplit/>
          <w:trHeight w:val="283"/>
        </w:trPr>
        <w:tc>
          <w:tcPr>
            <w:tcW w:w="1843" w:type="dxa"/>
            <w:vMerge/>
            <w:tcBorders>
              <w:left w:val="nil"/>
              <w:right w:val="single" w:sz="12" w:space="0" w:color="auto"/>
            </w:tcBorders>
          </w:tcPr>
          <w:p w:rsidR="00CE1D6C" w:rsidRPr="00F914B1" w:rsidRDefault="00CE1D6C" w:rsidP="007136E5">
            <w:pPr>
              <w:pStyle w:val="TableText"/>
              <w:spacing w:before="0" w:after="0"/>
              <w:rPr>
                <w:rFonts w:cs="Segoe UI"/>
                <w:sz w:val="20"/>
                <w:lang w:eastAsia="en-GB"/>
              </w:rPr>
            </w:pPr>
          </w:p>
        </w:tc>
        <w:tc>
          <w:tcPr>
            <w:tcW w:w="4111" w:type="dxa"/>
            <w:tcBorders>
              <w:top w:val="single" w:sz="8" w:space="0" w:color="000000"/>
              <w:left w:val="single" w:sz="12" w:space="0" w:color="auto"/>
              <w:bottom w:val="single" w:sz="12" w:space="0" w:color="auto"/>
              <w:right w:val="single" w:sz="12" w:space="0" w:color="auto"/>
            </w:tcBorders>
            <w:shd w:val="clear" w:color="auto" w:fill="auto"/>
          </w:tcPr>
          <w:p w:rsidR="00CE1D6C" w:rsidRPr="00F914B1" w:rsidRDefault="00CE1D6C" w:rsidP="007136E5">
            <w:pPr>
              <w:pStyle w:val="TableText"/>
              <w:spacing w:before="0" w:after="0"/>
              <w:rPr>
                <w:rFonts w:cs="Segoe UI"/>
                <w:noProof/>
                <w:sz w:val="20"/>
                <w:lang w:eastAsia="en-GB"/>
              </w:rPr>
            </w:pPr>
            <w:r w:rsidRPr="00F914B1">
              <w:rPr>
                <w:rFonts w:cs="Segoe UI"/>
                <w:sz w:val="20"/>
                <w:lang w:eastAsia="en-GB"/>
              </w:rPr>
              <w:t xml:space="preserve">Template </w:t>
            </w:r>
            <w:r w:rsidRPr="00746660">
              <w:rPr>
                <w:rFonts w:cs="Segoe UI"/>
                <w:sz w:val="20"/>
                <w:lang w:eastAsia="en-GB"/>
              </w:rPr>
              <w:t>CCyB1</w:t>
            </w:r>
            <w:r>
              <w:rPr>
                <w:rFonts w:cs="Segoe UI"/>
                <w:sz w:val="20"/>
                <w:lang w:eastAsia="en-GB"/>
              </w:rPr>
              <w:t>:</w:t>
            </w:r>
            <w:r w:rsidRPr="00746660">
              <w:rPr>
                <w:rFonts w:cs="Segoe UI"/>
                <w:sz w:val="20"/>
                <w:lang w:eastAsia="en-GB"/>
              </w:rPr>
              <w:t xml:space="preserve"> Geographical distribution</w:t>
            </w:r>
            <w:r>
              <w:rPr>
                <w:rFonts w:cs="Segoe UI"/>
                <w:sz w:val="20"/>
                <w:lang w:eastAsia="en-GB"/>
              </w:rPr>
              <w:t xml:space="preserve"> of credit exposures used in</w:t>
            </w:r>
            <w:r w:rsidRPr="00746660">
              <w:rPr>
                <w:rFonts w:cs="Segoe UI"/>
                <w:sz w:val="20"/>
                <w:lang w:eastAsia="en-GB"/>
              </w:rPr>
              <w:t xml:space="preserve"> countercyclical</w:t>
            </w:r>
            <w:r>
              <w:rPr>
                <w:rFonts w:cs="Segoe UI"/>
                <w:sz w:val="20"/>
                <w:lang w:eastAsia="en-GB"/>
              </w:rPr>
              <w:t xml:space="preserve"> capital</w:t>
            </w:r>
            <w:r w:rsidRPr="00746660">
              <w:rPr>
                <w:rFonts w:cs="Segoe UI"/>
                <w:sz w:val="20"/>
                <w:lang w:eastAsia="en-GB"/>
              </w:rPr>
              <w:t xml:space="preserve"> buffer</w:t>
            </w:r>
          </w:p>
        </w:tc>
        <w:tc>
          <w:tcPr>
            <w:tcW w:w="992" w:type="dxa"/>
            <w:tcBorders>
              <w:top w:val="single" w:sz="8" w:space="0" w:color="000000"/>
              <w:left w:val="single" w:sz="12" w:space="0" w:color="auto"/>
              <w:bottom w:val="single" w:sz="12" w:space="0" w:color="auto"/>
              <w:right w:val="single" w:sz="12" w:space="0" w:color="auto"/>
            </w:tcBorders>
          </w:tcPr>
          <w:p w:rsidR="00CE1D6C" w:rsidRDefault="00CE1D6C" w:rsidP="00C639E1">
            <w:pPr>
              <w:jc w:val="center"/>
            </w:pPr>
            <w:r w:rsidRPr="00A90974">
              <w:rPr>
                <w:rFonts w:cs="Segoe UI"/>
                <w:lang w:eastAsia="en-GB"/>
              </w:rPr>
              <w:t>II</w:t>
            </w:r>
          </w:p>
        </w:tc>
        <w:tc>
          <w:tcPr>
            <w:tcW w:w="1624" w:type="dxa"/>
            <w:tcBorders>
              <w:top w:val="single" w:sz="8" w:space="0" w:color="000000"/>
              <w:left w:val="single" w:sz="12" w:space="0" w:color="auto"/>
              <w:bottom w:val="single" w:sz="12"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noProof/>
                <w:sz w:val="20"/>
                <w:lang w:eastAsia="en-GB"/>
              </w:rPr>
            </w:pPr>
            <w:r>
              <w:rPr>
                <w:rFonts w:cs="Segoe UI"/>
                <w:noProof/>
                <w:sz w:val="20"/>
                <w:lang w:eastAsia="en-GB"/>
              </w:rPr>
              <w:t>L</w:t>
            </w:r>
          </w:p>
        </w:tc>
        <w:tc>
          <w:tcPr>
            <w:tcW w:w="1244" w:type="dxa"/>
            <w:tcBorders>
              <w:top w:val="single" w:sz="8" w:space="0" w:color="000000"/>
              <w:left w:val="single" w:sz="12" w:space="0" w:color="auto"/>
              <w:bottom w:val="single" w:sz="12" w:space="0" w:color="auto"/>
            </w:tcBorders>
            <w:shd w:val="clear" w:color="auto" w:fill="auto"/>
          </w:tcPr>
          <w:p w:rsidR="00CE1D6C" w:rsidRPr="00F914B1" w:rsidRDefault="00CE1D6C" w:rsidP="007136E5">
            <w:pPr>
              <w:pStyle w:val="TableText"/>
              <w:spacing w:before="0" w:after="0"/>
              <w:jc w:val="center"/>
              <w:rPr>
                <w:rFonts w:cs="Segoe UI"/>
                <w:noProof/>
                <w:sz w:val="20"/>
                <w:lang w:eastAsia="en-GB"/>
              </w:rPr>
            </w:pPr>
          </w:p>
        </w:tc>
        <w:tc>
          <w:tcPr>
            <w:tcW w:w="1134" w:type="dxa"/>
            <w:tcBorders>
              <w:top w:val="single" w:sz="8" w:space="0" w:color="000000"/>
              <w:bottom w:val="single" w:sz="12"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sidRPr="00F914B1">
              <w:rPr>
                <w:rFonts w:cs="Segoe UI"/>
                <w:sz w:val="20"/>
                <w:lang w:eastAsia="en-GB"/>
              </w:rPr>
              <w:sym w:font="Wingdings 2" w:char="F050"/>
            </w:r>
          </w:p>
        </w:tc>
        <w:tc>
          <w:tcPr>
            <w:tcW w:w="1134" w:type="dxa"/>
            <w:tcBorders>
              <w:top w:val="single" w:sz="8" w:space="0" w:color="000000"/>
              <w:left w:val="single" w:sz="12" w:space="0" w:color="auto"/>
              <w:bottom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276" w:type="dxa"/>
            <w:tcBorders>
              <w:top w:val="single" w:sz="8" w:space="0" w:color="000000"/>
              <w:bottom w:val="single" w:sz="12" w:space="0" w:color="auto"/>
            </w:tcBorders>
            <w:shd w:val="clear" w:color="auto" w:fill="auto"/>
          </w:tcPr>
          <w:p w:rsidR="00CE1D6C" w:rsidRPr="00F914B1" w:rsidRDefault="00CE1D6C" w:rsidP="007136E5">
            <w:pPr>
              <w:pStyle w:val="TableText"/>
              <w:spacing w:before="0" w:after="0"/>
              <w:jc w:val="center"/>
              <w:rPr>
                <w:rFonts w:cs="Segoe UI"/>
                <w:noProof/>
                <w:sz w:val="20"/>
                <w:lang w:eastAsia="en-GB"/>
              </w:rPr>
            </w:pPr>
            <w:r w:rsidRPr="00F914B1">
              <w:rPr>
                <w:rFonts w:cs="Segoe UI"/>
                <w:sz w:val="20"/>
                <w:lang w:eastAsia="en-GB"/>
              </w:rPr>
              <w:sym w:font="Wingdings 2" w:char="F050"/>
            </w:r>
          </w:p>
        </w:tc>
        <w:tc>
          <w:tcPr>
            <w:tcW w:w="1101" w:type="dxa"/>
            <w:tcBorders>
              <w:top w:val="single" w:sz="8" w:space="0" w:color="000000"/>
              <w:bottom w:val="single" w:sz="12"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noProof/>
                <w:sz w:val="20"/>
                <w:lang w:eastAsia="en-GB"/>
              </w:rPr>
            </w:pPr>
          </w:p>
        </w:tc>
      </w:tr>
      <w:tr w:rsidR="00CE1D6C" w:rsidTr="009A68E3">
        <w:trPr>
          <w:cantSplit/>
          <w:trHeight w:val="283"/>
        </w:trPr>
        <w:tc>
          <w:tcPr>
            <w:tcW w:w="1843" w:type="dxa"/>
            <w:vMerge w:val="restart"/>
            <w:tcBorders>
              <w:top w:val="single" w:sz="12" w:space="0" w:color="auto"/>
              <w:left w:val="nil"/>
              <w:right w:val="single" w:sz="12" w:space="0" w:color="auto"/>
            </w:tcBorders>
          </w:tcPr>
          <w:p w:rsidR="00CE1D6C" w:rsidRPr="007B3828" w:rsidRDefault="00CE1D6C" w:rsidP="007136E5">
            <w:pPr>
              <w:pStyle w:val="TableText"/>
              <w:spacing w:before="0" w:after="0"/>
              <w:rPr>
                <w:rFonts w:cs="Segoe UI"/>
                <w:sz w:val="20"/>
                <w:lang w:eastAsia="en-GB"/>
              </w:rPr>
            </w:pPr>
            <w:r w:rsidRPr="007B3828">
              <w:rPr>
                <w:rFonts w:cs="Segoe UI"/>
                <w:sz w:val="20"/>
                <w:lang w:eastAsia="en-GB"/>
              </w:rPr>
              <w:t>Part IIC : Leverage ratio</w:t>
            </w:r>
          </w:p>
        </w:tc>
        <w:tc>
          <w:tcPr>
            <w:tcW w:w="4111" w:type="dxa"/>
            <w:tcBorders>
              <w:top w:val="single" w:sz="12" w:space="0" w:color="auto"/>
              <w:left w:val="single" w:sz="12" w:space="0" w:color="auto"/>
              <w:bottom w:val="single" w:sz="4" w:space="0" w:color="auto"/>
              <w:right w:val="single" w:sz="12" w:space="0" w:color="auto"/>
            </w:tcBorders>
            <w:shd w:val="clear" w:color="auto" w:fill="8EAADB" w:themeFill="accent5" w:themeFillTint="99"/>
          </w:tcPr>
          <w:p w:rsidR="00CE1D6C" w:rsidRPr="00F914B1" w:rsidRDefault="00CE1D6C" w:rsidP="007136E5">
            <w:pPr>
              <w:pStyle w:val="TableText"/>
              <w:spacing w:before="0" w:after="0"/>
              <w:rPr>
                <w:rFonts w:cs="Segoe UI"/>
                <w:noProof/>
                <w:sz w:val="20"/>
                <w:lang w:eastAsia="en-GB"/>
              </w:rPr>
            </w:pPr>
            <w:r>
              <w:rPr>
                <w:rFonts w:cs="Segoe UI"/>
                <w:sz w:val="20"/>
                <w:lang w:eastAsia="en-GB"/>
              </w:rPr>
              <w:t xml:space="preserve">Template </w:t>
            </w:r>
            <w:r w:rsidRPr="00811FD5">
              <w:rPr>
                <w:rFonts w:cs="Segoe UI"/>
                <w:sz w:val="20"/>
                <w:lang w:eastAsia="en-GB"/>
              </w:rPr>
              <w:t>LR1</w:t>
            </w:r>
            <w:r>
              <w:rPr>
                <w:rFonts w:cs="Segoe UI"/>
                <w:sz w:val="20"/>
                <w:lang w:eastAsia="en-GB"/>
              </w:rPr>
              <w:t>:</w:t>
            </w:r>
            <w:r w:rsidRPr="00811FD5">
              <w:rPr>
                <w:rFonts w:cs="Segoe UI"/>
                <w:sz w:val="20"/>
                <w:lang w:eastAsia="en-GB"/>
              </w:rPr>
              <w:t xml:space="preserve"> Summary c</w:t>
            </w:r>
            <w:r>
              <w:rPr>
                <w:rFonts w:cs="Segoe UI"/>
                <w:sz w:val="20"/>
                <w:lang w:eastAsia="en-GB"/>
              </w:rPr>
              <w:t>omparison of accounting assets against</w:t>
            </w:r>
            <w:r w:rsidRPr="00811FD5">
              <w:rPr>
                <w:rFonts w:cs="Segoe UI"/>
                <w:sz w:val="20"/>
                <w:lang w:eastAsia="en-GB"/>
              </w:rPr>
              <w:t xml:space="preserve"> leverage ratio exposure measure</w:t>
            </w:r>
            <w:r w:rsidRPr="006E592F">
              <w:rPr>
                <w:rFonts w:cs="Segoe UI"/>
                <w:sz w:val="20"/>
                <w:lang w:eastAsia="en-GB"/>
              </w:rPr>
              <w:t xml:space="preserve"> </w:t>
            </w:r>
          </w:p>
        </w:tc>
        <w:tc>
          <w:tcPr>
            <w:tcW w:w="992" w:type="dxa"/>
            <w:tcBorders>
              <w:top w:val="single" w:sz="12" w:space="0" w:color="auto"/>
              <w:left w:val="single" w:sz="12" w:space="0" w:color="auto"/>
              <w:bottom w:val="single" w:sz="4" w:space="0" w:color="auto"/>
              <w:right w:val="single" w:sz="12" w:space="0" w:color="auto"/>
            </w:tcBorders>
          </w:tcPr>
          <w:p w:rsidR="00CE1D6C" w:rsidRDefault="00CE1D6C" w:rsidP="00C639E1">
            <w:pPr>
              <w:jc w:val="center"/>
            </w:pPr>
            <w:r w:rsidRPr="00A90974">
              <w:rPr>
                <w:rFonts w:cs="Segoe UI"/>
                <w:lang w:eastAsia="en-GB"/>
              </w:rPr>
              <w:t>II</w:t>
            </w:r>
          </w:p>
        </w:tc>
        <w:tc>
          <w:tcPr>
            <w:tcW w:w="1624" w:type="dxa"/>
            <w:tcBorders>
              <w:top w:val="single" w:sz="12" w:space="0" w:color="auto"/>
              <w:left w:val="single" w:sz="12" w:space="0" w:color="auto"/>
              <w:bottom w:val="single" w:sz="4"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Pr>
                <w:rFonts w:cs="Segoe UI"/>
                <w:sz w:val="20"/>
                <w:lang w:eastAsia="en-GB"/>
              </w:rPr>
              <w:t>L</w:t>
            </w:r>
          </w:p>
        </w:tc>
        <w:tc>
          <w:tcPr>
            <w:tcW w:w="1244" w:type="dxa"/>
            <w:tcBorders>
              <w:top w:val="single" w:sz="12" w:space="0" w:color="auto"/>
              <w:left w:val="single" w:sz="12" w:space="0" w:color="auto"/>
              <w:bottom w:val="single" w:sz="4"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sidRPr="00F914B1">
              <w:rPr>
                <w:rFonts w:cs="Segoe UI"/>
                <w:sz w:val="20"/>
                <w:lang w:eastAsia="en-GB"/>
              </w:rPr>
              <w:sym w:font="Wingdings 2" w:char="F050"/>
            </w:r>
            <w:r>
              <w:rPr>
                <w:rFonts w:cs="Segoe UI"/>
                <w:sz w:val="20"/>
                <w:lang w:eastAsia="en-GB"/>
              </w:rPr>
              <w:t xml:space="preserve"> </w:t>
            </w:r>
          </w:p>
        </w:tc>
        <w:tc>
          <w:tcPr>
            <w:tcW w:w="1134" w:type="dxa"/>
            <w:tcBorders>
              <w:top w:val="single" w:sz="12" w:space="0" w:color="auto"/>
              <w:bottom w:val="single" w:sz="4"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noProof/>
                <w:sz w:val="20"/>
                <w:lang w:eastAsia="en-GB"/>
              </w:rPr>
            </w:pPr>
          </w:p>
        </w:tc>
        <w:tc>
          <w:tcPr>
            <w:tcW w:w="1134" w:type="dxa"/>
            <w:tcBorders>
              <w:top w:val="single" w:sz="12" w:space="0" w:color="auto"/>
              <w:left w:val="single" w:sz="12" w:space="0" w:color="auto"/>
              <w:bottom w:val="single" w:sz="4"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276" w:type="dxa"/>
            <w:tcBorders>
              <w:top w:val="single" w:sz="12" w:space="0" w:color="auto"/>
              <w:bottom w:val="single" w:sz="4"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sidRPr="00F914B1">
              <w:rPr>
                <w:rFonts w:cs="Segoe UI"/>
                <w:sz w:val="20"/>
                <w:lang w:eastAsia="en-GB"/>
              </w:rPr>
              <w:sym w:font="Wingdings 2" w:char="F050"/>
            </w:r>
          </w:p>
        </w:tc>
        <w:tc>
          <w:tcPr>
            <w:tcW w:w="1101" w:type="dxa"/>
            <w:tcBorders>
              <w:top w:val="single" w:sz="12" w:space="0" w:color="auto"/>
              <w:bottom w:val="single" w:sz="4"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noProof/>
                <w:sz w:val="20"/>
                <w:lang w:eastAsia="en-GB"/>
              </w:rPr>
            </w:pPr>
          </w:p>
        </w:tc>
      </w:tr>
      <w:tr w:rsidR="00CE1D6C" w:rsidTr="009A68E3">
        <w:trPr>
          <w:cantSplit/>
          <w:trHeight w:val="283"/>
        </w:trPr>
        <w:tc>
          <w:tcPr>
            <w:tcW w:w="1843" w:type="dxa"/>
            <w:vMerge/>
            <w:tcBorders>
              <w:left w:val="nil"/>
              <w:right w:val="single" w:sz="12" w:space="0" w:color="auto"/>
            </w:tcBorders>
          </w:tcPr>
          <w:p w:rsidR="00CE1D6C" w:rsidRPr="007B3828" w:rsidRDefault="00CE1D6C" w:rsidP="007136E5">
            <w:pPr>
              <w:pStyle w:val="TableText"/>
              <w:spacing w:before="0" w:after="0"/>
              <w:rPr>
                <w:rFonts w:cs="Segoe UI"/>
                <w:sz w:val="20"/>
                <w:lang w:eastAsia="en-GB"/>
              </w:rPr>
            </w:pPr>
          </w:p>
        </w:tc>
        <w:tc>
          <w:tcPr>
            <w:tcW w:w="4111" w:type="dxa"/>
            <w:tcBorders>
              <w:top w:val="single" w:sz="4" w:space="0" w:color="auto"/>
              <w:left w:val="single" w:sz="12" w:space="0" w:color="auto"/>
              <w:bottom w:val="single" w:sz="12" w:space="0" w:color="auto"/>
              <w:right w:val="single" w:sz="12" w:space="0" w:color="auto"/>
            </w:tcBorders>
            <w:shd w:val="clear" w:color="auto" w:fill="8EAADB" w:themeFill="accent5" w:themeFillTint="99"/>
          </w:tcPr>
          <w:p w:rsidR="00CE1D6C" w:rsidRPr="00F914B1" w:rsidRDefault="00CE1D6C" w:rsidP="007136E5">
            <w:pPr>
              <w:pStyle w:val="TableText"/>
              <w:spacing w:before="0" w:after="0"/>
              <w:rPr>
                <w:rFonts w:cs="Segoe UI"/>
                <w:noProof/>
                <w:sz w:val="20"/>
                <w:lang w:eastAsia="en-GB"/>
              </w:rPr>
            </w:pPr>
            <w:r w:rsidRPr="00F914B1">
              <w:rPr>
                <w:rFonts w:cs="Segoe UI"/>
                <w:sz w:val="20"/>
                <w:lang w:eastAsia="en-GB"/>
              </w:rPr>
              <w:t xml:space="preserve">Template </w:t>
            </w:r>
            <w:r w:rsidRPr="00811FD5">
              <w:rPr>
                <w:rFonts w:cs="Segoe UI"/>
                <w:sz w:val="20"/>
                <w:lang w:eastAsia="en-GB"/>
              </w:rPr>
              <w:t>LR2</w:t>
            </w:r>
            <w:r>
              <w:rPr>
                <w:rFonts w:cs="Segoe UI"/>
                <w:sz w:val="20"/>
                <w:lang w:eastAsia="en-GB"/>
              </w:rPr>
              <w:t>:</w:t>
            </w:r>
            <w:r w:rsidRPr="00811FD5">
              <w:rPr>
                <w:rFonts w:cs="Segoe UI"/>
                <w:sz w:val="20"/>
                <w:lang w:eastAsia="en-GB"/>
              </w:rPr>
              <w:t xml:space="preserve"> Leverage ratio</w:t>
            </w:r>
            <w:r w:rsidRPr="006E592F">
              <w:rPr>
                <w:rFonts w:cs="Segoe UI"/>
                <w:sz w:val="20"/>
                <w:lang w:eastAsia="en-GB"/>
              </w:rPr>
              <w:t xml:space="preserve"> </w:t>
            </w:r>
          </w:p>
        </w:tc>
        <w:tc>
          <w:tcPr>
            <w:tcW w:w="992" w:type="dxa"/>
            <w:tcBorders>
              <w:top w:val="single" w:sz="4" w:space="0" w:color="auto"/>
              <w:left w:val="single" w:sz="12" w:space="0" w:color="auto"/>
              <w:bottom w:val="single" w:sz="12" w:space="0" w:color="auto"/>
              <w:right w:val="single" w:sz="12" w:space="0" w:color="auto"/>
            </w:tcBorders>
          </w:tcPr>
          <w:p w:rsidR="00CE1D6C" w:rsidRDefault="00CE1D6C" w:rsidP="00C639E1">
            <w:pPr>
              <w:jc w:val="center"/>
            </w:pPr>
            <w:r w:rsidRPr="00A90974">
              <w:rPr>
                <w:rFonts w:cs="Segoe UI"/>
                <w:lang w:eastAsia="en-GB"/>
              </w:rPr>
              <w:t>II</w:t>
            </w:r>
          </w:p>
        </w:tc>
        <w:tc>
          <w:tcPr>
            <w:tcW w:w="1624" w:type="dxa"/>
            <w:tcBorders>
              <w:top w:val="single" w:sz="4" w:space="0" w:color="auto"/>
              <w:left w:val="single" w:sz="12" w:space="0" w:color="auto"/>
              <w:bottom w:val="single" w:sz="12"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noProof/>
                <w:sz w:val="20"/>
                <w:lang w:eastAsia="en-GB"/>
              </w:rPr>
            </w:pPr>
            <w:r>
              <w:rPr>
                <w:rFonts w:cs="Segoe UI"/>
                <w:noProof/>
                <w:sz w:val="20"/>
                <w:lang w:eastAsia="en-GB"/>
              </w:rPr>
              <w:t>L</w:t>
            </w:r>
          </w:p>
        </w:tc>
        <w:tc>
          <w:tcPr>
            <w:tcW w:w="1244" w:type="dxa"/>
            <w:tcBorders>
              <w:top w:val="single" w:sz="4" w:space="0" w:color="auto"/>
              <w:left w:val="single" w:sz="12" w:space="0" w:color="auto"/>
              <w:bottom w:val="single" w:sz="12" w:space="0" w:color="auto"/>
            </w:tcBorders>
            <w:shd w:val="clear" w:color="auto" w:fill="auto"/>
          </w:tcPr>
          <w:p w:rsidR="00CE1D6C" w:rsidRPr="00F914B1" w:rsidRDefault="00CE1D6C" w:rsidP="007136E5">
            <w:pPr>
              <w:pStyle w:val="TableText"/>
              <w:spacing w:before="0" w:after="0"/>
              <w:jc w:val="center"/>
              <w:rPr>
                <w:rFonts w:cs="Segoe UI"/>
                <w:noProof/>
                <w:sz w:val="20"/>
                <w:lang w:eastAsia="en-GB"/>
              </w:rPr>
            </w:pPr>
            <w:r w:rsidRPr="00F914B1">
              <w:rPr>
                <w:rFonts w:cs="Segoe UI"/>
                <w:sz w:val="20"/>
                <w:lang w:eastAsia="en-GB"/>
              </w:rPr>
              <w:sym w:font="Wingdings 2" w:char="F050"/>
            </w:r>
          </w:p>
        </w:tc>
        <w:tc>
          <w:tcPr>
            <w:tcW w:w="1134" w:type="dxa"/>
            <w:tcBorders>
              <w:top w:val="single" w:sz="4" w:space="0" w:color="auto"/>
              <w:bottom w:val="single" w:sz="12"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134" w:type="dxa"/>
            <w:tcBorders>
              <w:top w:val="single" w:sz="4" w:space="0" w:color="auto"/>
              <w:left w:val="single" w:sz="12" w:space="0" w:color="auto"/>
              <w:bottom w:val="single" w:sz="12" w:space="0" w:color="auto"/>
            </w:tcBorders>
            <w:shd w:val="clear" w:color="auto" w:fill="auto"/>
          </w:tcPr>
          <w:p w:rsidR="00CE1D6C" w:rsidRPr="00F914B1" w:rsidRDefault="00CE1D6C" w:rsidP="007136E5">
            <w:pPr>
              <w:pStyle w:val="TableText"/>
              <w:spacing w:before="0" w:after="0"/>
              <w:jc w:val="center"/>
              <w:rPr>
                <w:rFonts w:cs="Segoe UI"/>
                <w:noProof/>
                <w:sz w:val="20"/>
                <w:lang w:eastAsia="en-GB"/>
              </w:rPr>
            </w:pPr>
            <w:r w:rsidRPr="00F914B1">
              <w:rPr>
                <w:rFonts w:cs="Segoe UI"/>
                <w:sz w:val="20"/>
                <w:lang w:eastAsia="en-GB"/>
              </w:rPr>
              <w:sym w:font="Wingdings 2" w:char="F050"/>
            </w:r>
          </w:p>
        </w:tc>
        <w:tc>
          <w:tcPr>
            <w:tcW w:w="1276" w:type="dxa"/>
            <w:tcBorders>
              <w:top w:val="single" w:sz="4" w:space="0" w:color="auto"/>
              <w:bottom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101" w:type="dxa"/>
            <w:tcBorders>
              <w:top w:val="single" w:sz="4" w:space="0" w:color="auto"/>
              <w:bottom w:val="single" w:sz="12"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r>
      <w:tr w:rsidR="00CE1D6C" w:rsidTr="009A68E3">
        <w:trPr>
          <w:cantSplit/>
          <w:trHeight w:val="283"/>
        </w:trPr>
        <w:tc>
          <w:tcPr>
            <w:tcW w:w="1843" w:type="dxa"/>
            <w:vMerge w:val="restart"/>
            <w:tcBorders>
              <w:top w:val="single" w:sz="12" w:space="0" w:color="auto"/>
              <w:left w:val="nil"/>
              <w:right w:val="single" w:sz="12" w:space="0" w:color="auto"/>
            </w:tcBorders>
          </w:tcPr>
          <w:p w:rsidR="00CE1D6C" w:rsidRPr="007B3828" w:rsidRDefault="00CE1D6C" w:rsidP="007136E5">
            <w:pPr>
              <w:pStyle w:val="TableText"/>
              <w:spacing w:before="0" w:after="0"/>
              <w:rPr>
                <w:rFonts w:cs="Segoe UI"/>
                <w:sz w:val="20"/>
                <w:lang w:eastAsia="en-GB"/>
              </w:rPr>
            </w:pPr>
            <w:r w:rsidRPr="007B3828">
              <w:rPr>
                <w:rFonts w:cs="Segoe UI"/>
                <w:sz w:val="20"/>
                <w:lang w:eastAsia="en-GB"/>
              </w:rPr>
              <w:lastRenderedPageBreak/>
              <w:t>Part IID : Liquidity</w:t>
            </w:r>
          </w:p>
        </w:tc>
        <w:tc>
          <w:tcPr>
            <w:tcW w:w="4111" w:type="dxa"/>
            <w:tcBorders>
              <w:top w:val="single" w:sz="12" w:space="0" w:color="auto"/>
              <w:left w:val="single" w:sz="12" w:space="0" w:color="auto"/>
              <w:bottom w:val="single" w:sz="4" w:space="0" w:color="auto"/>
              <w:right w:val="single" w:sz="12" w:space="0" w:color="auto"/>
            </w:tcBorders>
            <w:shd w:val="clear" w:color="auto" w:fill="auto"/>
          </w:tcPr>
          <w:p w:rsidR="00CE1D6C" w:rsidRPr="00F914B1" w:rsidRDefault="00CE1D6C" w:rsidP="007136E5">
            <w:pPr>
              <w:pStyle w:val="TableText"/>
              <w:spacing w:before="0" w:after="0"/>
              <w:rPr>
                <w:rFonts w:cs="Segoe UI"/>
                <w:sz w:val="20"/>
                <w:lang w:eastAsia="en-GB"/>
              </w:rPr>
            </w:pPr>
            <w:r w:rsidRPr="00F914B1">
              <w:rPr>
                <w:rFonts w:cs="Segoe UI"/>
                <w:sz w:val="20"/>
                <w:lang w:eastAsia="en-GB"/>
              </w:rPr>
              <w:t xml:space="preserve">Table </w:t>
            </w:r>
            <w:r w:rsidRPr="001E177B">
              <w:rPr>
                <w:rFonts w:cs="Segoe UI"/>
                <w:sz w:val="20"/>
                <w:lang w:eastAsia="en-GB"/>
              </w:rPr>
              <w:t>LIQA</w:t>
            </w:r>
            <w:r>
              <w:rPr>
                <w:rFonts w:cs="Segoe UI"/>
                <w:sz w:val="20"/>
                <w:lang w:eastAsia="en-GB"/>
              </w:rPr>
              <w:t>:</w:t>
            </w:r>
            <w:r w:rsidRPr="001E177B">
              <w:rPr>
                <w:rFonts w:cs="Segoe UI"/>
                <w:sz w:val="20"/>
                <w:lang w:eastAsia="en-GB"/>
              </w:rPr>
              <w:t xml:space="preserve"> Liquidity risk management</w:t>
            </w:r>
          </w:p>
        </w:tc>
        <w:tc>
          <w:tcPr>
            <w:tcW w:w="992" w:type="dxa"/>
            <w:tcBorders>
              <w:top w:val="single" w:sz="12" w:space="0" w:color="auto"/>
              <w:left w:val="single" w:sz="12" w:space="0" w:color="auto"/>
              <w:bottom w:val="single" w:sz="4" w:space="0" w:color="auto"/>
              <w:right w:val="single" w:sz="12" w:space="0" w:color="auto"/>
            </w:tcBorders>
          </w:tcPr>
          <w:p w:rsidR="00CE1D6C" w:rsidRDefault="00CE1D6C" w:rsidP="00C639E1">
            <w:pPr>
              <w:jc w:val="center"/>
            </w:pPr>
            <w:r w:rsidRPr="00A90974">
              <w:rPr>
                <w:rFonts w:cs="Segoe UI"/>
                <w:lang w:eastAsia="en-GB"/>
              </w:rPr>
              <w:t>II</w:t>
            </w:r>
          </w:p>
        </w:tc>
        <w:tc>
          <w:tcPr>
            <w:tcW w:w="1624" w:type="dxa"/>
            <w:tcBorders>
              <w:top w:val="single" w:sz="12" w:space="0" w:color="auto"/>
              <w:left w:val="single" w:sz="12" w:space="0" w:color="auto"/>
              <w:bottom w:val="single" w:sz="4"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Pr>
                <w:rFonts w:cs="Segoe UI"/>
                <w:sz w:val="20"/>
                <w:lang w:eastAsia="en-GB"/>
              </w:rPr>
              <w:t>L &amp; O</w:t>
            </w:r>
          </w:p>
        </w:tc>
        <w:tc>
          <w:tcPr>
            <w:tcW w:w="1244" w:type="dxa"/>
            <w:tcBorders>
              <w:top w:val="single" w:sz="12" w:space="0" w:color="auto"/>
              <w:left w:val="single" w:sz="12" w:space="0" w:color="auto"/>
              <w:bottom w:val="single" w:sz="4"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134" w:type="dxa"/>
            <w:tcBorders>
              <w:top w:val="single" w:sz="12" w:space="0" w:color="auto"/>
              <w:bottom w:val="single" w:sz="4"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sidRPr="00F914B1">
              <w:rPr>
                <w:rFonts w:cs="Segoe UI"/>
                <w:sz w:val="20"/>
                <w:lang w:eastAsia="en-GB"/>
              </w:rPr>
              <w:sym w:font="Wingdings 2" w:char="F050"/>
            </w:r>
          </w:p>
        </w:tc>
        <w:tc>
          <w:tcPr>
            <w:tcW w:w="1134" w:type="dxa"/>
            <w:tcBorders>
              <w:top w:val="single" w:sz="12" w:space="0" w:color="auto"/>
              <w:left w:val="single" w:sz="12" w:space="0" w:color="auto"/>
              <w:bottom w:val="single" w:sz="4"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276" w:type="dxa"/>
            <w:tcBorders>
              <w:top w:val="single" w:sz="12" w:space="0" w:color="auto"/>
              <w:bottom w:val="single" w:sz="4"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101" w:type="dxa"/>
            <w:tcBorders>
              <w:top w:val="single" w:sz="12" w:space="0" w:color="auto"/>
              <w:bottom w:val="single" w:sz="4"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sidRPr="00F914B1">
              <w:rPr>
                <w:rFonts w:cs="Segoe UI"/>
                <w:sz w:val="20"/>
                <w:lang w:eastAsia="en-GB"/>
              </w:rPr>
              <w:sym w:font="Wingdings 2" w:char="F050"/>
            </w:r>
          </w:p>
        </w:tc>
      </w:tr>
      <w:tr w:rsidR="00CE1D6C" w:rsidTr="009A68E3">
        <w:trPr>
          <w:cantSplit/>
          <w:trHeight w:val="283"/>
        </w:trPr>
        <w:tc>
          <w:tcPr>
            <w:tcW w:w="1843" w:type="dxa"/>
            <w:vMerge/>
            <w:tcBorders>
              <w:left w:val="nil"/>
              <w:right w:val="single" w:sz="12" w:space="0" w:color="auto"/>
            </w:tcBorders>
          </w:tcPr>
          <w:p w:rsidR="00CE1D6C" w:rsidRPr="00F914B1" w:rsidRDefault="00CE1D6C" w:rsidP="007136E5">
            <w:pPr>
              <w:pStyle w:val="TableText"/>
              <w:spacing w:before="0" w:after="0"/>
              <w:rPr>
                <w:rFonts w:cs="Segoe UI"/>
                <w:sz w:val="20"/>
                <w:lang w:eastAsia="en-GB"/>
              </w:rPr>
            </w:pPr>
          </w:p>
        </w:tc>
        <w:tc>
          <w:tcPr>
            <w:tcW w:w="4111" w:type="dxa"/>
            <w:tcBorders>
              <w:top w:val="single" w:sz="4" w:space="0" w:color="auto"/>
              <w:left w:val="single" w:sz="12" w:space="0" w:color="auto"/>
              <w:bottom w:val="single" w:sz="4" w:space="0" w:color="auto"/>
              <w:right w:val="single" w:sz="12" w:space="0" w:color="auto"/>
            </w:tcBorders>
            <w:shd w:val="clear" w:color="auto" w:fill="auto"/>
          </w:tcPr>
          <w:p w:rsidR="00CE1D6C" w:rsidRPr="00F914B1" w:rsidRDefault="00CE1D6C" w:rsidP="007136E5">
            <w:pPr>
              <w:pStyle w:val="TableText"/>
              <w:spacing w:before="0" w:after="0"/>
              <w:rPr>
                <w:rFonts w:cs="Segoe UI"/>
                <w:sz w:val="20"/>
                <w:lang w:eastAsia="en-GB"/>
              </w:rPr>
            </w:pPr>
            <w:r w:rsidRPr="00F914B1">
              <w:rPr>
                <w:rFonts w:cs="Segoe UI"/>
                <w:sz w:val="20"/>
                <w:lang w:eastAsia="en-GB"/>
              </w:rPr>
              <w:t xml:space="preserve">Template </w:t>
            </w:r>
            <w:r w:rsidRPr="001E177B">
              <w:rPr>
                <w:rFonts w:cs="Segoe UI"/>
                <w:sz w:val="20"/>
                <w:lang w:eastAsia="en-GB"/>
              </w:rPr>
              <w:t>LIQ1</w:t>
            </w:r>
            <w:r>
              <w:rPr>
                <w:rFonts w:cs="Segoe UI"/>
                <w:sz w:val="20"/>
                <w:lang w:eastAsia="en-GB"/>
              </w:rPr>
              <w:t xml:space="preserve">: </w:t>
            </w:r>
            <w:r w:rsidRPr="001E5BFF">
              <w:rPr>
                <w:rFonts w:cs="Segoe UI"/>
                <w:sz w:val="20"/>
                <w:lang w:eastAsia="en-GB"/>
              </w:rPr>
              <w:t>Liquidity Coverage Ratio – for category 1 institution</w:t>
            </w:r>
          </w:p>
        </w:tc>
        <w:tc>
          <w:tcPr>
            <w:tcW w:w="992" w:type="dxa"/>
            <w:tcBorders>
              <w:top w:val="single" w:sz="4" w:space="0" w:color="auto"/>
              <w:left w:val="single" w:sz="12" w:space="0" w:color="auto"/>
              <w:bottom w:val="single" w:sz="4" w:space="0" w:color="auto"/>
              <w:right w:val="single" w:sz="12" w:space="0" w:color="auto"/>
            </w:tcBorders>
          </w:tcPr>
          <w:p w:rsidR="00CE1D6C" w:rsidRDefault="00CE1D6C" w:rsidP="00C639E1">
            <w:pPr>
              <w:jc w:val="center"/>
            </w:pPr>
            <w:r w:rsidRPr="00A90974">
              <w:rPr>
                <w:rFonts w:cs="Segoe UI"/>
                <w:lang w:eastAsia="en-GB"/>
              </w:rPr>
              <w:t>II</w:t>
            </w:r>
          </w:p>
        </w:tc>
        <w:tc>
          <w:tcPr>
            <w:tcW w:w="1624" w:type="dxa"/>
            <w:tcBorders>
              <w:top w:val="single" w:sz="4" w:space="0" w:color="auto"/>
              <w:left w:val="single" w:sz="12" w:space="0" w:color="auto"/>
              <w:bottom w:val="single" w:sz="4"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Pr>
                <w:rFonts w:cs="Segoe UI"/>
                <w:sz w:val="20"/>
                <w:lang w:eastAsia="en-GB"/>
              </w:rPr>
              <w:t>L &amp; O [</w:t>
            </w:r>
            <w:r w:rsidRPr="00074D82">
              <w:rPr>
                <w:rFonts w:cs="Segoe UI"/>
                <w:sz w:val="20"/>
                <w:lang w:eastAsia="en-GB"/>
              </w:rPr>
              <w:t>designated as category 1 institution</w:t>
            </w:r>
            <w:r>
              <w:rPr>
                <w:rFonts w:cs="Segoe UI"/>
                <w:sz w:val="20"/>
                <w:lang w:eastAsia="en-GB"/>
              </w:rPr>
              <w:t>]</w:t>
            </w:r>
          </w:p>
        </w:tc>
        <w:tc>
          <w:tcPr>
            <w:tcW w:w="1244" w:type="dxa"/>
            <w:tcBorders>
              <w:top w:val="single" w:sz="4" w:space="0" w:color="auto"/>
              <w:left w:val="single" w:sz="12" w:space="0" w:color="auto"/>
              <w:bottom w:val="single" w:sz="4"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sidRPr="00F914B1">
              <w:rPr>
                <w:rFonts w:cs="Segoe UI"/>
                <w:sz w:val="20"/>
                <w:lang w:eastAsia="en-GB"/>
              </w:rPr>
              <w:sym w:font="Wingdings 2" w:char="F050"/>
            </w:r>
          </w:p>
        </w:tc>
        <w:tc>
          <w:tcPr>
            <w:tcW w:w="1134" w:type="dxa"/>
            <w:tcBorders>
              <w:top w:val="single" w:sz="4" w:space="0" w:color="auto"/>
              <w:bottom w:val="single" w:sz="4"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134" w:type="dxa"/>
            <w:tcBorders>
              <w:top w:val="single" w:sz="4" w:space="0" w:color="auto"/>
              <w:left w:val="single" w:sz="12" w:space="0" w:color="auto"/>
              <w:bottom w:val="single" w:sz="4"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sidRPr="00F914B1">
              <w:rPr>
                <w:rFonts w:cs="Segoe UI"/>
                <w:sz w:val="20"/>
                <w:lang w:eastAsia="en-GB"/>
              </w:rPr>
              <w:sym w:font="Wingdings 2" w:char="F050"/>
            </w:r>
          </w:p>
        </w:tc>
        <w:tc>
          <w:tcPr>
            <w:tcW w:w="1276" w:type="dxa"/>
            <w:tcBorders>
              <w:top w:val="single" w:sz="4" w:space="0" w:color="auto"/>
              <w:bottom w:val="single" w:sz="4" w:space="0" w:color="auto"/>
            </w:tcBorders>
            <w:shd w:val="clear" w:color="auto" w:fill="auto"/>
          </w:tcPr>
          <w:p w:rsidR="00CE1D6C" w:rsidRPr="00F914B1" w:rsidRDefault="00CE1D6C" w:rsidP="007136E5">
            <w:pPr>
              <w:pStyle w:val="TableText"/>
              <w:rPr>
                <w:rFonts w:cs="Segoe UI"/>
                <w:sz w:val="20"/>
                <w:lang w:eastAsia="en-GB"/>
              </w:rPr>
            </w:pPr>
          </w:p>
        </w:tc>
        <w:tc>
          <w:tcPr>
            <w:tcW w:w="1101" w:type="dxa"/>
            <w:tcBorders>
              <w:top w:val="single" w:sz="4" w:space="0" w:color="auto"/>
              <w:bottom w:val="single" w:sz="4"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r>
      <w:tr w:rsidR="00CE1D6C" w:rsidTr="009A68E3">
        <w:trPr>
          <w:cantSplit/>
          <w:trHeight w:val="283"/>
        </w:trPr>
        <w:tc>
          <w:tcPr>
            <w:tcW w:w="1843" w:type="dxa"/>
            <w:vMerge/>
            <w:tcBorders>
              <w:left w:val="nil"/>
              <w:right w:val="single" w:sz="12" w:space="0" w:color="auto"/>
            </w:tcBorders>
          </w:tcPr>
          <w:p w:rsidR="00CE1D6C" w:rsidRPr="00F914B1" w:rsidRDefault="00CE1D6C" w:rsidP="007136E5">
            <w:pPr>
              <w:pStyle w:val="TableText"/>
              <w:spacing w:before="0" w:after="0"/>
              <w:rPr>
                <w:rFonts w:cs="Segoe UI"/>
                <w:sz w:val="20"/>
                <w:lang w:eastAsia="en-GB"/>
              </w:rPr>
            </w:pPr>
          </w:p>
        </w:tc>
        <w:tc>
          <w:tcPr>
            <w:tcW w:w="4111" w:type="dxa"/>
            <w:tcBorders>
              <w:top w:val="single" w:sz="4" w:space="0" w:color="auto"/>
              <w:left w:val="single" w:sz="12" w:space="0" w:color="auto"/>
              <w:bottom w:val="single" w:sz="12" w:space="0" w:color="auto"/>
              <w:right w:val="single" w:sz="12" w:space="0" w:color="auto"/>
            </w:tcBorders>
            <w:shd w:val="clear" w:color="auto" w:fill="8EAADB" w:themeFill="accent5" w:themeFillTint="99"/>
          </w:tcPr>
          <w:p w:rsidR="00CE1D6C" w:rsidRPr="00F914B1" w:rsidRDefault="00CE1D6C" w:rsidP="007136E5">
            <w:pPr>
              <w:pStyle w:val="TableText"/>
              <w:spacing w:before="0" w:after="0"/>
              <w:rPr>
                <w:rFonts w:cs="Segoe UI"/>
                <w:sz w:val="20"/>
                <w:lang w:eastAsia="en-GB"/>
              </w:rPr>
            </w:pPr>
            <w:r w:rsidRPr="00F914B1">
              <w:rPr>
                <w:rFonts w:cs="Segoe UI"/>
                <w:sz w:val="20"/>
                <w:lang w:eastAsia="en-GB"/>
              </w:rPr>
              <w:t xml:space="preserve">Template </w:t>
            </w:r>
            <w:r w:rsidRPr="001E177B">
              <w:rPr>
                <w:rFonts w:cs="Segoe UI"/>
                <w:sz w:val="20"/>
                <w:lang w:eastAsia="en-GB"/>
              </w:rPr>
              <w:t>LIQ2</w:t>
            </w:r>
            <w:r>
              <w:rPr>
                <w:rFonts w:cs="Segoe UI"/>
                <w:sz w:val="20"/>
                <w:lang w:eastAsia="en-GB"/>
              </w:rPr>
              <w:t>: Net Stable Funding Ratio</w:t>
            </w:r>
            <w:r w:rsidRPr="00D17F5E">
              <w:rPr>
                <w:rFonts w:cs="Segoe UI"/>
                <w:sz w:val="20"/>
                <w:lang w:eastAsia="en-GB"/>
              </w:rPr>
              <w:t xml:space="preserve"> – for category 1 institution</w:t>
            </w:r>
            <w:r w:rsidRPr="006E592F">
              <w:rPr>
                <w:rFonts w:cs="Segoe UI"/>
                <w:sz w:val="20"/>
                <w:lang w:eastAsia="en-GB"/>
              </w:rPr>
              <w:t xml:space="preserve"> </w:t>
            </w:r>
          </w:p>
        </w:tc>
        <w:tc>
          <w:tcPr>
            <w:tcW w:w="992" w:type="dxa"/>
            <w:tcBorders>
              <w:top w:val="single" w:sz="4" w:space="0" w:color="auto"/>
              <w:left w:val="single" w:sz="12" w:space="0" w:color="auto"/>
              <w:right w:val="single" w:sz="12" w:space="0" w:color="auto"/>
            </w:tcBorders>
          </w:tcPr>
          <w:p w:rsidR="00CE1D6C" w:rsidRDefault="00CE1D6C" w:rsidP="00C639E1">
            <w:pPr>
              <w:jc w:val="center"/>
            </w:pPr>
            <w:r w:rsidRPr="002B3F1B">
              <w:rPr>
                <w:rFonts w:cs="Segoe UI"/>
                <w:lang w:eastAsia="en-GB"/>
              </w:rPr>
              <w:t>II</w:t>
            </w:r>
          </w:p>
        </w:tc>
        <w:tc>
          <w:tcPr>
            <w:tcW w:w="1624" w:type="dxa"/>
            <w:tcBorders>
              <w:top w:val="single" w:sz="4" w:space="0" w:color="auto"/>
              <w:left w:val="single" w:sz="12"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Pr>
                <w:rFonts w:cs="Segoe UI"/>
                <w:sz w:val="20"/>
                <w:lang w:eastAsia="en-GB"/>
              </w:rPr>
              <w:t>L &amp; O</w:t>
            </w:r>
            <w:r w:rsidRPr="00074D82">
              <w:rPr>
                <w:rFonts w:cs="Segoe UI"/>
                <w:sz w:val="20"/>
                <w:lang w:eastAsia="en-GB"/>
              </w:rPr>
              <w:t xml:space="preserve"> </w:t>
            </w:r>
            <w:r>
              <w:rPr>
                <w:rFonts w:cs="Segoe UI"/>
                <w:sz w:val="20"/>
                <w:lang w:eastAsia="en-GB"/>
              </w:rPr>
              <w:t>[</w:t>
            </w:r>
            <w:r w:rsidRPr="00074D82">
              <w:rPr>
                <w:rFonts w:cs="Segoe UI"/>
                <w:sz w:val="20"/>
                <w:lang w:eastAsia="en-GB"/>
              </w:rPr>
              <w:t>designated as category 1 institution</w:t>
            </w:r>
            <w:r>
              <w:rPr>
                <w:rFonts w:cs="Segoe UI"/>
                <w:sz w:val="20"/>
                <w:lang w:eastAsia="en-GB"/>
              </w:rPr>
              <w:t>]</w:t>
            </w:r>
          </w:p>
        </w:tc>
        <w:tc>
          <w:tcPr>
            <w:tcW w:w="1244" w:type="dxa"/>
            <w:tcBorders>
              <w:top w:val="single" w:sz="4" w:space="0" w:color="auto"/>
              <w:lef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sidRPr="00F914B1">
              <w:rPr>
                <w:rFonts w:cs="Segoe UI"/>
                <w:sz w:val="20"/>
                <w:lang w:eastAsia="en-GB"/>
              </w:rPr>
              <w:sym w:font="Wingdings 2" w:char="F050"/>
            </w:r>
          </w:p>
        </w:tc>
        <w:tc>
          <w:tcPr>
            <w:tcW w:w="1134" w:type="dxa"/>
            <w:tcBorders>
              <w:top w:val="single" w:sz="4"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134" w:type="dxa"/>
            <w:tcBorders>
              <w:top w:val="single" w:sz="4" w:space="0" w:color="auto"/>
              <w:lef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276" w:type="dxa"/>
            <w:tcBorders>
              <w:top w:val="single" w:sz="4"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sidRPr="00F914B1">
              <w:rPr>
                <w:rFonts w:cs="Segoe UI"/>
                <w:sz w:val="20"/>
                <w:lang w:eastAsia="en-GB"/>
              </w:rPr>
              <w:sym w:font="Wingdings 2" w:char="F050"/>
            </w:r>
          </w:p>
        </w:tc>
        <w:tc>
          <w:tcPr>
            <w:tcW w:w="1101" w:type="dxa"/>
            <w:tcBorders>
              <w:top w:val="single" w:sz="4"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r>
      <w:tr w:rsidR="00C639E1" w:rsidTr="000D2B04">
        <w:trPr>
          <w:cantSplit/>
          <w:trHeight w:val="283"/>
        </w:trPr>
        <w:tc>
          <w:tcPr>
            <w:tcW w:w="1843" w:type="dxa"/>
            <w:vMerge w:val="restart"/>
            <w:tcBorders>
              <w:top w:val="single" w:sz="12" w:space="0" w:color="auto"/>
              <w:left w:val="nil"/>
              <w:right w:val="single" w:sz="12" w:space="0" w:color="auto"/>
            </w:tcBorders>
          </w:tcPr>
          <w:p w:rsidR="00C639E1" w:rsidRDefault="00C639E1" w:rsidP="00C639E1">
            <w:pPr>
              <w:pStyle w:val="TableText"/>
              <w:spacing w:before="0" w:after="0"/>
              <w:rPr>
                <w:rFonts w:cs="Segoe UI"/>
                <w:sz w:val="20"/>
                <w:lang w:eastAsia="en-GB"/>
              </w:rPr>
            </w:pPr>
            <w:r>
              <w:rPr>
                <w:rFonts w:cs="Segoe UI"/>
                <w:sz w:val="20"/>
                <w:lang w:eastAsia="en-GB"/>
              </w:rPr>
              <w:t>Part III : Credit risk for non-securitization exposures</w:t>
            </w:r>
          </w:p>
        </w:tc>
        <w:tc>
          <w:tcPr>
            <w:tcW w:w="4111" w:type="dxa"/>
            <w:tcBorders>
              <w:top w:val="single" w:sz="12" w:space="0" w:color="auto"/>
              <w:left w:val="single" w:sz="12" w:space="0" w:color="auto"/>
              <w:right w:val="single" w:sz="12" w:space="0" w:color="auto"/>
            </w:tcBorders>
            <w:shd w:val="clear" w:color="auto" w:fill="auto"/>
          </w:tcPr>
          <w:p w:rsidR="00C639E1" w:rsidRDefault="00C639E1" w:rsidP="00C639E1">
            <w:pPr>
              <w:pStyle w:val="TableText"/>
              <w:spacing w:before="0" w:after="0"/>
              <w:rPr>
                <w:rFonts w:cs="Segoe UI"/>
                <w:noProof/>
                <w:sz w:val="20"/>
                <w:lang w:eastAsia="en-GB"/>
              </w:rPr>
            </w:pPr>
            <w:r>
              <w:rPr>
                <w:rFonts w:cs="Segoe UI"/>
                <w:sz w:val="20"/>
                <w:lang w:eastAsia="en-GB"/>
              </w:rPr>
              <w:t>Table CRA: General information about credit risk</w:t>
            </w:r>
          </w:p>
        </w:tc>
        <w:tc>
          <w:tcPr>
            <w:tcW w:w="992" w:type="dxa"/>
            <w:tcBorders>
              <w:top w:val="single" w:sz="12" w:space="0" w:color="auto"/>
              <w:left w:val="single" w:sz="12" w:space="0" w:color="auto"/>
              <w:right w:val="single" w:sz="12" w:space="0" w:color="auto"/>
            </w:tcBorders>
          </w:tcPr>
          <w:p w:rsidR="00C639E1" w:rsidRDefault="00C639E1" w:rsidP="00C639E1">
            <w:pPr>
              <w:jc w:val="center"/>
            </w:pPr>
            <w:r w:rsidRPr="000A18D0">
              <w:rPr>
                <w:rFonts w:cs="Segoe UI"/>
                <w:lang w:eastAsia="en-GB"/>
              </w:rPr>
              <w:t>I</w:t>
            </w:r>
          </w:p>
        </w:tc>
        <w:tc>
          <w:tcPr>
            <w:tcW w:w="1624" w:type="dxa"/>
            <w:tcBorders>
              <w:top w:val="single" w:sz="12" w:space="0" w:color="auto"/>
              <w:left w:val="single" w:sz="12" w:space="0" w:color="auto"/>
              <w:right w:val="single" w:sz="12" w:space="0" w:color="auto"/>
            </w:tcBorders>
            <w:shd w:val="clear" w:color="auto" w:fill="auto"/>
          </w:tcPr>
          <w:p w:rsidR="00C639E1" w:rsidRDefault="00F46D3E" w:rsidP="00C639E1">
            <w:pPr>
              <w:pStyle w:val="TableText"/>
              <w:spacing w:before="0" w:after="0"/>
              <w:jc w:val="center"/>
              <w:rPr>
                <w:rFonts w:cs="Segoe UI"/>
                <w:sz w:val="20"/>
                <w:lang w:eastAsia="en-GB"/>
              </w:rPr>
            </w:pPr>
            <w:r w:rsidRPr="003936F9">
              <w:rPr>
                <w:rFonts w:cs="Segoe UI" w:hint="eastAsia"/>
                <w:noProof/>
                <w:sz w:val="20"/>
                <w:lang w:eastAsia="en-GB"/>
              </w:rPr>
              <w:t>L</w:t>
            </w:r>
          </w:p>
        </w:tc>
        <w:tc>
          <w:tcPr>
            <w:tcW w:w="1244" w:type="dxa"/>
            <w:tcBorders>
              <w:top w:val="single" w:sz="12" w:space="0" w:color="auto"/>
              <w:lef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34" w:type="dxa"/>
            <w:tcBorders>
              <w:top w:val="single" w:sz="12" w:space="0" w:color="auto"/>
              <w:righ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34" w:type="dxa"/>
            <w:tcBorders>
              <w:top w:val="single" w:sz="12" w:space="0" w:color="auto"/>
              <w:lef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276" w:type="dxa"/>
            <w:tcBorders>
              <w:top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01" w:type="dxa"/>
            <w:tcBorders>
              <w:top w:val="single" w:sz="12" w:space="0" w:color="auto"/>
              <w:righ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r>
      <w:tr w:rsidR="00C639E1" w:rsidTr="00CE1D6C">
        <w:trPr>
          <w:cantSplit/>
          <w:trHeight w:val="283"/>
        </w:trPr>
        <w:tc>
          <w:tcPr>
            <w:tcW w:w="1843" w:type="dxa"/>
            <w:vMerge/>
            <w:tcBorders>
              <w:left w:val="nil"/>
              <w:right w:val="single" w:sz="12" w:space="0" w:color="auto"/>
            </w:tcBorders>
          </w:tcPr>
          <w:p w:rsidR="00C639E1" w:rsidRDefault="00C639E1" w:rsidP="00C639E1">
            <w:pPr>
              <w:pStyle w:val="TableText"/>
              <w:spacing w:before="0" w:after="0"/>
              <w:rPr>
                <w:rFonts w:cs="Segoe UI"/>
                <w:sz w:val="20"/>
                <w:lang w:eastAsia="en-GB"/>
              </w:rPr>
            </w:pPr>
          </w:p>
        </w:tc>
        <w:tc>
          <w:tcPr>
            <w:tcW w:w="4111" w:type="dxa"/>
            <w:tcBorders>
              <w:left w:val="single" w:sz="12" w:space="0" w:color="auto"/>
              <w:right w:val="single" w:sz="12" w:space="0" w:color="auto"/>
            </w:tcBorders>
            <w:shd w:val="clear" w:color="auto" w:fill="auto"/>
          </w:tcPr>
          <w:p w:rsidR="00C639E1" w:rsidRDefault="00C639E1" w:rsidP="00C639E1">
            <w:pPr>
              <w:pStyle w:val="TableText"/>
              <w:spacing w:before="0" w:after="0"/>
              <w:rPr>
                <w:rFonts w:cs="Segoe UI"/>
                <w:noProof/>
                <w:sz w:val="20"/>
                <w:lang w:eastAsia="en-GB"/>
              </w:rPr>
            </w:pPr>
            <w:r>
              <w:rPr>
                <w:rFonts w:cs="Segoe UI"/>
                <w:sz w:val="20"/>
                <w:lang w:eastAsia="en-GB"/>
              </w:rPr>
              <w:t>Template CR1: Credit quality of exposures</w:t>
            </w:r>
          </w:p>
        </w:tc>
        <w:tc>
          <w:tcPr>
            <w:tcW w:w="992" w:type="dxa"/>
            <w:tcBorders>
              <w:left w:val="single" w:sz="12" w:space="0" w:color="auto"/>
              <w:right w:val="single" w:sz="12" w:space="0" w:color="auto"/>
            </w:tcBorders>
          </w:tcPr>
          <w:p w:rsidR="00C639E1" w:rsidRDefault="00C639E1" w:rsidP="00C639E1">
            <w:pPr>
              <w:jc w:val="center"/>
            </w:pPr>
            <w:r w:rsidRPr="000A18D0">
              <w:rPr>
                <w:rFonts w:cs="Segoe UI"/>
                <w:lang w:eastAsia="en-GB"/>
              </w:rPr>
              <w:t>I</w:t>
            </w:r>
          </w:p>
        </w:tc>
        <w:tc>
          <w:tcPr>
            <w:tcW w:w="1624" w:type="dxa"/>
            <w:tcBorders>
              <w:left w:val="single" w:sz="12" w:space="0" w:color="auto"/>
              <w:right w:val="single" w:sz="12" w:space="0" w:color="auto"/>
            </w:tcBorders>
            <w:shd w:val="clear" w:color="auto" w:fill="auto"/>
          </w:tcPr>
          <w:p w:rsidR="00C639E1" w:rsidRDefault="00F46D3E" w:rsidP="00C639E1">
            <w:pPr>
              <w:pStyle w:val="TableText"/>
              <w:spacing w:before="0" w:after="0"/>
              <w:jc w:val="center"/>
              <w:rPr>
                <w:rFonts w:cs="Segoe UI"/>
                <w:noProof/>
                <w:sz w:val="20"/>
                <w:lang w:eastAsia="en-GB"/>
              </w:rPr>
            </w:pPr>
            <w:r w:rsidRPr="003936F9">
              <w:rPr>
                <w:rFonts w:cs="Segoe UI" w:hint="eastAsia"/>
                <w:noProof/>
                <w:sz w:val="20"/>
                <w:lang w:eastAsia="en-GB"/>
              </w:rPr>
              <w:t>L</w:t>
            </w:r>
          </w:p>
        </w:tc>
        <w:tc>
          <w:tcPr>
            <w:tcW w:w="1244" w:type="dxa"/>
            <w:tcBorders>
              <w:lef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34"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34" w:type="dxa"/>
            <w:tcBorders>
              <w:lef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276" w:type="dxa"/>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01" w:type="dxa"/>
            <w:tcBorders>
              <w:righ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p>
        </w:tc>
      </w:tr>
      <w:tr w:rsidR="00C639E1" w:rsidTr="00CE1D6C">
        <w:trPr>
          <w:cantSplit/>
          <w:trHeight w:val="283"/>
        </w:trPr>
        <w:tc>
          <w:tcPr>
            <w:tcW w:w="1843" w:type="dxa"/>
            <w:vMerge/>
            <w:tcBorders>
              <w:left w:val="nil"/>
              <w:right w:val="single" w:sz="12" w:space="0" w:color="auto"/>
            </w:tcBorders>
          </w:tcPr>
          <w:p w:rsidR="00C639E1" w:rsidRDefault="00C639E1" w:rsidP="00C639E1">
            <w:pPr>
              <w:pStyle w:val="TableText"/>
              <w:spacing w:before="0" w:after="0"/>
              <w:rPr>
                <w:rFonts w:cs="Segoe UI"/>
                <w:sz w:val="20"/>
                <w:lang w:eastAsia="en-GB"/>
              </w:rPr>
            </w:pPr>
          </w:p>
        </w:tc>
        <w:tc>
          <w:tcPr>
            <w:tcW w:w="4111" w:type="dxa"/>
            <w:tcBorders>
              <w:left w:val="single" w:sz="12" w:space="0" w:color="auto"/>
              <w:right w:val="single" w:sz="12" w:space="0" w:color="auto"/>
            </w:tcBorders>
            <w:shd w:val="clear" w:color="auto" w:fill="auto"/>
          </w:tcPr>
          <w:p w:rsidR="00C639E1" w:rsidRDefault="00C639E1" w:rsidP="00C639E1">
            <w:pPr>
              <w:pStyle w:val="TableText"/>
              <w:spacing w:before="0" w:after="0"/>
              <w:rPr>
                <w:rFonts w:cs="Segoe UI"/>
                <w:noProof/>
                <w:sz w:val="20"/>
                <w:lang w:eastAsia="en-GB"/>
              </w:rPr>
            </w:pPr>
            <w:r>
              <w:rPr>
                <w:rFonts w:cs="Segoe UI"/>
                <w:sz w:val="20"/>
                <w:lang w:eastAsia="en-GB"/>
              </w:rPr>
              <w:t>Template CR2: Changes in defaulted loans and debt securities</w:t>
            </w:r>
          </w:p>
        </w:tc>
        <w:tc>
          <w:tcPr>
            <w:tcW w:w="992" w:type="dxa"/>
            <w:tcBorders>
              <w:left w:val="single" w:sz="12" w:space="0" w:color="auto"/>
              <w:right w:val="single" w:sz="12" w:space="0" w:color="auto"/>
            </w:tcBorders>
          </w:tcPr>
          <w:p w:rsidR="00C639E1" w:rsidRDefault="00C639E1" w:rsidP="00C639E1">
            <w:pPr>
              <w:jc w:val="center"/>
            </w:pPr>
            <w:r w:rsidRPr="000A18D0">
              <w:rPr>
                <w:rFonts w:cs="Segoe UI"/>
                <w:lang w:eastAsia="en-GB"/>
              </w:rPr>
              <w:t>I</w:t>
            </w:r>
          </w:p>
        </w:tc>
        <w:tc>
          <w:tcPr>
            <w:tcW w:w="1624" w:type="dxa"/>
            <w:tcBorders>
              <w:left w:val="single" w:sz="12" w:space="0" w:color="auto"/>
              <w:right w:val="single" w:sz="12" w:space="0" w:color="auto"/>
            </w:tcBorders>
            <w:shd w:val="clear" w:color="auto" w:fill="auto"/>
          </w:tcPr>
          <w:p w:rsidR="00C639E1" w:rsidRDefault="00F46D3E" w:rsidP="00C639E1">
            <w:pPr>
              <w:pStyle w:val="TableText"/>
              <w:spacing w:before="0" w:after="0"/>
              <w:jc w:val="center"/>
              <w:rPr>
                <w:rFonts w:cs="Segoe UI"/>
                <w:noProof/>
                <w:sz w:val="20"/>
                <w:lang w:eastAsia="en-GB"/>
              </w:rPr>
            </w:pPr>
            <w:r w:rsidRPr="003936F9">
              <w:rPr>
                <w:rFonts w:cs="Segoe UI" w:hint="eastAsia"/>
                <w:noProof/>
                <w:sz w:val="20"/>
                <w:lang w:eastAsia="en-GB"/>
              </w:rPr>
              <w:t>L</w:t>
            </w:r>
          </w:p>
        </w:tc>
        <w:tc>
          <w:tcPr>
            <w:tcW w:w="1244" w:type="dxa"/>
            <w:tcBorders>
              <w:lef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34"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34" w:type="dxa"/>
            <w:tcBorders>
              <w:lef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p>
        </w:tc>
        <w:tc>
          <w:tcPr>
            <w:tcW w:w="1276" w:type="dxa"/>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01"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r>
      <w:tr w:rsidR="00C639E1" w:rsidTr="00CE1D6C">
        <w:trPr>
          <w:cantSplit/>
          <w:trHeight w:val="283"/>
        </w:trPr>
        <w:tc>
          <w:tcPr>
            <w:tcW w:w="1843" w:type="dxa"/>
            <w:vMerge/>
            <w:tcBorders>
              <w:left w:val="nil"/>
              <w:right w:val="single" w:sz="12" w:space="0" w:color="auto"/>
            </w:tcBorders>
          </w:tcPr>
          <w:p w:rsidR="00C639E1" w:rsidRDefault="00C639E1" w:rsidP="00C639E1">
            <w:pPr>
              <w:pStyle w:val="TableText"/>
              <w:spacing w:before="0" w:after="0"/>
              <w:rPr>
                <w:rFonts w:cs="Segoe UI"/>
                <w:sz w:val="20"/>
                <w:lang w:eastAsia="en-GB"/>
              </w:rPr>
            </w:pPr>
          </w:p>
        </w:tc>
        <w:tc>
          <w:tcPr>
            <w:tcW w:w="4111" w:type="dxa"/>
            <w:tcBorders>
              <w:left w:val="single" w:sz="12" w:space="0" w:color="auto"/>
              <w:bottom w:val="single" w:sz="4" w:space="0" w:color="auto"/>
              <w:right w:val="single" w:sz="12" w:space="0" w:color="auto"/>
            </w:tcBorders>
            <w:shd w:val="clear" w:color="auto" w:fill="auto"/>
          </w:tcPr>
          <w:p w:rsidR="00C639E1" w:rsidRDefault="00C639E1" w:rsidP="00C639E1">
            <w:pPr>
              <w:pStyle w:val="TableText"/>
              <w:spacing w:before="0" w:after="0"/>
              <w:rPr>
                <w:rFonts w:cs="Segoe UI"/>
                <w:noProof/>
                <w:sz w:val="20"/>
                <w:lang w:eastAsia="en-GB"/>
              </w:rPr>
            </w:pPr>
            <w:r>
              <w:rPr>
                <w:rFonts w:cs="Segoe UI"/>
                <w:sz w:val="20"/>
                <w:lang w:eastAsia="en-GB"/>
              </w:rPr>
              <w:t>Table CRB: Additional disclosure related to credit quality of exposures</w:t>
            </w:r>
          </w:p>
        </w:tc>
        <w:tc>
          <w:tcPr>
            <w:tcW w:w="992" w:type="dxa"/>
            <w:tcBorders>
              <w:left w:val="single" w:sz="12" w:space="0" w:color="auto"/>
              <w:bottom w:val="single" w:sz="4" w:space="0" w:color="auto"/>
              <w:right w:val="single" w:sz="12" w:space="0" w:color="auto"/>
            </w:tcBorders>
          </w:tcPr>
          <w:p w:rsidR="00C639E1" w:rsidRDefault="00C639E1" w:rsidP="00C639E1">
            <w:pPr>
              <w:jc w:val="center"/>
            </w:pPr>
            <w:r w:rsidRPr="000A18D0">
              <w:rPr>
                <w:rFonts w:cs="Segoe UI"/>
                <w:lang w:eastAsia="en-GB"/>
              </w:rPr>
              <w:t>I</w:t>
            </w:r>
          </w:p>
        </w:tc>
        <w:tc>
          <w:tcPr>
            <w:tcW w:w="1624" w:type="dxa"/>
            <w:tcBorders>
              <w:left w:val="single" w:sz="12" w:space="0" w:color="auto"/>
              <w:bottom w:val="single" w:sz="4" w:space="0" w:color="auto"/>
              <w:right w:val="single" w:sz="12" w:space="0" w:color="auto"/>
            </w:tcBorders>
            <w:shd w:val="clear" w:color="auto" w:fill="auto"/>
          </w:tcPr>
          <w:p w:rsidR="00C639E1" w:rsidRDefault="00F46D3E" w:rsidP="00C639E1">
            <w:pPr>
              <w:pStyle w:val="TableText"/>
              <w:spacing w:before="0" w:after="0"/>
              <w:jc w:val="center"/>
              <w:rPr>
                <w:rFonts w:cs="Segoe UI"/>
                <w:sz w:val="20"/>
                <w:lang w:eastAsia="en-GB"/>
              </w:rPr>
            </w:pPr>
            <w:r w:rsidRPr="003936F9">
              <w:rPr>
                <w:rFonts w:cs="Segoe UI" w:hint="eastAsia"/>
                <w:noProof/>
                <w:sz w:val="20"/>
                <w:lang w:eastAsia="en-GB"/>
              </w:rPr>
              <w:t>L</w:t>
            </w:r>
          </w:p>
        </w:tc>
        <w:tc>
          <w:tcPr>
            <w:tcW w:w="1244" w:type="dxa"/>
            <w:tcBorders>
              <w:left w:val="single" w:sz="12" w:space="0" w:color="auto"/>
              <w:bottom w:val="single" w:sz="4"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34" w:type="dxa"/>
            <w:tcBorders>
              <w:bottom w:val="single" w:sz="4" w:space="0" w:color="auto"/>
              <w:righ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34" w:type="dxa"/>
            <w:tcBorders>
              <w:left w:val="single" w:sz="12" w:space="0" w:color="auto"/>
              <w:bottom w:val="single" w:sz="4"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276" w:type="dxa"/>
            <w:tcBorders>
              <w:bottom w:val="single" w:sz="4"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01" w:type="dxa"/>
            <w:tcBorders>
              <w:bottom w:val="single" w:sz="4" w:space="0" w:color="auto"/>
              <w:righ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r>
      <w:tr w:rsidR="00C639E1" w:rsidTr="00CE1D6C">
        <w:trPr>
          <w:cantSplit/>
          <w:trHeight w:val="695"/>
        </w:trPr>
        <w:tc>
          <w:tcPr>
            <w:tcW w:w="1843" w:type="dxa"/>
            <w:vMerge/>
            <w:tcBorders>
              <w:left w:val="nil"/>
              <w:right w:val="single" w:sz="12" w:space="0" w:color="auto"/>
            </w:tcBorders>
          </w:tcPr>
          <w:p w:rsidR="00C639E1" w:rsidRDefault="00C639E1" w:rsidP="00C639E1">
            <w:pPr>
              <w:pStyle w:val="TableText"/>
              <w:spacing w:before="0" w:after="0"/>
              <w:rPr>
                <w:rFonts w:cs="Segoe UI"/>
                <w:sz w:val="20"/>
                <w:lang w:eastAsia="en-GB"/>
              </w:rPr>
            </w:pPr>
          </w:p>
        </w:tc>
        <w:tc>
          <w:tcPr>
            <w:tcW w:w="4111" w:type="dxa"/>
            <w:tcBorders>
              <w:left w:val="single" w:sz="12" w:space="0" w:color="auto"/>
              <w:right w:val="single" w:sz="12" w:space="0" w:color="auto"/>
            </w:tcBorders>
            <w:shd w:val="clear" w:color="auto" w:fill="auto"/>
          </w:tcPr>
          <w:p w:rsidR="00C639E1" w:rsidRDefault="00C639E1" w:rsidP="00C639E1">
            <w:pPr>
              <w:pStyle w:val="TableText"/>
              <w:spacing w:before="0" w:after="0"/>
              <w:rPr>
                <w:rFonts w:cs="Segoe UI"/>
                <w:sz w:val="20"/>
                <w:lang w:eastAsia="en-GB"/>
              </w:rPr>
            </w:pPr>
            <w:r>
              <w:rPr>
                <w:rFonts w:cs="Segoe UI"/>
                <w:sz w:val="20"/>
                <w:lang w:eastAsia="en-GB"/>
              </w:rPr>
              <w:t>Table CRC: Qualitative disclosures related to credit risk mitigation</w:t>
            </w:r>
          </w:p>
        </w:tc>
        <w:tc>
          <w:tcPr>
            <w:tcW w:w="992" w:type="dxa"/>
            <w:tcBorders>
              <w:left w:val="single" w:sz="12" w:space="0" w:color="auto"/>
              <w:right w:val="single" w:sz="12" w:space="0" w:color="auto"/>
            </w:tcBorders>
          </w:tcPr>
          <w:p w:rsidR="00C639E1" w:rsidRDefault="00C639E1" w:rsidP="00C639E1">
            <w:pPr>
              <w:jc w:val="center"/>
            </w:pPr>
            <w:r w:rsidRPr="000A18D0">
              <w:rPr>
                <w:rFonts w:cs="Segoe UI"/>
                <w:lang w:eastAsia="en-GB"/>
              </w:rPr>
              <w:t>I</w:t>
            </w:r>
          </w:p>
        </w:tc>
        <w:tc>
          <w:tcPr>
            <w:tcW w:w="1624" w:type="dxa"/>
            <w:tcBorders>
              <w:left w:val="single" w:sz="12" w:space="0" w:color="auto"/>
              <w:right w:val="single" w:sz="12" w:space="0" w:color="auto"/>
            </w:tcBorders>
            <w:shd w:val="clear" w:color="auto" w:fill="auto"/>
          </w:tcPr>
          <w:p w:rsidR="00C639E1" w:rsidRDefault="00F46D3E" w:rsidP="00C639E1">
            <w:pPr>
              <w:pStyle w:val="TableText"/>
              <w:spacing w:before="0" w:after="0"/>
              <w:jc w:val="center"/>
              <w:rPr>
                <w:rFonts w:cs="Segoe UI"/>
                <w:noProof/>
                <w:sz w:val="20"/>
                <w:lang w:eastAsia="en-GB"/>
              </w:rPr>
            </w:pPr>
            <w:r w:rsidRPr="003936F9">
              <w:rPr>
                <w:rFonts w:cs="Segoe UI" w:hint="eastAsia"/>
                <w:noProof/>
                <w:sz w:val="20"/>
                <w:lang w:eastAsia="en-GB"/>
              </w:rPr>
              <w:t>L</w:t>
            </w:r>
          </w:p>
        </w:tc>
        <w:tc>
          <w:tcPr>
            <w:tcW w:w="1244" w:type="dxa"/>
            <w:tcBorders>
              <w:lef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p>
        </w:tc>
        <w:tc>
          <w:tcPr>
            <w:tcW w:w="1134"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r>
              <w:rPr>
                <w:rFonts w:cs="Segoe UI"/>
                <w:sz w:val="20"/>
                <w:lang w:eastAsia="en-GB"/>
              </w:rPr>
              <w:sym w:font="Wingdings 2" w:char="F050"/>
            </w:r>
          </w:p>
        </w:tc>
        <w:tc>
          <w:tcPr>
            <w:tcW w:w="1134" w:type="dxa"/>
            <w:tcBorders>
              <w:lef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276" w:type="dxa"/>
            <w:shd w:val="clear" w:color="auto" w:fill="auto"/>
          </w:tcPr>
          <w:p w:rsidR="00C639E1" w:rsidRDefault="00C639E1" w:rsidP="00C639E1">
            <w:pPr>
              <w:pStyle w:val="TableText"/>
              <w:spacing w:before="0" w:after="0"/>
              <w:jc w:val="center"/>
              <w:rPr>
                <w:rFonts w:cs="Segoe UI"/>
                <w:sz w:val="20"/>
                <w:lang w:eastAsia="en-GB"/>
              </w:rPr>
            </w:pPr>
          </w:p>
        </w:tc>
        <w:tc>
          <w:tcPr>
            <w:tcW w:w="1101" w:type="dxa"/>
            <w:tcBorders>
              <w:righ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r>
      <w:tr w:rsidR="00C639E1" w:rsidTr="00CE1D6C">
        <w:trPr>
          <w:cantSplit/>
          <w:trHeight w:val="283"/>
        </w:trPr>
        <w:tc>
          <w:tcPr>
            <w:tcW w:w="1843" w:type="dxa"/>
            <w:vMerge/>
            <w:tcBorders>
              <w:left w:val="nil"/>
              <w:right w:val="single" w:sz="12" w:space="0" w:color="auto"/>
            </w:tcBorders>
          </w:tcPr>
          <w:p w:rsidR="00C639E1" w:rsidRDefault="00C639E1" w:rsidP="00C639E1">
            <w:pPr>
              <w:pStyle w:val="TableText"/>
              <w:spacing w:before="0" w:after="0"/>
              <w:rPr>
                <w:rFonts w:cs="Segoe UI"/>
                <w:sz w:val="20"/>
                <w:lang w:eastAsia="en-GB"/>
              </w:rPr>
            </w:pPr>
          </w:p>
        </w:tc>
        <w:tc>
          <w:tcPr>
            <w:tcW w:w="4111" w:type="dxa"/>
            <w:tcBorders>
              <w:left w:val="single" w:sz="12" w:space="0" w:color="auto"/>
              <w:right w:val="single" w:sz="12" w:space="0" w:color="auto"/>
            </w:tcBorders>
            <w:shd w:val="clear" w:color="auto" w:fill="auto"/>
          </w:tcPr>
          <w:p w:rsidR="00C639E1" w:rsidRDefault="00C639E1" w:rsidP="00C639E1">
            <w:pPr>
              <w:pStyle w:val="TableText"/>
              <w:spacing w:before="0" w:after="0"/>
              <w:rPr>
                <w:rFonts w:cs="Segoe UI"/>
                <w:noProof/>
                <w:sz w:val="20"/>
                <w:lang w:eastAsia="en-GB"/>
              </w:rPr>
            </w:pPr>
            <w:r>
              <w:rPr>
                <w:rFonts w:cs="Segoe UI"/>
                <w:sz w:val="20"/>
                <w:lang w:eastAsia="en-GB"/>
              </w:rPr>
              <w:t>Template CR3: Overview of recognized credit risk mitigation</w:t>
            </w:r>
          </w:p>
        </w:tc>
        <w:tc>
          <w:tcPr>
            <w:tcW w:w="992" w:type="dxa"/>
            <w:tcBorders>
              <w:left w:val="single" w:sz="12" w:space="0" w:color="auto"/>
              <w:right w:val="single" w:sz="12" w:space="0" w:color="auto"/>
            </w:tcBorders>
          </w:tcPr>
          <w:p w:rsidR="00C639E1" w:rsidRDefault="00C639E1" w:rsidP="00C639E1">
            <w:pPr>
              <w:jc w:val="center"/>
            </w:pPr>
            <w:r w:rsidRPr="008B76E7">
              <w:rPr>
                <w:rFonts w:cs="Segoe UI"/>
                <w:lang w:eastAsia="en-GB"/>
              </w:rPr>
              <w:t>I</w:t>
            </w:r>
          </w:p>
        </w:tc>
        <w:tc>
          <w:tcPr>
            <w:tcW w:w="1624" w:type="dxa"/>
            <w:tcBorders>
              <w:left w:val="single" w:sz="12" w:space="0" w:color="auto"/>
              <w:right w:val="single" w:sz="12" w:space="0" w:color="auto"/>
            </w:tcBorders>
            <w:shd w:val="clear" w:color="auto" w:fill="auto"/>
          </w:tcPr>
          <w:p w:rsidR="00C639E1" w:rsidRDefault="00F46D3E" w:rsidP="00C639E1">
            <w:pPr>
              <w:pStyle w:val="TableText"/>
              <w:spacing w:before="0" w:after="0"/>
              <w:jc w:val="center"/>
              <w:rPr>
                <w:rFonts w:cs="Segoe UI"/>
                <w:noProof/>
                <w:sz w:val="20"/>
                <w:lang w:eastAsia="en-GB"/>
              </w:rPr>
            </w:pPr>
            <w:r w:rsidRPr="003936F9">
              <w:rPr>
                <w:rFonts w:cs="Segoe UI" w:hint="eastAsia"/>
                <w:noProof/>
                <w:sz w:val="20"/>
                <w:lang w:eastAsia="en-GB"/>
              </w:rPr>
              <w:t>L</w:t>
            </w:r>
          </w:p>
        </w:tc>
        <w:tc>
          <w:tcPr>
            <w:tcW w:w="1244" w:type="dxa"/>
            <w:tcBorders>
              <w:lef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34"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34" w:type="dxa"/>
            <w:tcBorders>
              <w:lef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276" w:type="dxa"/>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01"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r>
      <w:tr w:rsidR="00C639E1" w:rsidTr="00CE1D6C">
        <w:trPr>
          <w:cantSplit/>
          <w:trHeight w:val="283"/>
        </w:trPr>
        <w:tc>
          <w:tcPr>
            <w:tcW w:w="1843" w:type="dxa"/>
            <w:vMerge/>
            <w:tcBorders>
              <w:left w:val="nil"/>
              <w:right w:val="single" w:sz="12" w:space="0" w:color="auto"/>
            </w:tcBorders>
          </w:tcPr>
          <w:p w:rsidR="00C639E1" w:rsidRDefault="00C639E1" w:rsidP="00C639E1">
            <w:pPr>
              <w:pStyle w:val="TableText"/>
              <w:spacing w:before="0" w:after="0"/>
              <w:rPr>
                <w:rFonts w:cs="Segoe UI"/>
                <w:sz w:val="20"/>
                <w:lang w:eastAsia="en-GB"/>
              </w:rPr>
            </w:pPr>
          </w:p>
        </w:tc>
        <w:tc>
          <w:tcPr>
            <w:tcW w:w="4111" w:type="dxa"/>
            <w:tcBorders>
              <w:left w:val="single" w:sz="12" w:space="0" w:color="auto"/>
              <w:right w:val="single" w:sz="12" w:space="0" w:color="auto"/>
            </w:tcBorders>
            <w:shd w:val="clear" w:color="auto" w:fill="auto"/>
          </w:tcPr>
          <w:p w:rsidR="00C639E1" w:rsidRDefault="00C639E1" w:rsidP="00C639E1">
            <w:pPr>
              <w:pStyle w:val="TableText"/>
              <w:spacing w:before="0" w:after="0"/>
              <w:rPr>
                <w:rFonts w:cs="Segoe UI"/>
                <w:noProof/>
                <w:sz w:val="20"/>
                <w:lang w:eastAsia="en-GB"/>
              </w:rPr>
            </w:pPr>
            <w:r>
              <w:rPr>
                <w:rFonts w:cs="Segoe UI"/>
                <w:sz w:val="20"/>
                <w:lang w:eastAsia="en-GB"/>
              </w:rPr>
              <w:t>Table CRD: Qualitative disclosures on use of ECAI ratings under STC approach</w:t>
            </w:r>
          </w:p>
        </w:tc>
        <w:tc>
          <w:tcPr>
            <w:tcW w:w="992" w:type="dxa"/>
            <w:tcBorders>
              <w:left w:val="single" w:sz="12" w:space="0" w:color="auto"/>
              <w:right w:val="single" w:sz="12" w:space="0" w:color="auto"/>
            </w:tcBorders>
          </w:tcPr>
          <w:p w:rsidR="00C639E1" w:rsidRDefault="00C639E1" w:rsidP="00C639E1">
            <w:pPr>
              <w:jc w:val="center"/>
            </w:pPr>
            <w:r w:rsidRPr="008B76E7">
              <w:rPr>
                <w:rFonts w:cs="Segoe UI"/>
                <w:lang w:eastAsia="en-GB"/>
              </w:rPr>
              <w:t>I</w:t>
            </w:r>
          </w:p>
        </w:tc>
        <w:tc>
          <w:tcPr>
            <w:tcW w:w="1624" w:type="dxa"/>
            <w:tcBorders>
              <w:left w:val="single" w:sz="12" w:space="0" w:color="auto"/>
              <w:right w:val="single" w:sz="12" w:space="0" w:color="auto"/>
            </w:tcBorders>
            <w:shd w:val="clear" w:color="auto" w:fill="auto"/>
          </w:tcPr>
          <w:p w:rsidR="00C639E1" w:rsidRDefault="006843CC" w:rsidP="00C639E1">
            <w:pPr>
              <w:pStyle w:val="TableText"/>
              <w:spacing w:before="0" w:after="0"/>
              <w:jc w:val="center"/>
              <w:rPr>
                <w:rFonts w:cs="Segoe UI"/>
                <w:sz w:val="20"/>
                <w:lang w:eastAsia="en-GB"/>
              </w:rPr>
            </w:pPr>
            <w:r w:rsidRPr="003936F9">
              <w:rPr>
                <w:rFonts w:cs="Segoe UI" w:hint="eastAsia"/>
                <w:noProof/>
                <w:sz w:val="20"/>
                <w:lang w:eastAsia="en-GB"/>
              </w:rPr>
              <w:t>L</w:t>
            </w:r>
            <w:r>
              <w:rPr>
                <w:rFonts w:cs="Segoe UI"/>
                <w:noProof/>
                <w:sz w:val="20"/>
                <w:lang w:eastAsia="en-GB"/>
              </w:rPr>
              <w:t xml:space="preserve"> </w:t>
            </w:r>
            <w:r>
              <w:rPr>
                <w:rFonts w:asciiTheme="minorEastAsia" w:eastAsiaTheme="minorEastAsia" w:hAnsiTheme="minorEastAsia" w:cs="Segoe UI" w:hint="eastAsia"/>
                <w:noProof/>
                <w:sz w:val="20"/>
                <w:lang w:eastAsia="zh-TW"/>
              </w:rPr>
              <w:t>[</w:t>
            </w:r>
            <w:r w:rsidR="00C639E1">
              <w:rPr>
                <w:rFonts w:cs="Segoe UI"/>
                <w:sz w:val="20"/>
                <w:lang w:eastAsia="en-GB"/>
              </w:rPr>
              <w:t>STC</w:t>
            </w:r>
            <w:r>
              <w:rPr>
                <w:rFonts w:asciiTheme="minorEastAsia" w:eastAsiaTheme="minorEastAsia" w:hAnsiTheme="minorEastAsia" w:cs="Segoe UI" w:hint="eastAsia"/>
                <w:sz w:val="20"/>
                <w:lang w:eastAsia="zh-TW"/>
              </w:rPr>
              <w:t>]</w:t>
            </w:r>
          </w:p>
        </w:tc>
        <w:tc>
          <w:tcPr>
            <w:tcW w:w="1244" w:type="dxa"/>
            <w:tcBorders>
              <w:lef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34" w:type="dxa"/>
            <w:tcBorders>
              <w:righ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34" w:type="dxa"/>
            <w:tcBorders>
              <w:lef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276" w:type="dxa"/>
            <w:shd w:val="clear" w:color="auto" w:fill="auto"/>
          </w:tcPr>
          <w:p w:rsidR="00C639E1" w:rsidRDefault="00C639E1" w:rsidP="00C639E1">
            <w:pPr>
              <w:pStyle w:val="TableText"/>
              <w:spacing w:before="0" w:after="0"/>
              <w:jc w:val="center"/>
              <w:rPr>
                <w:rFonts w:cs="Segoe UI"/>
                <w:sz w:val="20"/>
                <w:lang w:eastAsia="en-GB"/>
              </w:rPr>
            </w:pPr>
          </w:p>
        </w:tc>
        <w:tc>
          <w:tcPr>
            <w:tcW w:w="1101" w:type="dxa"/>
            <w:tcBorders>
              <w:righ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r>
      <w:tr w:rsidR="00C639E1" w:rsidTr="00CE1D6C">
        <w:trPr>
          <w:cantSplit/>
          <w:trHeight w:val="283"/>
        </w:trPr>
        <w:tc>
          <w:tcPr>
            <w:tcW w:w="1843" w:type="dxa"/>
            <w:vMerge/>
            <w:tcBorders>
              <w:left w:val="nil"/>
              <w:right w:val="single" w:sz="12" w:space="0" w:color="auto"/>
            </w:tcBorders>
          </w:tcPr>
          <w:p w:rsidR="00C639E1" w:rsidRDefault="00C639E1" w:rsidP="00C639E1">
            <w:pPr>
              <w:pStyle w:val="TableText"/>
              <w:spacing w:before="0" w:after="0"/>
              <w:rPr>
                <w:rFonts w:cs="Segoe UI"/>
                <w:sz w:val="20"/>
                <w:lang w:eastAsia="en-GB"/>
              </w:rPr>
            </w:pPr>
          </w:p>
        </w:tc>
        <w:tc>
          <w:tcPr>
            <w:tcW w:w="4111" w:type="dxa"/>
            <w:tcBorders>
              <w:left w:val="single" w:sz="12" w:space="0" w:color="auto"/>
              <w:right w:val="single" w:sz="12" w:space="0" w:color="auto"/>
            </w:tcBorders>
            <w:shd w:val="clear" w:color="auto" w:fill="auto"/>
          </w:tcPr>
          <w:p w:rsidR="00C639E1" w:rsidRDefault="00C639E1" w:rsidP="00C639E1">
            <w:pPr>
              <w:pStyle w:val="TableText"/>
              <w:spacing w:before="0" w:after="0"/>
              <w:rPr>
                <w:rFonts w:cs="Segoe UI"/>
                <w:noProof/>
                <w:sz w:val="20"/>
                <w:lang w:eastAsia="en-GB"/>
              </w:rPr>
            </w:pPr>
            <w:r>
              <w:rPr>
                <w:rFonts w:cs="Segoe UI"/>
                <w:sz w:val="20"/>
                <w:lang w:eastAsia="en-GB"/>
              </w:rPr>
              <w:t>Template CR4: Credit risk exposures and effects of recognized credit risk mitigation – for STC approach or BSC approach</w:t>
            </w:r>
          </w:p>
        </w:tc>
        <w:tc>
          <w:tcPr>
            <w:tcW w:w="992" w:type="dxa"/>
            <w:tcBorders>
              <w:left w:val="single" w:sz="12" w:space="0" w:color="auto"/>
              <w:right w:val="single" w:sz="12" w:space="0" w:color="auto"/>
            </w:tcBorders>
          </w:tcPr>
          <w:p w:rsidR="00C639E1" w:rsidRDefault="00C639E1" w:rsidP="00C639E1">
            <w:pPr>
              <w:jc w:val="center"/>
            </w:pPr>
            <w:r w:rsidRPr="008B76E7">
              <w:rPr>
                <w:rFonts w:cs="Segoe UI"/>
                <w:lang w:eastAsia="en-GB"/>
              </w:rPr>
              <w:t>I</w:t>
            </w:r>
          </w:p>
        </w:tc>
        <w:tc>
          <w:tcPr>
            <w:tcW w:w="1624" w:type="dxa"/>
            <w:tcBorders>
              <w:left w:val="single" w:sz="12" w:space="0" w:color="auto"/>
              <w:right w:val="single" w:sz="12" w:space="0" w:color="auto"/>
            </w:tcBorders>
            <w:shd w:val="clear" w:color="auto" w:fill="auto"/>
          </w:tcPr>
          <w:p w:rsidR="00C639E1" w:rsidRDefault="006843CC" w:rsidP="00C639E1">
            <w:pPr>
              <w:pStyle w:val="TableText"/>
              <w:spacing w:before="0" w:after="0"/>
              <w:jc w:val="center"/>
              <w:rPr>
                <w:rFonts w:cs="Segoe UI"/>
                <w:noProof/>
                <w:sz w:val="20"/>
                <w:lang w:eastAsia="en-GB"/>
              </w:rPr>
            </w:pPr>
            <w:r w:rsidRPr="003936F9">
              <w:rPr>
                <w:rFonts w:cs="Segoe UI" w:hint="eastAsia"/>
                <w:noProof/>
                <w:sz w:val="20"/>
                <w:lang w:eastAsia="en-GB"/>
              </w:rPr>
              <w:t>L</w:t>
            </w:r>
            <w:r>
              <w:rPr>
                <w:rFonts w:cs="Segoe UI"/>
                <w:noProof/>
                <w:sz w:val="20"/>
                <w:lang w:eastAsia="en-GB"/>
              </w:rPr>
              <w:t xml:space="preserve"> </w:t>
            </w:r>
            <w:r>
              <w:rPr>
                <w:rFonts w:asciiTheme="minorEastAsia" w:eastAsiaTheme="minorEastAsia" w:hAnsiTheme="minorEastAsia" w:cs="Segoe UI" w:hint="eastAsia"/>
                <w:noProof/>
                <w:sz w:val="20"/>
                <w:lang w:eastAsia="zh-TW"/>
              </w:rPr>
              <w:t>[</w:t>
            </w:r>
            <w:r w:rsidR="00C639E1">
              <w:rPr>
                <w:rFonts w:cs="Segoe UI"/>
                <w:noProof/>
                <w:sz w:val="20"/>
                <w:lang w:eastAsia="en-GB"/>
              </w:rPr>
              <w:t>STC; BSC</w:t>
            </w:r>
            <w:r>
              <w:rPr>
                <w:rFonts w:asciiTheme="minorEastAsia" w:eastAsiaTheme="minorEastAsia" w:hAnsiTheme="minorEastAsia" w:cs="Segoe UI" w:hint="eastAsia"/>
                <w:noProof/>
                <w:sz w:val="20"/>
                <w:lang w:eastAsia="zh-TW"/>
              </w:rPr>
              <w:t>]</w:t>
            </w:r>
          </w:p>
        </w:tc>
        <w:tc>
          <w:tcPr>
            <w:tcW w:w="1244" w:type="dxa"/>
            <w:tcBorders>
              <w:lef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34"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34" w:type="dxa"/>
            <w:tcBorders>
              <w:lef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p>
        </w:tc>
        <w:tc>
          <w:tcPr>
            <w:tcW w:w="1276" w:type="dxa"/>
            <w:shd w:val="clear" w:color="auto" w:fill="auto"/>
          </w:tcPr>
          <w:p w:rsidR="00C639E1" w:rsidRDefault="00C639E1" w:rsidP="00C639E1">
            <w:pPr>
              <w:pStyle w:val="TableText"/>
              <w:spacing w:before="0" w:after="0"/>
              <w:jc w:val="center"/>
              <w:rPr>
                <w:rFonts w:cs="Segoe UI"/>
                <w:sz w:val="20"/>
                <w:lang w:eastAsia="en-GB"/>
              </w:rPr>
            </w:pPr>
            <w:r>
              <w:rPr>
                <w:rFonts w:cs="Segoe UI"/>
                <w:sz w:val="20"/>
                <w:lang w:eastAsia="en-GB"/>
              </w:rPr>
              <w:sym w:font="Wingdings 2" w:char="F050"/>
            </w:r>
          </w:p>
        </w:tc>
        <w:tc>
          <w:tcPr>
            <w:tcW w:w="1101"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r>
      <w:tr w:rsidR="00C639E1" w:rsidTr="00CE1D6C">
        <w:trPr>
          <w:cantSplit/>
          <w:trHeight w:val="283"/>
        </w:trPr>
        <w:tc>
          <w:tcPr>
            <w:tcW w:w="1843" w:type="dxa"/>
            <w:vMerge/>
            <w:tcBorders>
              <w:left w:val="nil"/>
              <w:right w:val="single" w:sz="12" w:space="0" w:color="auto"/>
            </w:tcBorders>
          </w:tcPr>
          <w:p w:rsidR="00C639E1" w:rsidRDefault="00C639E1" w:rsidP="00C639E1">
            <w:pPr>
              <w:pStyle w:val="TableText"/>
              <w:spacing w:before="0" w:after="0"/>
              <w:rPr>
                <w:rFonts w:cs="Segoe UI"/>
                <w:sz w:val="20"/>
                <w:lang w:eastAsia="en-GB"/>
              </w:rPr>
            </w:pPr>
          </w:p>
        </w:tc>
        <w:tc>
          <w:tcPr>
            <w:tcW w:w="4111" w:type="dxa"/>
            <w:tcBorders>
              <w:left w:val="single" w:sz="12" w:space="0" w:color="auto"/>
              <w:right w:val="single" w:sz="12" w:space="0" w:color="auto"/>
            </w:tcBorders>
            <w:shd w:val="clear" w:color="auto" w:fill="auto"/>
          </w:tcPr>
          <w:p w:rsidR="00C639E1" w:rsidRDefault="00C639E1" w:rsidP="00C639E1">
            <w:pPr>
              <w:pStyle w:val="TableText"/>
              <w:spacing w:before="0" w:after="0"/>
              <w:rPr>
                <w:rFonts w:cs="Segoe UI"/>
                <w:noProof/>
                <w:sz w:val="20"/>
                <w:lang w:eastAsia="en-GB"/>
              </w:rPr>
            </w:pPr>
            <w:r>
              <w:rPr>
                <w:rFonts w:cs="Segoe UI"/>
                <w:sz w:val="20"/>
                <w:lang w:eastAsia="en-GB"/>
              </w:rPr>
              <w:t>Template CR5: Credit risk exposures by asset classes and by risk weights – for STC approach or BSC approach</w:t>
            </w:r>
          </w:p>
        </w:tc>
        <w:tc>
          <w:tcPr>
            <w:tcW w:w="992" w:type="dxa"/>
            <w:tcBorders>
              <w:left w:val="single" w:sz="12" w:space="0" w:color="auto"/>
              <w:right w:val="single" w:sz="12" w:space="0" w:color="auto"/>
            </w:tcBorders>
          </w:tcPr>
          <w:p w:rsidR="00C639E1" w:rsidRDefault="00C639E1" w:rsidP="00C639E1">
            <w:pPr>
              <w:jc w:val="center"/>
            </w:pPr>
            <w:r w:rsidRPr="008B76E7">
              <w:rPr>
                <w:rFonts w:cs="Segoe UI"/>
                <w:lang w:eastAsia="en-GB"/>
              </w:rPr>
              <w:t>I</w:t>
            </w:r>
          </w:p>
        </w:tc>
        <w:tc>
          <w:tcPr>
            <w:tcW w:w="1624" w:type="dxa"/>
            <w:tcBorders>
              <w:left w:val="single" w:sz="12" w:space="0" w:color="auto"/>
              <w:right w:val="single" w:sz="12" w:space="0" w:color="auto"/>
            </w:tcBorders>
            <w:shd w:val="clear" w:color="auto" w:fill="auto"/>
          </w:tcPr>
          <w:p w:rsidR="00C639E1" w:rsidRDefault="006843CC" w:rsidP="00C639E1">
            <w:pPr>
              <w:pStyle w:val="TableText"/>
              <w:spacing w:before="0" w:after="0"/>
              <w:jc w:val="center"/>
              <w:rPr>
                <w:rFonts w:cs="Segoe UI"/>
                <w:noProof/>
                <w:sz w:val="20"/>
                <w:lang w:eastAsia="en-GB"/>
              </w:rPr>
            </w:pPr>
            <w:r w:rsidRPr="003936F9">
              <w:rPr>
                <w:rFonts w:cs="Segoe UI" w:hint="eastAsia"/>
                <w:noProof/>
                <w:sz w:val="20"/>
                <w:lang w:eastAsia="en-GB"/>
              </w:rPr>
              <w:t>L</w:t>
            </w:r>
            <w:r>
              <w:rPr>
                <w:rFonts w:cs="Segoe UI"/>
                <w:noProof/>
                <w:sz w:val="20"/>
                <w:lang w:eastAsia="en-GB"/>
              </w:rPr>
              <w:t xml:space="preserve"> </w:t>
            </w:r>
            <w:r>
              <w:rPr>
                <w:rFonts w:asciiTheme="minorEastAsia" w:eastAsiaTheme="minorEastAsia" w:hAnsiTheme="minorEastAsia" w:cs="Segoe UI" w:hint="eastAsia"/>
                <w:noProof/>
                <w:sz w:val="20"/>
                <w:lang w:eastAsia="zh-TW"/>
              </w:rPr>
              <w:t>[</w:t>
            </w:r>
            <w:r w:rsidR="00C639E1">
              <w:rPr>
                <w:rFonts w:cs="Segoe UI"/>
                <w:noProof/>
                <w:sz w:val="20"/>
                <w:lang w:eastAsia="en-GB"/>
              </w:rPr>
              <w:t>STC; BSC</w:t>
            </w:r>
            <w:r>
              <w:rPr>
                <w:rFonts w:asciiTheme="minorEastAsia" w:eastAsiaTheme="minorEastAsia" w:hAnsiTheme="minorEastAsia" w:cs="Segoe UI" w:hint="eastAsia"/>
                <w:noProof/>
                <w:sz w:val="20"/>
                <w:lang w:eastAsia="zh-TW"/>
              </w:rPr>
              <w:t>]</w:t>
            </w:r>
          </w:p>
        </w:tc>
        <w:tc>
          <w:tcPr>
            <w:tcW w:w="1244" w:type="dxa"/>
            <w:tcBorders>
              <w:lef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34"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34" w:type="dxa"/>
            <w:tcBorders>
              <w:lef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p>
        </w:tc>
        <w:tc>
          <w:tcPr>
            <w:tcW w:w="1276" w:type="dxa"/>
            <w:shd w:val="clear" w:color="auto" w:fill="auto"/>
          </w:tcPr>
          <w:p w:rsidR="00C639E1" w:rsidRDefault="00C639E1" w:rsidP="00C639E1">
            <w:pPr>
              <w:pStyle w:val="TableText"/>
              <w:spacing w:before="0" w:after="0"/>
              <w:jc w:val="center"/>
              <w:rPr>
                <w:rFonts w:cs="Segoe UI"/>
                <w:sz w:val="20"/>
                <w:lang w:eastAsia="en-GB"/>
              </w:rPr>
            </w:pPr>
            <w:r>
              <w:rPr>
                <w:rFonts w:cs="Segoe UI"/>
                <w:sz w:val="20"/>
                <w:lang w:eastAsia="en-GB"/>
              </w:rPr>
              <w:sym w:font="Wingdings 2" w:char="F050"/>
            </w:r>
          </w:p>
        </w:tc>
        <w:tc>
          <w:tcPr>
            <w:tcW w:w="1101"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r>
      <w:tr w:rsidR="00C639E1" w:rsidTr="00CE1D6C">
        <w:trPr>
          <w:cantSplit/>
          <w:trHeight w:val="283"/>
        </w:trPr>
        <w:tc>
          <w:tcPr>
            <w:tcW w:w="1843" w:type="dxa"/>
            <w:vMerge/>
            <w:tcBorders>
              <w:left w:val="nil"/>
              <w:right w:val="single" w:sz="12" w:space="0" w:color="auto"/>
            </w:tcBorders>
          </w:tcPr>
          <w:p w:rsidR="00C639E1" w:rsidRDefault="00C639E1" w:rsidP="00C639E1">
            <w:pPr>
              <w:pStyle w:val="TableText"/>
              <w:spacing w:before="0" w:after="0"/>
              <w:rPr>
                <w:rFonts w:cs="Segoe UI"/>
                <w:sz w:val="20"/>
                <w:lang w:eastAsia="en-GB"/>
              </w:rPr>
            </w:pPr>
          </w:p>
        </w:tc>
        <w:tc>
          <w:tcPr>
            <w:tcW w:w="4111" w:type="dxa"/>
            <w:tcBorders>
              <w:left w:val="single" w:sz="12" w:space="0" w:color="auto"/>
              <w:right w:val="single" w:sz="12" w:space="0" w:color="auto"/>
            </w:tcBorders>
            <w:shd w:val="clear" w:color="auto" w:fill="auto"/>
          </w:tcPr>
          <w:p w:rsidR="00C639E1" w:rsidRDefault="00C639E1" w:rsidP="00C639E1">
            <w:pPr>
              <w:pStyle w:val="TableText"/>
              <w:spacing w:before="0" w:after="0"/>
              <w:rPr>
                <w:rFonts w:cs="Segoe UI"/>
                <w:noProof/>
                <w:sz w:val="20"/>
                <w:lang w:eastAsia="en-GB"/>
              </w:rPr>
            </w:pPr>
            <w:r>
              <w:rPr>
                <w:rFonts w:cs="Segoe UI"/>
                <w:sz w:val="20"/>
                <w:lang w:eastAsia="en-GB"/>
              </w:rPr>
              <w:t>Table CRE: Qualitative disclosures related to internal models for measuring credit risk under IRB approach</w:t>
            </w:r>
          </w:p>
        </w:tc>
        <w:tc>
          <w:tcPr>
            <w:tcW w:w="992" w:type="dxa"/>
            <w:tcBorders>
              <w:left w:val="single" w:sz="12" w:space="0" w:color="auto"/>
              <w:right w:val="single" w:sz="12" w:space="0" w:color="auto"/>
            </w:tcBorders>
          </w:tcPr>
          <w:p w:rsidR="00C639E1" w:rsidRDefault="00C639E1" w:rsidP="00C639E1">
            <w:pPr>
              <w:jc w:val="center"/>
            </w:pPr>
            <w:r w:rsidRPr="008B76E7">
              <w:rPr>
                <w:rFonts w:cs="Segoe UI"/>
                <w:lang w:eastAsia="en-GB"/>
              </w:rPr>
              <w:t>I</w:t>
            </w:r>
          </w:p>
        </w:tc>
        <w:tc>
          <w:tcPr>
            <w:tcW w:w="1624" w:type="dxa"/>
            <w:tcBorders>
              <w:left w:val="single" w:sz="12" w:space="0" w:color="auto"/>
              <w:right w:val="single" w:sz="12" w:space="0" w:color="auto"/>
            </w:tcBorders>
            <w:shd w:val="clear" w:color="auto" w:fill="auto"/>
          </w:tcPr>
          <w:p w:rsidR="00C639E1" w:rsidRDefault="006843CC" w:rsidP="00C639E1">
            <w:pPr>
              <w:pStyle w:val="TableText"/>
              <w:spacing w:before="0" w:after="0"/>
              <w:jc w:val="center"/>
              <w:rPr>
                <w:rFonts w:cs="Segoe UI"/>
                <w:sz w:val="20"/>
                <w:lang w:eastAsia="en-GB"/>
              </w:rPr>
            </w:pPr>
            <w:r w:rsidRPr="003936F9">
              <w:rPr>
                <w:rFonts w:cs="Segoe UI" w:hint="eastAsia"/>
                <w:noProof/>
                <w:sz w:val="20"/>
                <w:lang w:eastAsia="en-GB"/>
              </w:rPr>
              <w:t>L</w:t>
            </w:r>
            <w:r>
              <w:rPr>
                <w:rFonts w:cs="Segoe UI"/>
                <w:noProof/>
                <w:sz w:val="20"/>
                <w:lang w:eastAsia="en-GB"/>
              </w:rPr>
              <w:t xml:space="preserve"> </w:t>
            </w:r>
            <w:r>
              <w:rPr>
                <w:rFonts w:asciiTheme="minorEastAsia" w:eastAsiaTheme="minorEastAsia" w:hAnsiTheme="minorEastAsia" w:cs="Segoe UI" w:hint="eastAsia"/>
                <w:noProof/>
                <w:sz w:val="20"/>
                <w:lang w:eastAsia="zh-TW"/>
              </w:rPr>
              <w:t>[</w:t>
            </w:r>
            <w:r w:rsidR="00C639E1">
              <w:rPr>
                <w:rFonts w:cs="Segoe UI"/>
                <w:sz w:val="20"/>
                <w:lang w:eastAsia="en-GB"/>
              </w:rPr>
              <w:t>IRB</w:t>
            </w:r>
            <w:r>
              <w:rPr>
                <w:rFonts w:asciiTheme="minorEastAsia" w:eastAsiaTheme="minorEastAsia" w:hAnsiTheme="minorEastAsia" w:cs="Segoe UI" w:hint="eastAsia"/>
                <w:sz w:val="20"/>
                <w:lang w:eastAsia="zh-TW"/>
              </w:rPr>
              <w:t>]</w:t>
            </w:r>
          </w:p>
        </w:tc>
        <w:tc>
          <w:tcPr>
            <w:tcW w:w="1244" w:type="dxa"/>
            <w:tcBorders>
              <w:lef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34" w:type="dxa"/>
            <w:tcBorders>
              <w:righ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34" w:type="dxa"/>
            <w:tcBorders>
              <w:lef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276" w:type="dxa"/>
            <w:shd w:val="clear" w:color="auto" w:fill="auto"/>
          </w:tcPr>
          <w:p w:rsidR="00C639E1" w:rsidRDefault="00C639E1" w:rsidP="00C639E1">
            <w:pPr>
              <w:pStyle w:val="TableText"/>
              <w:spacing w:before="0" w:after="0"/>
              <w:jc w:val="center"/>
              <w:rPr>
                <w:rFonts w:cs="Segoe UI"/>
                <w:sz w:val="20"/>
                <w:lang w:eastAsia="en-GB"/>
              </w:rPr>
            </w:pPr>
          </w:p>
        </w:tc>
        <w:tc>
          <w:tcPr>
            <w:tcW w:w="1101" w:type="dxa"/>
            <w:tcBorders>
              <w:righ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r>
      <w:tr w:rsidR="00C639E1" w:rsidTr="00CE1D6C">
        <w:trPr>
          <w:cantSplit/>
          <w:trHeight w:val="283"/>
        </w:trPr>
        <w:tc>
          <w:tcPr>
            <w:tcW w:w="1843" w:type="dxa"/>
            <w:vMerge/>
            <w:tcBorders>
              <w:left w:val="nil"/>
              <w:right w:val="single" w:sz="12" w:space="0" w:color="auto"/>
            </w:tcBorders>
          </w:tcPr>
          <w:p w:rsidR="00C639E1" w:rsidRDefault="00C639E1" w:rsidP="00C639E1">
            <w:pPr>
              <w:pStyle w:val="TableText"/>
              <w:spacing w:before="0" w:after="0"/>
              <w:rPr>
                <w:rFonts w:cs="Segoe UI"/>
                <w:sz w:val="20"/>
                <w:lang w:eastAsia="en-GB"/>
              </w:rPr>
            </w:pPr>
          </w:p>
        </w:tc>
        <w:tc>
          <w:tcPr>
            <w:tcW w:w="4111" w:type="dxa"/>
            <w:tcBorders>
              <w:left w:val="single" w:sz="12" w:space="0" w:color="auto"/>
              <w:right w:val="single" w:sz="12" w:space="0" w:color="auto"/>
            </w:tcBorders>
            <w:shd w:val="clear" w:color="auto" w:fill="auto"/>
          </w:tcPr>
          <w:p w:rsidR="00C639E1" w:rsidRDefault="00C639E1" w:rsidP="00C639E1">
            <w:pPr>
              <w:pStyle w:val="TableText"/>
              <w:spacing w:before="0" w:after="0"/>
              <w:rPr>
                <w:rFonts w:cs="Segoe UI"/>
                <w:noProof/>
                <w:sz w:val="20"/>
                <w:lang w:eastAsia="en-GB"/>
              </w:rPr>
            </w:pPr>
            <w:r>
              <w:rPr>
                <w:rFonts w:cs="Segoe UI"/>
                <w:sz w:val="20"/>
                <w:lang w:eastAsia="en-GB"/>
              </w:rPr>
              <w:t>Template CR6: Credit risk exposures by portfolio and PD ranges – for IRB approach</w:t>
            </w:r>
          </w:p>
        </w:tc>
        <w:tc>
          <w:tcPr>
            <w:tcW w:w="992" w:type="dxa"/>
            <w:tcBorders>
              <w:left w:val="single" w:sz="12" w:space="0" w:color="auto"/>
              <w:right w:val="single" w:sz="12" w:space="0" w:color="auto"/>
            </w:tcBorders>
          </w:tcPr>
          <w:p w:rsidR="00C639E1" w:rsidRDefault="00C639E1" w:rsidP="00C639E1">
            <w:pPr>
              <w:jc w:val="center"/>
            </w:pPr>
            <w:r w:rsidRPr="008B76E7">
              <w:rPr>
                <w:rFonts w:cs="Segoe UI"/>
                <w:lang w:eastAsia="en-GB"/>
              </w:rPr>
              <w:t>I</w:t>
            </w:r>
          </w:p>
        </w:tc>
        <w:tc>
          <w:tcPr>
            <w:tcW w:w="1624" w:type="dxa"/>
            <w:tcBorders>
              <w:left w:val="single" w:sz="12" w:space="0" w:color="auto"/>
              <w:right w:val="single" w:sz="12" w:space="0" w:color="auto"/>
            </w:tcBorders>
            <w:shd w:val="clear" w:color="auto" w:fill="auto"/>
          </w:tcPr>
          <w:p w:rsidR="00C639E1" w:rsidRDefault="006843CC" w:rsidP="00C639E1">
            <w:pPr>
              <w:pStyle w:val="TableText"/>
              <w:spacing w:before="0" w:after="0"/>
              <w:jc w:val="center"/>
              <w:rPr>
                <w:rFonts w:cs="Segoe UI"/>
                <w:noProof/>
                <w:sz w:val="20"/>
                <w:lang w:eastAsia="en-GB"/>
              </w:rPr>
            </w:pPr>
            <w:r w:rsidRPr="003936F9">
              <w:rPr>
                <w:rFonts w:cs="Segoe UI" w:hint="eastAsia"/>
                <w:noProof/>
                <w:sz w:val="20"/>
                <w:lang w:eastAsia="en-GB"/>
              </w:rPr>
              <w:t>L</w:t>
            </w:r>
            <w:r>
              <w:rPr>
                <w:rFonts w:cs="Segoe UI"/>
                <w:noProof/>
                <w:sz w:val="20"/>
                <w:lang w:eastAsia="en-GB"/>
              </w:rPr>
              <w:t xml:space="preserve"> </w:t>
            </w:r>
            <w:r>
              <w:rPr>
                <w:rFonts w:asciiTheme="minorEastAsia" w:eastAsiaTheme="minorEastAsia" w:hAnsiTheme="minorEastAsia" w:cs="Segoe UI" w:hint="eastAsia"/>
                <w:noProof/>
                <w:sz w:val="20"/>
                <w:lang w:eastAsia="zh-TW"/>
              </w:rPr>
              <w:t>[</w:t>
            </w:r>
            <w:r w:rsidR="00C639E1">
              <w:rPr>
                <w:rFonts w:cs="Segoe UI"/>
                <w:noProof/>
                <w:sz w:val="20"/>
                <w:lang w:eastAsia="en-GB"/>
              </w:rPr>
              <w:t>IRB</w:t>
            </w:r>
            <w:r>
              <w:rPr>
                <w:rFonts w:asciiTheme="minorEastAsia" w:eastAsiaTheme="minorEastAsia" w:hAnsiTheme="minorEastAsia" w:cs="Segoe UI" w:hint="eastAsia"/>
                <w:noProof/>
                <w:sz w:val="20"/>
                <w:lang w:eastAsia="zh-TW"/>
              </w:rPr>
              <w:t>]</w:t>
            </w:r>
          </w:p>
        </w:tc>
        <w:tc>
          <w:tcPr>
            <w:tcW w:w="1244" w:type="dxa"/>
            <w:tcBorders>
              <w:lef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34"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34" w:type="dxa"/>
            <w:tcBorders>
              <w:lef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p>
        </w:tc>
        <w:tc>
          <w:tcPr>
            <w:tcW w:w="1276" w:type="dxa"/>
            <w:shd w:val="clear" w:color="auto" w:fill="auto"/>
          </w:tcPr>
          <w:p w:rsidR="00C639E1" w:rsidRDefault="00C639E1" w:rsidP="00C639E1">
            <w:pPr>
              <w:pStyle w:val="TableText"/>
              <w:spacing w:before="0" w:after="0"/>
              <w:jc w:val="center"/>
              <w:rPr>
                <w:rFonts w:cs="Segoe UI"/>
                <w:sz w:val="20"/>
                <w:lang w:eastAsia="en-GB"/>
              </w:rPr>
            </w:pPr>
            <w:r>
              <w:rPr>
                <w:rFonts w:cs="Segoe UI"/>
                <w:sz w:val="20"/>
                <w:lang w:eastAsia="en-GB"/>
              </w:rPr>
              <w:sym w:font="Wingdings 2" w:char="F050"/>
            </w:r>
          </w:p>
        </w:tc>
        <w:tc>
          <w:tcPr>
            <w:tcW w:w="1101"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r>
      <w:tr w:rsidR="00C639E1" w:rsidTr="00CE1D6C">
        <w:trPr>
          <w:cantSplit/>
          <w:trHeight w:val="283"/>
        </w:trPr>
        <w:tc>
          <w:tcPr>
            <w:tcW w:w="1843" w:type="dxa"/>
            <w:vMerge/>
            <w:tcBorders>
              <w:left w:val="nil"/>
              <w:right w:val="single" w:sz="12" w:space="0" w:color="auto"/>
            </w:tcBorders>
          </w:tcPr>
          <w:p w:rsidR="00C639E1" w:rsidRDefault="00C639E1" w:rsidP="00C639E1">
            <w:pPr>
              <w:pStyle w:val="TableText"/>
              <w:spacing w:before="0" w:after="0"/>
              <w:rPr>
                <w:rFonts w:cs="Segoe UI"/>
                <w:sz w:val="20"/>
                <w:lang w:eastAsia="en-GB"/>
              </w:rPr>
            </w:pPr>
          </w:p>
        </w:tc>
        <w:tc>
          <w:tcPr>
            <w:tcW w:w="4111" w:type="dxa"/>
            <w:tcBorders>
              <w:left w:val="single" w:sz="12" w:space="0" w:color="auto"/>
              <w:bottom w:val="single" w:sz="4" w:space="0" w:color="auto"/>
              <w:right w:val="single" w:sz="12" w:space="0" w:color="auto"/>
            </w:tcBorders>
            <w:shd w:val="clear" w:color="auto" w:fill="auto"/>
          </w:tcPr>
          <w:p w:rsidR="00C639E1" w:rsidRDefault="00C639E1" w:rsidP="00C639E1">
            <w:pPr>
              <w:pStyle w:val="TableText"/>
              <w:spacing w:before="0" w:after="0"/>
              <w:rPr>
                <w:rFonts w:cs="Segoe UI"/>
                <w:noProof/>
                <w:sz w:val="20"/>
                <w:lang w:eastAsia="en-GB"/>
              </w:rPr>
            </w:pPr>
            <w:r>
              <w:rPr>
                <w:rFonts w:cs="Segoe UI"/>
                <w:sz w:val="20"/>
                <w:lang w:eastAsia="en-GB"/>
              </w:rPr>
              <w:t>Template CR7: Effects on RWA of recognized credit derivative contracts used as recognized credit risk mitigation – for IRB approach</w:t>
            </w:r>
          </w:p>
        </w:tc>
        <w:tc>
          <w:tcPr>
            <w:tcW w:w="992" w:type="dxa"/>
            <w:tcBorders>
              <w:left w:val="single" w:sz="12" w:space="0" w:color="auto"/>
              <w:right w:val="single" w:sz="12" w:space="0" w:color="auto"/>
            </w:tcBorders>
          </w:tcPr>
          <w:p w:rsidR="00C639E1" w:rsidRDefault="00C639E1" w:rsidP="00C639E1">
            <w:pPr>
              <w:jc w:val="center"/>
            </w:pPr>
            <w:r w:rsidRPr="008B76E7">
              <w:rPr>
                <w:rFonts w:cs="Segoe UI"/>
                <w:lang w:eastAsia="en-GB"/>
              </w:rPr>
              <w:t>I</w:t>
            </w:r>
          </w:p>
        </w:tc>
        <w:tc>
          <w:tcPr>
            <w:tcW w:w="1624" w:type="dxa"/>
            <w:tcBorders>
              <w:left w:val="single" w:sz="12" w:space="0" w:color="auto"/>
              <w:right w:val="single" w:sz="12" w:space="0" w:color="auto"/>
            </w:tcBorders>
            <w:shd w:val="clear" w:color="auto" w:fill="auto"/>
          </w:tcPr>
          <w:p w:rsidR="00C639E1" w:rsidRDefault="006843CC" w:rsidP="00C639E1">
            <w:pPr>
              <w:pStyle w:val="TableText"/>
              <w:spacing w:before="0" w:after="0"/>
              <w:jc w:val="center"/>
              <w:rPr>
                <w:rFonts w:cs="Segoe UI"/>
                <w:noProof/>
                <w:sz w:val="20"/>
                <w:lang w:eastAsia="en-GB"/>
              </w:rPr>
            </w:pPr>
            <w:r w:rsidRPr="003936F9">
              <w:rPr>
                <w:rFonts w:cs="Segoe UI" w:hint="eastAsia"/>
                <w:noProof/>
                <w:sz w:val="20"/>
                <w:lang w:eastAsia="en-GB"/>
              </w:rPr>
              <w:t>L</w:t>
            </w:r>
            <w:r>
              <w:rPr>
                <w:rFonts w:cs="Segoe UI"/>
                <w:noProof/>
                <w:sz w:val="20"/>
                <w:lang w:eastAsia="en-GB"/>
              </w:rPr>
              <w:t xml:space="preserve"> </w:t>
            </w:r>
            <w:r>
              <w:rPr>
                <w:rFonts w:asciiTheme="minorEastAsia" w:eastAsiaTheme="minorEastAsia" w:hAnsiTheme="minorEastAsia" w:cs="Segoe UI" w:hint="eastAsia"/>
                <w:noProof/>
                <w:sz w:val="20"/>
                <w:lang w:eastAsia="zh-TW"/>
              </w:rPr>
              <w:t>[</w:t>
            </w:r>
            <w:r w:rsidR="00C639E1">
              <w:rPr>
                <w:rFonts w:cs="Segoe UI"/>
                <w:noProof/>
                <w:sz w:val="20"/>
                <w:lang w:eastAsia="en-GB"/>
              </w:rPr>
              <w:t>IRB</w:t>
            </w:r>
            <w:r>
              <w:rPr>
                <w:rFonts w:asciiTheme="minorEastAsia" w:eastAsiaTheme="minorEastAsia" w:hAnsiTheme="minorEastAsia" w:cs="Segoe UI" w:hint="eastAsia"/>
                <w:noProof/>
                <w:sz w:val="20"/>
                <w:lang w:eastAsia="zh-TW"/>
              </w:rPr>
              <w:t>]</w:t>
            </w:r>
          </w:p>
        </w:tc>
        <w:tc>
          <w:tcPr>
            <w:tcW w:w="1244" w:type="dxa"/>
            <w:tcBorders>
              <w:lef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34"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34" w:type="dxa"/>
            <w:tcBorders>
              <w:lef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p>
        </w:tc>
        <w:tc>
          <w:tcPr>
            <w:tcW w:w="1276" w:type="dxa"/>
            <w:shd w:val="clear" w:color="auto" w:fill="auto"/>
          </w:tcPr>
          <w:p w:rsidR="00C639E1" w:rsidRDefault="00C639E1" w:rsidP="00C639E1">
            <w:pPr>
              <w:pStyle w:val="TableText"/>
              <w:spacing w:before="0" w:after="0"/>
              <w:jc w:val="center"/>
              <w:rPr>
                <w:rFonts w:cs="Segoe UI"/>
                <w:sz w:val="20"/>
                <w:lang w:eastAsia="en-GB"/>
              </w:rPr>
            </w:pPr>
            <w:r>
              <w:rPr>
                <w:rFonts w:cs="Segoe UI"/>
                <w:sz w:val="20"/>
                <w:lang w:eastAsia="en-GB"/>
              </w:rPr>
              <w:sym w:font="Wingdings 2" w:char="F050"/>
            </w:r>
          </w:p>
        </w:tc>
        <w:tc>
          <w:tcPr>
            <w:tcW w:w="1101"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r>
      <w:tr w:rsidR="00C639E1" w:rsidTr="00CE1D6C">
        <w:trPr>
          <w:cantSplit/>
          <w:trHeight w:val="283"/>
        </w:trPr>
        <w:tc>
          <w:tcPr>
            <w:tcW w:w="1843" w:type="dxa"/>
            <w:vMerge/>
            <w:tcBorders>
              <w:left w:val="nil"/>
              <w:right w:val="single" w:sz="12" w:space="0" w:color="auto"/>
            </w:tcBorders>
          </w:tcPr>
          <w:p w:rsidR="00C639E1" w:rsidRDefault="00C639E1" w:rsidP="00C639E1">
            <w:pPr>
              <w:pStyle w:val="TableText"/>
              <w:spacing w:before="0" w:after="0"/>
              <w:rPr>
                <w:rFonts w:cs="Segoe UI"/>
                <w:sz w:val="20"/>
                <w:lang w:eastAsia="en-GB"/>
              </w:rPr>
            </w:pPr>
          </w:p>
        </w:tc>
        <w:tc>
          <w:tcPr>
            <w:tcW w:w="4111" w:type="dxa"/>
            <w:tcBorders>
              <w:left w:val="single" w:sz="12" w:space="0" w:color="auto"/>
              <w:right w:val="single" w:sz="12" w:space="0" w:color="auto"/>
            </w:tcBorders>
            <w:shd w:val="clear" w:color="auto" w:fill="auto"/>
          </w:tcPr>
          <w:p w:rsidR="00C639E1" w:rsidRDefault="00C639E1" w:rsidP="00C639E1">
            <w:pPr>
              <w:pStyle w:val="TableText"/>
              <w:spacing w:before="0" w:after="0"/>
              <w:rPr>
                <w:rFonts w:cs="Segoe UI"/>
                <w:noProof/>
                <w:sz w:val="20"/>
                <w:lang w:eastAsia="en-GB"/>
              </w:rPr>
            </w:pPr>
            <w:r>
              <w:rPr>
                <w:rFonts w:cs="Segoe UI"/>
                <w:sz w:val="20"/>
                <w:lang w:eastAsia="en-GB"/>
              </w:rPr>
              <w:t>Template CR8: RWA flow statements of credit risk exposures under IRB approach</w:t>
            </w:r>
          </w:p>
        </w:tc>
        <w:tc>
          <w:tcPr>
            <w:tcW w:w="992" w:type="dxa"/>
            <w:tcBorders>
              <w:left w:val="single" w:sz="12" w:space="0" w:color="auto"/>
              <w:right w:val="single" w:sz="12" w:space="0" w:color="auto"/>
            </w:tcBorders>
          </w:tcPr>
          <w:p w:rsidR="00C639E1" w:rsidRDefault="00C639E1" w:rsidP="00C639E1">
            <w:pPr>
              <w:jc w:val="center"/>
            </w:pPr>
            <w:r w:rsidRPr="008B76E7">
              <w:rPr>
                <w:rFonts w:cs="Segoe UI"/>
                <w:lang w:eastAsia="en-GB"/>
              </w:rPr>
              <w:t>I</w:t>
            </w:r>
          </w:p>
        </w:tc>
        <w:tc>
          <w:tcPr>
            <w:tcW w:w="1624" w:type="dxa"/>
            <w:tcBorders>
              <w:left w:val="single" w:sz="12" w:space="0" w:color="auto"/>
              <w:right w:val="single" w:sz="12" w:space="0" w:color="auto"/>
            </w:tcBorders>
          </w:tcPr>
          <w:p w:rsidR="00C639E1" w:rsidRDefault="006843CC" w:rsidP="00C639E1">
            <w:pPr>
              <w:pStyle w:val="TableText"/>
              <w:spacing w:before="0" w:after="0"/>
              <w:jc w:val="center"/>
              <w:rPr>
                <w:rFonts w:cs="Segoe UI"/>
                <w:sz w:val="20"/>
                <w:lang w:eastAsia="en-GB"/>
              </w:rPr>
            </w:pPr>
            <w:r w:rsidRPr="003936F9">
              <w:rPr>
                <w:rFonts w:cs="Segoe UI" w:hint="eastAsia"/>
                <w:noProof/>
                <w:sz w:val="20"/>
                <w:lang w:eastAsia="en-GB"/>
              </w:rPr>
              <w:t>L</w:t>
            </w:r>
            <w:r>
              <w:rPr>
                <w:rFonts w:cs="Segoe UI"/>
                <w:noProof/>
                <w:sz w:val="20"/>
                <w:lang w:eastAsia="en-GB"/>
              </w:rPr>
              <w:t xml:space="preserve"> </w:t>
            </w:r>
            <w:r>
              <w:rPr>
                <w:rFonts w:asciiTheme="minorEastAsia" w:eastAsiaTheme="minorEastAsia" w:hAnsiTheme="minorEastAsia" w:cs="Segoe UI" w:hint="eastAsia"/>
                <w:noProof/>
                <w:sz w:val="20"/>
                <w:lang w:eastAsia="zh-TW"/>
              </w:rPr>
              <w:t>[</w:t>
            </w:r>
            <w:r w:rsidR="00C639E1">
              <w:rPr>
                <w:rFonts w:cs="Segoe UI"/>
                <w:noProof/>
                <w:sz w:val="20"/>
                <w:lang w:eastAsia="en-GB"/>
              </w:rPr>
              <w:t>IRB</w:t>
            </w:r>
            <w:r>
              <w:rPr>
                <w:rFonts w:asciiTheme="minorEastAsia" w:eastAsiaTheme="minorEastAsia" w:hAnsiTheme="minorEastAsia" w:cs="Segoe UI" w:hint="eastAsia"/>
                <w:noProof/>
                <w:sz w:val="20"/>
                <w:lang w:eastAsia="zh-TW"/>
              </w:rPr>
              <w:t>]</w:t>
            </w:r>
          </w:p>
        </w:tc>
        <w:tc>
          <w:tcPr>
            <w:tcW w:w="1244" w:type="dxa"/>
            <w:tcBorders>
              <w:left w:val="single" w:sz="12" w:space="0" w:color="auto"/>
            </w:tcBorders>
          </w:tcPr>
          <w:p w:rsidR="00C639E1" w:rsidRDefault="00C639E1" w:rsidP="00C639E1">
            <w:pPr>
              <w:pStyle w:val="TableText"/>
              <w:spacing w:before="0" w:after="0"/>
              <w:jc w:val="center"/>
              <w:rPr>
                <w:rFonts w:cs="Segoe UI"/>
                <w:sz w:val="20"/>
                <w:lang w:eastAsia="en-GB"/>
              </w:rPr>
            </w:pPr>
            <w:r>
              <w:rPr>
                <w:rFonts w:cs="Segoe UI"/>
                <w:sz w:val="20"/>
                <w:lang w:eastAsia="en-GB"/>
              </w:rPr>
              <w:sym w:font="Wingdings 2" w:char="F050"/>
            </w:r>
          </w:p>
        </w:tc>
        <w:tc>
          <w:tcPr>
            <w:tcW w:w="1134" w:type="dxa"/>
            <w:tcBorders>
              <w:right w:val="single" w:sz="12" w:space="0" w:color="auto"/>
            </w:tcBorders>
          </w:tcPr>
          <w:p w:rsidR="00C639E1" w:rsidRDefault="00C639E1" w:rsidP="00C639E1">
            <w:pPr>
              <w:pStyle w:val="TableText"/>
              <w:spacing w:before="0" w:after="0"/>
              <w:jc w:val="center"/>
              <w:rPr>
                <w:rFonts w:cs="Segoe UI"/>
                <w:noProof/>
                <w:sz w:val="20"/>
                <w:lang w:eastAsia="en-GB"/>
              </w:rPr>
            </w:pPr>
          </w:p>
        </w:tc>
        <w:tc>
          <w:tcPr>
            <w:tcW w:w="1134" w:type="dxa"/>
            <w:tcBorders>
              <w:left w:val="single" w:sz="12" w:space="0" w:color="auto"/>
            </w:tcBorders>
          </w:tcPr>
          <w:p w:rsidR="00C639E1" w:rsidRDefault="00C639E1" w:rsidP="00C639E1">
            <w:pPr>
              <w:pStyle w:val="TableText"/>
              <w:spacing w:before="0" w:after="0"/>
              <w:jc w:val="center"/>
              <w:rPr>
                <w:rFonts w:cs="Segoe UI"/>
                <w:sz w:val="20"/>
                <w:lang w:eastAsia="en-GB"/>
              </w:rPr>
            </w:pPr>
            <w:r>
              <w:rPr>
                <w:rFonts w:cs="Segoe UI"/>
                <w:sz w:val="20"/>
                <w:lang w:eastAsia="en-GB"/>
              </w:rPr>
              <w:sym w:font="Wingdings 2" w:char="F050"/>
            </w:r>
          </w:p>
        </w:tc>
        <w:tc>
          <w:tcPr>
            <w:tcW w:w="1276" w:type="dxa"/>
          </w:tcPr>
          <w:p w:rsidR="00C639E1" w:rsidRDefault="00C639E1" w:rsidP="00C639E1">
            <w:pPr>
              <w:pStyle w:val="TableText"/>
              <w:spacing w:before="0" w:after="0"/>
              <w:jc w:val="center"/>
              <w:rPr>
                <w:rFonts w:cs="Segoe UI"/>
                <w:noProof/>
                <w:sz w:val="20"/>
                <w:lang w:eastAsia="en-GB"/>
              </w:rPr>
            </w:pPr>
          </w:p>
        </w:tc>
        <w:tc>
          <w:tcPr>
            <w:tcW w:w="1101" w:type="dxa"/>
            <w:tcBorders>
              <w:right w:val="single" w:sz="12" w:space="0" w:color="auto"/>
            </w:tcBorders>
          </w:tcPr>
          <w:p w:rsidR="00C639E1" w:rsidRDefault="00C639E1" w:rsidP="00C639E1">
            <w:pPr>
              <w:pStyle w:val="TableText"/>
              <w:spacing w:before="0" w:after="0"/>
              <w:jc w:val="center"/>
              <w:rPr>
                <w:rFonts w:cs="Segoe UI"/>
                <w:sz w:val="20"/>
                <w:lang w:eastAsia="en-GB"/>
              </w:rPr>
            </w:pPr>
          </w:p>
        </w:tc>
      </w:tr>
      <w:tr w:rsidR="00C639E1" w:rsidTr="00CE1D6C">
        <w:trPr>
          <w:cantSplit/>
          <w:trHeight w:val="283"/>
        </w:trPr>
        <w:tc>
          <w:tcPr>
            <w:tcW w:w="1843" w:type="dxa"/>
            <w:vMerge/>
            <w:tcBorders>
              <w:left w:val="nil"/>
              <w:right w:val="single" w:sz="12" w:space="0" w:color="auto"/>
            </w:tcBorders>
          </w:tcPr>
          <w:p w:rsidR="00C639E1" w:rsidRDefault="00C639E1" w:rsidP="00C639E1">
            <w:pPr>
              <w:pStyle w:val="TableText"/>
              <w:spacing w:before="0" w:after="0"/>
              <w:rPr>
                <w:rFonts w:cs="Segoe UI"/>
                <w:sz w:val="20"/>
                <w:lang w:eastAsia="en-GB"/>
              </w:rPr>
            </w:pPr>
          </w:p>
        </w:tc>
        <w:tc>
          <w:tcPr>
            <w:tcW w:w="4111" w:type="dxa"/>
            <w:tcBorders>
              <w:left w:val="single" w:sz="12" w:space="0" w:color="auto"/>
              <w:right w:val="single" w:sz="12" w:space="0" w:color="auto"/>
            </w:tcBorders>
          </w:tcPr>
          <w:p w:rsidR="00C639E1" w:rsidRDefault="00C639E1" w:rsidP="00C639E1">
            <w:pPr>
              <w:pStyle w:val="TableText"/>
              <w:spacing w:before="0" w:after="0"/>
              <w:rPr>
                <w:rFonts w:cs="Segoe UI"/>
                <w:noProof/>
                <w:sz w:val="20"/>
                <w:lang w:eastAsia="en-GB"/>
              </w:rPr>
            </w:pPr>
            <w:r>
              <w:rPr>
                <w:rFonts w:cs="Segoe UI"/>
                <w:sz w:val="20"/>
                <w:lang w:eastAsia="en-GB"/>
              </w:rPr>
              <w:t>Template CR9: Back-testing of PD per portfolio – for IRB approach</w:t>
            </w:r>
          </w:p>
        </w:tc>
        <w:tc>
          <w:tcPr>
            <w:tcW w:w="992" w:type="dxa"/>
            <w:tcBorders>
              <w:left w:val="single" w:sz="12" w:space="0" w:color="auto"/>
              <w:right w:val="single" w:sz="12" w:space="0" w:color="auto"/>
            </w:tcBorders>
          </w:tcPr>
          <w:p w:rsidR="00C639E1" w:rsidRDefault="00C639E1" w:rsidP="00C639E1">
            <w:pPr>
              <w:jc w:val="center"/>
            </w:pPr>
            <w:r w:rsidRPr="008B76E7">
              <w:rPr>
                <w:rFonts w:cs="Segoe UI"/>
                <w:lang w:eastAsia="en-GB"/>
              </w:rPr>
              <w:t>I</w:t>
            </w:r>
          </w:p>
        </w:tc>
        <w:tc>
          <w:tcPr>
            <w:tcW w:w="1624" w:type="dxa"/>
            <w:tcBorders>
              <w:left w:val="single" w:sz="12" w:space="0" w:color="auto"/>
              <w:right w:val="single" w:sz="12" w:space="0" w:color="auto"/>
            </w:tcBorders>
          </w:tcPr>
          <w:p w:rsidR="00C639E1" w:rsidRDefault="006843CC" w:rsidP="00C639E1">
            <w:pPr>
              <w:pStyle w:val="TableText"/>
              <w:spacing w:before="0" w:after="0"/>
              <w:jc w:val="center"/>
              <w:rPr>
                <w:rFonts w:cs="Segoe UI"/>
                <w:sz w:val="20"/>
                <w:lang w:eastAsia="en-GB"/>
              </w:rPr>
            </w:pPr>
            <w:r w:rsidRPr="003936F9">
              <w:rPr>
                <w:rFonts w:cs="Segoe UI" w:hint="eastAsia"/>
                <w:noProof/>
                <w:sz w:val="20"/>
                <w:lang w:eastAsia="en-GB"/>
              </w:rPr>
              <w:t>L</w:t>
            </w:r>
            <w:r>
              <w:rPr>
                <w:rFonts w:cs="Segoe UI"/>
                <w:noProof/>
                <w:sz w:val="20"/>
                <w:lang w:eastAsia="en-GB"/>
              </w:rPr>
              <w:t xml:space="preserve"> </w:t>
            </w:r>
            <w:r>
              <w:rPr>
                <w:rFonts w:asciiTheme="minorEastAsia" w:eastAsiaTheme="minorEastAsia" w:hAnsiTheme="minorEastAsia" w:cs="Segoe UI" w:hint="eastAsia"/>
                <w:noProof/>
                <w:sz w:val="20"/>
                <w:lang w:eastAsia="zh-TW"/>
              </w:rPr>
              <w:t>[</w:t>
            </w:r>
            <w:r w:rsidR="00C639E1">
              <w:rPr>
                <w:rFonts w:cs="Segoe UI"/>
                <w:noProof/>
                <w:sz w:val="20"/>
                <w:lang w:eastAsia="en-GB"/>
              </w:rPr>
              <w:t>IRB</w:t>
            </w:r>
            <w:r>
              <w:rPr>
                <w:rFonts w:asciiTheme="minorEastAsia" w:eastAsiaTheme="minorEastAsia" w:hAnsiTheme="minorEastAsia" w:cs="Segoe UI" w:hint="eastAsia"/>
                <w:noProof/>
                <w:sz w:val="20"/>
                <w:lang w:eastAsia="zh-TW"/>
              </w:rPr>
              <w:t>]</w:t>
            </w:r>
          </w:p>
        </w:tc>
        <w:tc>
          <w:tcPr>
            <w:tcW w:w="1244" w:type="dxa"/>
            <w:tcBorders>
              <w:left w:val="single" w:sz="12" w:space="0" w:color="auto"/>
            </w:tcBorders>
          </w:tcPr>
          <w:p w:rsidR="00C639E1" w:rsidRDefault="00C639E1" w:rsidP="00C639E1">
            <w:pPr>
              <w:pStyle w:val="TableText"/>
              <w:spacing w:before="0" w:after="0"/>
              <w:jc w:val="center"/>
              <w:rPr>
                <w:rFonts w:cs="Segoe UI"/>
                <w:sz w:val="20"/>
                <w:lang w:eastAsia="en-GB"/>
              </w:rPr>
            </w:pPr>
          </w:p>
        </w:tc>
        <w:tc>
          <w:tcPr>
            <w:tcW w:w="1134" w:type="dxa"/>
            <w:tcBorders>
              <w:right w:val="single" w:sz="12" w:space="0" w:color="auto"/>
            </w:tcBorders>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34" w:type="dxa"/>
            <w:tcBorders>
              <w:left w:val="single" w:sz="12" w:space="0" w:color="auto"/>
            </w:tcBorders>
          </w:tcPr>
          <w:p w:rsidR="00C639E1" w:rsidRDefault="00C639E1" w:rsidP="00C639E1">
            <w:pPr>
              <w:pStyle w:val="TableText"/>
              <w:spacing w:before="0" w:after="0"/>
              <w:jc w:val="center"/>
              <w:rPr>
                <w:rFonts w:cs="Segoe UI"/>
                <w:sz w:val="20"/>
                <w:lang w:eastAsia="en-GB"/>
              </w:rPr>
            </w:pPr>
          </w:p>
        </w:tc>
        <w:tc>
          <w:tcPr>
            <w:tcW w:w="1276" w:type="dxa"/>
          </w:tcPr>
          <w:p w:rsidR="00C639E1" w:rsidRDefault="00C639E1" w:rsidP="00C639E1">
            <w:pPr>
              <w:pStyle w:val="TableText"/>
              <w:spacing w:before="0" w:after="0"/>
              <w:jc w:val="center"/>
              <w:rPr>
                <w:rFonts w:cs="Segoe UI"/>
                <w:sz w:val="20"/>
                <w:lang w:eastAsia="en-GB"/>
              </w:rPr>
            </w:pPr>
          </w:p>
        </w:tc>
        <w:tc>
          <w:tcPr>
            <w:tcW w:w="1101" w:type="dxa"/>
            <w:tcBorders>
              <w:right w:val="single" w:sz="12" w:space="0" w:color="auto"/>
            </w:tcBorders>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r>
      <w:tr w:rsidR="00C639E1" w:rsidTr="00CE1D6C">
        <w:trPr>
          <w:cantSplit/>
          <w:trHeight w:val="283"/>
        </w:trPr>
        <w:tc>
          <w:tcPr>
            <w:tcW w:w="1843" w:type="dxa"/>
            <w:vMerge/>
            <w:tcBorders>
              <w:left w:val="nil"/>
              <w:right w:val="single" w:sz="12" w:space="0" w:color="auto"/>
            </w:tcBorders>
          </w:tcPr>
          <w:p w:rsidR="00C639E1" w:rsidRDefault="00C639E1" w:rsidP="00C639E1">
            <w:pPr>
              <w:pStyle w:val="TableText"/>
              <w:spacing w:before="0" w:after="0"/>
              <w:rPr>
                <w:rFonts w:cs="Segoe UI"/>
                <w:sz w:val="20"/>
                <w:lang w:eastAsia="en-GB"/>
              </w:rPr>
            </w:pPr>
          </w:p>
        </w:tc>
        <w:tc>
          <w:tcPr>
            <w:tcW w:w="4111" w:type="dxa"/>
            <w:tcBorders>
              <w:left w:val="single" w:sz="12" w:space="0" w:color="auto"/>
              <w:bottom w:val="single" w:sz="12" w:space="0" w:color="auto"/>
              <w:right w:val="single" w:sz="12" w:space="0" w:color="auto"/>
            </w:tcBorders>
          </w:tcPr>
          <w:p w:rsidR="00C639E1" w:rsidRDefault="00C639E1" w:rsidP="00C639E1">
            <w:pPr>
              <w:pStyle w:val="TableText"/>
              <w:spacing w:before="0" w:after="0"/>
              <w:rPr>
                <w:rFonts w:cs="Segoe UI"/>
                <w:noProof/>
                <w:sz w:val="20"/>
                <w:lang w:eastAsia="en-GB"/>
              </w:rPr>
            </w:pPr>
            <w:r>
              <w:rPr>
                <w:rFonts w:cs="Segoe UI"/>
                <w:sz w:val="20"/>
                <w:lang w:eastAsia="en-GB"/>
              </w:rPr>
              <w:t>Template CR10: Specialized lending under supervisory slotting criteria approach and equities under simple risk-weight method – for IRB approach</w:t>
            </w:r>
          </w:p>
        </w:tc>
        <w:tc>
          <w:tcPr>
            <w:tcW w:w="992" w:type="dxa"/>
            <w:tcBorders>
              <w:left w:val="single" w:sz="12" w:space="0" w:color="auto"/>
              <w:bottom w:val="single" w:sz="12" w:space="0" w:color="auto"/>
              <w:right w:val="single" w:sz="12" w:space="0" w:color="auto"/>
            </w:tcBorders>
          </w:tcPr>
          <w:p w:rsidR="00C639E1" w:rsidRDefault="00C639E1" w:rsidP="00C639E1">
            <w:pPr>
              <w:jc w:val="center"/>
            </w:pPr>
            <w:r w:rsidRPr="008B76E7">
              <w:rPr>
                <w:rFonts w:cs="Segoe UI"/>
                <w:lang w:eastAsia="en-GB"/>
              </w:rPr>
              <w:t>I</w:t>
            </w:r>
          </w:p>
        </w:tc>
        <w:tc>
          <w:tcPr>
            <w:tcW w:w="1624" w:type="dxa"/>
            <w:tcBorders>
              <w:left w:val="single" w:sz="12" w:space="0" w:color="auto"/>
              <w:bottom w:val="single" w:sz="12" w:space="0" w:color="auto"/>
              <w:right w:val="single" w:sz="12" w:space="0" w:color="auto"/>
            </w:tcBorders>
          </w:tcPr>
          <w:p w:rsidR="00C639E1" w:rsidRDefault="006843CC" w:rsidP="00C639E1">
            <w:pPr>
              <w:pStyle w:val="TableText"/>
              <w:spacing w:before="0" w:after="0"/>
              <w:jc w:val="center"/>
              <w:rPr>
                <w:rFonts w:cs="Segoe UI"/>
                <w:sz w:val="20"/>
                <w:lang w:eastAsia="en-GB"/>
              </w:rPr>
            </w:pPr>
            <w:r w:rsidRPr="003936F9">
              <w:rPr>
                <w:rFonts w:cs="Segoe UI" w:hint="eastAsia"/>
                <w:noProof/>
                <w:sz w:val="20"/>
                <w:lang w:eastAsia="en-GB"/>
              </w:rPr>
              <w:t>L</w:t>
            </w:r>
            <w:r>
              <w:rPr>
                <w:rFonts w:cs="Segoe UI"/>
                <w:noProof/>
                <w:sz w:val="20"/>
                <w:lang w:eastAsia="en-GB"/>
              </w:rPr>
              <w:t xml:space="preserve"> </w:t>
            </w:r>
            <w:r>
              <w:rPr>
                <w:rFonts w:asciiTheme="minorEastAsia" w:eastAsiaTheme="minorEastAsia" w:hAnsiTheme="minorEastAsia" w:cs="Segoe UI" w:hint="eastAsia"/>
                <w:noProof/>
                <w:sz w:val="20"/>
                <w:lang w:eastAsia="zh-TW"/>
              </w:rPr>
              <w:t>[</w:t>
            </w:r>
            <w:r w:rsidR="00C639E1">
              <w:rPr>
                <w:rFonts w:cs="Segoe UI"/>
                <w:noProof/>
                <w:sz w:val="20"/>
                <w:lang w:eastAsia="en-GB"/>
              </w:rPr>
              <w:t>IRB</w:t>
            </w:r>
            <w:r>
              <w:rPr>
                <w:rFonts w:asciiTheme="minorEastAsia" w:eastAsiaTheme="minorEastAsia" w:hAnsiTheme="minorEastAsia" w:cs="Segoe UI" w:hint="eastAsia"/>
                <w:noProof/>
                <w:sz w:val="20"/>
                <w:lang w:eastAsia="zh-TW"/>
              </w:rPr>
              <w:t>]</w:t>
            </w:r>
          </w:p>
        </w:tc>
        <w:tc>
          <w:tcPr>
            <w:tcW w:w="1244" w:type="dxa"/>
            <w:tcBorders>
              <w:left w:val="single" w:sz="12" w:space="0" w:color="auto"/>
              <w:bottom w:val="single" w:sz="12" w:space="0" w:color="auto"/>
            </w:tcBorders>
          </w:tcPr>
          <w:p w:rsidR="00C639E1" w:rsidRDefault="00C639E1" w:rsidP="00C639E1">
            <w:pPr>
              <w:pStyle w:val="TableText"/>
              <w:spacing w:before="0" w:after="0"/>
              <w:jc w:val="center"/>
              <w:rPr>
                <w:rFonts w:cs="Segoe UI"/>
                <w:sz w:val="20"/>
                <w:lang w:eastAsia="en-GB"/>
              </w:rPr>
            </w:pPr>
          </w:p>
        </w:tc>
        <w:tc>
          <w:tcPr>
            <w:tcW w:w="1134" w:type="dxa"/>
            <w:tcBorders>
              <w:bottom w:val="single" w:sz="12" w:space="0" w:color="auto"/>
              <w:right w:val="single" w:sz="12" w:space="0" w:color="auto"/>
            </w:tcBorders>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34" w:type="dxa"/>
            <w:tcBorders>
              <w:left w:val="single" w:sz="12" w:space="0" w:color="auto"/>
              <w:bottom w:val="single" w:sz="12" w:space="0" w:color="auto"/>
            </w:tcBorders>
          </w:tcPr>
          <w:p w:rsidR="00C639E1" w:rsidRDefault="00C639E1" w:rsidP="00C639E1">
            <w:pPr>
              <w:pStyle w:val="TableText"/>
              <w:spacing w:before="0" w:after="0"/>
              <w:jc w:val="center"/>
              <w:rPr>
                <w:rFonts w:cs="Segoe UI"/>
                <w:noProof/>
                <w:sz w:val="20"/>
                <w:lang w:eastAsia="en-GB"/>
              </w:rPr>
            </w:pPr>
          </w:p>
        </w:tc>
        <w:tc>
          <w:tcPr>
            <w:tcW w:w="1276" w:type="dxa"/>
            <w:tcBorders>
              <w:bottom w:val="single" w:sz="12" w:space="0" w:color="auto"/>
            </w:tcBorders>
          </w:tcPr>
          <w:p w:rsidR="00C639E1" w:rsidRDefault="00C639E1" w:rsidP="00C639E1">
            <w:pPr>
              <w:pStyle w:val="TableText"/>
              <w:spacing w:before="0" w:after="0"/>
              <w:jc w:val="center"/>
              <w:rPr>
                <w:rFonts w:cs="Segoe UI"/>
                <w:sz w:val="20"/>
                <w:lang w:eastAsia="en-GB"/>
              </w:rPr>
            </w:pPr>
            <w:r>
              <w:rPr>
                <w:rFonts w:cs="Segoe UI"/>
                <w:sz w:val="20"/>
                <w:lang w:eastAsia="en-GB"/>
              </w:rPr>
              <w:sym w:font="Wingdings 2" w:char="F050"/>
            </w:r>
          </w:p>
        </w:tc>
        <w:tc>
          <w:tcPr>
            <w:tcW w:w="1101" w:type="dxa"/>
            <w:tcBorders>
              <w:bottom w:val="single" w:sz="12" w:space="0" w:color="auto"/>
              <w:right w:val="single" w:sz="12" w:space="0" w:color="auto"/>
            </w:tcBorders>
          </w:tcPr>
          <w:p w:rsidR="00C639E1" w:rsidRDefault="00C639E1" w:rsidP="00C639E1">
            <w:pPr>
              <w:pStyle w:val="TableText"/>
              <w:spacing w:before="0" w:after="0"/>
              <w:jc w:val="center"/>
              <w:rPr>
                <w:rFonts w:cs="Segoe UI"/>
                <w:sz w:val="20"/>
                <w:lang w:eastAsia="en-GB"/>
              </w:rPr>
            </w:pPr>
          </w:p>
        </w:tc>
      </w:tr>
      <w:tr w:rsidR="00C639E1" w:rsidTr="00CE1D6C">
        <w:trPr>
          <w:cantSplit/>
          <w:trHeight w:val="283"/>
        </w:trPr>
        <w:tc>
          <w:tcPr>
            <w:tcW w:w="1843" w:type="dxa"/>
            <w:vMerge w:val="restart"/>
            <w:tcBorders>
              <w:top w:val="single" w:sz="12" w:space="0" w:color="auto"/>
              <w:left w:val="nil"/>
              <w:right w:val="single" w:sz="12" w:space="0" w:color="auto"/>
            </w:tcBorders>
          </w:tcPr>
          <w:p w:rsidR="00C639E1" w:rsidRDefault="00C639E1" w:rsidP="00C639E1">
            <w:pPr>
              <w:pStyle w:val="TableText"/>
              <w:spacing w:before="0" w:after="0"/>
              <w:rPr>
                <w:rFonts w:cs="Segoe UI"/>
                <w:sz w:val="20"/>
                <w:lang w:eastAsia="en-GB"/>
              </w:rPr>
            </w:pPr>
            <w:r>
              <w:rPr>
                <w:rFonts w:cs="Segoe UI"/>
                <w:sz w:val="20"/>
                <w:lang w:eastAsia="en-GB"/>
              </w:rPr>
              <w:t>Part IV : Counterparty Credit risk</w:t>
            </w:r>
          </w:p>
        </w:tc>
        <w:tc>
          <w:tcPr>
            <w:tcW w:w="4111" w:type="dxa"/>
            <w:tcBorders>
              <w:top w:val="single" w:sz="12" w:space="0" w:color="auto"/>
              <w:left w:val="single" w:sz="12" w:space="0" w:color="auto"/>
              <w:bottom w:val="single" w:sz="4" w:space="0" w:color="auto"/>
              <w:right w:val="single" w:sz="12" w:space="0" w:color="auto"/>
            </w:tcBorders>
            <w:shd w:val="clear" w:color="auto" w:fill="auto"/>
          </w:tcPr>
          <w:p w:rsidR="00C639E1" w:rsidRDefault="00C639E1" w:rsidP="00C639E1">
            <w:pPr>
              <w:pStyle w:val="TableText"/>
              <w:spacing w:before="0" w:after="0"/>
              <w:rPr>
                <w:rFonts w:cs="Segoe UI"/>
                <w:noProof/>
                <w:sz w:val="20"/>
                <w:lang w:eastAsia="en-GB"/>
              </w:rPr>
            </w:pPr>
            <w:r>
              <w:rPr>
                <w:rFonts w:cs="Segoe UI"/>
                <w:sz w:val="20"/>
                <w:lang w:eastAsia="en-GB"/>
              </w:rPr>
              <w:t>Table CCRA: Qualitative disclosures related to counterparty credit risk (including those arising from clearing through CCPs)</w:t>
            </w:r>
          </w:p>
        </w:tc>
        <w:tc>
          <w:tcPr>
            <w:tcW w:w="992" w:type="dxa"/>
            <w:tcBorders>
              <w:top w:val="single" w:sz="12" w:space="0" w:color="auto"/>
              <w:left w:val="single" w:sz="12" w:space="0" w:color="auto"/>
              <w:right w:val="single" w:sz="12" w:space="0" w:color="auto"/>
            </w:tcBorders>
          </w:tcPr>
          <w:p w:rsidR="00C639E1" w:rsidRDefault="00C639E1" w:rsidP="00C639E1">
            <w:pPr>
              <w:jc w:val="center"/>
            </w:pPr>
            <w:r w:rsidRPr="00173FE8">
              <w:rPr>
                <w:rFonts w:cs="Segoe UI"/>
                <w:lang w:eastAsia="en-GB"/>
              </w:rPr>
              <w:t>I</w:t>
            </w:r>
          </w:p>
        </w:tc>
        <w:tc>
          <w:tcPr>
            <w:tcW w:w="1624" w:type="dxa"/>
            <w:tcBorders>
              <w:top w:val="single" w:sz="12" w:space="0" w:color="auto"/>
              <w:left w:val="single" w:sz="12" w:space="0" w:color="auto"/>
              <w:right w:val="single" w:sz="12" w:space="0" w:color="auto"/>
            </w:tcBorders>
            <w:shd w:val="clear" w:color="auto" w:fill="auto"/>
          </w:tcPr>
          <w:p w:rsidR="00C639E1" w:rsidRDefault="00F46D3E" w:rsidP="00C639E1">
            <w:pPr>
              <w:pStyle w:val="TableText"/>
              <w:spacing w:before="0" w:after="0"/>
              <w:jc w:val="center"/>
              <w:rPr>
                <w:rFonts w:cs="Segoe UI"/>
                <w:sz w:val="20"/>
                <w:lang w:eastAsia="en-GB"/>
              </w:rPr>
            </w:pPr>
            <w:r w:rsidRPr="003936F9">
              <w:rPr>
                <w:rFonts w:cs="Segoe UI" w:hint="eastAsia"/>
                <w:noProof/>
                <w:sz w:val="20"/>
                <w:lang w:eastAsia="en-GB"/>
              </w:rPr>
              <w:t>L</w:t>
            </w:r>
          </w:p>
        </w:tc>
        <w:tc>
          <w:tcPr>
            <w:tcW w:w="1244" w:type="dxa"/>
            <w:tcBorders>
              <w:top w:val="single" w:sz="12" w:space="0" w:color="auto"/>
              <w:lef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34" w:type="dxa"/>
            <w:tcBorders>
              <w:top w:val="single" w:sz="12" w:space="0" w:color="auto"/>
              <w:righ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34" w:type="dxa"/>
            <w:tcBorders>
              <w:top w:val="single" w:sz="12" w:space="0" w:color="auto"/>
              <w:lef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276" w:type="dxa"/>
            <w:tcBorders>
              <w:top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01" w:type="dxa"/>
            <w:tcBorders>
              <w:top w:val="single" w:sz="12" w:space="0" w:color="auto"/>
              <w:righ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r>
      <w:tr w:rsidR="00C639E1" w:rsidTr="00CE1D6C">
        <w:trPr>
          <w:cantSplit/>
          <w:trHeight w:val="283"/>
        </w:trPr>
        <w:tc>
          <w:tcPr>
            <w:tcW w:w="1843" w:type="dxa"/>
            <w:vMerge/>
            <w:tcBorders>
              <w:left w:val="nil"/>
              <w:right w:val="single" w:sz="12" w:space="0" w:color="auto"/>
            </w:tcBorders>
          </w:tcPr>
          <w:p w:rsidR="00C639E1" w:rsidRDefault="00C639E1" w:rsidP="00C639E1">
            <w:pPr>
              <w:pStyle w:val="TableText"/>
              <w:spacing w:before="0" w:after="0"/>
              <w:rPr>
                <w:rFonts w:cs="Segoe UI"/>
                <w:sz w:val="20"/>
                <w:lang w:eastAsia="en-GB"/>
              </w:rPr>
            </w:pPr>
          </w:p>
        </w:tc>
        <w:tc>
          <w:tcPr>
            <w:tcW w:w="4111" w:type="dxa"/>
            <w:tcBorders>
              <w:left w:val="single" w:sz="12" w:space="0" w:color="auto"/>
              <w:right w:val="single" w:sz="12" w:space="0" w:color="auto"/>
            </w:tcBorders>
            <w:shd w:val="clear" w:color="auto" w:fill="8EAADB" w:themeFill="accent5" w:themeFillTint="99"/>
          </w:tcPr>
          <w:p w:rsidR="00C639E1" w:rsidRDefault="00C639E1" w:rsidP="00C639E1">
            <w:pPr>
              <w:pStyle w:val="TableText"/>
              <w:spacing w:before="0" w:after="0"/>
              <w:rPr>
                <w:rFonts w:cs="Segoe UI"/>
                <w:noProof/>
                <w:sz w:val="20"/>
                <w:lang w:eastAsia="en-GB"/>
              </w:rPr>
            </w:pPr>
            <w:r>
              <w:rPr>
                <w:rFonts w:cs="Segoe UI"/>
                <w:sz w:val="20"/>
                <w:lang w:eastAsia="en-GB"/>
              </w:rPr>
              <w:t>Template CCR1: Analysis of counterparty default risk exposures (other than those to CCPs) by approaches</w:t>
            </w:r>
          </w:p>
        </w:tc>
        <w:tc>
          <w:tcPr>
            <w:tcW w:w="992" w:type="dxa"/>
            <w:tcBorders>
              <w:left w:val="single" w:sz="12" w:space="0" w:color="auto"/>
              <w:right w:val="single" w:sz="12" w:space="0" w:color="auto"/>
            </w:tcBorders>
          </w:tcPr>
          <w:p w:rsidR="00C639E1" w:rsidRDefault="00C639E1" w:rsidP="00C639E1">
            <w:pPr>
              <w:jc w:val="center"/>
            </w:pPr>
            <w:r w:rsidRPr="00173FE8">
              <w:rPr>
                <w:rFonts w:cs="Segoe UI"/>
                <w:lang w:eastAsia="en-GB"/>
              </w:rPr>
              <w:t>I</w:t>
            </w:r>
          </w:p>
        </w:tc>
        <w:tc>
          <w:tcPr>
            <w:tcW w:w="1624" w:type="dxa"/>
            <w:tcBorders>
              <w:left w:val="single" w:sz="12" w:space="0" w:color="auto"/>
              <w:right w:val="single" w:sz="12" w:space="0" w:color="auto"/>
            </w:tcBorders>
            <w:shd w:val="clear" w:color="auto" w:fill="auto"/>
          </w:tcPr>
          <w:p w:rsidR="00C639E1" w:rsidRDefault="00F46D3E" w:rsidP="00C639E1">
            <w:pPr>
              <w:pStyle w:val="TableText"/>
              <w:spacing w:before="0" w:after="0"/>
              <w:jc w:val="center"/>
              <w:rPr>
                <w:rFonts w:cs="Segoe UI"/>
                <w:noProof/>
                <w:sz w:val="20"/>
                <w:lang w:eastAsia="en-GB"/>
              </w:rPr>
            </w:pPr>
            <w:r w:rsidRPr="003936F9">
              <w:rPr>
                <w:rFonts w:cs="Segoe UI" w:hint="eastAsia"/>
                <w:noProof/>
                <w:sz w:val="20"/>
                <w:lang w:eastAsia="en-GB"/>
              </w:rPr>
              <w:t>L</w:t>
            </w:r>
          </w:p>
        </w:tc>
        <w:tc>
          <w:tcPr>
            <w:tcW w:w="1244" w:type="dxa"/>
            <w:tcBorders>
              <w:lef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34"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34" w:type="dxa"/>
            <w:tcBorders>
              <w:lef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p>
        </w:tc>
        <w:tc>
          <w:tcPr>
            <w:tcW w:w="1276" w:type="dxa"/>
            <w:shd w:val="clear" w:color="auto" w:fill="auto"/>
          </w:tcPr>
          <w:p w:rsidR="00C639E1" w:rsidRDefault="00C639E1" w:rsidP="00C639E1">
            <w:pPr>
              <w:pStyle w:val="TableText"/>
              <w:spacing w:before="0" w:after="0"/>
              <w:jc w:val="center"/>
              <w:rPr>
                <w:rFonts w:cs="Segoe UI"/>
                <w:sz w:val="20"/>
                <w:lang w:eastAsia="en-GB"/>
              </w:rPr>
            </w:pPr>
            <w:r>
              <w:rPr>
                <w:rFonts w:cs="Segoe UI"/>
                <w:sz w:val="20"/>
                <w:lang w:eastAsia="en-GB"/>
              </w:rPr>
              <w:sym w:font="Wingdings 2" w:char="F050"/>
            </w:r>
          </w:p>
        </w:tc>
        <w:tc>
          <w:tcPr>
            <w:tcW w:w="1101"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r>
      <w:tr w:rsidR="00C639E1" w:rsidTr="00CE1D6C">
        <w:trPr>
          <w:cantSplit/>
          <w:trHeight w:val="283"/>
        </w:trPr>
        <w:tc>
          <w:tcPr>
            <w:tcW w:w="1843" w:type="dxa"/>
            <w:vMerge/>
            <w:tcBorders>
              <w:left w:val="nil"/>
              <w:right w:val="single" w:sz="12" w:space="0" w:color="auto"/>
            </w:tcBorders>
          </w:tcPr>
          <w:p w:rsidR="00C639E1" w:rsidRDefault="00C639E1" w:rsidP="00C639E1">
            <w:pPr>
              <w:pStyle w:val="TableText"/>
              <w:spacing w:before="0" w:after="0"/>
              <w:rPr>
                <w:rFonts w:cs="Segoe UI"/>
                <w:sz w:val="20"/>
                <w:lang w:eastAsia="en-GB"/>
              </w:rPr>
            </w:pPr>
          </w:p>
        </w:tc>
        <w:tc>
          <w:tcPr>
            <w:tcW w:w="4111" w:type="dxa"/>
            <w:tcBorders>
              <w:left w:val="single" w:sz="12" w:space="0" w:color="auto"/>
              <w:right w:val="single" w:sz="12" w:space="0" w:color="auto"/>
            </w:tcBorders>
            <w:shd w:val="clear" w:color="auto" w:fill="8EAADB" w:themeFill="accent5" w:themeFillTint="99"/>
          </w:tcPr>
          <w:p w:rsidR="00C639E1" w:rsidRDefault="00C639E1" w:rsidP="00C639E1">
            <w:pPr>
              <w:pStyle w:val="TableText"/>
              <w:spacing w:before="0" w:after="0"/>
              <w:rPr>
                <w:rFonts w:cs="Segoe UI"/>
                <w:noProof/>
                <w:sz w:val="20"/>
                <w:lang w:eastAsia="en-GB"/>
              </w:rPr>
            </w:pPr>
            <w:r>
              <w:rPr>
                <w:rFonts w:cs="Segoe UI"/>
                <w:sz w:val="20"/>
                <w:lang w:eastAsia="en-GB"/>
              </w:rPr>
              <w:t>Template CCR2: CVA capital charge</w:t>
            </w:r>
          </w:p>
        </w:tc>
        <w:tc>
          <w:tcPr>
            <w:tcW w:w="992" w:type="dxa"/>
            <w:tcBorders>
              <w:left w:val="single" w:sz="12" w:space="0" w:color="auto"/>
              <w:right w:val="single" w:sz="12" w:space="0" w:color="auto"/>
            </w:tcBorders>
          </w:tcPr>
          <w:p w:rsidR="00C639E1" w:rsidRDefault="00C639E1" w:rsidP="00C639E1">
            <w:pPr>
              <w:jc w:val="center"/>
            </w:pPr>
            <w:r w:rsidRPr="00173FE8">
              <w:rPr>
                <w:rFonts w:cs="Segoe UI"/>
                <w:lang w:eastAsia="en-GB"/>
              </w:rPr>
              <w:t>I</w:t>
            </w:r>
          </w:p>
        </w:tc>
        <w:tc>
          <w:tcPr>
            <w:tcW w:w="1624" w:type="dxa"/>
            <w:tcBorders>
              <w:left w:val="single" w:sz="12" w:space="0" w:color="auto"/>
              <w:right w:val="single" w:sz="12" w:space="0" w:color="auto"/>
            </w:tcBorders>
            <w:shd w:val="clear" w:color="auto" w:fill="auto"/>
          </w:tcPr>
          <w:p w:rsidR="00C639E1" w:rsidRDefault="00F46D3E" w:rsidP="00C639E1">
            <w:pPr>
              <w:pStyle w:val="TableText"/>
              <w:spacing w:before="0" w:after="0"/>
              <w:jc w:val="center"/>
              <w:rPr>
                <w:rFonts w:cs="Segoe UI"/>
                <w:noProof/>
                <w:sz w:val="20"/>
                <w:lang w:eastAsia="en-GB"/>
              </w:rPr>
            </w:pPr>
            <w:r w:rsidRPr="003936F9">
              <w:rPr>
                <w:rFonts w:cs="Segoe UI" w:hint="eastAsia"/>
                <w:noProof/>
                <w:sz w:val="20"/>
                <w:lang w:eastAsia="en-GB"/>
              </w:rPr>
              <w:t>L</w:t>
            </w:r>
          </w:p>
        </w:tc>
        <w:tc>
          <w:tcPr>
            <w:tcW w:w="1244" w:type="dxa"/>
            <w:tcBorders>
              <w:lef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34"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34" w:type="dxa"/>
            <w:tcBorders>
              <w:lef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p>
        </w:tc>
        <w:tc>
          <w:tcPr>
            <w:tcW w:w="1276" w:type="dxa"/>
            <w:shd w:val="clear" w:color="auto" w:fill="auto"/>
          </w:tcPr>
          <w:p w:rsidR="00C639E1" w:rsidRDefault="00C639E1" w:rsidP="00C639E1">
            <w:pPr>
              <w:pStyle w:val="TableText"/>
              <w:spacing w:before="0" w:after="0"/>
              <w:jc w:val="center"/>
              <w:rPr>
                <w:rFonts w:cs="Segoe UI"/>
                <w:sz w:val="20"/>
                <w:lang w:eastAsia="en-GB"/>
              </w:rPr>
            </w:pPr>
            <w:r>
              <w:rPr>
                <w:rFonts w:cs="Segoe UI"/>
                <w:sz w:val="20"/>
                <w:lang w:eastAsia="en-GB"/>
              </w:rPr>
              <w:sym w:font="Wingdings 2" w:char="F050"/>
            </w:r>
          </w:p>
        </w:tc>
        <w:tc>
          <w:tcPr>
            <w:tcW w:w="1101"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r>
      <w:tr w:rsidR="00C639E1" w:rsidTr="00CE1D6C">
        <w:trPr>
          <w:cantSplit/>
          <w:trHeight w:val="283"/>
        </w:trPr>
        <w:tc>
          <w:tcPr>
            <w:tcW w:w="1843" w:type="dxa"/>
            <w:vMerge/>
            <w:tcBorders>
              <w:left w:val="nil"/>
              <w:right w:val="single" w:sz="12" w:space="0" w:color="auto"/>
            </w:tcBorders>
          </w:tcPr>
          <w:p w:rsidR="00C639E1" w:rsidRDefault="00C639E1" w:rsidP="00C639E1">
            <w:pPr>
              <w:pStyle w:val="TableText"/>
              <w:spacing w:before="0" w:after="0"/>
              <w:rPr>
                <w:rFonts w:cs="Segoe UI"/>
                <w:sz w:val="20"/>
                <w:lang w:eastAsia="en-GB"/>
              </w:rPr>
            </w:pPr>
          </w:p>
        </w:tc>
        <w:tc>
          <w:tcPr>
            <w:tcW w:w="4111" w:type="dxa"/>
            <w:tcBorders>
              <w:left w:val="single" w:sz="12" w:space="0" w:color="auto"/>
              <w:right w:val="single" w:sz="12" w:space="0" w:color="auto"/>
            </w:tcBorders>
            <w:shd w:val="clear" w:color="auto" w:fill="auto"/>
          </w:tcPr>
          <w:p w:rsidR="00C639E1" w:rsidRDefault="00C639E1" w:rsidP="00C639E1">
            <w:pPr>
              <w:pStyle w:val="TableText"/>
              <w:spacing w:before="0" w:after="0"/>
              <w:rPr>
                <w:rFonts w:cs="Segoe UI"/>
                <w:noProof/>
                <w:sz w:val="20"/>
                <w:lang w:eastAsia="en-GB"/>
              </w:rPr>
            </w:pPr>
            <w:r>
              <w:rPr>
                <w:rFonts w:cs="Segoe UI"/>
                <w:sz w:val="20"/>
                <w:lang w:eastAsia="en-GB"/>
              </w:rPr>
              <w:t>Template CCR3: Counterparty default risk exposures (other than those to CCPs) by asset classes and by risk weights – for STC approach or BSC approach</w:t>
            </w:r>
          </w:p>
        </w:tc>
        <w:tc>
          <w:tcPr>
            <w:tcW w:w="992" w:type="dxa"/>
            <w:tcBorders>
              <w:left w:val="single" w:sz="12" w:space="0" w:color="auto"/>
              <w:right w:val="single" w:sz="12" w:space="0" w:color="auto"/>
            </w:tcBorders>
          </w:tcPr>
          <w:p w:rsidR="00C639E1" w:rsidRDefault="00C639E1" w:rsidP="00C639E1">
            <w:pPr>
              <w:jc w:val="center"/>
            </w:pPr>
            <w:r w:rsidRPr="00173FE8">
              <w:rPr>
                <w:rFonts w:cs="Segoe UI"/>
                <w:lang w:eastAsia="en-GB"/>
              </w:rPr>
              <w:t>I</w:t>
            </w:r>
          </w:p>
        </w:tc>
        <w:tc>
          <w:tcPr>
            <w:tcW w:w="1624" w:type="dxa"/>
            <w:tcBorders>
              <w:left w:val="single" w:sz="12" w:space="0" w:color="auto"/>
              <w:right w:val="single" w:sz="12" w:space="0" w:color="auto"/>
            </w:tcBorders>
            <w:shd w:val="clear" w:color="auto" w:fill="auto"/>
          </w:tcPr>
          <w:p w:rsidR="00C639E1" w:rsidRDefault="006843CC" w:rsidP="00C639E1">
            <w:pPr>
              <w:pStyle w:val="TableText"/>
              <w:spacing w:before="0" w:after="0"/>
              <w:jc w:val="center"/>
              <w:rPr>
                <w:rFonts w:cs="Segoe UI"/>
                <w:noProof/>
                <w:sz w:val="20"/>
                <w:lang w:eastAsia="en-GB"/>
              </w:rPr>
            </w:pPr>
            <w:r w:rsidRPr="003936F9">
              <w:rPr>
                <w:rFonts w:cs="Segoe UI" w:hint="eastAsia"/>
                <w:noProof/>
                <w:sz w:val="20"/>
                <w:lang w:eastAsia="en-GB"/>
              </w:rPr>
              <w:t>L</w:t>
            </w:r>
            <w:r>
              <w:rPr>
                <w:rFonts w:cs="Segoe UI"/>
                <w:noProof/>
                <w:sz w:val="20"/>
                <w:lang w:eastAsia="en-GB"/>
              </w:rPr>
              <w:t xml:space="preserve"> </w:t>
            </w:r>
            <w:r>
              <w:rPr>
                <w:rFonts w:asciiTheme="minorEastAsia" w:eastAsiaTheme="minorEastAsia" w:hAnsiTheme="minorEastAsia" w:cs="Segoe UI" w:hint="eastAsia"/>
                <w:noProof/>
                <w:sz w:val="20"/>
                <w:lang w:eastAsia="zh-TW"/>
              </w:rPr>
              <w:t>[</w:t>
            </w:r>
            <w:r w:rsidR="00C639E1">
              <w:rPr>
                <w:rFonts w:cs="Segoe UI"/>
                <w:noProof/>
                <w:sz w:val="20"/>
                <w:lang w:eastAsia="en-GB"/>
              </w:rPr>
              <w:t>STC; BSC</w:t>
            </w:r>
            <w:r>
              <w:rPr>
                <w:rFonts w:asciiTheme="minorEastAsia" w:eastAsiaTheme="minorEastAsia" w:hAnsiTheme="minorEastAsia" w:cs="Segoe UI" w:hint="eastAsia"/>
                <w:noProof/>
                <w:sz w:val="20"/>
                <w:lang w:eastAsia="zh-TW"/>
              </w:rPr>
              <w:t>]</w:t>
            </w:r>
          </w:p>
        </w:tc>
        <w:tc>
          <w:tcPr>
            <w:tcW w:w="1244" w:type="dxa"/>
            <w:tcBorders>
              <w:lef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34"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34" w:type="dxa"/>
            <w:tcBorders>
              <w:lef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p>
        </w:tc>
        <w:tc>
          <w:tcPr>
            <w:tcW w:w="1276" w:type="dxa"/>
            <w:shd w:val="clear" w:color="auto" w:fill="auto"/>
          </w:tcPr>
          <w:p w:rsidR="00C639E1" w:rsidRDefault="00C639E1" w:rsidP="00C639E1">
            <w:pPr>
              <w:pStyle w:val="TableText"/>
              <w:spacing w:before="0" w:after="0"/>
              <w:jc w:val="center"/>
              <w:rPr>
                <w:rFonts w:cs="Segoe UI"/>
                <w:sz w:val="20"/>
                <w:lang w:eastAsia="en-GB"/>
              </w:rPr>
            </w:pPr>
            <w:r>
              <w:rPr>
                <w:rFonts w:cs="Segoe UI"/>
                <w:sz w:val="20"/>
                <w:lang w:eastAsia="en-GB"/>
              </w:rPr>
              <w:sym w:font="Wingdings 2" w:char="F050"/>
            </w:r>
          </w:p>
        </w:tc>
        <w:tc>
          <w:tcPr>
            <w:tcW w:w="1101"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r>
      <w:tr w:rsidR="00C639E1" w:rsidTr="00CE1D6C">
        <w:trPr>
          <w:cantSplit/>
          <w:trHeight w:val="283"/>
        </w:trPr>
        <w:tc>
          <w:tcPr>
            <w:tcW w:w="1843" w:type="dxa"/>
            <w:vMerge/>
            <w:tcBorders>
              <w:left w:val="nil"/>
              <w:right w:val="single" w:sz="12" w:space="0" w:color="auto"/>
            </w:tcBorders>
          </w:tcPr>
          <w:p w:rsidR="00C639E1" w:rsidRDefault="00C639E1" w:rsidP="00C639E1">
            <w:pPr>
              <w:pStyle w:val="TableText"/>
              <w:spacing w:before="0" w:after="0"/>
              <w:rPr>
                <w:rFonts w:cs="Segoe UI"/>
                <w:sz w:val="20"/>
                <w:lang w:eastAsia="en-GB"/>
              </w:rPr>
            </w:pPr>
          </w:p>
        </w:tc>
        <w:tc>
          <w:tcPr>
            <w:tcW w:w="4111" w:type="dxa"/>
            <w:tcBorders>
              <w:left w:val="single" w:sz="12" w:space="0" w:color="auto"/>
              <w:bottom w:val="single" w:sz="4" w:space="0" w:color="auto"/>
              <w:right w:val="single" w:sz="12" w:space="0" w:color="auto"/>
            </w:tcBorders>
            <w:shd w:val="clear" w:color="auto" w:fill="auto"/>
          </w:tcPr>
          <w:p w:rsidR="00C639E1" w:rsidRDefault="00C639E1" w:rsidP="00C639E1">
            <w:pPr>
              <w:pStyle w:val="TableText"/>
              <w:spacing w:before="0" w:after="0"/>
              <w:rPr>
                <w:rFonts w:cs="Segoe UI"/>
                <w:noProof/>
                <w:sz w:val="20"/>
                <w:lang w:eastAsia="en-GB"/>
              </w:rPr>
            </w:pPr>
            <w:r>
              <w:rPr>
                <w:rFonts w:cs="Segoe UI"/>
                <w:sz w:val="20"/>
                <w:lang w:eastAsia="en-GB"/>
              </w:rPr>
              <w:t>Template CCR4: Counterparty default risk exposures (other than those to CCPs) by portfolio and PD range – for IRB approach</w:t>
            </w:r>
          </w:p>
        </w:tc>
        <w:tc>
          <w:tcPr>
            <w:tcW w:w="992" w:type="dxa"/>
            <w:tcBorders>
              <w:left w:val="single" w:sz="12" w:space="0" w:color="auto"/>
              <w:right w:val="single" w:sz="12" w:space="0" w:color="auto"/>
            </w:tcBorders>
          </w:tcPr>
          <w:p w:rsidR="00C639E1" w:rsidRDefault="00C639E1" w:rsidP="00C639E1">
            <w:pPr>
              <w:jc w:val="center"/>
            </w:pPr>
            <w:r w:rsidRPr="000B4C2D">
              <w:rPr>
                <w:rFonts w:cs="Segoe UI"/>
                <w:lang w:eastAsia="en-GB"/>
              </w:rPr>
              <w:t>I</w:t>
            </w:r>
          </w:p>
        </w:tc>
        <w:tc>
          <w:tcPr>
            <w:tcW w:w="1624" w:type="dxa"/>
            <w:tcBorders>
              <w:left w:val="single" w:sz="12" w:space="0" w:color="auto"/>
              <w:right w:val="single" w:sz="12" w:space="0" w:color="auto"/>
            </w:tcBorders>
            <w:shd w:val="clear" w:color="auto" w:fill="auto"/>
          </w:tcPr>
          <w:p w:rsidR="00C639E1" w:rsidRDefault="006843CC" w:rsidP="00C639E1">
            <w:pPr>
              <w:pStyle w:val="TableText"/>
              <w:spacing w:before="0" w:after="0"/>
              <w:jc w:val="center"/>
              <w:rPr>
                <w:rFonts w:cs="Segoe UI"/>
                <w:noProof/>
                <w:sz w:val="20"/>
                <w:lang w:eastAsia="en-GB"/>
              </w:rPr>
            </w:pPr>
            <w:r w:rsidRPr="003936F9">
              <w:rPr>
                <w:rFonts w:cs="Segoe UI" w:hint="eastAsia"/>
                <w:noProof/>
                <w:sz w:val="20"/>
                <w:lang w:eastAsia="en-GB"/>
              </w:rPr>
              <w:t>L</w:t>
            </w:r>
            <w:r>
              <w:rPr>
                <w:rFonts w:cs="Segoe UI"/>
                <w:noProof/>
                <w:sz w:val="20"/>
                <w:lang w:eastAsia="en-GB"/>
              </w:rPr>
              <w:t xml:space="preserve"> </w:t>
            </w:r>
            <w:r>
              <w:rPr>
                <w:rFonts w:asciiTheme="minorEastAsia" w:eastAsiaTheme="minorEastAsia" w:hAnsiTheme="minorEastAsia" w:cs="Segoe UI" w:hint="eastAsia"/>
                <w:noProof/>
                <w:sz w:val="20"/>
                <w:lang w:eastAsia="zh-TW"/>
              </w:rPr>
              <w:t>[</w:t>
            </w:r>
            <w:r w:rsidR="00C639E1">
              <w:rPr>
                <w:rFonts w:cs="Segoe UI"/>
                <w:noProof/>
                <w:sz w:val="20"/>
                <w:lang w:eastAsia="en-GB"/>
              </w:rPr>
              <w:t>IRB</w:t>
            </w:r>
            <w:r>
              <w:rPr>
                <w:rFonts w:asciiTheme="minorEastAsia" w:eastAsiaTheme="minorEastAsia" w:hAnsiTheme="minorEastAsia" w:cs="Segoe UI" w:hint="eastAsia"/>
                <w:noProof/>
                <w:sz w:val="20"/>
                <w:lang w:eastAsia="zh-TW"/>
              </w:rPr>
              <w:t>]</w:t>
            </w:r>
          </w:p>
        </w:tc>
        <w:tc>
          <w:tcPr>
            <w:tcW w:w="1244" w:type="dxa"/>
            <w:tcBorders>
              <w:lef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34"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34" w:type="dxa"/>
            <w:tcBorders>
              <w:lef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p>
        </w:tc>
        <w:tc>
          <w:tcPr>
            <w:tcW w:w="1276" w:type="dxa"/>
            <w:shd w:val="clear" w:color="auto" w:fill="auto"/>
          </w:tcPr>
          <w:p w:rsidR="00C639E1" w:rsidRDefault="00C639E1" w:rsidP="00C639E1">
            <w:pPr>
              <w:pStyle w:val="TableText"/>
              <w:spacing w:before="0" w:after="0"/>
              <w:jc w:val="center"/>
              <w:rPr>
                <w:rFonts w:cs="Segoe UI"/>
                <w:sz w:val="20"/>
                <w:lang w:eastAsia="en-GB"/>
              </w:rPr>
            </w:pPr>
            <w:r>
              <w:rPr>
                <w:rFonts w:cs="Segoe UI"/>
                <w:sz w:val="20"/>
                <w:lang w:eastAsia="en-GB"/>
              </w:rPr>
              <w:sym w:font="Wingdings 2" w:char="F050"/>
            </w:r>
          </w:p>
        </w:tc>
        <w:tc>
          <w:tcPr>
            <w:tcW w:w="1101"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r>
      <w:tr w:rsidR="00C639E1" w:rsidTr="00CE1D6C">
        <w:trPr>
          <w:cantSplit/>
          <w:trHeight w:val="283"/>
        </w:trPr>
        <w:tc>
          <w:tcPr>
            <w:tcW w:w="1843" w:type="dxa"/>
            <w:vMerge/>
            <w:tcBorders>
              <w:left w:val="nil"/>
              <w:right w:val="single" w:sz="12" w:space="0" w:color="auto"/>
            </w:tcBorders>
          </w:tcPr>
          <w:p w:rsidR="00C639E1" w:rsidRDefault="00C639E1" w:rsidP="00C639E1">
            <w:pPr>
              <w:pStyle w:val="TableText"/>
              <w:spacing w:before="0" w:after="0"/>
              <w:rPr>
                <w:rFonts w:cs="Segoe UI"/>
                <w:sz w:val="20"/>
                <w:lang w:eastAsia="en-GB"/>
              </w:rPr>
            </w:pPr>
          </w:p>
        </w:tc>
        <w:tc>
          <w:tcPr>
            <w:tcW w:w="4111" w:type="dxa"/>
            <w:tcBorders>
              <w:left w:val="single" w:sz="12" w:space="0" w:color="auto"/>
              <w:right w:val="single" w:sz="12" w:space="0" w:color="auto"/>
            </w:tcBorders>
            <w:shd w:val="clear" w:color="auto" w:fill="8EAADB" w:themeFill="accent5" w:themeFillTint="99"/>
          </w:tcPr>
          <w:p w:rsidR="00C639E1" w:rsidRDefault="00C639E1" w:rsidP="00C639E1">
            <w:pPr>
              <w:pStyle w:val="TableText"/>
              <w:spacing w:before="0" w:after="0"/>
              <w:rPr>
                <w:rFonts w:cs="Segoe UI"/>
                <w:noProof/>
                <w:sz w:val="20"/>
                <w:lang w:eastAsia="en-GB"/>
              </w:rPr>
            </w:pPr>
            <w:r>
              <w:rPr>
                <w:rFonts w:cs="Segoe UI"/>
                <w:sz w:val="20"/>
                <w:lang w:eastAsia="en-GB"/>
              </w:rPr>
              <w:t>Template CCR5: Composition of collateral for counterparty default risk exposures (including those for contracts or transactions cleared through CCPs)</w:t>
            </w:r>
          </w:p>
        </w:tc>
        <w:tc>
          <w:tcPr>
            <w:tcW w:w="992" w:type="dxa"/>
            <w:tcBorders>
              <w:left w:val="single" w:sz="12" w:space="0" w:color="auto"/>
              <w:right w:val="single" w:sz="12" w:space="0" w:color="auto"/>
            </w:tcBorders>
          </w:tcPr>
          <w:p w:rsidR="00C639E1" w:rsidRDefault="00C639E1" w:rsidP="00C639E1">
            <w:pPr>
              <w:jc w:val="center"/>
            </w:pPr>
            <w:r w:rsidRPr="000B4C2D">
              <w:rPr>
                <w:rFonts w:cs="Segoe UI"/>
                <w:lang w:eastAsia="en-GB"/>
              </w:rPr>
              <w:t>I</w:t>
            </w:r>
          </w:p>
        </w:tc>
        <w:tc>
          <w:tcPr>
            <w:tcW w:w="1624" w:type="dxa"/>
            <w:tcBorders>
              <w:left w:val="single" w:sz="12" w:space="0" w:color="auto"/>
              <w:right w:val="single" w:sz="12" w:space="0" w:color="auto"/>
            </w:tcBorders>
          </w:tcPr>
          <w:p w:rsidR="00C639E1" w:rsidRDefault="00F46D3E" w:rsidP="00C639E1">
            <w:pPr>
              <w:pStyle w:val="TableText"/>
              <w:spacing w:before="0" w:after="0"/>
              <w:jc w:val="center"/>
              <w:rPr>
                <w:rFonts w:cs="Segoe UI"/>
                <w:sz w:val="20"/>
                <w:lang w:eastAsia="en-GB"/>
              </w:rPr>
            </w:pPr>
            <w:r w:rsidRPr="003936F9">
              <w:rPr>
                <w:rFonts w:cs="Segoe UI" w:hint="eastAsia"/>
                <w:noProof/>
                <w:sz w:val="20"/>
                <w:lang w:eastAsia="en-GB"/>
              </w:rPr>
              <w:t>L</w:t>
            </w:r>
          </w:p>
        </w:tc>
        <w:tc>
          <w:tcPr>
            <w:tcW w:w="1244" w:type="dxa"/>
            <w:tcBorders>
              <w:left w:val="single" w:sz="12" w:space="0" w:color="auto"/>
            </w:tcBorders>
          </w:tcPr>
          <w:p w:rsidR="00C639E1" w:rsidRDefault="00C639E1" w:rsidP="00C639E1">
            <w:pPr>
              <w:pStyle w:val="TableText"/>
              <w:spacing w:before="0" w:after="0"/>
              <w:jc w:val="center"/>
              <w:rPr>
                <w:rFonts w:cs="Segoe UI"/>
                <w:sz w:val="20"/>
                <w:lang w:eastAsia="en-GB"/>
              </w:rPr>
            </w:pPr>
          </w:p>
        </w:tc>
        <w:tc>
          <w:tcPr>
            <w:tcW w:w="1134" w:type="dxa"/>
            <w:tcBorders>
              <w:right w:val="single" w:sz="12" w:space="0" w:color="auto"/>
            </w:tcBorders>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r>
              <w:rPr>
                <w:rFonts w:cs="Segoe UI"/>
                <w:sz w:val="20"/>
                <w:lang w:eastAsia="en-GB"/>
              </w:rPr>
              <w:t xml:space="preserve"> (fixed columns, flexible rows)</w:t>
            </w:r>
          </w:p>
        </w:tc>
        <w:tc>
          <w:tcPr>
            <w:tcW w:w="1134" w:type="dxa"/>
            <w:tcBorders>
              <w:left w:val="single" w:sz="12" w:space="0" w:color="auto"/>
            </w:tcBorders>
          </w:tcPr>
          <w:p w:rsidR="00C639E1" w:rsidRDefault="00C639E1" w:rsidP="00C639E1">
            <w:pPr>
              <w:pStyle w:val="TableText"/>
              <w:spacing w:before="0" w:after="0"/>
              <w:jc w:val="center"/>
              <w:rPr>
                <w:rFonts w:cs="Segoe UI"/>
                <w:sz w:val="20"/>
                <w:lang w:eastAsia="en-GB"/>
              </w:rPr>
            </w:pPr>
          </w:p>
        </w:tc>
        <w:tc>
          <w:tcPr>
            <w:tcW w:w="1276" w:type="dxa"/>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01" w:type="dxa"/>
            <w:tcBorders>
              <w:right w:val="single" w:sz="12" w:space="0" w:color="auto"/>
            </w:tcBorders>
          </w:tcPr>
          <w:p w:rsidR="00C639E1" w:rsidRDefault="00C639E1" w:rsidP="00C639E1">
            <w:pPr>
              <w:pStyle w:val="TableText"/>
              <w:spacing w:before="0" w:after="0"/>
              <w:jc w:val="center"/>
              <w:rPr>
                <w:rFonts w:cs="Segoe UI"/>
                <w:sz w:val="20"/>
                <w:lang w:eastAsia="en-GB"/>
              </w:rPr>
            </w:pPr>
          </w:p>
        </w:tc>
      </w:tr>
      <w:tr w:rsidR="00C639E1" w:rsidTr="00CE1D6C">
        <w:trPr>
          <w:cantSplit/>
          <w:trHeight w:val="283"/>
        </w:trPr>
        <w:tc>
          <w:tcPr>
            <w:tcW w:w="1843" w:type="dxa"/>
            <w:vMerge/>
            <w:tcBorders>
              <w:left w:val="nil"/>
              <w:right w:val="single" w:sz="12" w:space="0" w:color="auto"/>
            </w:tcBorders>
          </w:tcPr>
          <w:p w:rsidR="00C639E1" w:rsidRDefault="00C639E1" w:rsidP="00C639E1">
            <w:pPr>
              <w:pStyle w:val="TableText"/>
              <w:spacing w:before="0" w:after="0"/>
              <w:rPr>
                <w:rFonts w:cs="Segoe UI"/>
                <w:sz w:val="20"/>
                <w:lang w:eastAsia="en-GB"/>
              </w:rPr>
            </w:pPr>
          </w:p>
        </w:tc>
        <w:tc>
          <w:tcPr>
            <w:tcW w:w="4111" w:type="dxa"/>
            <w:tcBorders>
              <w:left w:val="single" w:sz="12" w:space="0" w:color="auto"/>
              <w:bottom w:val="single" w:sz="4" w:space="0" w:color="auto"/>
              <w:right w:val="single" w:sz="12" w:space="0" w:color="auto"/>
            </w:tcBorders>
            <w:shd w:val="clear" w:color="auto" w:fill="8EAADB" w:themeFill="accent5" w:themeFillTint="99"/>
          </w:tcPr>
          <w:p w:rsidR="00C639E1" w:rsidRDefault="00C639E1" w:rsidP="00C639E1">
            <w:pPr>
              <w:pStyle w:val="TableText"/>
              <w:spacing w:before="0" w:after="0"/>
              <w:rPr>
                <w:rFonts w:cs="Segoe UI"/>
                <w:noProof/>
                <w:sz w:val="20"/>
                <w:lang w:eastAsia="en-GB"/>
              </w:rPr>
            </w:pPr>
            <w:r>
              <w:rPr>
                <w:rFonts w:cs="Segoe UI"/>
                <w:sz w:val="20"/>
                <w:lang w:eastAsia="en-GB"/>
              </w:rPr>
              <w:t>Template CCR6: Credit-related derivatives contracts</w:t>
            </w:r>
          </w:p>
        </w:tc>
        <w:tc>
          <w:tcPr>
            <w:tcW w:w="992" w:type="dxa"/>
            <w:tcBorders>
              <w:left w:val="single" w:sz="12" w:space="0" w:color="auto"/>
              <w:right w:val="single" w:sz="12" w:space="0" w:color="auto"/>
            </w:tcBorders>
          </w:tcPr>
          <w:p w:rsidR="00C639E1" w:rsidRDefault="00C639E1" w:rsidP="00C639E1">
            <w:pPr>
              <w:jc w:val="center"/>
            </w:pPr>
            <w:r w:rsidRPr="000B4C2D">
              <w:rPr>
                <w:rFonts w:cs="Segoe UI"/>
                <w:lang w:eastAsia="en-GB"/>
              </w:rPr>
              <w:t>I</w:t>
            </w:r>
          </w:p>
        </w:tc>
        <w:tc>
          <w:tcPr>
            <w:tcW w:w="1624" w:type="dxa"/>
            <w:tcBorders>
              <w:left w:val="single" w:sz="12" w:space="0" w:color="auto"/>
              <w:right w:val="single" w:sz="12" w:space="0" w:color="auto"/>
            </w:tcBorders>
          </w:tcPr>
          <w:p w:rsidR="00C639E1" w:rsidRDefault="00F46D3E" w:rsidP="00C639E1">
            <w:pPr>
              <w:pStyle w:val="TableText"/>
              <w:spacing w:before="0" w:after="0"/>
              <w:jc w:val="center"/>
              <w:rPr>
                <w:rFonts w:cs="Segoe UI"/>
                <w:noProof/>
                <w:sz w:val="20"/>
                <w:lang w:eastAsia="en-GB"/>
              </w:rPr>
            </w:pPr>
            <w:r w:rsidRPr="003936F9">
              <w:rPr>
                <w:rFonts w:cs="Segoe UI" w:hint="eastAsia"/>
                <w:noProof/>
                <w:sz w:val="20"/>
                <w:lang w:eastAsia="en-GB"/>
              </w:rPr>
              <w:t>L</w:t>
            </w:r>
          </w:p>
        </w:tc>
        <w:tc>
          <w:tcPr>
            <w:tcW w:w="1244" w:type="dxa"/>
            <w:tcBorders>
              <w:left w:val="single" w:sz="12" w:space="0" w:color="auto"/>
            </w:tcBorders>
          </w:tcPr>
          <w:p w:rsidR="00C639E1" w:rsidRDefault="00C639E1" w:rsidP="00C639E1">
            <w:pPr>
              <w:pStyle w:val="TableText"/>
              <w:spacing w:before="0" w:after="0"/>
              <w:jc w:val="center"/>
              <w:rPr>
                <w:rFonts w:cs="Segoe UI"/>
                <w:noProof/>
                <w:sz w:val="20"/>
                <w:lang w:eastAsia="en-GB"/>
              </w:rPr>
            </w:pPr>
          </w:p>
        </w:tc>
        <w:tc>
          <w:tcPr>
            <w:tcW w:w="1134" w:type="dxa"/>
            <w:tcBorders>
              <w:right w:val="single" w:sz="12" w:space="0" w:color="auto"/>
            </w:tcBorders>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34" w:type="dxa"/>
            <w:tcBorders>
              <w:left w:val="single" w:sz="12" w:space="0" w:color="auto"/>
            </w:tcBorders>
          </w:tcPr>
          <w:p w:rsidR="00C639E1" w:rsidRDefault="00C639E1" w:rsidP="00C639E1">
            <w:pPr>
              <w:pStyle w:val="TableText"/>
              <w:spacing w:before="0" w:after="0"/>
              <w:jc w:val="center"/>
              <w:rPr>
                <w:rFonts w:cs="Segoe UI"/>
                <w:sz w:val="20"/>
                <w:lang w:eastAsia="en-GB"/>
              </w:rPr>
            </w:pPr>
          </w:p>
        </w:tc>
        <w:tc>
          <w:tcPr>
            <w:tcW w:w="1276" w:type="dxa"/>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01" w:type="dxa"/>
            <w:tcBorders>
              <w:right w:val="single" w:sz="12" w:space="0" w:color="auto"/>
            </w:tcBorders>
          </w:tcPr>
          <w:p w:rsidR="00C639E1" w:rsidRDefault="00C639E1" w:rsidP="00C639E1">
            <w:pPr>
              <w:pStyle w:val="TableText"/>
              <w:spacing w:before="0" w:after="0"/>
              <w:jc w:val="center"/>
              <w:rPr>
                <w:rFonts w:cs="Segoe UI"/>
                <w:sz w:val="20"/>
                <w:lang w:eastAsia="en-GB"/>
              </w:rPr>
            </w:pPr>
          </w:p>
        </w:tc>
      </w:tr>
      <w:tr w:rsidR="00C639E1" w:rsidTr="00CE1D6C">
        <w:trPr>
          <w:cantSplit/>
          <w:trHeight w:val="283"/>
        </w:trPr>
        <w:tc>
          <w:tcPr>
            <w:tcW w:w="1843" w:type="dxa"/>
            <w:vMerge/>
            <w:tcBorders>
              <w:left w:val="nil"/>
              <w:right w:val="single" w:sz="12" w:space="0" w:color="auto"/>
            </w:tcBorders>
          </w:tcPr>
          <w:p w:rsidR="00C639E1" w:rsidRDefault="00C639E1" w:rsidP="00C639E1">
            <w:pPr>
              <w:pStyle w:val="TableText"/>
              <w:spacing w:before="0" w:after="0"/>
              <w:rPr>
                <w:rFonts w:cs="Segoe UI"/>
                <w:sz w:val="20"/>
                <w:lang w:eastAsia="en-GB"/>
              </w:rPr>
            </w:pPr>
          </w:p>
        </w:tc>
        <w:tc>
          <w:tcPr>
            <w:tcW w:w="4111" w:type="dxa"/>
            <w:tcBorders>
              <w:left w:val="single" w:sz="12" w:space="0" w:color="auto"/>
              <w:right w:val="single" w:sz="12" w:space="0" w:color="auto"/>
            </w:tcBorders>
            <w:shd w:val="clear" w:color="auto" w:fill="8EAADB" w:themeFill="accent5" w:themeFillTint="99"/>
          </w:tcPr>
          <w:p w:rsidR="00C639E1" w:rsidRDefault="00C639E1" w:rsidP="00C639E1">
            <w:pPr>
              <w:pStyle w:val="TableText"/>
              <w:spacing w:before="0" w:after="0"/>
              <w:rPr>
                <w:rFonts w:cs="Segoe UI"/>
                <w:noProof/>
                <w:sz w:val="20"/>
                <w:lang w:eastAsia="en-GB"/>
              </w:rPr>
            </w:pPr>
            <w:r>
              <w:rPr>
                <w:rFonts w:cs="Segoe UI"/>
                <w:sz w:val="20"/>
                <w:lang w:eastAsia="en-GB"/>
              </w:rPr>
              <w:t>Template CCR7: RWA flow statements of default risk exposures under IMM(CCR) approach</w:t>
            </w:r>
          </w:p>
        </w:tc>
        <w:tc>
          <w:tcPr>
            <w:tcW w:w="992" w:type="dxa"/>
            <w:tcBorders>
              <w:left w:val="single" w:sz="12" w:space="0" w:color="auto"/>
              <w:right w:val="single" w:sz="12" w:space="0" w:color="auto"/>
            </w:tcBorders>
          </w:tcPr>
          <w:p w:rsidR="00C639E1" w:rsidRDefault="00C639E1" w:rsidP="00C639E1">
            <w:pPr>
              <w:jc w:val="center"/>
            </w:pPr>
            <w:r w:rsidRPr="000B4C2D">
              <w:rPr>
                <w:rFonts w:cs="Segoe UI"/>
                <w:lang w:eastAsia="en-GB"/>
              </w:rPr>
              <w:t>I</w:t>
            </w:r>
          </w:p>
        </w:tc>
        <w:tc>
          <w:tcPr>
            <w:tcW w:w="1624" w:type="dxa"/>
            <w:tcBorders>
              <w:left w:val="single" w:sz="12" w:space="0" w:color="auto"/>
              <w:right w:val="single" w:sz="12" w:space="0" w:color="auto"/>
            </w:tcBorders>
          </w:tcPr>
          <w:p w:rsidR="00C639E1" w:rsidRDefault="006843CC" w:rsidP="00C639E1">
            <w:pPr>
              <w:pStyle w:val="TableText"/>
              <w:spacing w:before="0" w:after="0"/>
              <w:jc w:val="center"/>
              <w:rPr>
                <w:rFonts w:cs="Segoe UI"/>
                <w:noProof/>
                <w:sz w:val="20"/>
                <w:lang w:eastAsia="en-GB"/>
              </w:rPr>
            </w:pPr>
            <w:r w:rsidRPr="003936F9">
              <w:rPr>
                <w:rFonts w:cs="Segoe UI" w:hint="eastAsia"/>
                <w:noProof/>
                <w:sz w:val="20"/>
                <w:lang w:eastAsia="en-GB"/>
              </w:rPr>
              <w:t>L</w:t>
            </w:r>
            <w:r>
              <w:rPr>
                <w:rFonts w:cs="Segoe UI"/>
                <w:noProof/>
                <w:sz w:val="20"/>
                <w:lang w:eastAsia="en-GB"/>
              </w:rPr>
              <w:t xml:space="preserve"> </w:t>
            </w:r>
            <w:r>
              <w:rPr>
                <w:rFonts w:asciiTheme="minorEastAsia" w:eastAsiaTheme="minorEastAsia" w:hAnsiTheme="minorEastAsia" w:cs="Segoe UI" w:hint="eastAsia"/>
                <w:noProof/>
                <w:sz w:val="20"/>
                <w:lang w:eastAsia="zh-TW"/>
              </w:rPr>
              <w:t>[</w:t>
            </w:r>
            <w:r w:rsidR="00C639E1">
              <w:rPr>
                <w:rFonts w:cs="Segoe UI"/>
                <w:noProof/>
                <w:sz w:val="20"/>
                <w:lang w:eastAsia="en-GB"/>
              </w:rPr>
              <w:t>IMM(CCR)</w:t>
            </w:r>
            <w:r>
              <w:rPr>
                <w:rFonts w:asciiTheme="minorEastAsia" w:eastAsiaTheme="minorEastAsia" w:hAnsiTheme="minorEastAsia" w:cs="Segoe UI" w:hint="eastAsia"/>
                <w:noProof/>
                <w:sz w:val="20"/>
                <w:lang w:eastAsia="zh-TW"/>
              </w:rPr>
              <w:t>]</w:t>
            </w:r>
          </w:p>
        </w:tc>
        <w:tc>
          <w:tcPr>
            <w:tcW w:w="1244" w:type="dxa"/>
            <w:tcBorders>
              <w:left w:val="single" w:sz="12" w:space="0" w:color="auto"/>
            </w:tcBorders>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34" w:type="dxa"/>
            <w:tcBorders>
              <w:right w:val="single" w:sz="12" w:space="0" w:color="auto"/>
            </w:tcBorders>
          </w:tcPr>
          <w:p w:rsidR="00C639E1" w:rsidRDefault="00C639E1" w:rsidP="00C639E1">
            <w:pPr>
              <w:pStyle w:val="TableText"/>
              <w:spacing w:before="0" w:after="0"/>
              <w:jc w:val="center"/>
              <w:rPr>
                <w:rFonts w:cs="Segoe UI"/>
                <w:sz w:val="20"/>
                <w:lang w:eastAsia="en-GB"/>
              </w:rPr>
            </w:pPr>
          </w:p>
        </w:tc>
        <w:tc>
          <w:tcPr>
            <w:tcW w:w="1134" w:type="dxa"/>
            <w:tcBorders>
              <w:left w:val="single" w:sz="12" w:space="0" w:color="auto"/>
            </w:tcBorders>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276" w:type="dxa"/>
          </w:tcPr>
          <w:p w:rsidR="00C639E1" w:rsidRDefault="00C639E1" w:rsidP="00C639E1">
            <w:pPr>
              <w:pStyle w:val="TableText"/>
              <w:spacing w:before="0" w:after="0"/>
              <w:jc w:val="center"/>
              <w:rPr>
                <w:rFonts w:cs="Segoe UI"/>
                <w:sz w:val="20"/>
                <w:lang w:eastAsia="en-GB"/>
              </w:rPr>
            </w:pPr>
          </w:p>
        </w:tc>
        <w:tc>
          <w:tcPr>
            <w:tcW w:w="1101" w:type="dxa"/>
            <w:tcBorders>
              <w:right w:val="single" w:sz="12" w:space="0" w:color="auto"/>
            </w:tcBorders>
          </w:tcPr>
          <w:p w:rsidR="00C639E1" w:rsidRDefault="00C639E1" w:rsidP="00C639E1">
            <w:pPr>
              <w:pStyle w:val="TableText"/>
              <w:spacing w:before="0" w:after="0"/>
              <w:jc w:val="center"/>
              <w:rPr>
                <w:rFonts w:cs="Segoe UI"/>
                <w:sz w:val="20"/>
                <w:lang w:eastAsia="en-GB"/>
              </w:rPr>
            </w:pPr>
          </w:p>
        </w:tc>
      </w:tr>
      <w:tr w:rsidR="00C639E1" w:rsidTr="00CE1D6C">
        <w:trPr>
          <w:cantSplit/>
          <w:trHeight w:val="283"/>
        </w:trPr>
        <w:tc>
          <w:tcPr>
            <w:tcW w:w="1843" w:type="dxa"/>
            <w:vMerge/>
            <w:tcBorders>
              <w:left w:val="nil"/>
              <w:bottom w:val="single" w:sz="12" w:space="0" w:color="auto"/>
              <w:right w:val="single" w:sz="12" w:space="0" w:color="auto"/>
            </w:tcBorders>
          </w:tcPr>
          <w:p w:rsidR="00C639E1" w:rsidRDefault="00C639E1" w:rsidP="00C639E1">
            <w:pPr>
              <w:pStyle w:val="TableText"/>
              <w:spacing w:before="0" w:after="0"/>
              <w:rPr>
                <w:rFonts w:cs="Segoe UI"/>
                <w:sz w:val="20"/>
                <w:lang w:eastAsia="en-GB"/>
              </w:rPr>
            </w:pPr>
          </w:p>
        </w:tc>
        <w:tc>
          <w:tcPr>
            <w:tcW w:w="4111" w:type="dxa"/>
            <w:tcBorders>
              <w:left w:val="single" w:sz="12" w:space="0" w:color="auto"/>
              <w:bottom w:val="single" w:sz="12" w:space="0" w:color="auto"/>
              <w:right w:val="single" w:sz="12" w:space="0" w:color="auto"/>
            </w:tcBorders>
            <w:shd w:val="clear" w:color="auto" w:fill="8EAADB" w:themeFill="accent5" w:themeFillTint="99"/>
          </w:tcPr>
          <w:p w:rsidR="00C639E1" w:rsidRDefault="00C639E1" w:rsidP="00C639E1">
            <w:pPr>
              <w:pStyle w:val="TableText"/>
              <w:spacing w:before="0" w:after="0"/>
              <w:rPr>
                <w:rFonts w:cs="Segoe UI"/>
                <w:sz w:val="20"/>
                <w:lang w:eastAsia="en-GB"/>
              </w:rPr>
            </w:pPr>
            <w:r>
              <w:rPr>
                <w:rFonts w:cs="Segoe UI"/>
                <w:sz w:val="20"/>
                <w:lang w:eastAsia="en-GB"/>
              </w:rPr>
              <w:t>Template CCR8: Exposures to CCPs</w:t>
            </w:r>
          </w:p>
          <w:p w:rsidR="000E2735" w:rsidRDefault="000E2735" w:rsidP="00C639E1">
            <w:pPr>
              <w:pStyle w:val="TableText"/>
              <w:spacing w:before="0" w:after="0"/>
              <w:rPr>
                <w:rFonts w:cs="Segoe UI"/>
                <w:sz w:val="20"/>
                <w:lang w:eastAsia="en-GB"/>
              </w:rPr>
            </w:pPr>
          </w:p>
        </w:tc>
        <w:tc>
          <w:tcPr>
            <w:tcW w:w="992" w:type="dxa"/>
            <w:tcBorders>
              <w:left w:val="single" w:sz="12" w:space="0" w:color="auto"/>
              <w:bottom w:val="single" w:sz="12" w:space="0" w:color="auto"/>
              <w:right w:val="single" w:sz="12" w:space="0" w:color="auto"/>
            </w:tcBorders>
          </w:tcPr>
          <w:p w:rsidR="00C639E1" w:rsidRDefault="00C639E1" w:rsidP="00C639E1">
            <w:pPr>
              <w:jc w:val="center"/>
            </w:pPr>
            <w:r w:rsidRPr="000B4C2D">
              <w:rPr>
                <w:rFonts w:cs="Segoe UI"/>
                <w:lang w:eastAsia="en-GB"/>
              </w:rPr>
              <w:t>I</w:t>
            </w:r>
          </w:p>
        </w:tc>
        <w:tc>
          <w:tcPr>
            <w:tcW w:w="1624" w:type="dxa"/>
            <w:tcBorders>
              <w:left w:val="single" w:sz="12" w:space="0" w:color="auto"/>
              <w:bottom w:val="single" w:sz="12" w:space="0" w:color="auto"/>
              <w:right w:val="single" w:sz="12" w:space="0" w:color="auto"/>
            </w:tcBorders>
          </w:tcPr>
          <w:p w:rsidR="00C639E1" w:rsidRDefault="00F46D3E" w:rsidP="00C639E1">
            <w:pPr>
              <w:pStyle w:val="TableText"/>
              <w:spacing w:before="0" w:after="0"/>
              <w:jc w:val="center"/>
              <w:rPr>
                <w:rFonts w:cs="Segoe UI"/>
                <w:noProof/>
                <w:sz w:val="20"/>
                <w:lang w:eastAsia="en-GB"/>
              </w:rPr>
            </w:pPr>
            <w:r w:rsidRPr="003936F9">
              <w:rPr>
                <w:rFonts w:cs="Segoe UI" w:hint="eastAsia"/>
                <w:noProof/>
                <w:sz w:val="20"/>
                <w:lang w:eastAsia="en-GB"/>
              </w:rPr>
              <w:t>L</w:t>
            </w:r>
          </w:p>
        </w:tc>
        <w:tc>
          <w:tcPr>
            <w:tcW w:w="1244" w:type="dxa"/>
            <w:tcBorders>
              <w:left w:val="single" w:sz="12" w:space="0" w:color="auto"/>
              <w:bottom w:val="single" w:sz="12" w:space="0" w:color="auto"/>
            </w:tcBorders>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34" w:type="dxa"/>
            <w:tcBorders>
              <w:bottom w:val="single" w:sz="12" w:space="0" w:color="auto"/>
              <w:right w:val="single" w:sz="12" w:space="0" w:color="auto"/>
            </w:tcBorders>
          </w:tcPr>
          <w:p w:rsidR="00C639E1" w:rsidRDefault="00C639E1" w:rsidP="00C639E1">
            <w:pPr>
              <w:pStyle w:val="TableText"/>
              <w:spacing w:before="0" w:after="0"/>
              <w:rPr>
                <w:rFonts w:cs="Segoe UI"/>
                <w:sz w:val="20"/>
                <w:lang w:eastAsia="en-GB"/>
              </w:rPr>
            </w:pPr>
          </w:p>
        </w:tc>
        <w:tc>
          <w:tcPr>
            <w:tcW w:w="1134" w:type="dxa"/>
            <w:tcBorders>
              <w:left w:val="single" w:sz="12" w:space="0" w:color="auto"/>
              <w:bottom w:val="single" w:sz="12" w:space="0" w:color="auto"/>
            </w:tcBorders>
          </w:tcPr>
          <w:p w:rsidR="00C639E1" w:rsidRDefault="00C639E1" w:rsidP="00C639E1">
            <w:pPr>
              <w:pStyle w:val="TableText"/>
              <w:spacing w:before="0" w:after="0"/>
              <w:jc w:val="center"/>
              <w:rPr>
                <w:rFonts w:cs="Segoe UI"/>
                <w:noProof/>
                <w:sz w:val="20"/>
                <w:lang w:eastAsia="en-GB"/>
              </w:rPr>
            </w:pPr>
          </w:p>
        </w:tc>
        <w:tc>
          <w:tcPr>
            <w:tcW w:w="1276" w:type="dxa"/>
            <w:tcBorders>
              <w:bottom w:val="single" w:sz="12" w:space="0" w:color="auto"/>
            </w:tcBorders>
          </w:tcPr>
          <w:p w:rsidR="00C639E1" w:rsidRDefault="00C639E1" w:rsidP="00C639E1">
            <w:pPr>
              <w:pStyle w:val="TableText"/>
              <w:spacing w:before="0" w:after="0"/>
              <w:jc w:val="center"/>
              <w:rPr>
                <w:rFonts w:cs="Segoe UI"/>
                <w:sz w:val="20"/>
                <w:lang w:eastAsia="en-GB"/>
              </w:rPr>
            </w:pPr>
            <w:r>
              <w:rPr>
                <w:rFonts w:cs="Segoe UI"/>
                <w:sz w:val="20"/>
                <w:lang w:eastAsia="en-GB"/>
              </w:rPr>
              <w:sym w:font="Wingdings 2" w:char="F050"/>
            </w:r>
          </w:p>
        </w:tc>
        <w:tc>
          <w:tcPr>
            <w:tcW w:w="1101" w:type="dxa"/>
            <w:tcBorders>
              <w:bottom w:val="single" w:sz="12" w:space="0" w:color="auto"/>
              <w:right w:val="single" w:sz="12" w:space="0" w:color="auto"/>
            </w:tcBorders>
          </w:tcPr>
          <w:p w:rsidR="00C639E1" w:rsidRDefault="00C639E1" w:rsidP="00C639E1">
            <w:pPr>
              <w:pStyle w:val="TableText"/>
              <w:spacing w:before="0" w:after="0"/>
              <w:rPr>
                <w:rFonts w:cs="Segoe UI"/>
                <w:sz w:val="20"/>
                <w:lang w:eastAsia="en-GB"/>
              </w:rPr>
            </w:pPr>
          </w:p>
        </w:tc>
      </w:tr>
      <w:tr w:rsidR="00C639E1" w:rsidTr="00CE1D6C">
        <w:trPr>
          <w:cantSplit/>
          <w:trHeight w:val="283"/>
        </w:trPr>
        <w:tc>
          <w:tcPr>
            <w:tcW w:w="1843" w:type="dxa"/>
            <w:vMerge w:val="restart"/>
            <w:tcBorders>
              <w:top w:val="single" w:sz="12" w:space="0" w:color="auto"/>
              <w:left w:val="nil"/>
              <w:right w:val="single" w:sz="12" w:space="0" w:color="auto"/>
            </w:tcBorders>
            <w:shd w:val="clear" w:color="auto" w:fill="auto"/>
          </w:tcPr>
          <w:p w:rsidR="00C639E1" w:rsidRDefault="00C639E1" w:rsidP="00C639E1">
            <w:pPr>
              <w:pStyle w:val="TableText"/>
              <w:spacing w:before="0" w:after="0"/>
              <w:rPr>
                <w:rFonts w:cs="Segoe UI"/>
                <w:sz w:val="20"/>
                <w:lang w:eastAsia="en-GB"/>
              </w:rPr>
            </w:pPr>
            <w:r>
              <w:rPr>
                <w:rFonts w:cs="Segoe UI"/>
                <w:sz w:val="20"/>
                <w:lang w:eastAsia="en-GB"/>
              </w:rPr>
              <w:t>Part V : Securitization exposures</w:t>
            </w:r>
          </w:p>
        </w:tc>
        <w:tc>
          <w:tcPr>
            <w:tcW w:w="4111" w:type="dxa"/>
            <w:tcBorders>
              <w:top w:val="single" w:sz="12" w:space="0" w:color="auto"/>
              <w:left w:val="single" w:sz="12" w:space="0" w:color="auto"/>
              <w:right w:val="single" w:sz="12" w:space="0" w:color="auto"/>
            </w:tcBorders>
            <w:shd w:val="clear" w:color="auto" w:fill="auto"/>
          </w:tcPr>
          <w:p w:rsidR="00C639E1" w:rsidRDefault="00C639E1" w:rsidP="00C639E1">
            <w:pPr>
              <w:pStyle w:val="TableText"/>
              <w:spacing w:before="0" w:after="0"/>
              <w:rPr>
                <w:rFonts w:cs="Segoe UI"/>
                <w:sz w:val="20"/>
                <w:lang w:eastAsia="en-GB"/>
              </w:rPr>
            </w:pPr>
            <w:r>
              <w:rPr>
                <w:rFonts w:cs="Segoe UI"/>
                <w:sz w:val="20"/>
                <w:lang w:eastAsia="en-GB"/>
              </w:rPr>
              <w:t>Table SECA: Qualitative disclosures related to securitization exposures</w:t>
            </w:r>
          </w:p>
        </w:tc>
        <w:tc>
          <w:tcPr>
            <w:tcW w:w="992" w:type="dxa"/>
            <w:tcBorders>
              <w:top w:val="single" w:sz="12" w:space="0" w:color="auto"/>
              <w:left w:val="single" w:sz="12" w:space="0" w:color="auto"/>
              <w:right w:val="single" w:sz="12" w:space="0" w:color="auto"/>
            </w:tcBorders>
          </w:tcPr>
          <w:p w:rsidR="00C639E1" w:rsidRDefault="00C639E1" w:rsidP="00C639E1">
            <w:pPr>
              <w:jc w:val="center"/>
            </w:pPr>
            <w:r w:rsidRPr="000B4C2D">
              <w:rPr>
                <w:rFonts w:cs="Segoe UI"/>
                <w:lang w:eastAsia="en-GB"/>
              </w:rPr>
              <w:t>I</w:t>
            </w:r>
          </w:p>
        </w:tc>
        <w:tc>
          <w:tcPr>
            <w:tcW w:w="1624" w:type="dxa"/>
            <w:tcBorders>
              <w:top w:val="single" w:sz="12" w:space="0" w:color="auto"/>
              <w:left w:val="single" w:sz="12" w:space="0" w:color="auto"/>
              <w:right w:val="single" w:sz="12" w:space="0" w:color="auto"/>
            </w:tcBorders>
            <w:shd w:val="clear" w:color="auto" w:fill="auto"/>
          </w:tcPr>
          <w:p w:rsidR="00C639E1" w:rsidRDefault="00F46D3E" w:rsidP="00C639E1">
            <w:pPr>
              <w:pStyle w:val="TableText"/>
              <w:spacing w:before="0" w:after="0"/>
              <w:jc w:val="center"/>
              <w:rPr>
                <w:rFonts w:cs="Segoe UI"/>
                <w:sz w:val="20"/>
                <w:lang w:eastAsia="en-GB"/>
              </w:rPr>
            </w:pPr>
            <w:r w:rsidRPr="003936F9">
              <w:rPr>
                <w:rFonts w:cs="Segoe UI" w:hint="eastAsia"/>
                <w:noProof/>
                <w:sz w:val="20"/>
                <w:lang w:eastAsia="en-GB"/>
              </w:rPr>
              <w:t>L</w:t>
            </w:r>
          </w:p>
        </w:tc>
        <w:tc>
          <w:tcPr>
            <w:tcW w:w="1244" w:type="dxa"/>
            <w:tcBorders>
              <w:top w:val="single" w:sz="12" w:space="0" w:color="auto"/>
              <w:lef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34" w:type="dxa"/>
            <w:tcBorders>
              <w:top w:val="single" w:sz="12" w:space="0" w:color="auto"/>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r>
              <w:rPr>
                <w:rFonts w:cs="Segoe UI"/>
                <w:sz w:val="20"/>
                <w:lang w:eastAsia="en-GB"/>
              </w:rPr>
              <w:sym w:font="Wingdings 2" w:char="F050"/>
            </w:r>
          </w:p>
        </w:tc>
        <w:tc>
          <w:tcPr>
            <w:tcW w:w="1134" w:type="dxa"/>
            <w:tcBorders>
              <w:top w:val="single" w:sz="12" w:space="0" w:color="auto"/>
              <w:lef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276" w:type="dxa"/>
            <w:tcBorders>
              <w:top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01" w:type="dxa"/>
            <w:tcBorders>
              <w:top w:val="single" w:sz="12" w:space="0" w:color="auto"/>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r>
              <w:rPr>
                <w:rFonts w:cs="Segoe UI"/>
                <w:sz w:val="20"/>
                <w:lang w:eastAsia="en-GB"/>
              </w:rPr>
              <w:sym w:font="Wingdings 2" w:char="F050"/>
            </w:r>
          </w:p>
        </w:tc>
      </w:tr>
      <w:tr w:rsidR="00C639E1" w:rsidTr="00CE1D6C">
        <w:trPr>
          <w:cantSplit/>
          <w:trHeight w:val="283"/>
        </w:trPr>
        <w:tc>
          <w:tcPr>
            <w:tcW w:w="1843" w:type="dxa"/>
            <w:vMerge/>
            <w:tcBorders>
              <w:left w:val="nil"/>
              <w:right w:val="single" w:sz="12" w:space="0" w:color="auto"/>
            </w:tcBorders>
            <w:shd w:val="clear" w:color="auto" w:fill="auto"/>
          </w:tcPr>
          <w:p w:rsidR="00C639E1" w:rsidRDefault="00C639E1" w:rsidP="00C639E1">
            <w:pPr>
              <w:pStyle w:val="TableText"/>
              <w:spacing w:before="0" w:after="0"/>
              <w:rPr>
                <w:rFonts w:cs="Segoe UI"/>
                <w:sz w:val="20"/>
                <w:lang w:eastAsia="en-GB"/>
              </w:rPr>
            </w:pPr>
          </w:p>
        </w:tc>
        <w:tc>
          <w:tcPr>
            <w:tcW w:w="4111" w:type="dxa"/>
            <w:tcBorders>
              <w:left w:val="single" w:sz="12" w:space="0" w:color="auto"/>
              <w:right w:val="single" w:sz="12" w:space="0" w:color="auto"/>
            </w:tcBorders>
            <w:shd w:val="clear" w:color="auto" w:fill="auto"/>
          </w:tcPr>
          <w:p w:rsidR="00C639E1" w:rsidRDefault="00C639E1" w:rsidP="00C639E1">
            <w:pPr>
              <w:pStyle w:val="TableText"/>
              <w:spacing w:before="0" w:after="0"/>
              <w:rPr>
                <w:rFonts w:cs="Segoe UI"/>
                <w:sz w:val="20"/>
                <w:lang w:eastAsia="en-GB"/>
              </w:rPr>
            </w:pPr>
            <w:r>
              <w:rPr>
                <w:rFonts w:cs="Segoe UI"/>
                <w:sz w:val="20"/>
                <w:lang w:eastAsia="en-GB"/>
              </w:rPr>
              <w:t>Template SEC1: Securitization exposures in banking book</w:t>
            </w:r>
          </w:p>
        </w:tc>
        <w:tc>
          <w:tcPr>
            <w:tcW w:w="992" w:type="dxa"/>
            <w:tcBorders>
              <w:left w:val="single" w:sz="12" w:space="0" w:color="auto"/>
              <w:right w:val="single" w:sz="12" w:space="0" w:color="auto"/>
            </w:tcBorders>
          </w:tcPr>
          <w:p w:rsidR="00C639E1" w:rsidRDefault="00C639E1" w:rsidP="00C639E1">
            <w:pPr>
              <w:jc w:val="center"/>
            </w:pPr>
            <w:r w:rsidRPr="000B4C2D">
              <w:rPr>
                <w:rFonts w:cs="Segoe UI"/>
                <w:lang w:eastAsia="en-GB"/>
              </w:rPr>
              <w:t>I</w:t>
            </w:r>
          </w:p>
        </w:tc>
        <w:tc>
          <w:tcPr>
            <w:tcW w:w="1624" w:type="dxa"/>
            <w:tcBorders>
              <w:left w:val="single" w:sz="12" w:space="0" w:color="auto"/>
              <w:right w:val="single" w:sz="12" w:space="0" w:color="auto"/>
            </w:tcBorders>
            <w:shd w:val="clear" w:color="auto" w:fill="auto"/>
          </w:tcPr>
          <w:p w:rsidR="00C639E1" w:rsidRDefault="00F46D3E" w:rsidP="00C639E1">
            <w:pPr>
              <w:pStyle w:val="TableText"/>
              <w:spacing w:before="0" w:after="0"/>
              <w:jc w:val="center"/>
              <w:rPr>
                <w:rFonts w:cs="Segoe UI"/>
                <w:sz w:val="20"/>
                <w:lang w:eastAsia="en-GB"/>
              </w:rPr>
            </w:pPr>
            <w:r w:rsidRPr="003936F9">
              <w:rPr>
                <w:rFonts w:cs="Segoe UI" w:hint="eastAsia"/>
                <w:noProof/>
                <w:sz w:val="20"/>
                <w:lang w:eastAsia="en-GB"/>
              </w:rPr>
              <w:t>L</w:t>
            </w:r>
          </w:p>
        </w:tc>
        <w:tc>
          <w:tcPr>
            <w:tcW w:w="1244" w:type="dxa"/>
            <w:tcBorders>
              <w:lef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34"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r>
              <w:rPr>
                <w:rFonts w:cs="Segoe UI"/>
                <w:sz w:val="20"/>
                <w:lang w:eastAsia="en-GB"/>
              </w:rPr>
              <w:sym w:font="Wingdings 2" w:char="F050"/>
            </w:r>
          </w:p>
        </w:tc>
        <w:tc>
          <w:tcPr>
            <w:tcW w:w="1134" w:type="dxa"/>
            <w:tcBorders>
              <w:lef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276" w:type="dxa"/>
            <w:shd w:val="clear" w:color="auto" w:fill="auto"/>
          </w:tcPr>
          <w:p w:rsidR="00C639E1" w:rsidRDefault="00C639E1" w:rsidP="00C639E1">
            <w:pPr>
              <w:pStyle w:val="TableText"/>
              <w:spacing w:before="0" w:after="0"/>
              <w:jc w:val="center"/>
              <w:rPr>
                <w:rFonts w:cs="Segoe UI"/>
                <w:sz w:val="20"/>
                <w:lang w:eastAsia="en-GB"/>
              </w:rPr>
            </w:pPr>
            <w:r>
              <w:rPr>
                <w:rFonts w:cs="Segoe UI"/>
                <w:sz w:val="20"/>
                <w:lang w:eastAsia="en-GB"/>
              </w:rPr>
              <w:sym w:font="Wingdings 2" w:char="F050"/>
            </w:r>
          </w:p>
        </w:tc>
        <w:tc>
          <w:tcPr>
            <w:tcW w:w="1101"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r>
      <w:tr w:rsidR="00C639E1" w:rsidTr="00CE1D6C">
        <w:trPr>
          <w:cantSplit/>
          <w:trHeight w:val="283"/>
        </w:trPr>
        <w:tc>
          <w:tcPr>
            <w:tcW w:w="1843" w:type="dxa"/>
            <w:vMerge/>
            <w:tcBorders>
              <w:left w:val="nil"/>
              <w:right w:val="single" w:sz="12" w:space="0" w:color="auto"/>
            </w:tcBorders>
            <w:shd w:val="clear" w:color="auto" w:fill="auto"/>
          </w:tcPr>
          <w:p w:rsidR="00C639E1" w:rsidRDefault="00C639E1" w:rsidP="00C639E1">
            <w:pPr>
              <w:pStyle w:val="TableText"/>
              <w:spacing w:before="0" w:after="0"/>
              <w:rPr>
                <w:rFonts w:cs="Segoe UI"/>
                <w:sz w:val="20"/>
                <w:lang w:eastAsia="en-GB"/>
              </w:rPr>
            </w:pPr>
          </w:p>
        </w:tc>
        <w:tc>
          <w:tcPr>
            <w:tcW w:w="4111" w:type="dxa"/>
            <w:tcBorders>
              <w:left w:val="single" w:sz="12" w:space="0" w:color="auto"/>
              <w:right w:val="single" w:sz="12" w:space="0" w:color="auto"/>
            </w:tcBorders>
            <w:shd w:val="clear" w:color="auto" w:fill="auto"/>
          </w:tcPr>
          <w:p w:rsidR="00C639E1" w:rsidRDefault="00C639E1" w:rsidP="00C639E1">
            <w:pPr>
              <w:pStyle w:val="TableText"/>
              <w:spacing w:before="0" w:after="0"/>
              <w:rPr>
                <w:rFonts w:cs="Segoe UI"/>
                <w:sz w:val="20"/>
                <w:lang w:eastAsia="en-GB"/>
              </w:rPr>
            </w:pPr>
            <w:r>
              <w:rPr>
                <w:rFonts w:cs="Segoe UI"/>
                <w:sz w:val="20"/>
                <w:lang w:eastAsia="en-GB"/>
              </w:rPr>
              <w:t>Template SEC2: Securitization exposures in trading book</w:t>
            </w:r>
          </w:p>
        </w:tc>
        <w:tc>
          <w:tcPr>
            <w:tcW w:w="992" w:type="dxa"/>
            <w:tcBorders>
              <w:left w:val="single" w:sz="12" w:space="0" w:color="auto"/>
              <w:right w:val="single" w:sz="12" w:space="0" w:color="auto"/>
            </w:tcBorders>
          </w:tcPr>
          <w:p w:rsidR="00C639E1" w:rsidRDefault="00C639E1" w:rsidP="00C639E1">
            <w:pPr>
              <w:jc w:val="center"/>
            </w:pPr>
            <w:r w:rsidRPr="000B4C2D">
              <w:rPr>
                <w:rFonts w:cs="Segoe UI"/>
                <w:lang w:eastAsia="en-GB"/>
              </w:rPr>
              <w:t>I</w:t>
            </w:r>
          </w:p>
        </w:tc>
        <w:tc>
          <w:tcPr>
            <w:tcW w:w="1624" w:type="dxa"/>
            <w:tcBorders>
              <w:left w:val="single" w:sz="12" w:space="0" w:color="auto"/>
              <w:right w:val="single" w:sz="12" w:space="0" w:color="auto"/>
            </w:tcBorders>
            <w:shd w:val="clear" w:color="auto" w:fill="auto"/>
          </w:tcPr>
          <w:p w:rsidR="00C639E1" w:rsidRDefault="00F46D3E" w:rsidP="00C639E1">
            <w:pPr>
              <w:pStyle w:val="TableText"/>
              <w:spacing w:before="0" w:after="0"/>
              <w:jc w:val="center"/>
              <w:rPr>
                <w:rFonts w:cs="Segoe UI"/>
                <w:sz w:val="20"/>
                <w:lang w:eastAsia="en-GB"/>
              </w:rPr>
            </w:pPr>
            <w:r w:rsidRPr="003936F9">
              <w:rPr>
                <w:rFonts w:cs="Segoe UI" w:hint="eastAsia"/>
                <w:noProof/>
                <w:sz w:val="20"/>
                <w:lang w:eastAsia="en-GB"/>
              </w:rPr>
              <w:t>L</w:t>
            </w:r>
          </w:p>
        </w:tc>
        <w:tc>
          <w:tcPr>
            <w:tcW w:w="1244" w:type="dxa"/>
            <w:tcBorders>
              <w:lef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34"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r>
              <w:rPr>
                <w:rFonts w:cs="Segoe UI"/>
                <w:sz w:val="20"/>
                <w:lang w:eastAsia="en-GB"/>
              </w:rPr>
              <w:sym w:font="Wingdings 2" w:char="F050"/>
            </w:r>
          </w:p>
        </w:tc>
        <w:tc>
          <w:tcPr>
            <w:tcW w:w="1134" w:type="dxa"/>
            <w:tcBorders>
              <w:lef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276" w:type="dxa"/>
            <w:shd w:val="clear" w:color="auto" w:fill="auto"/>
          </w:tcPr>
          <w:p w:rsidR="00C639E1" w:rsidRDefault="00C639E1" w:rsidP="00C639E1">
            <w:pPr>
              <w:pStyle w:val="TableText"/>
              <w:spacing w:before="0" w:after="0"/>
              <w:jc w:val="center"/>
              <w:rPr>
                <w:rFonts w:cs="Segoe UI"/>
                <w:sz w:val="20"/>
                <w:lang w:eastAsia="en-GB"/>
              </w:rPr>
            </w:pPr>
            <w:r>
              <w:rPr>
                <w:rFonts w:cs="Segoe UI"/>
                <w:sz w:val="20"/>
                <w:lang w:eastAsia="en-GB"/>
              </w:rPr>
              <w:sym w:font="Wingdings 2" w:char="F050"/>
            </w:r>
          </w:p>
        </w:tc>
        <w:tc>
          <w:tcPr>
            <w:tcW w:w="1101"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r>
      <w:tr w:rsidR="00C639E1" w:rsidTr="00CE1D6C">
        <w:trPr>
          <w:cantSplit/>
          <w:trHeight w:val="283"/>
        </w:trPr>
        <w:tc>
          <w:tcPr>
            <w:tcW w:w="1843" w:type="dxa"/>
            <w:vMerge/>
            <w:tcBorders>
              <w:left w:val="nil"/>
              <w:right w:val="single" w:sz="12" w:space="0" w:color="auto"/>
            </w:tcBorders>
            <w:shd w:val="clear" w:color="auto" w:fill="auto"/>
          </w:tcPr>
          <w:p w:rsidR="00C639E1" w:rsidRDefault="00C639E1" w:rsidP="00C639E1">
            <w:pPr>
              <w:pStyle w:val="TableText"/>
              <w:spacing w:before="0" w:after="0"/>
              <w:rPr>
                <w:rFonts w:cs="Segoe UI"/>
                <w:sz w:val="20"/>
                <w:lang w:eastAsia="en-GB"/>
              </w:rPr>
            </w:pPr>
          </w:p>
        </w:tc>
        <w:tc>
          <w:tcPr>
            <w:tcW w:w="4111" w:type="dxa"/>
            <w:tcBorders>
              <w:left w:val="single" w:sz="12" w:space="0" w:color="auto"/>
              <w:bottom w:val="single" w:sz="4" w:space="0" w:color="auto"/>
              <w:right w:val="single" w:sz="12" w:space="0" w:color="auto"/>
            </w:tcBorders>
            <w:shd w:val="clear" w:color="auto" w:fill="auto"/>
          </w:tcPr>
          <w:p w:rsidR="00C639E1" w:rsidRDefault="00C639E1" w:rsidP="00C639E1">
            <w:pPr>
              <w:pStyle w:val="TableText"/>
              <w:spacing w:before="0" w:after="0"/>
              <w:rPr>
                <w:rFonts w:cs="Segoe UI"/>
                <w:sz w:val="20"/>
                <w:lang w:eastAsia="en-GB"/>
              </w:rPr>
            </w:pPr>
            <w:r>
              <w:rPr>
                <w:rFonts w:cs="Segoe UI"/>
                <w:sz w:val="20"/>
                <w:lang w:eastAsia="en-GB"/>
              </w:rPr>
              <w:t>Template SEC3: Securitization exposures in banking book and associated capital requirements – where AI acts as originator</w:t>
            </w:r>
          </w:p>
        </w:tc>
        <w:tc>
          <w:tcPr>
            <w:tcW w:w="992" w:type="dxa"/>
            <w:tcBorders>
              <w:left w:val="single" w:sz="12" w:space="0" w:color="auto"/>
              <w:bottom w:val="single" w:sz="4" w:space="0" w:color="auto"/>
              <w:right w:val="single" w:sz="12" w:space="0" w:color="auto"/>
            </w:tcBorders>
          </w:tcPr>
          <w:p w:rsidR="00C639E1" w:rsidRDefault="00C639E1" w:rsidP="00C639E1">
            <w:pPr>
              <w:jc w:val="center"/>
            </w:pPr>
            <w:r w:rsidRPr="005A244E">
              <w:rPr>
                <w:rFonts w:cs="Segoe UI"/>
                <w:lang w:eastAsia="en-GB"/>
              </w:rPr>
              <w:t>I</w:t>
            </w:r>
          </w:p>
        </w:tc>
        <w:tc>
          <w:tcPr>
            <w:tcW w:w="1624" w:type="dxa"/>
            <w:tcBorders>
              <w:left w:val="single" w:sz="12" w:space="0" w:color="auto"/>
              <w:bottom w:val="single" w:sz="4" w:space="0" w:color="auto"/>
              <w:right w:val="single" w:sz="12" w:space="0" w:color="auto"/>
            </w:tcBorders>
            <w:shd w:val="clear" w:color="auto" w:fill="auto"/>
          </w:tcPr>
          <w:p w:rsidR="00C639E1" w:rsidRDefault="00F46D3E" w:rsidP="00C639E1">
            <w:pPr>
              <w:pStyle w:val="TableText"/>
              <w:spacing w:before="0" w:after="0"/>
              <w:jc w:val="center"/>
              <w:rPr>
                <w:rFonts w:cs="Segoe UI"/>
                <w:sz w:val="20"/>
                <w:lang w:eastAsia="en-GB"/>
              </w:rPr>
            </w:pPr>
            <w:r w:rsidRPr="003936F9">
              <w:rPr>
                <w:rFonts w:cs="Segoe UI" w:hint="eastAsia"/>
                <w:noProof/>
                <w:sz w:val="20"/>
                <w:lang w:eastAsia="en-GB"/>
              </w:rPr>
              <w:t>L</w:t>
            </w:r>
          </w:p>
        </w:tc>
        <w:tc>
          <w:tcPr>
            <w:tcW w:w="1244" w:type="dxa"/>
            <w:tcBorders>
              <w:left w:val="single" w:sz="12" w:space="0" w:color="auto"/>
              <w:bottom w:val="single" w:sz="4" w:space="0" w:color="auto"/>
            </w:tcBorders>
            <w:shd w:val="clear" w:color="auto" w:fill="auto"/>
          </w:tcPr>
          <w:p w:rsidR="00C639E1" w:rsidRDefault="00C639E1" w:rsidP="00C639E1">
            <w:pPr>
              <w:pStyle w:val="TableText"/>
              <w:spacing w:before="0" w:after="0"/>
              <w:jc w:val="center"/>
              <w:rPr>
                <w:rFonts w:cs="Segoe UI"/>
                <w:sz w:val="20"/>
                <w:lang w:eastAsia="en-GB"/>
              </w:rPr>
            </w:pPr>
            <w:r>
              <w:rPr>
                <w:rFonts w:cs="Segoe UI"/>
                <w:sz w:val="20"/>
                <w:lang w:eastAsia="en-GB"/>
              </w:rPr>
              <w:sym w:font="Wingdings 2" w:char="F050"/>
            </w:r>
          </w:p>
        </w:tc>
        <w:tc>
          <w:tcPr>
            <w:tcW w:w="1134" w:type="dxa"/>
            <w:tcBorders>
              <w:bottom w:val="single" w:sz="4" w:space="0" w:color="auto"/>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34" w:type="dxa"/>
            <w:tcBorders>
              <w:left w:val="single" w:sz="12" w:space="0" w:color="auto"/>
              <w:bottom w:val="single" w:sz="4"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276" w:type="dxa"/>
            <w:tcBorders>
              <w:bottom w:val="single" w:sz="4" w:space="0" w:color="auto"/>
            </w:tcBorders>
            <w:shd w:val="clear" w:color="auto" w:fill="auto"/>
          </w:tcPr>
          <w:p w:rsidR="00C639E1" w:rsidRDefault="00C639E1" w:rsidP="00C639E1">
            <w:pPr>
              <w:pStyle w:val="TableText"/>
              <w:spacing w:before="0" w:after="0"/>
              <w:jc w:val="center"/>
              <w:rPr>
                <w:rFonts w:cs="Segoe UI"/>
                <w:sz w:val="20"/>
                <w:lang w:eastAsia="en-GB"/>
              </w:rPr>
            </w:pPr>
            <w:r>
              <w:rPr>
                <w:rFonts w:cs="Segoe UI"/>
                <w:sz w:val="20"/>
                <w:lang w:eastAsia="en-GB"/>
              </w:rPr>
              <w:sym w:font="Wingdings 2" w:char="F050"/>
            </w:r>
          </w:p>
        </w:tc>
        <w:tc>
          <w:tcPr>
            <w:tcW w:w="1101" w:type="dxa"/>
            <w:tcBorders>
              <w:bottom w:val="single" w:sz="4" w:space="0" w:color="auto"/>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r>
      <w:tr w:rsidR="00C639E1" w:rsidTr="00CE1D6C">
        <w:trPr>
          <w:cantSplit/>
          <w:trHeight w:val="283"/>
        </w:trPr>
        <w:tc>
          <w:tcPr>
            <w:tcW w:w="1843" w:type="dxa"/>
            <w:vMerge/>
            <w:tcBorders>
              <w:left w:val="nil"/>
              <w:right w:val="single" w:sz="12" w:space="0" w:color="auto"/>
            </w:tcBorders>
            <w:shd w:val="clear" w:color="auto" w:fill="auto"/>
          </w:tcPr>
          <w:p w:rsidR="00C639E1" w:rsidRDefault="00C639E1" w:rsidP="00C639E1">
            <w:pPr>
              <w:pStyle w:val="TableText"/>
              <w:spacing w:before="0" w:after="0"/>
              <w:rPr>
                <w:rFonts w:cs="Segoe UI"/>
                <w:sz w:val="20"/>
                <w:lang w:eastAsia="en-GB"/>
              </w:rPr>
            </w:pPr>
          </w:p>
        </w:tc>
        <w:tc>
          <w:tcPr>
            <w:tcW w:w="4111" w:type="dxa"/>
            <w:tcBorders>
              <w:left w:val="single" w:sz="12" w:space="0" w:color="auto"/>
              <w:right w:val="single" w:sz="12" w:space="0" w:color="auto"/>
            </w:tcBorders>
            <w:shd w:val="clear" w:color="auto" w:fill="auto"/>
          </w:tcPr>
          <w:p w:rsidR="00C639E1" w:rsidRDefault="00C639E1" w:rsidP="00C639E1">
            <w:pPr>
              <w:pStyle w:val="TableText"/>
              <w:spacing w:before="0" w:after="0"/>
              <w:rPr>
                <w:rFonts w:cs="Segoe UI"/>
                <w:sz w:val="20"/>
                <w:lang w:eastAsia="en-GB"/>
              </w:rPr>
            </w:pPr>
            <w:r>
              <w:rPr>
                <w:rFonts w:cs="Segoe UI"/>
                <w:sz w:val="20"/>
                <w:lang w:eastAsia="en-GB"/>
              </w:rPr>
              <w:t>Template SEC4: Securitization exposures in banking book and associated capital requirements – where AI acts as investor</w:t>
            </w:r>
          </w:p>
        </w:tc>
        <w:tc>
          <w:tcPr>
            <w:tcW w:w="992" w:type="dxa"/>
            <w:tcBorders>
              <w:left w:val="single" w:sz="12" w:space="0" w:color="auto"/>
              <w:right w:val="single" w:sz="12" w:space="0" w:color="auto"/>
            </w:tcBorders>
          </w:tcPr>
          <w:p w:rsidR="00C639E1" w:rsidRDefault="00C639E1" w:rsidP="00C639E1">
            <w:pPr>
              <w:jc w:val="center"/>
            </w:pPr>
            <w:r w:rsidRPr="005A244E">
              <w:rPr>
                <w:rFonts w:cs="Segoe UI"/>
                <w:lang w:eastAsia="en-GB"/>
              </w:rPr>
              <w:t>I</w:t>
            </w:r>
          </w:p>
        </w:tc>
        <w:tc>
          <w:tcPr>
            <w:tcW w:w="1624" w:type="dxa"/>
            <w:tcBorders>
              <w:left w:val="single" w:sz="12" w:space="0" w:color="auto"/>
              <w:right w:val="single" w:sz="12" w:space="0" w:color="auto"/>
            </w:tcBorders>
            <w:shd w:val="clear" w:color="auto" w:fill="auto"/>
          </w:tcPr>
          <w:p w:rsidR="00C639E1" w:rsidRDefault="00F46D3E" w:rsidP="00C639E1">
            <w:pPr>
              <w:pStyle w:val="TableText"/>
              <w:spacing w:before="0" w:after="0"/>
              <w:jc w:val="center"/>
              <w:rPr>
                <w:rFonts w:cs="Segoe UI"/>
                <w:sz w:val="20"/>
                <w:lang w:eastAsia="en-GB"/>
              </w:rPr>
            </w:pPr>
            <w:r w:rsidRPr="003936F9">
              <w:rPr>
                <w:rFonts w:cs="Segoe UI" w:hint="eastAsia"/>
                <w:noProof/>
                <w:sz w:val="20"/>
                <w:lang w:eastAsia="en-GB"/>
              </w:rPr>
              <w:t>L</w:t>
            </w:r>
          </w:p>
        </w:tc>
        <w:tc>
          <w:tcPr>
            <w:tcW w:w="1244" w:type="dxa"/>
            <w:tcBorders>
              <w:lef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r>
              <w:rPr>
                <w:rFonts w:cs="Segoe UI"/>
                <w:sz w:val="20"/>
                <w:lang w:eastAsia="en-GB"/>
              </w:rPr>
              <w:sym w:font="Wingdings 2" w:char="F050"/>
            </w:r>
          </w:p>
        </w:tc>
        <w:tc>
          <w:tcPr>
            <w:tcW w:w="1134"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34" w:type="dxa"/>
            <w:tcBorders>
              <w:lef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276" w:type="dxa"/>
            <w:shd w:val="clear" w:color="auto" w:fill="auto"/>
          </w:tcPr>
          <w:p w:rsidR="00C639E1" w:rsidRDefault="00C639E1" w:rsidP="00C639E1">
            <w:pPr>
              <w:pStyle w:val="TableText"/>
              <w:spacing w:before="0" w:after="0"/>
              <w:jc w:val="center"/>
              <w:rPr>
                <w:rFonts w:cs="Segoe UI"/>
                <w:sz w:val="20"/>
                <w:lang w:eastAsia="en-GB"/>
              </w:rPr>
            </w:pPr>
            <w:r>
              <w:rPr>
                <w:rFonts w:cs="Segoe UI"/>
                <w:sz w:val="20"/>
                <w:lang w:eastAsia="en-GB"/>
              </w:rPr>
              <w:sym w:font="Wingdings 2" w:char="F050"/>
            </w:r>
          </w:p>
        </w:tc>
        <w:tc>
          <w:tcPr>
            <w:tcW w:w="1101"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r>
      <w:tr w:rsidR="00C639E1" w:rsidTr="00CE1D6C">
        <w:trPr>
          <w:cantSplit/>
          <w:trHeight w:val="283"/>
        </w:trPr>
        <w:tc>
          <w:tcPr>
            <w:tcW w:w="1843" w:type="dxa"/>
            <w:vMerge w:val="restart"/>
            <w:tcBorders>
              <w:top w:val="single" w:sz="12" w:space="0" w:color="auto"/>
              <w:left w:val="nil"/>
              <w:right w:val="single" w:sz="12" w:space="0" w:color="auto"/>
            </w:tcBorders>
          </w:tcPr>
          <w:p w:rsidR="00C639E1" w:rsidRDefault="00C639E1" w:rsidP="00C639E1">
            <w:pPr>
              <w:pStyle w:val="TableText"/>
              <w:spacing w:before="0" w:after="0"/>
              <w:rPr>
                <w:rFonts w:cs="Segoe UI"/>
                <w:sz w:val="20"/>
                <w:lang w:eastAsia="en-GB"/>
              </w:rPr>
            </w:pPr>
            <w:r>
              <w:rPr>
                <w:rFonts w:cs="Segoe UI"/>
                <w:sz w:val="20"/>
                <w:lang w:eastAsia="en-GB"/>
              </w:rPr>
              <w:t>Part VI : Market risk</w:t>
            </w:r>
          </w:p>
        </w:tc>
        <w:tc>
          <w:tcPr>
            <w:tcW w:w="4111" w:type="dxa"/>
            <w:tcBorders>
              <w:top w:val="single" w:sz="12" w:space="0" w:color="auto"/>
              <w:left w:val="single" w:sz="12" w:space="0" w:color="auto"/>
              <w:right w:val="single" w:sz="12" w:space="0" w:color="auto"/>
            </w:tcBorders>
            <w:shd w:val="clear" w:color="auto" w:fill="auto"/>
          </w:tcPr>
          <w:p w:rsidR="00C639E1" w:rsidRDefault="00C639E1" w:rsidP="00C639E1">
            <w:pPr>
              <w:pStyle w:val="TableText"/>
              <w:spacing w:before="0" w:after="0"/>
              <w:rPr>
                <w:rFonts w:cs="Segoe UI"/>
                <w:noProof/>
                <w:sz w:val="20"/>
                <w:lang w:eastAsia="en-GB"/>
              </w:rPr>
            </w:pPr>
            <w:r>
              <w:rPr>
                <w:rFonts w:cs="Segoe UI"/>
                <w:sz w:val="20"/>
                <w:lang w:eastAsia="en-GB"/>
              </w:rPr>
              <w:t>Table MRA: Qualitative disclosures related to market risk</w:t>
            </w:r>
          </w:p>
        </w:tc>
        <w:tc>
          <w:tcPr>
            <w:tcW w:w="992" w:type="dxa"/>
            <w:tcBorders>
              <w:top w:val="single" w:sz="12" w:space="0" w:color="auto"/>
              <w:left w:val="single" w:sz="12" w:space="0" w:color="auto"/>
              <w:right w:val="single" w:sz="12" w:space="0" w:color="auto"/>
            </w:tcBorders>
          </w:tcPr>
          <w:p w:rsidR="00C639E1" w:rsidRDefault="00C639E1" w:rsidP="00C639E1">
            <w:pPr>
              <w:jc w:val="center"/>
            </w:pPr>
            <w:r w:rsidRPr="005A244E">
              <w:rPr>
                <w:rFonts w:cs="Segoe UI"/>
                <w:lang w:eastAsia="en-GB"/>
              </w:rPr>
              <w:t>I</w:t>
            </w:r>
          </w:p>
        </w:tc>
        <w:tc>
          <w:tcPr>
            <w:tcW w:w="1624" w:type="dxa"/>
            <w:tcBorders>
              <w:top w:val="single" w:sz="12" w:space="0" w:color="auto"/>
              <w:left w:val="single" w:sz="12" w:space="0" w:color="auto"/>
              <w:right w:val="single" w:sz="12" w:space="0" w:color="auto"/>
            </w:tcBorders>
            <w:shd w:val="clear" w:color="auto" w:fill="auto"/>
          </w:tcPr>
          <w:p w:rsidR="00C639E1" w:rsidRDefault="00F46D3E" w:rsidP="00C639E1">
            <w:pPr>
              <w:pStyle w:val="TableText"/>
              <w:spacing w:before="0" w:after="0"/>
              <w:jc w:val="center"/>
              <w:rPr>
                <w:rFonts w:cs="Segoe UI"/>
                <w:sz w:val="20"/>
                <w:lang w:eastAsia="en-GB"/>
              </w:rPr>
            </w:pPr>
            <w:r w:rsidRPr="003936F9">
              <w:rPr>
                <w:rFonts w:cs="Segoe UI" w:hint="eastAsia"/>
                <w:noProof/>
                <w:sz w:val="20"/>
                <w:lang w:eastAsia="en-GB"/>
              </w:rPr>
              <w:t>L</w:t>
            </w:r>
            <w:r w:rsidR="00C639E1">
              <w:rPr>
                <w:rFonts w:cs="Segoe UI"/>
                <w:noProof/>
                <w:sz w:val="20"/>
                <w:lang w:eastAsia="en-GB"/>
              </w:rPr>
              <w:t xml:space="preserve"> (other than exempted)</w:t>
            </w:r>
          </w:p>
        </w:tc>
        <w:tc>
          <w:tcPr>
            <w:tcW w:w="1244" w:type="dxa"/>
            <w:tcBorders>
              <w:top w:val="single" w:sz="12" w:space="0" w:color="auto"/>
              <w:lef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34" w:type="dxa"/>
            <w:tcBorders>
              <w:top w:val="single" w:sz="12" w:space="0" w:color="auto"/>
              <w:righ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34" w:type="dxa"/>
            <w:tcBorders>
              <w:top w:val="single" w:sz="12" w:space="0" w:color="auto"/>
              <w:lef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276" w:type="dxa"/>
            <w:tcBorders>
              <w:top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01" w:type="dxa"/>
            <w:tcBorders>
              <w:top w:val="single" w:sz="12" w:space="0" w:color="auto"/>
              <w:righ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r>
      <w:tr w:rsidR="00C639E1" w:rsidTr="00CE1D6C">
        <w:trPr>
          <w:cantSplit/>
          <w:trHeight w:val="283"/>
        </w:trPr>
        <w:tc>
          <w:tcPr>
            <w:tcW w:w="1843" w:type="dxa"/>
            <w:vMerge/>
            <w:tcBorders>
              <w:left w:val="nil"/>
              <w:right w:val="single" w:sz="12" w:space="0" w:color="auto"/>
            </w:tcBorders>
          </w:tcPr>
          <w:p w:rsidR="00C639E1" w:rsidRDefault="00C639E1" w:rsidP="00C639E1">
            <w:pPr>
              <w:pStyle w:val="TableText"/>
              <w:spacing w:before="0" w:after="0"/>
              <w:rPr>
                <w:rFonts w:cs="Segoe UI"/>
                <w:sz w:val="20"/>
                <w:lang w:eastAsia="en-GB"/>
              </w:rPr>
            </w:pPr>
          </w:p>
        </w:tc>
        <w:tc>
          <w:tcPr>
            <w:tcW w:w="4111" w:type="dxa"/>
            <w:tcBorders>
              <w:left w:val="single" w:sz="12" w:space="0" w:color="auto"/>
              <w:right w:val="single" w:sz="12" w:space="0" w:color="auto"/>
            </w:tcBorders>
            <w:shd w:val="clear" w:color="auto" w:fill="auto"/>
          </w:tcPr>
          <w:p w:rsidR="00C639E1" w:rsidRDefault="00C639E1" w:rsidP="00C639E1">
            <w:pPr>
              <w:pStyle w:val="TableText"/>
              <w:spacing w:before="0" w:after="0"/>
              <w:rPr>
                <w:rFonts w:cs="Segoe UI"/>
                <w:noProof/>
                <w:sz w:val="20"/>
                <w:lang w:eastAsia="en-GB"/>
              </w:rPr>
            </w:pPr>
            <w:r>
              <w:rPr>
                <w:rFonts w:cs="Segoe UI"/>
                <w:sz w:val="20"/>
                <w:lang w:eastAsia="en-GB"/>
              </w:rPr>
              <w:t>Table MRB: Additional qualitative disclosures for AI using IMM approach</w:t>
            </w:r>
          </w:p>
        </w:tc>
        <w:tc>
          <w:tcPr>
            <w:tcW w:w="992" w:type="dxa"/>
            <w:tcBorders>
              <w:left w:val="single" w:sz="12" w:space="0" w:color="auto"/>
              <w:right w:val="single" w:sz="12" w:space="0" w:color="auto"/>
            </w:tcBorders>
          </w:tcPr>
          <w:p w:rsidR="00C639E1" w:rsidRDefault="00C639E1" w:rsidP="00C639E1">
            <w:pPr>
              <w:jc w:val="center"/>
            </w:pPr>
            <w:r w:rsidRPr="005A244E">
              <w:rPr>
                <w:rFonts w:cs="Segoe UI"/>
                <w:lang w:eastAsia="en-GB"/>
              </w:rPr>
              <w:t>I</w:t>
            </w:r>
          </w:p>
        </w:tc>
        <w:tc>
          <w:tcPr>
            <w:tcW w:w="1624" w:type="dxa"/>
            <w:tcBorders>
              <w:left w:val="single" w:sz="12" w:space="0" w:color="auto"/>
              <w:right w:val="single" w:sz="12" w:space="0" w:color="auto"/>
            </w:tcBorders>
            <w:shd w:val="clear" w:color="auto" w:fill="auto"/>
          </w:tcPr>
          <w:p w:rsidR="00C639E1" w:rsidRDefault="006843CC" w:rsidP="00C639E1">
            <w:pPr>
              <w:pStyle w:val="TableText"/>
              <w:spacing w:before="0" w:after="0"/>
              <w:jc w:val="center"/>
              <w:rPr>
                <w:rFonts w:cs="Segoe UI"/>
                <w:sz w:val="20"/>
                <w:lang w:eastAsia="en-GB"/>
              </w:rPr>
            </w:pPr>
            <w:r w:rsidRPr="003936F9">
              <w:rPr>
                <w:rFonts w:cs="Segoe UI" w:hint="eastAsia"/>
                <w:noProof/>
                <w:sz w:val="20"/>
                <w:lang w:eastAsia="en-GB"/>
              </w:rPr>
              <w:t>L</w:t>
            </w:r>
            <w:r>
              <w:rPr>
                <w:rFonts w:cs="Segoe UI"/>
                <w:noProof/>
                <w:sz w:val="20"/>
                <w:lang w:eastAsia="en-GB"/>
              </w:rPr>
              <w:t xml:space="preserve"> </w:t>
            </w:r>
            <w:r>
              <w:rPr>
                <w:rFonts w:asciiTheme="minorEastAsia" w:eastAsiaTheme="minorEastAsia" w:hAnsiTheme="minorEastAsia" w:cs="Segoe UI" w:hint="eastAsia"/>
                <w:noProof/>
                <w:sz w:val="20"/>
                <w:lang w:eastAsia="zh-TW"/>
              </w:rPr>
              <w:t>[</w:t>
            </w:r>
            <w:r w:rsidR="00C639E1">
              <w:rPr>
                <w:rFonts w:cs="Segoe UI"/>
                <w:sz w:val="20"/>
                <w:lang w:eastAsia="en-GB"/>
              </w:rPr>
              <w:t>IMM</w:t>
            </w:r>
            <w:r>
              <w:rPr>
                <w:rFonts w:asciiTheme="minorEastAsia" w:eastAsiaTheme="minorEastAsia" w:hAnsiTheme="minorEastAsia" w:cs="Segoe UI" w:hint="eastAsia"/>
                <w:sz w:val="20"/>
                <w:lang w:eastAsia="zh-TW"/>
              </w:rPr>
              <w:t>]</w:t>
            </w:r>
          </w:p>
        </w:tc>
        <w:tc>
          <w:tcPr>
            <w:tcW w:w="1244" w:type="dxa"/>
            <w:tcBorders>
              <w:lef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34" w:type="dxa"/>
            <w:tcBorders>
              <w:righ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34" w:type="dxa"/>
            <w:tcBorders>
              <w:lef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276" w:type="dxa"/>
            <w:shd w:val="clear" w:color="auto" w:fill="auto"/>
          </w:tcPr>
          <w:p w:rsidR="00C639E1" w:rsidRDefault="00C639E1" w:rsidP="00C639E1">
            <w:pPr>
              <w:pStyle w:val="TableText"/>
              <w:spacing w:before="0" w:after="0"/>
              <w:jc w:val="center"/>
              <w:rPr>
                <w:rFonts w:cs="Segoe UI"/>
                <w:sz w:val="20"/>
                <w:lang w:eastAsia="en-GB"/>
              </w:rPr>
            </w:pPr>
          </w:p>
        </w:tc>
        <w:tc>
          <w:tcPr>
            <w:tcW w:w="1101" w:type="dxa"/>
            <w:tcBorders>
              <w:righ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r>
      <w:tr w:rsidR="00C639E1" w:rsidTr="00CE1D6C">
        <w:trPr>
          <w:cantSplit/>
          <w:trHeight w:val="283"/>
        </w:trPr>
        <w:tc>
          <w:tcPr>
            <w:tcW w:w="1843" w:type="dxa"/>
            <w:vMerge/>
            <w:tcBorders>
              <w:left w:val="nil"/>
              <w:right w:val="single" w:sz="12" w:space="0" w:color="auto"/>
            </w:tcBorders>
          </w:tcPr>
          <w:p w:rsidR="00C639E1" w:rsidRDefault="00C639E1" w:rsidP="00C639E1">
            <w:pPr>
              <w:pStyle w:val="TableText"/>
              <w:spacing w:before="0" w:after="0"/>
              <w:rPr>
                <w:rFonts w:cs="Segoe UI"/>
                <w:sz w:val="20"/>
                <w:lang w:eastAsia="en-GB"/>
              </w:rPr>
            </w:pPr>
          </w:p>
        </w:tc>
        <w:tc>
          <w:tcPr>
            <w:tcW w:w="4111" w:type="dxa"/>
            <w:tcBorders>
              <w:left w:val="single" w:sz="12" w:space="0" w:color="auto"/>
              <w:right w:val="single" w:sz="12" w:space="0" w:color="auto"/>
            </w:tcBorders>
            <w:shd w:val="clear" w:color="auto" w:fill="auto"/>
          </w:tcPr>
          <w:p w:rsidR="00C639E1" w:rsidRDefault="00C639E1" w:rsidP="00C639E1">
            <w:pPr>
              <w:pStyle w:val="TableText"/>
              <w:spacing w:before="0" w:after="0"/>
              <w:rPr>
                <w:rFonts w:cs="Segoe UI"/>
                <w:noProof/>
                <w:sz w:val="20"/>
                <w:lang w:eastAsia="en-GB"/>
              </w:rPr>
            </w:pPr>
            <w:r>
              <w:rPr>
                <w:rFonts w:cs="Segoe UI"/>
                <w:sz w:val="20"/>
                <w:lang w:eastAsia="en-GB"/>
              </w:rPr>
              <w:t>Template MR1: Market risk under STM approach</w:t>
            </w:r>
          </w:p>
        </w:tc>
        <w:tc>
          <w:tcPr>
            <w:tcW w:w="992" w:type="dxa"/>
            <w:tcBorders>
              <w:left w:val="single" w:sz="12" w:space="0" w:color="auto"/>
              <w:right w:val="single" w:sz="12" w:space="0" w:color="auto"/>
            </w:tcBorders>
          </w:tcPr>
          <w:p w:rsidR="00C639E1" w:rsidRDefault="00C639E1" w:rsidP="00C639E1">
            <w:pPr>
              <w:jc w:val="center"/>
            </w:pPr>
            <w:r w:rsidRPr="005A244E">
              <w:rPr>
                <w:rFonts w:cs="Segoe UI"/>
                <w:lang w:eastAsia="en-GB"/>
              </w:rPr>
              <w:t>I</w:t>
            </w:r>
          </w:p>
        </w:tc>
        <w:tc>
          <w:tcPr>
            <w:tcW w:w="1624" w:type="dxa"/>
            <w:tcBorders>
              <w:left w:val="single" w:sz="12" w:space="0" w:color="auto"/>
              <w:right w:val="single" w:sz="12" w:space="0" w:color="auto"/>
            </w:tcBorders>
            <w:shd w:val="clear" w:color="auto" w:fill="auto"/>
          </w:tcPr>
          <w:p w:rsidR="00C639E1" w:rsidRDefault="006843CC" w:rsidP="00C639E1">
            <w:pPr>
              <w:pStyle w:val="TableText"/>
              <w:spacing w:before="0" w:after="0"/>
              <w:jc w:val="center"/>
              <w:rPr>
                <w:rFonts w:cs="Segoe UI"/>
                <w:noProof/>
                <w:sz w:val="20"/>
                <w:lang w:eastAsia="en-GB"/>
              </w:rPr>
            </w:pPr>
            <w:r w:rsidRPr="003936F9">
              <w:rPr>
                <w:rFonts w:cs="Segoe UI" w:hint="eastAsia"/>
                <w:noProof/>
                <w:sz w:val="20"/>
                <w:lang w:eastAsia="en-GB"/>
              </w:rPr>
              <w:t>L</w:t>
            </w:r>
            <w:r>
              <w:rPr>
                <w:rFonts w:cs="Segoe UI"/>
                <w:noProof/>
                <w:sz w:val="20"/>
                <w:lang w:eastAsia="en-GB"/>
              </w:rPr>
              <w:t xml:space="preserve"> </w:t>
            </w:r>
            <w:r>
              <w:rPr>
                <w:rFonts w:asciiTheme="minorEastAsia" w:eastAsiaTheme="minorEastAsia" w:hAnsiTheme="minorEastAsia" w:cs="Segoe UI" w:hint="eastAsia"/>
                <w:noProof/>
                <w:sz w:val="20"/>
                <w:lang w:eastAsia="zh-TW"/>
              </w:rPr>
              <w:t>[</w:t>
            </w:r>
            <w:r w:rsidR="00C639E1">
              <w:rPr>
                <w:rFonts w:cs="Segoe UI"/>
                <w:noProof/>
                <w:sz w:val="20"/>
                <w:lang w:eastAsia="en-GB"/>
              </w:rPr>
              <w:t>STM</w:t>
            </w:r>
            <w:r>
              <w:rPr>
                <w:rFonts w:asciiTheme="minorEastAsia" w:eastAsiaTheme="minorEastAsia" w:hAnsiTheme="minorEastAsia" w:cs="Segoe UI" w:hint="eastAsia"/>
                <w:noProof/>
                <w:sz w:val="20"/>
                <w:lang w:eastAsia="zh-TW"/>
              </w:rPr>
              <w:t>]</w:t>
            </w:r>
          </w:p>
        </w:tc>
        <w:tc>
          <w:tcPr>
            <w:tcW w:w="1244" w:type="dxa"/>
            <w:tcBorders>
              <w:lef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34"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34" w:type="dxa"/>
            <w:tcBorders>
              <w:lef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p>
        </w:tc>
        <w:tc>
          <w:tcPr>
            <w:tcW w:w="1276" w:type="dxa"/>
            <w:shd w:val="clear" w:color="auto" w:fill="auto"/>
          </w:tcPr>
          <w:p w:rsidR="00C639E1" w:rsidRDefault="00C639E1" w:rsidP="00C639E1">
            <w:pPr>
              <w:pStyle w:val="TableText"/>
              <w:spacing w:before="0" w:after="0"/>
              <w:jc w:val="center"/>
              <w:rPr>
                <w:rFonts w:cs="Segoe UI"/>
                <w:sz w:val="20"/>
                <w:lang w:eastAsia="en-GB"/>
              </w:rPr>
            </w:pPr>
            <w:r>
              <w:rPr>
                <w:rFonts w:cs="Segoe UI"/>
                <w:sz w:val="20"/>
                <w:lang w:eastAsia="en-GB"/>
              </w:rPr>
              <w:sym w:font="Wingdings 2" w:char="F050"/>
            </w:r>
          </w:p>
        </w:tc>
        <w:tc>
          <w:tcPr>
            <w:tcW w:w="1101"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r>
      <w:tr w:rsidR="00C639E1" w:rsidTr="00CE1D6C">
        <w:trPr>
          <w:cantSplit/>
          <w:trHeight w:val="283"/>
        </w:trPr>
        <w:tc>
          <w:tcPr>
            <w:tcW w:w="1843" w:type="dxa"/>
            <w:vMerge/>
            <w:tcBorders>
              <w:left w:val="nil"/>
              <w:right w:val="single" w:sz="12" w:space="0" w:color="auto"/>
            </w:tcBorders>
          </w:tcPr>
          <w:p w:rsidR="00C639E1" w:rsidRDefault="00C639E1" w:rsidP="00C639E1">
            <w:pPr>
              <w:pStyle w:val="TableText"/>
              <w:spacing w:before="0" w:after="0"/>
              <w:rPr>
                <w:rFonts w:cs="Segoe UI"/>
                <w:sz w:val="20"/>
                <w:lang w:eastAsia="en-GB"/>
              </w:rPr>
            </w:pPr>
          </w:p>
        </w:tc>
        <w:tc>
          <w:tcPr>
            <w:tcW w:w="4111" w:type="dxa"/>
            <w:tcBorders>
              <w:left w:val="single" w:sz="12" w:space="0" w:color="auto"/>
              <w:right w:val="single" w:sz="12" w:space="0" w:color="auto"/>
            </w:tcBorders>
            <w:shd w:val="clear" w:color="auto" w:fill="auto"/>
          </w:tcPr>
          <w:p w:rsidR="00C639E1" w:rsidRDefault="00C639E1" w:rsidP="00C639E1">
            <w:pPr>
              <w:pStyle w:val="TableText"/>
              <w:spacing w:before="0" w:after="0"/>
              <w:rPr>
                <w:rFonts w:cs="Segoe UI"/>
                <w:noProof/>
                <w:sz w:val="20"/>
                <w:lang w:eastAsia="en-GB"/>
              </w:rPr>
            </w:pPr>
            <w:r>
              <w:rPr>
                <w:rFonts w:cs="Segoe UI"/>
                <w:sz w:val="20"/>
                <w:lang w:eastAsia="en-GB"/>
              </w:rPr>
              <w:t>Template MR2: RWA flow statements of market risk exposures under IMM approach</w:t>
            </w:r>
          </w:p>
        </w:tc>
        <w:tc>
          <w:tcPr>
            <w:tcW w:w="992" w:type="dxa"/>
            <w:tcBorders>
              <w:left w:val="single" w:sz="12" w:space="0" w:color="auto"/>
              <w:right w:val="single" w:sz="12" w:space="0" w:color="auto"/>
            </w:tcBorders>
          </w:tcPr>
          <w:p w:rsidR="00C639E1" w:rsidRDefault="00C639E1" w:rsidP="00C639E1">
            <w:pPr>
              <w:jc w:val="center"/>
            </w:pPr>
            <w:r w:rsidRPr="005A244E">
              <w:rPr>
                <w:rFonts w:cs="Segoe UI"/>
                <w:lang w:eastAsia="en-GB"/>
              </w:rPr>
              <w:t>I</w:t>
            </w:r>
          </w:p>
        </w:tc>
        <w:tc>
          <w:tcPr>
            <w:tcW w:w="1624" w:type="dxa"/>
            <w:tcBorders>
              <w:left w:val="single" w:sz="12" w:space="0" w:color="auto"/>
              <w:right w:val="single" w:sz="12" w:space="0" w:color="auto"/>
            </w:tcBorders>
            <w:shd w:val="clear" w:color="auto" w:fill="auto"/>
          </w:tcPr>
          <w:p w:rsidR="00C639E1" w:rsidRDefault="006843CC" w:rsidP="00C639E1">
            <w:pPr>
              <w:pStyle w:val="TableText"/>
              <w:spacing w:before="0" w:after="0"/>
              <w:jc w:val="center"/>
              <w:rPr>
                <w:rFonts w:cs="Segoe UI"/>
                <w:sz w:val="20"/>
                <w:lang w:eastAsia="en-GB"/>
              </w:rPr>
            </w:pPr>
            <w:r w:rsidRPr="003936F9">
              <w:rPr>
                <w:rFonts w:cs="Segoe UI" w:hint="eastAsia"/>
                <w:noProof/>
                <w:sz w:val="20"/>
                <w:lang w:eastAsia="en-GB"/>
              </w:rPr>
              <w:t>L</w:t>
            </w:r>
            <w:r>
              <w:rPr>
                <w:rFonts w:cs="Segoe UI"/>
                <w:noProof/>
                <w:sz w:val="20"/>
                <w:lang w:eastAsia="en-GB"/>
              </w:rPr>
              <w:t xml:space="preserve"> </w:t>
            </w:r>
            <w:r>
              <w:rPr>
                <w:rFonts w:asciiTheme="minorEastAsia" w:eastAsiaTheme="minorEastAsia" w:hAnsiTheme="minorEastAsia" w:cs="Segoe UI" w:hint="eastAsia"/>
                <w:noProof/>
                <w:sz w:val="20"/>
                <w:lang w:eastAsia="zh-TW"/>
              </w:rPr>
              <w:t>[</w:t>
            </w:r>
            <w:r w:rsidR="00C639E1">
              <w:rPr>
                <w:rFonts w:cs="Segoe UI"/>
                <w:sz w:val="20"/>
                <w:lang w:eastAsia="en-GB"/>
              </w:rPr>
              <w:t>IMM</w:t>
            </w:r>
            <w:r>
              <w:rPr>
                <w:rFonts w:asciiTheme="minorEastAsia" w:eastAsiaTheme="minorEastAsia" w:hAnsiTheme="minorEastAsia" w:cs="Segoe UI" w:hint="eastAsia"/>
                <w:sz w:val="20"/>
                <w:lang w:eastAsia="zh-TW"/>
              </w:rPr>
              <w:t>]</w:t>
            </w:r>
          </w:p>
        </w:tc>
        <w:tc>
          <w:tcPr>
            <w:tcW w:w="1244" w:type="dxa"/>
            <w:tcBorders>
              <w:lef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r>
              <w:rPr>
                <w:rFonts w:cs="Segoe UI"/>
                <w:sz w:val="20"/>
                <w:lang w:eastAsia="en-GB"/>
              </w:rPr>
              <w:sym w:font="Wingdings 2" w:char="F050"/>
            </w:r>
          </w:p>
        </w:tc>
        <w:tc>
          <w:tcPr>
            <w:tcW w:w="1134" w:type="dxa"/>
            <w:tcBorders>
              <w:righ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p>
        </w:tc>
        <w:tc>
          <w:tcPr>
            <w:tcW w:w="1134" w:type="dxa"/>
            <w:tcBorders>
              <w:lef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r>
              <w:rPr>
                <w:rFonts w:cs="Segoe UI"/>
                <w:sz w:val="20"/>
                <w:lang w:eastAsia="en-GB"/>
              </w:rPr>
              <w:sym w:font="Wingdings 2" w:char="F050"/>
            </w:r>
          </w:p>
        </w:tc>
        <w:tc>
          <w:tcPr>
            <w:tcW w:w="1276" w:type="dxa"/>
            <w:shd w:val="clear" w:color="auto" w:fill="auto"/>
          </w:tcPr>
          <w:p w:rsidR="00C639E1" w:rsidRDefault="00C639E1" w:rsidP="00C639E1">
            <w:pPr>
              <w:pStyle w:val="TableText"/>
              <w:spacing w:before="0" w:after="0"/>
              <w:jc w:val="center"/>
              <w:rPr>
                <w:rFonts w:cs="Segoe UI"/>
                <w:noProof/>
                <w:sz w:val="20"/>
                <w:lang w:eastAsia="en-GB"/>
              </w:rPr>
            </w:pPr>
          </w:p>
        </w:tc>
        <w:tc>
          <w:tcPr>
            <w:tcW w:w="1101"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r>
      <w:tr w:rsidR="00C639E1" w:rsidTr="00CE1D6C">
        <w:trPr>
          <w:cantSplit/>
          <w:trHeight w:val="283"/>
        </w:trPr>
        <w:tc>
          <w:tcPr>
            <w:tcW w:w="1843" w:type="dxa"/>
            <w:vMerge/>
            <w:tcBorders>
              <w:left w:val="nil"/>
              <w:right w:val="single" w:sz="12" w:space="0" w:color="auto"/>
            </w:tcBorders>
          </w:tcPr>
          <w:p w:rsidR="00C639E1" w:rsidRDefault="00C639E1" w:rsidP="00C639E1">
            <w:pPr>
              <w:pStyle w:val="TableText"/>
              <w:spacing w:before="0" w:after="0"/>
              <w:rPr>
                <w:rFonts w:cs="Segoe UI"/>
                <w:sz w:val="20"/>
                <w:lang w:eastAsia="en-GB"/>
              </w:rPr>
            </w:pPr>
          </w:p>
        </w:tc>
        <w:tc>
          <w:tcPr>
            <w:tcW w:w="4111" w:type="dxa"/>
            <w:tcBorders>
              <w:left w:val="single" w:sz="12" w:space="0" w:color="auto"/>
              <w:right w:val="single" w:sz="12" w:space="0" w:color="auto"/>
            </w:tcBorders>
            <w:shd w:val="clear" w:color="auto" w:fill="auto"/>
          </w:tcPr>
          <w:p w:rsidR="00C639E1" w:rsidRDefault="00C639E1" w:rsidP="00C639E1">
            <w:pPr>
              <w:pStyle w:val="TableText"/>
              <w:spacing w:before="0" w:after="0"/>
              <w:rPr>
                <w:rFonts w:cs="Segoe UI"/>
                <w:noProof/>
                <w:sz w:val="20"/>
                <w:lang w:eastAsia="en-GB"/>
              </w:rPr>
            </w:pPr>
            <w:r>
              <w:rPr>
                <w:rFonts w:cs="Segoe UI"/>
                <w:sz w:val="20"/>
                <w:lang w:eastAsia="en-GB"/>
              </w:rPr>
              <w:t>Template MR3: IMM approach values for market risk exposures</w:t>
            </w:r>
          </w:p>
        </w:tc>
        <w:tc>
          <w:tcPr>
            <w:tcW w:w="992" w:type="dxa"/>
            <w:tcBorders>
              <w:left w:val="single" w:sz="12" w:space="0" w:color="auto"/>
              <w:right w:val="single" w:sz="12" w:space="0" w:color="auto"/>
            </w:tcBorders>
          </w:tcPr>
          <w:p w:rsidR="00C639E1" w:rsidRDefault="00C639E1" w:rsidP="00C639E1">
            <w:pPr>
              <w:jc w:val="center"/>
            </w:pPr>
            <w:r w:rsidRPr="005A244E">
              <w:rPr>
                <w:rFonts w:cs="Segoe UI"/>
                <w:lang w:eastAsia="en-GB"/>
              </w:rPr>
              <w:t>I</w:t>
            </w:r>
          </w:p>
        </w:tc>
        <w:tc>
          <w:tcPr>
            <w:tcW w:w="1624" w:type="dxa"/>
            <w:tcBorders>
              <w:left w:val="single" w:sz="12" w:space="0" w:color="auto"/>
              <w:right w:val="single" w:sz="12" w:space="0" w:color="auto"/>
            </w:tcBorders>
            <w:shd w:val="clear" w:color="auto" w:fill="auto"/>
          </w:tcPr>
          <w:p w:rsidR="00C639E1" w:rsidRDefault="006843CC" w:rsidP="00C639E1">
            <w:pPr>
              <w:pStyle w:val="TableText"/>
              <w:spacing w:before="0" w:after="0"/>
              <w:jc w:val="center"/>
              <w:rPr>
                <w:rFonts w:cs="Segoe UI"/>
                <w:noProof/>
                <w:sz w:val="20"/>
                <w:lang w:eastAsia="en-GB"/>
              </w:rPr>
            </w:pPr>
            <w:r w:rsidRPr="003936F9">
              <w:rPr>
                <w:rFonts w:cs="Segoe UI" w:hint="eastAsia"/>
                <w:noProof/>
                <w:sz w:val="20"/>
                <w:lang w:eastAsia="en-GB"/>
              </w:rPr>
              <w:t>L</w:t>
            </w:r>
            <w:r>
              <w:rPr>
                <w:rFonts w:cs="Segoe UI"/>
                <w:noProof/>
                <w:sz w:val="20"/>
                <w:lang w:eastAsia="en-GB"/>
              </w:rPr>
              <w:t xml:space="preserve"> </w:t>
            </w:r>
            <w:r>
              <w:rPr>
                <w:rFonts w:asciiTheme="minorEastAsia" w:eastAsiaTheme="minorEastAsia" w:hAnsiTheme="minorEastAsia" w:cs="Segoe UI" w:hint="eastAsia"/>
                <w:noProof/>
                <w:sz w:val="20"/>
                <w:lang w:eastAsia="zh-TW"/>
              </w:rPr>
              <w:t>[</w:t>
            </w:r>
            <w:r w:rsidR="00C639E1">
              <w:rPr>
                <w:rFonts w:cs="Segoe UI"/>
                <w:sz w:val="20"/>
                <w:lang w:eastAsia="en-GB"/>
              </w:rPr>
              <w:t>IMM</w:t>
            </w:r>
            <w:r>
              <w:rPr>
                <w:rFonts w:asciiTheme="minorEastAsia" w:eastAsiaTheme="minorEastAsia" w:hAnsiTheme="minorEastAsia" w:cs="Segoe UI" w:hint="eastAsia"/>
                <w:sz w:val="20"/>
                <w:lang w:eastAsia="zh-TW"/>
              </w:rPr>
              <w:t>]</w:t>
            </w:r>
          </w:p>
        </w:tc>
        <w:tc>
          <w:tcPr>
            <w:tcW w:w="1244" w:type="dxa"/>
            <w:tcBorders>
              <w:lef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34"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34" w:type="dxa"/>
            <w:tcBorders>
              <w:lef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p>
        </w:tc>
        <w:tc>
          <w:tcPr>
            <w:tcW w:w="1276" w:type="dxa"/>
            <w:shd w:val="clear" w:color="auto" w:fill="auto"/>
          </w:tcPr>
          <w:p w:rsidR="00C639E1" w:rsidRDefault="00C639E1" w:rsidP="00C639E1">
            <w:pPr>
              <w:pStyle w:val="TableText"/>
              <w:spacing w:before="0" w:after="0"/>
              <w:jc w:val="center"/>
              <w:rPr>
                <w:rFonts w:cs="Segoe UI"/>
                <w:sz w:val="20"/>
                <w:lang w:eastAsia="en-GB"/>
              </w:rPr>
            </w:pPr>
            <w:r>
              <w:rPr>
                <w:rFonts w:cs="Segoe UI"/>
                <w:sz w:val="20"/>
                <w:lang w:eastAsia="en-GB"/>
              </w:rPr>
              <w:sym w:font="Wingdings 2" w:char="F050"/>
            </w:r>
          </w:p>
        </w:tc>
        <w:tc>
          <w:tcPr>
            <w:tcW w:w="1101" w:type="dxa"/>
            <w:tcBorders>
              <w:right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r>
      <w:tr w:rsidR="00C639E1" w:rsidTr="009A68E3">
        <w:trPr>
          <w:cantSplit/>
          <w:trHeight w:val="283"/>
        </w:trPr>
        <w:tc>
          <w:tcPr>
            <w:tcW w:w="1843" w:type="dxa"/>
            <w:vMerge/>
            <w:tcBorders>
              <w:left w:val="nil"/>
              <w:bottom w:val="single" w:sz="12" w:space="0" w:color="auto"/>
              <w:right w:val="single" w:sz="12" w:space="0" w:color="auto"/>
            </w:tcBorders>
          </w:tcPr>
          <w:p w:rsidR="00C639E1" w:rsidRDefault="00C639E1" w:rsidP="00C639E1">
            <w:pPr>
              <w:pStyle w:val="TableText"/>
              <w:spacing w:before="0" w:after="0"/>
              <w:rPr>
                <w:rFonts w:cs="Segoe UI"/>
                <w:sz w:val="20"/>
                <w:lang w:eastAsia="en-GB"/>
              </w:rPr>
            </w:pPr>
          </w:p>
        </w:tc>
        <w:tc>
          <w:tcPr>
            <w:tcW w:w="4111" w:type="dxa"/>
            <w:tcBorders>
              <w:left w:val="single" w:sz="12" w:space="0" w:color="auto"/>
              <w:bottom w:val="single" w:sz="12" w:space="0" w:color="auto"/>
              <w:right w:val="single" w:sz="12" w:space="0" w:color="auto"/>
            </w:tcBorders>
            <w:shd w:val="clear" w:color="auto" w:fill="auto"/>
          </w:tcPr>
          <w:p w:rsidR="00C639E1" w:rsidRDefault="00C639E1" w:rsidP="00C639E1">
            <w:pPr>
              <w:pStyle w:val="TableText"/>
              <w:spacing w:before="0" w:after="0"/>
              <w:rPr>
                <w:rFonts w:cs="Segoe UI"/>
                <w:sz w:val="20"/>
                <w:lang w:eastAsia="en-GB"/>
              </w:rPr>
            </w:pPr>
            <w:r>
              <w:rPr>
                <w:rFonts w:cs="Segoe UI"/>
                <w:sz w:val="20"/>
                <w:lang w:eastAsia="en-GB"/>
              </w:rPr>
              <w:t xml:space="preserve">Template MR4: Comparison of </w:t>
            </w:r>
            <w:proofErr w:type="spellStart"/>
            <w:r>
              <w:rPr>
                <w:rFonts w:cs="Segoe UI"/>
                <w:sz w:val="20"/>
                <w:lang w:eastAsia="en-GB"/>
              </w:rPr>
              <w:t>VaR</w:t>
            </w:r>
            <w:proofErr w:type="spellEnd"/>
            <w:r>
              <w:rPr>
                <w:rFonts w:cs="Segoe UI"/>
                <w:sz w:val="20"/>
                <w:lang w:eastAsia="en-GB"/>
              </w:rPr>
              <w:t xml:space="preserve"> estimates with gains or losses</w:t>
            </w:r>
          </w:p>
        </w:tc>
        <w:tc>
          <w:tcPr>
            <w:tcW w:w="992" w:type="dxa"/>
            <w:tcBorders>
              <w:left w:val="single" w:sz="12" w:space="0" w:color="auto"/>
              <w:bottom w:val="single" w:sz="12" w:space="0" w:color="auto"/>
              <w:right w:val="single" w:sz="12" w:space="0" w:color="auto"/>
            </w:tcBorders>
          </w:tcPr>
          <w:p w:rsidR="00C639E1" w:rsidRDefault="00C639E1" w:rsidP="00C639E1">
            <w:pPr>
              <w:jc w:val="center"/>
            </w:pPr>
            <w:r w:rsidRPr="005A244E">
              <w:rPr>
                <w:rFonts w:cs="Segoe UI"/>
                <w:lang w:eastAsia="en-GB"/>
              </w:rPr>
              <w:t>I</w:t>
            </w:r>
          </w:p>
        </w:tc>
        <w:tc>
          <w:tcPr>
            <w:tcW w:w="1624" w:type="dxa"/>
            <w:tcBorders>
              <w:left w:val="single" w:sz="12" w:space="0" w:color="auto"/>
              <w:bottom w:val="single" w:sz="12" w:space="0" w:color="auto"/>
              <w:right w:val="single" w:sz="12" w:space="0" w:color="auto"/>
            </w:tcBorders>
            <w:shd w:val="clear" w:color="auto" w:fill="auto"/>
          </w:tcPr>
          <w:p w:rsidR="00C639E1" w:rsidRDefault="006843CC" w:rsidP="00C639E1">
            <w:pPr>
              <w:pStyle w:val="TableText"/>
              <w:spacing w:before="0" w:after="0"/>
              <w:jc w:val="center"/>
              <w:rPr>
                <w:rFonts w:cs="Segoe UI"/>
                <w:sz w:val="20"/>
                <w:lang w:eastAsia="en-GB"/>
              </w:rPr>
            </w:pPr>
            <w:r w:rsidRPr="003936F9">
              <w:rPr>
                <w:rFonts w:cs="Segoe UI" w:hint="eastAsia"/>
                <w:noProof/>
                <w:sz w:val="20"/>
                <w:lang w:eastAsia="en-GB"/>
              </w:rPr>
              <w:t>L</w:t>
            </w:r>
            <w:r>
              <w:rPr>
                <w:rFonts w:cs="Segoe UI"/>
                <w:noProof/>
                <w:sz w:val="20"/>
                <w:lang w:eastAsia="en-GB"/>
              </w:rPr>
              <w:t xml:space="preserve"> </w:t>
            </w:r>
            <w:r>
              <w:rPr>
                <w:rFonts w:asciiTheme="minorEastAsia" w:eastAsiaTheme="minorEastAsia" w:hAnsiTheme="minorEastAsia" w:cs="Segoe UI" w:hint="eastAsia"/>
                <w:noProof/>
                <w:sz w:val="20"/>
                <w:lang w:eastAsia="zh-TW"/>
              </w:rPr>
              <w:t>[</w:t>
            </w:r>
            <w:r w:rsidR="00C639E1">
              <w:rPr>
                <w:rFonts w:cs="Segoe UI"/>
                <w:sz w:val="20"/>
                <w:lang w:eastAsia="en-GB"/>
              </w:rPr>
              <w:t>IMM</w:t>
            </w:r>
            <w:r>
              <w:rPr>
                <w:rFonts w:asciiTheme="minorEastAsia" w:eastAsiaTheme="minorEastAsia" w:hAnsiTheme="minorEastAsia" w:cs="Segoe UI" w:hint="eastAsia"/>
                <w:sz w:val="20"/>
                <w:lang w:eastAsia="zh-TW"/>
              </w:rPr>
              <w:t>]</w:t>
            </w:r>
          </w:p>
        </w:tc>
        <w:tc>
          <w:tcPr>
            <w:tcW w:w="1244" w:type="dxa"/>
            <w:tcBorders>
              <w:left w:val="single" w:sz="12" w:space="0" w:color="auto"/>
              <w:bottom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134" w:type="dxa"/>
            <w:tcBorders>
              <w:bottom w:val="single" w:sz="12" w:space="0" w:color="auto"/>
              <w:righ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r>
              <w:rPr>
                <w:rFonts w:cs="Segoe UI"/>
                <w:sz w:val="20"/>
                <w:lang w:eastAsia="en-GB"/>
              </w:rPr>
              <w:sym w:font="Wingdings 2" w:char="F050"/>
            </w:r>
          </w:p>
        </w:tc>
        <w:tc>
          <w:tcPr>
            <w:tcW w:w="1134" w:type="dxa"/>
            <w:tcBorders>
              <w:left w:val="single" w:sz="12" w:space="0" w:color="auto"/>
              <w:bottom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p>
        </w:tc>
        <w:tc>
          <w:tcPr>
            <w:tcW w:w="1276" w:type="dxa"/>
            <w:tcBorders>
              <w:bottom w:val="single" w:sz="12" w:space="0" w:color="auto"/>
            </w:tcBorders>
            <w:shd w:val="clear" w:color="auto" w:fill="auto"/>
          </w:tcPr>
          <w:p w:rsidR="00C639E1" w:rsidRDefault="00C639E1" w:rsidP="00C639E1">
            <w:pPr>
              <w:pStyle w:val="TableText"/>
              <w:spacing w:before="0" w:after="0"/>
              <w:jc w:val="center"/>
              <w:rPr>
                <w:rFonts w:cs="Segoe UI"/>
                <w:sz w:val="20"/>
                <w:lang w:eastAsia="en-GB"/>
              </w:rPr>
            </w:pPr>
            <w:r>
              <w:rPr>
                <w:rFonts w:cs="Segoe UI"/>
                <w:sz w:val="20"/>
                <w:lang w:eastAsia="en-GB"/>
              </w:rPr>
              <w:sym w:font="Wingdings 2" w:char="F050"/>
            </w:r>
          </w:p>
        </w:tc>
        <w:tc>
          <w:tcPr>
            <w:tcW w:w="1101" w:type="dxa"/>
            <w:tcBorders>
              <w:bottom w:val="single" w:sz="12" w:space="0" w:color="auto"/>
              <w:right w:val="single" w:sz="12" w:space="0" w:color="auto"/>
            </w:tcBorders>
            <w:shd w:val="clear" w:color="auto" w:fill="auto"/>
          </w:tcPr>
          <w:p w:rsidR="00C639E1" w:rsidRDefault="00C639E1" w:rsidP="00C639E1">
            <w:pPr>
              <w:pStyle w:val="TableText"/>
              <w:spacing w:before="0" w:after="0"/>
              <w:jc w:val="center"/>
              <w:rPr>
                <w:rFonts w:cs="Segoe UI"/>
                <w:noProof/>
                <w:sz w:val="20"/>
                <w:lang w:eastAsia="en-GB"/>
              </w:rPr>
            </w:pPr>
          </w:p>
        </w:tc>
      </w:tr>
      <w:tr w:rsidR="00CE1D6C" w:rsidTr="009A68E3">
        <w:trPr>
          <w:cantSplit/>
          <w:trHeight w:val="283"/>
        </w:trPr>
        <w:tc>
          <w:tcPr>
            <w:tcW w:w="1843" w:type="dxa"/>
            <w:vMerge w:val="restart"/>
            <w:tcBorders>
              <w:top w:val="single" w:sz="12" w:space="0" w:color="auto"/>
              <w:left w:val="nil"/>
              <w:right w:val="single" w:sz="12" w:space="0" w:color="auto"/>
            </w:tcBorders>
          </w:tcPr>
          <w:p w:rsidR="00CE1D6C" w:rsidRPr="007B3828" w:rsidRDefault="00CE1D6C" w:rsidP="00CE1D6C">
            <w:pPr>
              <w:pStyle w:val="TableText"/>
              <w:spacing w:before="0" w:after="0"/>
              <w:rPr>
                <w:rFonts w:cs="Segoe UI"/>
                <w:sz w:val="20"/>
                <w:lang w:eastAsia="en-GB"/>
              </w:rPr>
            </w:pPr>
            <w:r w:rsidRPr="007B3828">
              <w:rPr>
                <w:rFonts w:cs="Segoe UI"/>
                <w:sz w:val="20"/>
                <w:lang w:eastAsia="en-GB"/>
              </w:rPr>
              <w:t>Part VII : Interest rate risk in banking book</w:t>
            </w:r>
          </w:p>
        </w:tc>
        <w:tc>
          <w:tcPr>
            <w:tcW w:w="4111" w:type="dxa"/>
            <w:tcBorders>
              <w:top w:val="single" w:sz="12" w:space="0" w:color="auto"/>
              <w:left w:val="single" w:sz="12" w:space="0" w:color="auto"/>
              <w:right w:val="single" w:sz="12" w:space="0" w:color="auto"/>
            </w:tcBorders>
            <w:shd w:val="clear" w:color="auto" w:fill="auto"/>
          </w:tcPr>
          <w:p w:rsidR="00CE1D6C" w:rsidRPr="00F914B1" w:rsidRDefault="00CE1D6C" w:rsidP="007136E5">
            <w:pPr>
              <w:pStyle w:val="TableText"/>
              <w:spacing w:before="0" w:after="0"/>
              <w:rPr>
                <w:rFonts w:cs="Segoe UI"/>
                <w:noProof/>
                <w:sz w:val="20"/>
                <w:lang w:eastAsia="en-GB"/>
              </w:rPr>
            </w:pPr>
            <w:r w:rsidRPr="005F0AA2">
              <w:rPr>
                <w:rFonts w:cs="Segoe UI"/>
                <w:noProof/>
                <w:sz w:val="20"/>
                <w:lang w:eastAsia="en-GB"/>
              </w:rPr>
              <w:t xml:space="preserve">Table IRRBB: Interest rate exposures in banking book </w:t>
            </w:r>
            <w:r>
              <w:rPr>
                <w:rFonts w:cs="Segoe UI"/>
                <w:noProof/>
                <w:sz w:val="20"/>
                <w:lang w:eastAsia="en-GB"/>
              </w:rPr>
              <w:t>(</w:t>
            </w:r>
            <w:r w:rsidRPr="005F0AA2">
              <w:rPr>
                <w:rFonts w:cs="Segoe UI"/>
                <w:noProof/>
                <w:sz w:val="20"/>
                <w:lang w:eastAsia="en-GB"/>
              </w:rPr>
              <w:t>related to financial year end before 30 June 2019</w:t>
            </w:r>
            <w:r>
              <w:rPr>
                <w:rFonts w:cs="Segoe UI"/>
                <w:noProof/>
                <w:sz w:val="20"/>
                <w:lang w:eastAsia="en-GB"/>
              </w:rPr>
              <w:t>)</w:t>
            </w:r>
          </w:p>
        </w:tc>
        <w:tc>
          <w:tcPr>
            <w:tcW w:w="992" w:type="dxa"/>
            <w:tcBorders>
              <w:top w:val="single" w:sz="12" w:space="0" w:color="auto"/>
              <w:left w:val="single" w:sz="12" w:space="0" w:color="auto"/>
              <w:right w:val="single" w:sz="12" w:space="0" w:color="auto"/>
            </w:tcBorders>
          </w:tcPr>
          <w:p w:rsidR="00CE1D6C" w:rsidRDefault="00CE1D6C" w:rsidP="00C639E1">
            <w:pPr>
              <w:jc w:val="center"/>
            </w:pPr>
            <w:r w:rsidRPr="002B3F1B">
              <w:rPr>
                <w:rFonts w:cs="Segoe UI"/>
                <w:lang w:eastAsia="en-GB"/>
              </w:rPr>
              <w:t>II</w:t>
            </w:r>
          </w:p>
        </w:tc>
        <w:tc>
          <w:tcPr>
            <w:tcW w:w="1624" w:type="dxa"/>
            <w:tcBorders>
              <w:top w:val="single" w:sz="12" w:space="0" w:color="auto"/>
              <w:left w:val="single" w:sz="12"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Pr>
                <w:rFonts w:cs="Segoe UI"/>
                <w:sz w:val="20"/>
                <w:lang w:eastAsia="en-GB"/>
              </w:rPr>
              <w:t>L</w:t>
            </w:r>
          </w:p>
        </w:tc>
        <w:tc>
          <w:tcPr>
            <w:tcW w:w="1244" w:type="dxa"/>
            <w:tcBorders>
              <w:top w:val="single" w:sz="12" w:space="0" w:color="auto"/>
              <w:lef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134" w:type="dxa"/>
            <w:tcBorders>
              <w:top w:val="single" w:sz="12"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noProof/>
                <w:sz w:val="20"/>
                <w:lang w:eastAsia="en-GB"/>
              </w:rPr>
            </w:pPr>
            <w:r w:rsidRPr="00F914B1">
              <w:rPr>
                <w:rFonts w:cs="Segoe UI"/>
                <w:sz w:val="20"/>
                <w:lang w:eastAsia="en-GB"/>
              </w:rPr>
              <w:sym w:font="Wingdings 2" w:char="F050"/>
            </w:r>
          </w:p>
        </w:tc>
        <w:tc>
          <w:tcPr>
            <w:tcW w:w="1134" w:type="dxa"/>
            <w:tcBorders>
              <w:top w:val="single" w:sz="12" w:space="0" w:color="auto"/>
              <w:lef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276" w:type="dxa"/>
            <w:tcBorders>
              <w:top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101" w:type="dxa"/>
            <w:tcBorders>
              <w:top w:val="single" w:sz="12"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noProof/>
                <w:sz w:val="20"/>
                <w:lang w:eastAsia="en-GB"/>
              </w:rPr>
            </w:pPr>
            <w:r w:rsidRPr="00F914B1">
              <w:rPr>
                <w:rFonts w:cs="Segoe UI"/>
                <w:sz w:val="20"/>
                <w:lang w:eastAsia="en-GB"/>
              </w:rPr>
              <w:sym w:font="Wingdings 2" w:char="F050"/>
            </w:r>
          </w:p>
        </w:tc>
      </w:tr>
      <w:tr w:rsidR="00CE1D6C" w:rsidTr="00CE1D6C">
        <w:trPr>
          <w:cantSplit/>
          <w:trHeight w:val="283"/>
        </w:trPr>
        <w:tc>
          <w:tcPr>
            <w:tcW w:w="1843" w:type="dxa"/>
            <w:vMerge/>
            <w:tcBorders>
              <w:left w:val="nil"/>
              <w:right w:val="single" w:sz="12" w:space="0" w:color="auto"/>
            </w:tcBorders>
          </w:tcPr>
          <w:p w:rsidR="00CE1D6C" w:rsidRPr="007B3828" w:rsidRDefault="00CE1D6C" w:rsidP="007136E5">
            <w:pPr>
              <w:pStyle w:val="TableText"/>
              <w:spacing w:before="0" w:after="0"/>
              <w:rPr>
                <w:rFonts w:cs="Segoe UI"/>
                <w:sz w:val="20"/>
                <w:lang w:eastAsia="en-GB"/>
              </w:rPr>
            </w:pPr>
          </w:p>
        </w:tc>
        <w:tc>
          <w:tcPr>
            <w:tcW w:w="4111" w:type="dxa"/>
            <w:tcBorders>
              <w:left w:val="single" w:sz="12" w:space="0" w:color="auto"/>
              <w:right w:val="single" w:sz="12" w:space="0" w:color="auto"/>
            </w:tcBorders>
            <w:shd w:val="clear" w:color="auto" w:fill="auto"/>
          </w:tcPr>
          <w:p w:rsidR="00CE1D6C" w:rsidRPr="00F914B1" w:rsidRDefault="00CE1D6C" w:rsidP="007136E5">
            <w:pPr>
              <w:pStyle w:val="TableText"/>
              <w:spacing w:before="0" w:after="0"/>
              <w:rPr>
                <w:rFonts w:cs="Segoe UI"/>
                <w:noProof/>
                <w:sz w:val="20"/>
                <w:lang w:eastAsia="en-GB"/>
              </w:rPr>
            </w:pPr>
            <w:r w:rsidRPr="00F914B1">
              <w:rPr>
                <w:rFonts w:cs="Segoe UI"/>
                <w:sz w:val="20"/>
                <w:lang w:eastAsia="en-GB"/>
              </w:rPr>
              <w:t>Table</w:t>
            </w:r>
            <w:r>
              <w:rPr>
                <w:rFonts w:cs="Segoe UI"/>
                <w:sz w:val="20"/>
                <w:lang w:eastAsia="en-GB"/>
              </w:rPr>
              <w:t xml:space="preserve"> </w:t>
            </w:r>
            <w:r w:rsidRPr="001E177B">
              <w:rPr>
                <w:rFonts w:cs="Segoe UI"/>
                <w:sz w:val="20"/>
                <w:lang w:eastAsia="en-GB"/>
              </w:rPr>
              <w:t>IRRBBA</w:t>
            </w:r>
            <w:r>
              <w:rPr>
                <w:rFonts w:cs="Segoe UI"/>
                <w:sz w:val="20"/>
                <w:lang w:eastAsia="en-GB"/>
              </w:rPr>
              <w:t xml:space="preserve">: Interest rate risk in </w:t>
            </w:r>
            <w:r w:rsidRPr="00F9056F">
              <w:rPr>
                <w:rFonts w:cs="Segoe UI"/>
                <w:sz w:val="20"/>
                <w:lang w:eastAsia="en-GB"/>
              </w:rPr>
              <w:t>banking book – risk management objectives and policies</w:t>
            </w:r>
          </w:p>
        </w:tc>
        <w:tc>
          <w:tcPr>
            <w:tcW w:w="992" w:type="dxa"/>
            <w:tcBorders>
              <w:left w:val="single" w:sz="12" w:space="0" w:color="auto"/>
              <w:right w:val="single" w:sz="12" w:space="0" w:color="auto"/>
            </w:tcBorders>
          </w:tcPr>
          <w:p w:rsidR="00CE1D6C" w:rsidRDefault="00CE1D6C" w:rsidP="00C639E1">
            <w:pPr>
              <w:jc w:val="center"/>
            </w:pPr>
            <w:r w:rsidRPr="002B3F1B">
              <w:rPr>
                <w:rFonts w:cs="Segoe UI"/>
                <w:lang w:eastAsia="en-GB"/>
              </w:rPr>
              <w:t>II</w:t>
            </w:r>
          </w:p>
        </w:tc>
        <w:tc>
          <w:tcPr>
            <w:tcW w:w="1624" w:type="dxa"/>
            <w:tcBorders>
              <w:left w:val="single" w:sz="12"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Pr>
                <w:rFonts w:cs="Segoe UI"/>
                <w:sz w:val="20"/>
                <w:lang w:eastAsia="en-GB"/>
              </w:rPr>
              <w:t>L</w:t>
            </w:r>
          </w:p>
        </w:tc>
        <w:tc>
          <w:tcPr>
            <w:tcW w:w="1244" w:type="dxa"/>
            <w:tcBorders>
              <w:lef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134" w:type="dxa"/>
            <w:tcBorders>
              <w:right w:val="single" w:sz="12" w:space="0" w:color="auto"/>
            </w:tcBorders>
            <w:shd w:val="clear" w:color="auto" w:fill="auto"/>
          </w:tcPr>
          <w:p w:rsidR="00CE1D6C" w:rsidRPr="00F914B1" w:rsidRDefault="00CE1D6C" w:rsidP="007136E5">
            <w:pPr>
              <w:pStyle w:val="TableText"/>
              <w:spacing w:before="0" w:after="0"/>
              <w:jc w:val="center"/>
              <w:rPr>
                <w:rFonts w:cs="Segoe UI"/>
                <w:noProof/>
                <w:sz w:val="20"/>
                <w:lang w:eastAsia="en-GB"/>
              </w:rPr>
            </w:pPr>
            <w:r w:rsidRPr="00F914B1">
              <w:rPr>
                <w:rFonts w:cs="Segoe UI"/>
                <w:sz w:val="20"/>
                <w:lang w:eastAsia="en-GB"/>
              </w:rPr>
              <w:sym w:font="Wingdings 2" w:char="F050"/>
            </w:r>
          </w:p>
        </w:tc>
        <w:tc>
          <w:tcPr>
            <w:tcW w:w="1134" w:type="dxa"/>
            <w:tcBorders>
              <w:lef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276" w:type="dxa"/>
            <w:shd w:val="clear" w:color="auto" w:fill="auto"/>
          </w:tcPr>
          <w:p w:rsidR="00CE1D6C" w:rsidRPr="00F914B1" w:rsidRDefault="00CE1D6C" w:rsidP="007136E5">
            <w:pPr>
              <w:pStyle w:val="TableText"/>
              <w:spacing w:before="0" w:after="0"/>
              <w:jc w:val="center"/>
              <w:rPr>
                <w:rFonts w:cs="Segoe UI"/>
                <w:sz w:val="20"/>
                <w:lang w:eastAsia="en-GB"/>
              </w:rPr>
            </w:pPr>
          </w:p>
        </w:tc>
        <w:tc>
          <w:tcPr>
            <w:tcW w:w="1101" w:type="dxa"/>
            <w:tcBorders>
              <w:right w:val="single" w:sz="12" w:space="0" w:color="auto"/>
            </w:tcBorders>
            <w:shd w:val="clear" w:color="auto" w:fill="auto"/>
          </w:tcPr>
          <w:p w:rsidR="00CE1D6C" w:rsidRPr="00F914B1" w:rsidRDefault="00CE1D6C" w:rsidP="007136E5">
            <w:pPr>
              <w:pStyle w:val="TableText"/>
              <w:spacing w:before="0" w:after="0"/>
              <w:jc w:val="center"/>
              <w:rPr>
                <w:rFonts w:cs="Segoe UI"/>
                <w:noProof/>
                <w:sz w:val="20"/>
                <w:lang w:eastAsia="en-GB"/>
              </w:rPr>
            </w:pPr>
            <w:r w:rsidRPr="00F914B1">
              <w:rPr>
                <w:rFonts w:cs="Segoe UI"/>
                <w:sz w:val="20"/>
                <w:lang w:eastAsia="en-GB"/>
              </w:rPr>
              <w:sym w:font="Wingdings 2" w:char="F050"/>
            </w:r>
          </w:p>
        </w:tc>
      </w:tr>
      <w:tr w:rsidR="00CE1D6C" w:rsidTr="009A68E3">
        <w:trPr>
          <w:cantSplit/>
          <w:trHeight w:val="283"/>
        </w:trPr>
        <w:tc>
          <w:tcPr>
            <w:tcW w:w="1843" w:type="dxa"/>
            <w:vMerge/>
            <w:tcBorders>
              <w:left w:val="nil"/>
              <w:bottom w:val="single" w:sz="12" w:space="0" w:color="auto"/>
              <w:right w:val="single" w:sz="12" w:space="0" w:color="auto"/>
            </w:tcBorders>
          </w:tcPr>
          <w:p w:rsidR="00CE1D6C" w:rsidRPr="007B3828" w:rsidRDefault="00CE1D6C" w:rsidP="007136E5">
            <w:pPr>
              <w:pStyle w:val="TableText"/>
              <w:spacing w:before="0" w:after="0"/>
              <w:rPr>
                <w:rFonts w:cs="Segoe UI"/>
                <w:sz w:val="20"/>
                <w:lang w:eastAsia="en-GB"/>
              </w:rPr>
            </w:pPr>
          </w:p>
        </w:tc>
        <w:tc>
          <w:tcPr>
            <w:tcW w:w="4111" w:type="dxa"/>
            <w:tcBorders>
              <w:left w:val="single" w:sz="12" w:space="0" w:color="auto"/>
              <w:bottom w:val="single" w:sz="12" w:space="0" w:color="auto"/>
              <w:right w:val="single" w:sz="12" w:space="0" w:color="auto"/>
            </w:tcBorders>
            <w:shd w:val="clear" w:color="auto" w:fill="auto"/>
          </w:tcPr>
          <w:p w:rsidR="00CE1D6C" w:rsidRPr="00F914B1" w:rsidRDefault="00CE1D6C" w:rsidP="007136E5">
            <w:pPr>
              <w:pStyle w:val="TableText"/>
              <w:spacing w:before="0" w:after="0"/>
              <w:rPr>
                <w:rFonts w:cs="Segoe UI"/>
                <w:noProof/>
                <w:sz w:val="20"/>
                <w:lang w:eastAsia="en-GB"/>
              </w:rPr>
            </w:pPr>
            <w:r w:rsidRPr="00F914B1">
              <w:rPr>
                <w:rFonts w:cs="Segoe UI"/>
                <w:sz w:val="20"/>
                <w:lang w:eastAsia="en-GB"/>
              </w:rPr>
              <w:t xml:space="preserve">Template </w:t>
            </w:r>
            <w:r w:rsidRPr="001E177B">
              <w:rPr>
                <w:rFonts w:cs="Segoe UI"/>
                <w:sz w:val="20"/>
                <w:lang w:eastAsia="en-GB"/>
              </w:rPr>
              <w:t>IRRBB1</w:t>
            </w:r>
            <w:r>
              <w:rPr>
                <w:rFonts w:cs="Segoe UI"/>
                <w:sz w:val="20"/>
                <w:lang w:eastAsia="en-GB"/>
              </w:rPr>
              <w:t>:</w:t>
            </w:r>
            <w:r w:rsidRPr="001E177B">
              <w:rPr>
                <w:rFonts w:cs="Segoe UI"/>
                <w:sz w:val="20"/>
                <w:lang w:eastAsia="en-GB"/>
              </w:rPr>
              <w:t xml:space="preserve"> Quantitative in</w:t>
            </w:r>
            <w:r>
              <w:rPr>
                <w:rFonts w:cs="Segoe UI"/>
                <w:sz w:val="20"/>
                <w:lang w:eastAsia="en-GB"/>
              </w:rPr>
              <w:t xml:space="preserve">formation on interest rate risk in </w:t>
            </w:r>
            <w:r w:rsidRPr="00F9056F">
              <w:rPr>
                <w:rFonts w:cs="Segoe UI"/>
                <w:sz w:val="20"/>
                <w:lang w:eastAsia="en-GB"/>
              </w:rPr>
              <w:t>banking book</w:t>
            </w:r>
          </w:p>
        </w:tc>
        <w:tc>
          <w:tcPr>
            <w:tcW w:w="992" w:type="dxa"/>
            <w:tcBorders>
              <w:left w:val="single" w:sz="12" w:space="0" w:color="auto"/>
              <w:bottom w:val="single" w:sz="12" w:space="0" w:color="auto"/>
              <w:right w:val="single" w:sz="12" w:space="0" w:color="auto"/>
            </w:tcBorders>
          </w:tcPr>
          <w:p w:rsidR="00CE1D6C" w:rsidRDefault="00CE1D6C" w:rsidP="00C639E1">
            <w:pPr>
              <w:jc w:val="center"/>
            </w:pPr>
            <w:r w:rsidRPr="002B3F1B">
              <w:rPr>
                <w:rFonts w:cs="Segoe UI"/>
                <w:lang w:eastAsia="en-GB"/>
              </w:rPr>
              <w:t>II</w:t>
            </w:r>
          </w:p>
        </w:tc>
        <w:tc>
          <w:tcPr>
            <w:tcW w:w="1624" w:type="dxa"/>
            <w:tcBorders>
              <w:left w:val="single" w:sz="12" w:space="0" w:color="auto"/>
              <w:bottom w:val="single" w:sz="12"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Pr>
                <w:rFonts w:cs="Segoe UI"/>
                <w:sz w:val="20"/>
                <w:lang w:eastAsia="en-GB"/>
              </w:rPr>
              <w:t>L</w:t>
            </w:r>
          </w:p>
        </w:tc>
        <w:tc>
          <w:tcPr>
            <w:tcW w:w="1244" w:type="dxa"/>
            <w:tcBorders>
              <w:left w:val="single" w:sz="12" w:space="0" w:color="auto"/>
              <w:bottom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sidRPr="00F914B1">
              <w:rPr>
                <w:rFonts w:cs="Segoe UI"/>
                <w:sz w:val="20"/>
                <w:lang w:eastAsia="en-GB"/>
              </w:rPr>
              <w:sym w:font="Wingdings 2" w:char="F050"/>
            </w:r>
          </w:p>
        </w:tc>
        <w:tc>
          <w:tcPr>
            <w:tcW w:w="1134" w:type="dxa"/>
            <w:tcBorders>
              <w:bottom w:val="single" w:sz="12"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noProof/>
                <w:sz w:val="20"/>
                <w:lang w:eastAsia="en-GB"/>
              </w:rPr>
            </w:pPr>
          </w:p>
        </w:tc>
        <w:tc>
          <w:tcPr>
            <w:tcW w:w="1134" w:type="dxa"/>
            <w:tcBorders>
              <w:left w:val="single" w:sz="12" w:space="0" w:color="auto"/>
              <w:bottom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276" w:type="dxa"/>
            <w:tcBorders>
              <w:bottom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101" w:type="dxa"/>
            <w:tcBorders>
              <w:bottom w:val="single" w:sz="12" w:space="0" w:color="auto"/>
              <w:right w:val="single" w:sz="12" w:space="0" w:color="auto"/>
            </w:tcBorders>
            <w:shd w:val="clear" w:color="auto" w:fill="auto"/>
          </w:tcPr>
          <w:p w:rsidR="00CE1D6C" w:rsidRDefault="00CE1D6C" w:rsidP="007136E5">
            <w:pPr>
              <w:pStyle w:val="TableText"/>
              <w:spacing w:before="0" w:after="0"/>
              <w:jc w:val="center"/>
              <w:rPr>
                <w:rFonts w:cs="Segoe UI"/>
                <w:sz w:val="20"/>
                <w:lang w:eastAsia="en-GB"/>
              </w:rPr>
            </w:pPr>
            <w:r w:rsidRPr="00F914B1">
              <w:rPr>
                <w:rFonts w:cs="Segoe UI"/>
                <w:sz w:val="20"/>
                <w:lang w:eastAsia="en-GB"/>
              </w:rPr>
              <w:sym w:font="Wingdings 2" w:char="F050"/>
            </w:r>
          </w:p>
          <w:p w:rsidR="00CE1D6C" w:rsidRPr="00F914B1" w:rsidRDefault="00CE1D6C" w:rsidP="007136E5">
            <w:pPr>
              <w:pStyle w:val="TableText"/>
              <w:spacing w:before="0" w:after="0"/>
              <w:jc w:val="center"/>
              <w:rPr>
                <w:rFonts w:cs="Segoe UI"/>
                <w:noProof/>
                <w:sz w:val="20"/>
                <w:lang w:eastAsia="en-GB"/>
              </w:rPr>
            </w:pPr>
          </w:p>
        </w:tc>
      </w:tr>
      <w:tr w:rsidR="00CE1D6C" w:rsidTr="009A68E3">
        <w:trPr>
          <w:cantSplit/>
          <w:trHeight w:val="283"/>
        </w:trPr>
        <w:tc>
          <w:tcPr>
            <w:tcW w:w="1843" w:type="dxa"/>
            <w:vMerge w:val="restart"/>
            <w:tcBorders>
              <w:top w:val="single" w:sz="12" w:space="0" w:color="auto"/>
              <w:left w:val="nil"/>
              <w:right w:val="single" w:sz="12" w:space="0" w:color="auto"/>
            </w:tcBorders>
          </w:tcPr>
          <w:p w:rsidR="00CE1D6C" w:rsidRPr="007B3828" w:rsidRDefault="00CE1D6C" w:rsidP="007136E5">
            <w:pPr>
              <w:pStyle w:val="TableText"/>
              <w:spacing w:before="0" w:after="0"/>
              <w:rPr>
                <w:rFonts w:cs="Segoe UI"/>
                <w:sz w:val="20"/>
                <w:lang w:eastAsia="en-GB"/>
              </w:rPr>
            </w:pPr>
            <w:r w:rsidRPr="007B3828">
              <w:rPr>
                <w:rFonts w:cs="Segoe UI"/>
                <w:sz w:val="20"/>
                <w:lang w:eastAsia="en-GB"/>
              </w:rPr>
              <w:t>Part VIII : Remuneration</w:t>
            </w:r>
          </w:p>
        </w:tc>
        <w:tc>
          <w:tcPr>
            <w:tcW w:w="4111" w:type="dxa"/>
            <w:tcBorders>
              <w:top w:val="single" w:sz="12" w:space="0" w:color="auto"/>
              <w:left w:val="single" w:sz="12" w:space="0" w:color="auto"/>
              <w:right w:val="single" w:sz="12" w:space="0" w:color="auto"/>
            </w:tcBorders>
            <w:shd w:val="clear" w:color="auto" w:fill="auto"/>
          </w:tcPr>
          <w:p w:rsidR="00CE1D6C" w:rsidRPr="00F914B1" w:rsidRDefault="00CE1D6C" w:rsidP="007136E5">
            <w:pPr>
              <w:pStyle w:val="TableText"/>
              <w:spacing w:before="0" w:after="0"/>
              <w:rPr>
                <w:rFonts w:cs="Segoe UI"/>
                <w:sz w:val="20"/>
                <w:lang w:eastAsia="en-GB"/>
              </w:rPr>
            </w:pPr>
            <w:r>
              <w:rPr>
                <w:rFonts w:cs="Segoe UI"/>
                <w:sz w:val="20"/>
                <w:lang w:eastAsia="en-GB"/>
              </w:rPr>
              <w:t xml:space="preserve">Table </w:t>
            </w:r>
            <w:r w:rsidRPr="00CE45F8">
              <w:rPr>
                <w:rFonts w:cs="Segoe UI"/>
                <w:sz w:val="20"/>
                <w:lang w:eastAsia="en-GB"/>
              </w:rPr>
              <w:t>REMA</w:t>
            </w:r>
            <w:r>
              <w:rPr>
                <w:rFonts w:cs="Segoe UI"/>
                <w:sz w:val="20"/>
                <w:lang w:eastAsia="en-GB"/>
              </w:rPr>
              <w:t>:</w:t>
            </w:r>
            <w:r w:rsidRPr="00CE45F8">
              <w:rPr>
                <w:rFonts w:cs="Segoe UI"/>
                <w:sz w:val="20"/>
                <w:lang w:eastAsia="en-GB"/>
              </w:rPr>
              <w:t xml:space="preserve"> Remuneration policy</w:t>
            </w:r>
          </w:p>
        </w:tc>
        <w:tc>
          <w:tcPr>
            <w:tcW w:w="992" w:type="dxa"/>
            <w:tcBorders>
              <w:top w:val="single" w:sz="12" w:space="0" w:color="auto"/>
              <w:left w:val="single" w:sz="12" w:space="0" w:color="auto"/>
              <w:right w:val="single" w:sz="12" w:space="0" w:color="auto"/>
            </w:tcBorders>
          </w:tcPr>
          <w:p w:rsidR="00CE1D6C" w:rsidRDefault="00CE1D6C" w:rsidP="00C639E1">
            <w:pPr>
              <w:jc w:val="center"/>
            </w:pPr>
            <w:r w:rsidRPr="002B3F1B">
              <w:rPr>
                <w:rFonts w:cs="Segoe UI"/>
                <w:lang w:eastAsia="en-GB"/>
              </w:rPr>
              <w:t>II</w:t>
            </w:r>
          </w:p>
        </w:tc>
        <w:tc>
          <w:tcPr>
            <w:tcW w:w="1624" w:type="dxa"/>
            <w:tcBorders>
              <w:top w:val="single" w:sz="12" w:space="0" w:color="auto"/>
              <w:left w:val="single" w:sz="12"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Pr>
                <w:rFonts w:cs="Segoe UI"/>
                <w:sz w:val="20"/>
                <w:lang w:eastAsia="en-GB"/>
              </w:rPr>
              <w:t>L</w:t>
            </w:r>
          </w:p>
        </w:tc>
        <w:tc>
          <w:tcPr>
            <w:tcW w:w="1244" w:type="dxa"/>
            <w:tcBorders>
              <w:top w:val="single" w:sz="12" w:space="0" w:color="auto"/>
              <w:lef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134" w:type="dxa"/>
            <w:tcBorders>
              <w:top w:val="single" w:sz="12"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sidRPr="00F914B1">
              <w:rPr>
                <w:rFonts w:cs="Segoe UI"/>
                <w:sz w:val="20"/>
                <w:lang w:eastAsia="en-GB"/>
              </w:rPr>
              <w:sym w:font="Wingdings 2" w:char="F050"/>
            </w:r>
          </w:p>
        </w:tc>
        <w:tc>
          <w:tcPr>
            <w:tcW w:w="1134" w:type="dxa"/>
            <w:tcBorders>
              <w:top w:val="single" w:sz="12" w:space="0" w:color="auto"/>
              <w:lef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276" w:type="dxa"/>
            <w:tcBorders>
              <w:top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101" w:type="dxa"/>
            <w:tcBorders>
              <w:top w:val="single" w:sz="12"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sidRPr="00F914B1">
              <w:rPr>
                <w:rFonts w:cs="Segoe UI"/>
                <w:sz w:val="20"/>
                <w:lang w:eastAsia="en-GB"/>
              </w:rPr>
              <w:sym w:font="Wingdings 2" w:char="F050"/>
            </w:r>
          </w:p>
        </w:tc>
      </w:tr>
      <w:tr w:rsidR="00CE1D6C" w:rsidTr="00CE1D6C">
        <w:trPr>
          <w:cantSplit/>
          <w:trHeight w:val="283"/>
        </w:trPr>
        <w:tc>
          <w:tcPr>
            <w:tcW w:w="1843" w:type="dxa"/>
            <w:vMerge/>
            <w:tcBorders>
              <w:left w:val="nil"/>
              <w:right w:val="single" w:sz="12" w:space="0" w:color="auto"/>
            </w:tcBorders>
          </w:tcPr>
          <w:p w:rsidR="00CE1D6C" w:rsidRPr="00F914B1" w:rsidRDefault="00CE1D6C" w:rsidP="007136E5">
            <w:pPr>
              <w:pStyle w:val="TableText"/>
              <w:spacing w:before="0" w:after="0"/>
              <w:rPr>
                <w:rFonts w:cs="Segoe UI"/>
                <w:sz w:val="20"/>
                <w:lang w:eastAsia="en-GB"/>
              </w:rPr>
            </w:pPr>
          </w:p>
        </w:tc>
        <w:tc>
          <w:tcPr>
            <w:tcW w:w="4111" w:type="dxa"/>
            <w:tcBorders>
              <w:left w:val="single" w:sz="12" w:space="0" w:color="auto"/>
              <w:right w:val="single" w:sz="12" w:space="0" w:color="auto"/>
            </w:tcBorders>
            <w:shd w:val="clear" w:color="auto" w:fill="auto"/>
          </w:tcPr>
          <w:p w:rsidR="00CE1D6C" w:rsidRPr="00F914B1" w:rsidRDefault="00CE1D6C" w:rsidP="007136E5">
            <w:pPr>
              <w:pStyle w:val="TableText"/>
              <w:spacing w:before="0" w:after="0"/>
              <w:rPr>
                <w:rFonts w:cs="Segoe UI"/>
                <w:sz w:val="20"/>
                <w:lang w:eastAsia="en-GB"/>
              </w:rPr>
            </w:pPr>
            <w:r>
              <w:rPr>
                <w:rFonts w:cs="Segoe UI"/>
                <w:sz w:val="20"/>
                <w:lang w:eastAsia="en-GB"/>
              </w:rPr>
              <w:t xml:space="preserve">Template </w:t>
            </w:r>
            <w:r w:rsidRPr="00CE45F8">
              <w:rPr>
                <w:rFonts w:cs="Segoe UI"/>
                <w:sz w:val="20"/>
                <w:lang w:eastAsia="en-GB"/>
              </w:rPr>
              <w:t>REM1</w:t>
            </w:r>
            <w:r>
              <w:rPr>
                <w:rFonts w:cs="Segoe UI"/>
                <w:sz w:val="20"/>
                <w:lang w:eastAsia="en-GB"/>
              </w:rPr>
              <w:t>:</w:t>
            </w:r>
            <w:r w:rsidRPr="00CE45F8">
              <w:rPr>
                <w:rFonts w:cs="Segoe UI"/>
                <w:sz w:val="20"/>
                <w:lang w:eastAsia="en-GB"/>
              </w:rPr>
              <w:t xml:space="preserve"> </w:t>
            </w:r>
            <w:r>
              <w:rPr>
                <w:rFonts w:cs="Segoe UI"/>
                <w:sz w:val="20"/>
                <w:lang w:eastAsia="en-GB"/>
              </w:rPr>
              <w:t xml:space="preserve">Remuneration awarded during </w:t>
            </w:r>
            <w:r w:rsidRPr="00CE45F8">
              <w:rPr>
                <w:rFonts w:cs="Segoe UI"/>
                <w:sz w:val="20"/>
                <w:lang w:eastAsia="en-GB"/>
              </w:rPr>
              <w:t>financial year</w:t>
            </w:r>
          </w:p>
        </w:tc>
        <w:tc>
          <w:tcPr>
            <w:tcW w:w="992" w:type="dxa"/>
            <w:tcBorders>
              <w:left w:val="single" w:sz="12" w:space="0" w:color="auto"/>
              <w:right w:val="single" w:sz="12" w:space="0" w:color="auto"/>
            </w:tcBorders>
          </w:tcPr>
          <w:p w:rsidR="00CE1D6C" w:rsidRDefault="00CE1D6C" w:rsidP="00C639E1">
            <w:pPr>
              <w:jc w:val="center"/>
            </w:pPr>
            <w:r w:rsidRPr="002B3F1B">
              <w:rPr>
                <w:rFonts w:cs="Segoe UI"/>
                <w:lang w:eastAsia="en-GB"/>
              </w:rPr>
              <w:t>II</w:t>
            </w:r>
          </w:p>
        </w:tc>
        <w:tc>
          <w:tcPr>
            <w:tcW w:w="1624" w:type="dxa"/>
            <w:tcBorders>
              <w:left w:val="single" w:sz="12"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Pr>
                <w:rFonts w:cs="Segoe UI"/>
                <w:sz w:val="20"/>
                <w:lang w:eastAsia="en-GB"/>
              </w:rPr>
              <w:t>L</w:t>
            </w:r>
          </w:p>
        </w:tc>
        <w:tc>
          <w:tcPr>
            <w:tcW w:w="1244" w:type="dxa"/>
            <w:tcBorders>
              <w:lef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134" w:type="dxa"/>
            <w:tcBorders>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sidRPr="00F914B1">
              <w:rPr>
                <w:rFonts w:cs="Segoe UI"/>
                <w:sz w:val="20"/>
                <w:lang w:eastAsia="en-GB"/>
              </w:rPr>
              <w:sym w:font="Wingdings 2" w:char="F050"/>
            </w:r>
          </w:p>
        </w:tc>
        <w:tc>
          <w:tcPr>
            <w:tcW w:w="1134" w:type="dxa"/>
            <w:tcBorders>
              <w:lef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276" w:type="dxa"/>
            <w:shd w:val="clear" w:color="auto" w:fill="auto"/>
          </w:tcPr>
          <w:p w:rsidR="00CE1D6C" w:rsidRPr="00F914B1" w:rsidRDefault="00CE1D6C" w:rsidP="007136E5">
            <w:pPr>
              <w:pStyle w:val="TableText"/>
              <w:spacing w:before="0" w:after="0"/>
              <w:jc w:val="center"/>
              <w:rPr>
                <w:rFonts w:cs="Segoe UI"/>
                <w:sz w:val="20"/>
                <w:lang w:eastAsia="en-GB"/>
              </w:rPr>
            </w:pPr>
          </w:p>
        </w:tc>
        <w:tc>
          <w:tcPr>
            <w:tcW w:w="1101" w:type="dxa"/>
            <w:tcBorders>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sidRPr="00F914B1">
              <w:rPr>
                <w:rFonts w:cs="Segoe UI"/>
                <w:sz w:val="20"/>
                <w:lang w:eastAsia="en-GB"/>
              </w:rPr>
              <w:sym w:font="Wingdings 2" w:char="F050"/>
            </w:r>
          </w:p>
        </w:tc>
      </w:tr>
      <w:tr w:rsidR="00CE1D6C" w:rsidTr="009A68E3">
        <w:trPr>
          <w:cantSplit/>
          <w:trHeight w:val="283"/>
        </w:trPr>
        <w:tc>
          <w:tcPr>
            <w:tcW w:w="1843" w:type="dxa"/>
            <w:vMerge/>
            <w:tcBorders>
              <w:left w:val="nil"/>
              <w:right w:val="single" w:sz="12" w:space="0" w:color="auto"/>
            </w:tcBorders>
          </w:tcPr>
          <w:p w:rsidR="00CE1D6C" w:rsidRPr="00F914B1" w:rsidRDefault="00CE1D6C" w:rsidP="007136E5">
            <w:pPr>
              <w:pStyle w:val="TableText"/>
              <w:spacing w:before="0" w:after="0"/>
              <w:rPr>
                <w:rFonts w:cs="Segoe UI"/>
                <w:sz w:val="20"/>
                <w:lang w:eastAsia="en-GB"/>
              </w:rPr>
            </w:pPr>
          </w:p>
        </w:tc>
        <w:tc>
          <w:tcPr>
            <w:tcW w:w="4111" w:type="dxa"/>
            <w:tcBorders>
              <w:left w:val="single" w:sz="12" w:space="0" w:color="auto"/>
              <w:bottom w:val="single" w:sz="2" w:space="0" w:color="auto"/>
              <w:right w:val="single" w:sz="12" w:space="0" w:color="auto"/>
            </w:tcBorders>
            <w:shd w:val="clear" w:color="auto" w:fill="auto"/>
          </w:tcPr>
          <w:p w:rsidR="00CE1D6C" w:rsidRPr="00F914B1" w:rsidRDefault="00CE1D6C" w:rsidP="007136E5">
            <w:pPr>
              <w:pStyle w:val="TableText"/>
              <w:spacing w:before="0" w:after="0"/>
              <w:rPr>
                <w:rFonts w:cs="Segoe UI"/>
                <w:sz w:val="20"/>
                <w:lang w:eastAsia="en-GB"/>
              </w:rPr>
            </w:pPr>
            <w:r>
              <w:rPr>
                <w:rFonts w:cs="Segoe UI"/>
                <w:sz w:val="20"/>
                <w:lang w:eastAsia="en-GB"/>
              </w:rPr>
              <w:t xml:space="preserve">Template </w:t>
            </w:r>
            <w:r w:rsidRPr="00CE45F8">
              <w:rPr>
                <w:rFonts w:cs="Segoe UI"/>
                <w:sz w:val="20"/>
                <w:lang w:eastAsia="en-GB"/>
              </w:rPr>
              <w:t>REM2</w:t>
            </w:r>
            <w:r>
              <w:rPr>
                <w:rFonts w:cs="Segoe UI"/>
                <w:sz w:val="20"/>
                <w:lang w:eastAsia="en-GB"/>
              </w:rPr>
              <w:t>:</w:t>
            </w:r>
            <w:r w:rsidRPr="00CE45F8">
              <w:rPr>
                <w:rFonts w:cs="Segoe UI"/>
                <w:sz w:val="20"/>
                <w:lang w:eastAsia="en-GB"/>
              </w:rPr>
              <w:t xml:space="preserve"> Special payments</w:t>
            </w:r>
          </w:p>
        </w:tc>
        <w:tc>
          <w:tcPr>
            <w:tcW w:w="992" w:type="dxa"/>
            <w:tcBorders>
              <w:left w:val="single" w:sz="12" w:space="0" w:color="auto"/>
              <w:bottom w:val="single" w:sz="2" w:space="0" w:color="auto"/>
              <w:right w:val="single" w:sz="12" w:space="0" w:color="auto"/>
            </w:tcBorders>
          </w:tcPr>
          <w:p w:rsidR="00CE1D6C" w:rsidRDefault="00CE1D6C" w:rsidP="00C639E1">
            <w:pPr>
              <w:jc w:val="center"/>
            </w:pPr>
            <w:r w:rsidRPr="00284EC7">
              <w:rPr>
                <w:rFonts w:cs="Segoe UI"/>
                <w:lang w:eastAsia="en-GB"/>
              </w:rPr>
              <w:t>II</w:t>
            </w:r>
          </w:p>
        </w:tc>
        <w:tc>
          <w:tcPr>
            <w:tcW w:w="1624" w:type="dxa"/>
            <w:tcBorders>
              <w:left w:val="single" w:sz="12" w:space="0" w:color="auto"/>
              <w:bottom w:val="single" w:sz="2"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Pr>
                <w:rFonts w:cs="Segoe UI"/>
                <w:sz w:val="20"/>
                <w:lang w:eastAsia="en-GB"/>
              </w:rPr>
              <w:t>L</w:t>
            </w:r>
          </w:p>
        </w:tc>
        <w:tc>
          <w:tcPr>
            <w:tcW w:w="1244" w:type="dxa"/>
            <w:tcBorders>
              <w:left w:val="single" w:sz="12" w:space="0" w:color="auto"/>
              <w:bottom w:val="single" w:sz="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134" w:type="dxa"/>
            <w:tcBorders>
              <w:bottom w:val="single" w:sz="2"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sidRPr="00F914B1">
              <w:rPr>
                <w:rFonts w:cs="Segoe UI"/>
                <w:sz w:val="20"/>
                <w:lang w:eastAsia="en-GB"/>
              </w:rPr>
              <w:sym w:font="Wingdings 2" w:char="F050"/>
            </w:r>
          </w:p>
        </w:tc>
        <w:tc>
          <w:tcPr>
            <w:tcW w:w="1134" w:type="dxa"/>
            <w:tcBorders>
              <w:left w:val="single" w:sz="12" w:space="0" w:color="auto"/>
              <w:bottom w:val="single" w:sz="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276" w:type="dxa"/>
            <w:tcBorders>
              <w:bottom w:val="single" w:sz="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101" w:type="dxa"/>
            <w:tcBorders>
              <w:bottom w:val="single" w:sz="2"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sidRPr="00F914B1">
              <w:rPr>
                <w:rFonts w:cs="Segoe UI"/>
                <w:sz w:val="20"/>
                <w:lang w:eastAsia="en-GB"/>
              </w:rPr>
              <w:sym w:font="Wingdings 2" w:char="F050"/>
            </w:r>
          </w:p>
        </w:tc>
      </w:tr>
      <w:tr w:rsidR="00CE1D6C" w:rsidTr="009A68E3">
        <w:trPr>
          <w:cantSplit/>
          <w:trHeight w:val="283"/>
        </w:trPr>
        <w:tc>
          <w:tcPr>
            <w:tcW w:w="1843" w:type="dxa"/>
            <w:vMerge/>
            <w:tcBorders>
              <w:left w:val="nil"/>
              <w:bottom w:val="single" w:sz="12" w:space="0" w:color="auto"/>
              <w:right w:val="single" w:sz="12" w:space="0" w:color="auto"/>
            </w:tcBorders>
          </w:tcPr>
          <w:p w:rsidR="00CE1D6C" w:rsidRPr="00F914B1" w:rsidRDefault="00CE1D6C" w:rsidP="007136E5">
            <w:pPr>
              <w:pStyle w:val="TableText"/>
              <w:spacing w:before="0" w:after="0"/>
              <w:rPr>
                <w:rFonts w:cs="Segoe UI"/>
                <w:sz w:val="20"/>
                <w:lang w:eastAsia="en-GB"/>
              </w:rPr>
            </w:pPr>
          </w:p>
        </w:tc>
        <w:tc>
          <w:tcPr>
            <w:tcW w:w="4111" w:type="dxa"/>
            <w:tcBorders>
              <w:top w:val="single" w:sz="2" w:space="0" w:color="auto"/>
              <w:left w:val="single" w:sz="12" w:space="0" w:color="auto"/>
              <w:bottom w:val="single" w:sz="12" w:space="0" w:color="auto"/>
              <w:right w:val="single" w:sz="12" w:space="0" w:color="auto"/>
            </w:tcBorders>
            <w:shd w:val="clear" w:color="auto" w:fill="auto"/>
          </w:tcPr>
          <w:p w:rsidR="00CE1D6C" w:rsidRDefault="00CE1D6C" w:rsidP="007136E5">
            <w:pPr>
              <w:pStyle w:val="TableText"/>
              <w:spacing w:before="0" w:after="0"/>
              <w:rPr>
                <w:rFonts w:cs="Segoe UI"/>
                <w:sz w:val="20"/>
                <w:lang w:eastAsia="en-GB"/>
              </w:rPr>
            </w:pPr>
            <w:r>
              <w:rPr>
                <w:rFonts w:cs="Segoe UI"/>
                <w:sz w:val="20"/>
                <w:lang w:eastAsia="en-GB"/>
              </w:rPr>
              <w:t xml:space="preserve">Template REM3: </w:t>
            </w:r>
            <w:r w:rsidRPr="004421BD">
              <w:rPr>
                <w:rFonts w:cs="Segoe UI"/>
                <w:sz w:val="20"/>
                <w:lang w:eastAsia="en-GB"/>
              </w:rPr>
              <w:t>Deferred remuneration</w:t>
            </w:r>
          </w:p>
        </w:tc>
        <w:tc>
          <w:tcPr>
            <w:tcW w:w="992" w:type="dxa"/>
            <w:tcBorders>
              <w:top w:val="single" w:sz="2" w:space="0" w:color="auto"/>
              <w:left w:val="single" w:sz="12" w:space="0" w:color="auto"/>
              <w:bottom w:val="single" w:sz="12" w:space="0" w:color="auto"/>
              <w:right w:val="single" w:sz="12" w:space="0" w:color="auto"/>
            </w:tcBorders>
          </w:tcPr>
          <w:p w:rsidR="00CE1D6C" w:rsidRDefault="00CE1D6C" w:rsidP="00C639E1">
            <w:pPr>
              <w:jc w:val="center"/>
            </w:pPr>
            <w:r w:rsidRPr="00284EC7">
              <w:rPr>
                <w:rFonts w:cs="Segoe UI"/>
                <w:lang w:eastAsia="en-GB"/>
              </w:rPr>
              <w:t>II</w:t>
            </w:r>
          </w:p>
        </w:tc>
        <w:tc>
          <w:tcPr>
            <w:tcW w:w="1624" w:type="dxa"/>
            <w:tcBorders>
              <w:top w:val="single" w:sz="2" w:space="0" w:color="auto"/>
              <w:left w:val="single" w:sz="12" w:space="0" w:color="auto"/>
              <w:bottom w:val="single" w:sz="12"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Pr>
                <w:rFonts w:cs="Segoe UI"/>
                <w:sz w:val="20"/>
                <w:lang w:eastAsia="en-GB"/>
              </w:rPr>
              <w:t>L</w:t>
            </w:r>
          </w:p>
        </w:tc>
        <w:tc>
          <w:tcPr>
            <w:tcW w:w="1244" w:type="dxa"/>
            <w:tcBorders>
              <w:top w:val="single" w:sz="2" w:space="0" w:color="auto"/>
              <w:left w:val="single" w:sz="12" w:space="0" w:color="auto"/>
              <w:bottom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134" w:type="dxa"/>
            <w:tcBorders>
              <w:top w:val="single" w:sz="2" w:space="0" w:color="auto"/>
              <w:bottom w:val="single" w:sz="12"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sidRPr="00F914B1">
              <w:rPr>
                <w:rFonts w:cs="Segoe UI"/>
                <w:sz w:val="20"/>
                <w:lang w:eastAsia="en-GB"/>
              </w:rPr>
              <w:sym w:font="Wingdings 2" w:char="F050"/>
            </w:r>
          </w:p>
        </w:tc>
        <w:tc>
          <w:tcPr>
            <w:tcW w:w="1134" w:type="dxa"/>
            <w:tcBorders>
              <w:top w:val="single" w:sz="2" w:space="0" w:color="auto"/>
              <w:left w:val="single" w:sz="12" w:space="0" w:color="auto"/>
              <w:bottom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276" w:type="dxa"/>
            <w:tcBorders>
              <w:top w:val="single" w:sz="2" w:space="0" w:color="auto"/>
              <w:bottom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p>
        </w:tc>
        <w:tc>
          <w:tcPr>
            <w:tcW w:w="1101" w:type="dxa"/>
            <w:tcBorders>
              <w:top w:val="single" w:sz="2" w:space="0" w:color="auto"/>
              <w:bottom w:val="single" w:sz="12" w:space="0" w:color="auto"/>
              <w:right w:val="single" w:sz="12" w:space="0" w:color="auto"/>
            </w:tcBorders>
            <w:shd w:val="clear" w:color="auto" w:fill="auto"/>
          </w:tcPr>
          <w:p w:rsidR="00CE1D6C" w:rsidRPr="00F914B1" w:rsidRDefault="00CE1D6C" w:rsidP="007136E5">
            <w:pPr>
              <w:pStyle w:val="TableText"/>
              <w:spacing w:before="0" w:after="0"/>
              <w:jc w:val="center"/>
              <w:rPr>
                <w:rFonts w:cs="Segoe UI"/>
                <w:sz w:val="20"/>
                <w:lang w:eastAsia="en-GB"/>
              </w:rPr>
            </w:pPr>
            <w:r w:rsidRPr="00F914B1">
              <w:rPr>
                <w:rFonts w:cs="Segoe UI"/>
                <w:sz w:val="20"/>
                <w:lang w:eastAsia="en-GB"/>
              </w:rPr>
              <w:sym w:font="Wingdings 2" w:char="F050"/>
            </w:r>
          </w:p>
        </w:tc>
      </w:tr>
      <w:bookmarkEnd w:id="0"/>
    </w:tbl>
    <w:p w:rsidR="00CE1D6C" w:rsidRDefault="00CE1D6C" w:rsidP="00A132E4">
      <w:pPr>
        <w:jc w:val="both"/>
        <w:rPr>
          <w:rFonts w:cs="Segoe UI"/>
        </w:rPr>
      </w:pPr>
    </w:p>
    <w:p w:rsidR="000665DA" w:rsidRDefault="000665DA" w:rsidP="00A132E4">
      <w:pPr>
        <w:jc w:val="both"/>
        <w:rPr>
          <w:rFonts w:cs="Segoe UI"/>
        </w:rPr>
      </w:pPr>
    </w:p>
    <w:p w:rsidR="0039707A" w:rsidRDefault="0039707A">
      <w:pPr>
        <w:spacing w:before="120" w:after="120"/>
        <w:rPr>
          <w:sz w:val="22"/>
        </w:rPr>
        <w:sectPr w:rsidR="0039707A" w:rsidSect="005A561D">
          <w:footerReference w:type="default" r:id="rId8"/>
          <w:pgSz w:w="16838" w:h="11906" w:orient="landscape" w:code="9"/>
          <w:pgMar w:top="993" w:right="1440" w:bottom="1797" w:left="1440" w:header="851" w:footer="737" w:gutter="0"/>
          <w:cols w:space="425"/>
          <w:docGrid w:type="lines" w:linePitch="360"/>
        </w:sectPr>
      </w:pPr>
    </w:p>
    <w:p w:rsidR="002A0515" w:rsidRPr="004803F9" w:rsidRDefault="002A0515" w:rsidP="002A0515">
      <w:pPr>
        <w:pStyle w:val="Heading1"/>
        <w:tabs>
          <w:tab w:val="clear" w:pos="794"/>
          <w:tab w:val="left" w:pos="567"/>
        </w:tabs>
        <w:spacing w:before="0"/>
        <w:ind w:leftChars="-283" w:left="-426" w:hangingChars="50" w:hanging="140"/>
        <w:rPr>
          <w:rFonts w:cs="Segoe UI"/>
          <w:szCs w:val="28"/>
        </w:rPr>
      </w:pPr>
      <w:r w:rsidRPr="004803F9">
        <w:rPr>
          <w:rFonts w:cs="Segoe UI"/>
          <w:szCs w:val="28"/>
        </w:rPr>
        <w:t>Part I: Key prudential ratios, overview of risk management and RWA</w:t>
      </w:r>
    </w:p>
    <w:tbl>
      <w:tblPr>
        <w:tblW w:w="9242"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127"/>
        <w:gridCol w:w="7115"/>
      </w:tblGrid>
      <w:tr w:rsidR="002A0515" w:rsidRPr="004E457E" w:rsidTr="00A54BE4">
        <w:tc>
          <w:tcPr>
            <w:tcW w:w="9242" w:type="dxa"/>
            <w:gridSpan w:val="2"/>
            <w:tcBorders>
              <w:top w:val="nil"/>
            </w:tcBorders>
          </w:tcPr>
          <w:p w:rsidR="002A0515" w:rsidRPr="004E457E" w:rsidRDefault="002A0515" w:rsidP="00A54BE4">
            <w:pPr>
              <w:spacing w:before="40" w:after="40"/>
              <w:rPr>
                <w:noProof/>
                <w:sz w:val="17"/>
                <w:lang w:eastAsia="en-GB"/>
              </w:rPr>
            </w:pPr>
            <w:r w:rsidRPr="004E457E">
              <w:rPr>
                <w:sz w:val="22"/>
              </w:rPr>
              <w:t>Template OV1: Overview of RWA</w:t>
            </w:r>
          </w:p>
        </w:tc>
      </w:tr>
      <w:tr w:rsidR="002A0515" w:rsidRPr="004E457E" w:rsidTr="00A54BE4">
        <w:tc>
          <w:tcPr>
            <w:tcW w:w="2127" w:type="dxa"/>
          </w:tcPr>
          <w:p w:rsidR="002A0515" w:rsidRPr="004E457E" w:rsidRDefault="002A0515" w:rsidP="00A54BE4">
            <w:pPr>
              <w:spacing w:before="40" w:after="40"/>
              <w:rPr>
                <w:noProof/>
                <w:sz w:val="17"/>
                <w:lang w:eastAsia="en-GB"/>
              </w:rPr>
            </w:pPr>
            <w:r w:rsidRPr="004E457E">
              <w:rPr>
                <w:b/>
                <w:sz w:val="17"/>
                <w:lang w:eastAsia="en-GB"/>
              </w:rPr>
              <w:t>Purpose:</w:t>
            </w:r>
            <w:r w:rsidRPr="004E457E">
              <w:rPr>
                <w:sz w:val="17"/>
                <w:lang w:eastAsia="en-GB"/>
              </w:rPr>
              <w:t xml:space="preserve"> </w:t>
            </w:r>
          </w:p>
        </w:tc>
        <w:tc>
          <w:tcPr>
            <w:tcW w:w="7115" w:type="dxa"/>
          </w:tcPr>
          <w:p w:rsidR="002A0515" w:rsidRPr="004E457E" w:rsidRDefault="002A0515" w:rsidP="00A54BE4">
            <w:pPr>
              <w:spacing w:before="40" w:after="40"/>
              <w:jc w:val="both"/>
              <w:rPr>
                <w:rFonts w:eastAsia="新細明體"/>
                <w:noProof/>
                <w:sz w:val="17"/>
                <w:lang w:eastAsia="en-GB"/>
              </w:rPr>
            </w:pPr>
            <w:r w:rsidRPr="004E457E">
              <w:rPr>
                <w:rFonts w:eastAsia="新細明體"/>
                <w:sz w:val="17"/>
                <w:lang w:eastAsia="en-GB"/>
              </w:rPr>
              <w:t>To provide an overview of capital requirements in terms of a detailed breakdowns of RWAs for various risks.</w:t>
            </w:r>
          </w:p>
        </w:tc>
      </w:tr>
      <w:tr w:rsidR="002A0515" w:rsidRPr="004E457E" w:rsidTr="00A54BE4">
        <w:tc>
          <w:tcPr>
            <w:tcW w:w="2127" w:type="dxa"/>
          </w:tcPr>
          <w:p w:rsidR="002A0515" w:rsidRPr="004E457E" w:rsidRDefault="002A0515" w:rsidP="00A54BE4">
            <w:pPr>
              <w:spacing w:before="40" w:after="40"/>
              <w:rPr>
                <w:b/>
                <w:sz w:val="17"/>
                <w:lang w:eastAsia="en-GB"/>
              </w:rPr>
            </w:pPr>
            <w:r w:rsidRPr="004E457E">
              <w:rPr>
                <w:b/>
                <w:sz w:val="17"/>
                <w:lang w:eastAsia="en-GB"/>
              </w:rPr>
              <w:t xml:space="preserve">Scope of application: </w:t>
            </w:r>
          </w:p>
        </w:tc>
        <w:tc>
          <w:tcPr>
            <w:tcW w:w="7115" w:type="dxa"/>
          </w:tcPr>
          <w:p w:rsidR="002A0515" w:rsidRPr="004E457E" w:rsidRDefault="002A0515" w:rsidP="00A54BE4">
            <w:pPr>
              <w:spacing w:before="40" w:after="40"/>
              <w:jc w:val="both"/>
              <w:rPr>
                <w:rFonts w:eastAsia="新細明體"/>
                <w:b/>
                <w:sz w:val="17"/>
                <w:lang w:eastAsia="en-GB"/>
              </w:rPr>
            </w:pPr>
            <w:r w:rsidRPr="004E457E">
              <w:rPr>
                <w:rFonts w:eastAsia="新細明體"/>
                <w:sz w:val="17"/>
                <w:lang w:eastAsia="en-GB"/>
              </w:rPr>
              <w:t>The template is mandatory for all AIs</w:t>
            </w:r>
            <w:r w:rsidRPr="004E457E">
              <w:t xml:space="preserve"> </w:t>
            </w:r>
            <w:r w:rsidRPr="004E457E">
              <w:rPr>
                <w:rFonts w:eastAsia="新細明體"/>
                <w:sz w:val="17"/>
                <w:lang w:eastAsia="en-GB"/>
              </w:rPr>
              <w:t>incorporated in Hong Kong.</w:t>
            </w:r>
          </w:p>
        </w:tc>
      </w:tr>
      <w:tr w:rsidR="002A0515" w:rsidRPr="004E457E" w:rsidTr="00A54BE4">
        <w:tc>
          <w:tcPr>
            <w:tcW w:w="2127" w:type="dxa"/>
          </w:tcPr>
          <w:p w:rsidR="002A0515" w:rsidRPr="004E457E" w:rsidRDefault="002A0515" w:rsidP="00A54BE4">
            <w:pPr>
              <w:spacing w:before="40" w:after="40"/>
              <w:rPr>
                <w:b/>
                <w:sz w:val="17"/>
                <w:lang w:eastAsia="en-GB"/>
              </w:rPr>
            </w:pPr>
            <w:r w:rsidRPr="004E457E">
              <w:rPr>
                <w:b/>
                <w:sz w:val="17"/>
                <w:lang w:eastAsia="en-GB"/>
              </w:rPr>
              <w:t xml:space="preserve">Content: </w:t>
            </w:r>
          </w:p>
        </w:tc>
        <w:tc>
          <w:tcPr>
            <w:tcW w:w="7115" w:type="dxa"/>
          </w:tcPr>
          <w:p w:rsidR="002A0515" w:rsidRPr="004E457E" w:rsidRDefault="002A0515" w:rsidP="00A54BE4">
            <w:pPr>
              <w:spacing w:before="40" w:after="40"/>
              <w:jc w:val="both"/>
              <w:rPr>
                <w:rFonts w:eastAsia="新細明體"/>
                <w:b/>
                <w:sz w:val="17"/>
                <w:lang w:eastAsia="en-GB"/>
              </w:rPr>
            </w:pPr>
            <w:r w:rsidRPr="004E457E">
              <w:rPr>
                <w:rFonts w:eastAsia="新細明體"/>
                <w:sz w:val="17"/>
                <w:lang w:eastAsia="en-GB"/>
              </w:rPr>
              <w:t>RWA and capital requirements under the Pillar 1 framework.</w:t>
            </w:r>
          </w:p>
        </w:tc>
      </w:tr>
      <w:tr w:rsidR="002A0515" w:rsidRPr="004E457E" w:rsidTr="00A54BE4">
        <w:tc>
          <w:tcPr>
            <w:tcW w:w="2127" w:type="dxa"/>
          </w:tcPr>
          <w:p w:rsidR="002A0515" w:rsidRPr="004E457E" w:rsidRDefault="002A0515" w:rsidP="00A54BE4">
            <w:pPr>
              <w:spacing w:before="40" w:after="40"/>
              <w:rPr>
                <w:sz w:val="17"/>
                <w:lang w:eastAsia="en-GB"/>
              </w:rPr>
            </w:pPr>
            <w:r w:rsidRPr="004E457E">
              <w:rPr>
                <w:b/>
                <w:sz w:val="17"/>
                <w:lang w:eastAsia="en-GB"/>
              </w:rPr>
              <w:t>Frequency:</w:t>
            </w:r>
            <w:r w:rsidRPr="004E457E">
              <w:rPr>
                <w:sz w:val="17"/>
                <w:lang w:eastAsia="en-GB"/>
              </w:rPr>
              <w:t xml:space="preserve"> </w:t>
            </w:r>
          </w:p>
        </w:tc>
        <w:tc>
          <w:tcPr>
            <w:tcW w:w="7115" w:type="dxa"/>
          </w:tcPr>
          <w:p w:rsidR="002A0515" w:rsidRPr="004E457E" w:rsidRDefault="002A0515" w:rsidP="00A54BE4">
            <w:pPr>
              <w:spacing w:before="40" w:after="40"/>
              <w:jc w:val="both"/>
              <w:rPr>
                <w:rFonts w:eastAsia="新細明體"/>
                <w:sz w:val="17"/>
                <w:lang w:eastAsia="en-GB"/>
              </w:rPr>
            </w:pPr>
            <w:r w:rsidRPr="004E457E">
              <w:rPr>
                <w:rFonts w:eastAsia="新細明體"/>
                <w:sz w:val="17"/>
                <w:lang w:eastAsia="en-GB"/>
              </w:rPr>
              <w:t>Quarterly.</w:t>
            </w:r>
          </w:p>
        </w:tc>
      </w:tr>
      <w:tr w:rsidR="002A0515" w:rsidRPr="004E457E" w:rsidTr="00A54BE4">
        <w:tc>
          <w:tcPr>
            <w:tcW w:w="2127" w:type="dxa"/>
          </w:tcPr>
          <w:p w:rsidR="002A0515" w:rsidRPr="004E457E" w:rsidRDefault="002A0515" w:rsidP="00A54BE4">
            <w:pPr>
              <w:spacing w:before="40" w:after="40"/>
              <w:rPr>
                <w:sz w:val="17"/>
                <w:lang w:eastAsia="en-GB"/>
              </w:rPr>
            </w:pPr>
            <w:r w:rsidRPr="004E457E">
              <w:rPr>
                <w:b/>
                <w:sz w:val="17"/>
                <w:lang w:eastAsia="en-GB"/>
              </w:rPr>
              <w:t>Format:</w:t>
            </w:r>
            <w:r w:rsidRPr="004E457E">
              <w:rPr>
                <w:sz w:val="17"/>
                <w:lang w:eastAsia="en-GB"/>
              </w:rPr>
              <w:t xml:space="preserve"> </w:t>
            </w:r>
          </w:p>
        </w:tc>
        <w:tc>
          <w:tcPr>
            <w:tcW w:w="7115" w:type="dxa"/>
          </w:tcPr>
          <w:p w:rsidR="002A0515" w:rsidRPr="004E457E" w:rsidRDefault="002A0515" w:rsidP="00A54BE4">
            <w:pPr>
              <w:spacing w:before="40" w:after="40"/>
              <w:jc w:val="both"/>
              <w:rPr>
                <w:rFonts w:eastAsia="新細明體"/>
                <w:noProof/>
                <w:sz w:val="17"/>
                <w:lang w:eastAsia="en-GB"/>
              </w:rPr>
            </w:pPr>
            <w:r w:rsidRPr="004E457E">
              <w:rPr>
                <w:rFonts w:eastAsia="新細明體"/>
                <w:sz w:val="17"/>
                <w:lang w:eastAsia="en-GB"/>
              </w:rPr>
              <w:t>Fixed.</w:t>
            </w:r>
          </w:p>
        </w:tc>
      </w:tr>
      <w:tr w:rsidR="002A0515" w:rsidRPr="004E457E" w:rsidTr="00A54BE4">
        <w:tc>
          <w:tcPr>
            <w:tcW w:w="2127" w:type="dxa"/>
          </w:tcPr>
          <w:p w:rsidR="002A0515" w:rsidRPr="004E457E" w:rsidRDefault="002A0515" w:rsidP="00A54BE4">
            <w:pPr>
              <w:spacing w:before="40" w:after="40"/>
              <w:rPr>
                <w:b/>
                <w:sz w:val="17"/>
                <w:lang w:eastAsia="en-GB"/>
              </w:rPr>
            </w:pPr>
            <w:r w:rsidRPr="004E457E">
              <w:rPr>
                <w:rFonts w:eastAsia="新細明體"/>
                <w:b/>
                <w:sz w:val="17"/>
                <w:szCs w:val="17"/>
                <w:lang w:eastAsia="en-GB"/>
              </w:rPr>
              <w:t>Accompanying narrative</w:t>
            </w:r>
            <w:r w:rsidRPr="004E457E">
              <w:rPr>
                <w:rFonts w:eastAsia="新細明體"/>
                <w:sz w:val="17"/>
                <w:szCs w:val="17"/>
                <w:lang w:eastAsia="en-GB"/>
              </w:rPr>
              <w:t>:</w:t>
            </w:r>
          </w:p>
        </w:tc>
        <w:tc>
          <w:tcPr>
            <w:tcW w:w="7115" w:type="dxa"/>
          </w:tcPr>
          <w:p w:rsidR="002A0515" w:rsidRPr="004E457E" w:rsidRDefault="002A0515" w:rsidP="00A54BE4">
            <w:pPr>
              <w:spacing w:before="40" w:after="40"/>
              <w:jc w:val="both"/>
              <w:rPr>
                <w:rFonts w:eastAsia="新細明體"/>
                <w:noProof/>
                <w:sz w:val="17"/>
                <w:lang w:eastAsia="en-GB"/>
              </w:rPr>
            </w:pPr>
            <w:r w:rsidRPr="004E457E">
              <w:rPr>
                <w:rFonts w:eastAsia="新細明體"/>
                <w:sz w:val="17"/>
                <w:szCs w:val="17"/>
                <w:lang w:eastAsia="en-GB"/>
              </w:rPr>
              <w:t xml:space="preserve">An AI should </w:t>
            </w:r>
            <w:r w:rsidRPr="004E457E">
              <w:rPr>
                <w:rFonts w:eastAsia="新細明體"/>
                <w:sz w:val="17"/>
                <w:lang w:eastAsia="en-GB"/>
              </w:rPr>
              <w:t>explain the drivers behind differences in reporting periods T and T-1 where these differences are material.  The AI should also explain the adjustments made if capital requirements in column (c) do not correspond to 8% of RWA in column (a).  If an AI uses the internal models method to calculate its equity exposures in the banking book pursuant to the BCR, it should provide a description of its internal models used in an accompanying narrative.</w:t>
            </w:r>
          </w:p>
        </w:tc>
      </w:tr>
      <w:tr w:rsidR="002A0515" w:rsidRPr="004E457E" w:rsidTr="00A54BE4">
        <w:tc>
          <w:tcPr>
            <w:tcW w:w="2127" w:type="dxa"/>
          </w:tcPr>
          <w:p w:rsidR="002A0515" w:rsidRPr="004E457E" w:rsidRDefault="002A0515" w:rsidP="00A54BE4">
            <w:pPr>
              <w:spacing w:before="40" w:after="40"/>
              <w:rPr>
                <w:rFonts w:eastAsia="新細明體"/>
                <w:b/>
                <w:sz w:val="17"/>
                <w:szCs w:val="17"/>
                <w:lang w:eastAsia="en-GB"/>
              </w:rPr>
            </w:pPr>
            <w:r w:rsidRPr="004E457E">
              <w:rPr>
                <w:rFonts w:eastAsia="新細明體"/>
                <w:b/>
                <w:sz w:val="17"/>
                <w:szCs w:val="17"/>
                <w:lang w:eastAsia="en-GB"/>
              </w:rPr>
              <w:t>Corresponding BDR section:</w:t>
            </w:r>
          </w:p>
        </w:tc>
        <w:tc>
          <w:tcPr>
            <w:tcW w:w="7115" w:type="dxa"/>
          </w:tcPr>
          <w:p w:rsidR="002A0515" w:rsidRPr="004E457E" w:rsidRDefault="002A0515" w:rsidP="00A54BE4">
            <w:pPr>
              <w:spacing w:before="40" w:after="40"/>
              <w:jc w:val="both"/>
              <w:rPr>
                <w:rFonts w:eastAsia="新細明體"/>
                <w:sz w:val="17"/>
                <w:szCs w:val="17"/>
                <w:lang w:eastAsia="en-GB"/>
              </w:rPr>
            </w:pPr>
            <w:r w:rsidRPr="001B530B">
              <w:rPr>
                <w:rFonts w:eastAsia="新細明體"/>
                <w:sz w:val="17"/>
                <w:szCs w:val="17"/>
                <w:lang w:eastAsia="en-GB"/>
              </w:rPr>
              <w:t>16C</w:t>
            </w:r>
          </w:p>
        </w:tc>
      </w:tr>
    </w:tbl>
    <w:p w:rsidR="002A0515" w:rsidRPr="004E457E" w:rsidRDefault="002A0515" w:rsidP="002A0515">
      <w:pPr>
        <w:spacing w:before="120" w:after="120"/>
        <w:rPr>
          <w:sz w:val="22"/>
        </w:rPr>
      </w:pPr>
    </w:p>
    <w:tbl>
      <w:tblPr>
        <w:tblW w:w="9214" w:type="dxa"/>
        <w:tblInd w:w="-459" w:type="dxa"/>
        <w:tblBorders>
          <w:top w:val="single" w:sz="4" w:space="0" w:color="BCBDBC"/>
          <w:left w:val="single" w:sz="4" w:space="0" w:color="BCBDBC"/>
          <w:bottom w:val="single" w:sz="4" w:space="0" w:color="BCBDBC"/>
          <w:right w:val="single" w:sz="4" w:space="0" w:color="BCBDBC"/>
          <w:insideH w:val="single" w:sz="4" w:space="0" w:color="BCBDBC"/>
          <w:insideV w:val="single" w:sz="4" w:space="0" w:color="BCBDBC"/>
        </w:tblBorders>
        <w:tblLayout w:type="fixed"/>
        <w:tblLook w:val="0600" w:firstRow="0" w:lastRow="0" w:firstColumn="0" w:lastColumn="0" w:noHBand="1" w:noVBand="1"/>
      </w:tblPr>
      <w:tblGrid>
        <w:gridCol w:w="567"/>
        <w:gridCol w:w="5245"/>
        <w:gridCol w:w="921"/>
        <w:gridCol w:w="922"/>
        <w:gridCol w:w="1559"/>
      </w:tblGrid>
      <w:tr w:rsidR="002A0515" w:rsidRPr="004E457E" w:rsidTr="00A54BE4">
        <w:trPr>
          <w:trHeight w:val="299"/>
          <w:tblHeader/>
        </w:trPr>
        <w:tc>
          <w:tcPr>
            <w:tcW w:w="567" w:type="dxa"/>
            <w:tcBorders>
              <w:top w:val="nil"/>
              <w:left w:val="nil"/>
              <w:bottom w:val="nil"/>
              <w:right w:val="nil"/>
            </w:tcBorders>
          </w:tcPr>
          <w:p w:rsidR="002A0515" w:rsidRPr="004E457E" w:rsidRDefault="002A0515" w:rsidP="00A54BE4">
            <w:pPr>
              <w:keepLines/>
              <w:snapToGrid w:val="0"/>
              <w:rPr>
                <w:rFonts w:cs="Segoe UI"/>
                <w:i/>
                <w:sz w:val="17"/>
                <w:szCs w:val="17"/>
                <w:lang w:eastAsia="en-GB"/>
              </w:rPr>
            </w:pPr>
          </w:p>
        </w:tc>
        <w:tc>
          <w:tcPr>
            <w:tcW w:w="5245" w:type="dxa"/>
            <w:tcBorders>
              <w:top w:val="nil"/>
              <w:left w:val="nil"/>
              <w:bottom w:val="nil"/>
              <w:right w:val="single" w:sz="4" w:space="0" w:color="auto"/>
            </w:tcBorders>
          </w:tcPr>
          <w:p w:rsidR="002A0515" w:rsidRPr="004E457E" w:rsidRDefault="002A0515" w:rsidP="00A54BE4">
            <w:pPr>
              <w:keepLines/>
              <w:snapToGrid w:val="0"/>
              <w:rPr>
                <w:rFonts w:cs="Segoe UI"/>
                <w:i/>
                <w:sz w:val="17"/>
                <w:szCs w:val="17"/>
                <w:lang w:eastAsia="en-GB"/>
              </w:rPr>
            </w:pPr>
          </w:p>
        </w:tc>
        <w:tc>
          <w:tcPr>
            <w:tcW w:w="921" w:type="dxa"/>
            <w:tcBorders>
              <w:top w:val="single" w:sz="4" w:space="0" w:color="auto"/>
              <w:left w:val="single" w:sz="4" w:space="0" w:color="auto"/>
              <w:bottom w:val="single" w:sz="4" w:space="0" w:color="auto"/>
              <w:right w:val="single" w:sz="4" w:space="0" w:color="auto"/>
            </w:tcBorders>
            <w:shd w:val="clear" w:color="auto" w:fill="FFFFFF"/>
          </w:tcPr>
          <w:p w:rsidR="002A0515" w:rsidRPr="004E457E" w:rsidRDefault="002A0515" w:rsidP="00A54BE4">
            <w:pPr>
              <w:keepLines/>
              <w:snapToGrid w:val="0"/>
              <w:spacing w:before="40" w:after="40"/>
              <w:jc w:val="center"/>
              <w:rPr>
                <w:rFonts w:cs="Segoe UI"/>
                <w:sz w:val="17"/>
                <w:szCs w:val="17"/>
                <w:lang w:eastAsia="en-GB"/>
              </w:rPr>
            </w:pPr>
            <w:r w:rsidRPr="004E457E">
              <w:rPr>
                <w:rFonts w:cs="Segoe UI"/>
                <w:sz w:val="17"/>
                <w:szCs w:val="17"/>
                <w:lang w:eastAsia="en-GB"/>
              </w:rPr>
              <w:t>(a)</w:t>
            </w:r>
          </w:p>
        </w:tc>
        <w:tc>
          <w:tcPr>
            <w:tcW w:w="922" w:type="dxa"/>
            <w:tcBorders>
              <w:top w:val="single" w:sz="4" w:space="0" w:color="auto"/>
              <w:left w:val="single" w:sz="4" w:space="0" w:color="auto"/>
              <w:bottom w:val="single" w:sz="4" w:space="0" w:color="auto"/>
              <w:right w:val="single" w:sz="4" w:space="0" w:color="auto"/>
            </w:tcBorders>
            <w:shd w:val="clear" w:color="auto" w:fill="FFFFFF"/>
          </w:tcPr>
          <w:p w:rsidR="002A0515" w:rsidRPr="004E457E" w:rsidRDefault="002A0515" w:rsidP="00A54BE4">
            <w:pPr>
              <w:keepLines/>
              <w:snapToGrid w:val="0"/>
              <w:spacing w:before="40" w:after="40"/>
              <w:jc w:val="center"/>
              <w:rPr>
                <w:rFonts w:cs="Segoe UI"/>
                <w:sz w:val="17"/>
                <w:szCs w:val="17"/>
                <w:lang w:eastAsia="en-GB"/>
              </w:rPr>
            </w:pPr>
            <w:r w:rsidRPr="004E457E">
              <w:rPr>
                <w:rFonts w:cs="Segoe UI"/>
                <w:sz w:val="17"/>
                <w:szCs w:val="17"/>
                <w:lang w:eastAsia="en-GB"/>
              </w:rPr>
              <w:t>(b)</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2A0515" w:rsidRPr="004E457E" w:rsidRDefault="002A0515" w:rsidP="00A54BE4">
            <w:pPr>
              <w:keepLines/>
              <w:snapToGrid w:val="0"/>
              <w:spacing w:before="40" w:after="40"/>
              <w:jc w:val="center"/>
              <w:rPr>
                <w:rFonts w:cs="Segoe UI"/>
                <w:sz w:val="17"/>
                <w:szCs w:val="17"/>
                <w:lang w:eastAsia="en-GB"/>
              </w:rPr>
            </w:pPr>
            <w:r w:rsidRPr="004E457E">
              <w:rPr>
                <w:rFonts w:cs="Segoe UI"/>
                <w:sz w:val="17"/>
                <w:szCs w:val="17"/>
                <w:lang w:eastAsia="en-GB"/>
              </w:rPr>
              <w:t>(c)</w:t>
            </w:r>
          </w:p>
        </w:tc>
      </w:tr>
      <w:tr w:rsidR="002A0515" w:rsidRPr="004E457E" w:rsidTr="00A54BE4">
        <w:trPr>
          <w:trHeight w:val="275"/>
          <w:tblHeader/>
        </w:trPr>
        <w:tc>
          <w:tcPr>
            <w:tcW w:w="567" w:type="dxa"/>
            <w:tcBorders>
              <w:top w:val="nil"/>
              <w:left w:val="nil"/>
              <w:bottom w:val="nil"/>
              <w:right w:val="nil"/>
            </w:tcBorders>
          </w:tcPr>
          <w:p w:rsidR="002A0515" w:rsidRPr="004E457E" w:rsidRDefault="002A0515" w:rsidP="00A54BE4">
            <w:pPr>
              <w:keepLines/>
              <w:snapToGrid w:val="0"/>
              <w:rPr>
                <w:rFonts w:cs="Segoe UI"/>
                <w:i/>
                <w:sz w:val="17"/>
                <w:szCs w:val="17"/>
                <w:lang w:eastAsia="en-GB"/>
              </w:rPr>
            </w:pPr>
          </w:p>
        </w:tc>
        <w:tc>
          <w:tcPr>
            <w:tcW w:w="5245" w:type="dxa"/>
            <w:vMerge w:val="restart"/>
            <w:tcBorders>
              <w:top w:val="nil"/>
              <w:left w:val="nil"/>
              <w:bottom w:val="single" w:sz="4" w:space="0" w:color="auto"/>
              <w:right w:val="single" w:sz="4" w:space="0" w:color="auto"/>
            </w:tcBorders>
          </w:tcPr>
          <w:p w:rsidR="002A0515" w:rsidRPr="004E457E" w:rsidRDefault="002A0515" w:rsidP="00A54BE4">
            <w:pPr>
              <w:keepLines/>
              <w:snapToGrid w:val="0"/>
              <w:rPr>
                <w:rFonts w:cs="Segoe UI"/>
                <w:i/>
                <w:noProof/>
                <w:sz w:val="17"/>
                <w:szCs w:val="17"/>
                <w:lang w:eastAsia="en-GB"/>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2A0515" w:rsidRPr="004E457E" w:rsidRDefault="002A0515" w:rsidP="00A54BE4">
            <w:pPr>
              <w:keepLines/>
              <w:snapToGrid w:val="0"/>
              <w:spacing w:before="40" w:after="40"/>
              <w:jc w:val="center"/>
              <w:rPr>
                <w:rFonts w:cs="Segoe UI"/>
                <w:noProof/>
                <w:sz w:val="17"/>
                <w:szCs w:val="17"/>
                <w:lang w:eastAsia="en-GB"/>
              </w:rPr>
            </w:pPr>
            <w:r w:rsidRPr="004E457E">
              <w:rPr>
                <w:rFonts w:cs="Segoe UI"/>
                <w:sz w:val="17"/>
                <w:szCs w:val="17"/>
                <w:lang w:eastAsia="en-GB"/>
              </w:rPr>
              <w:t>RWA</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2A0515" w:rsidRPr="004E457E" w:rsidRDefault="002A0515" w:rsidP="00A54BE4">
            <w:pPr>
              <w:keepLines/>
              <w:snapToGrid w:val="0"/>
              <w:spacing w:before="40" w:after="40"/>
              <w:jc w:val="center"/>
              <w:rPr>
                <w:rFonts w:cs="Segoe UI"/>
                <w:noProof/>
                <w:spacing w:val="-20"/>
                <w:sz w:val="17"/>
                <w:szCs w:val="17"/>
                <w:lang w:eastAsia="en-GB"/>
              </w:rPr>
            </w:pPr>
            <w:r w:rsidRPr="004E457E">
              <w:rPr>
                <w:rFonts w:cs="Segoe UI"/>
                <w:sz w:val="17"/>
                <w:szCs w:val="17"/>
                <w:lang w:eastAsia="en-GB"/>
              </w:rPr>
              <w:t>Minimum capital requirements</w:t>
            </w:r>
          </w:p>
        </w:tc>
      </w:tr>
      <w:tr w:rsidR="002A0515" w:rsidRPr="004E457E" w:rsidTr="00A54BE4">
        <w:trPr>
          <w:trHeight w:val="245"/>
          <w:tblHeader/>
        </w:trPr>
        <w:tc>
          <w:tcPr>
            <w:tcW w:w="567" w:type="dxa"/>
            <w:tcBorders>
              <w:top w:val="nil"/>
              <w:left w:val="nil"/>
              <w:bottom w:val="single" w:sz="4" w:space="0" w:color="auto"/>
              <w:right w:val="nil"/>
            </w:tcBorders>
          </w:tcPr>
          <w:p w:rsidR="002A0515" w:rsidRPr="004E457E" w:rsidRDefault="002A0515" w:rsidP="00A54BE4">
            <w:pPr>
              <w:keepLines/>
              <w:snapToGrid w:val="0"/>
              <w:rPr>
                <w:rFonts w:cs="Segoe UI"/>
                <w:i/>
                <w:sz w:val="17"/>
                <w:szCs w:val="17"/>
                <w:lang w:eastAsia="en-GB"/>
              </w:rPr>
            </w:pPr>
          </w:p>
        </w:tc>
        <w:tc>
          <w:tcPr>
            <w:tcW w:w="5245" w:type="dxa"/>
            <w:vMerge/>
            <w:tcBorders>
              <w:top w:val="single" w:sz="4" w:space="0" w:color="auto"/>
              <w:left w:val="nil"/>
              <w:bottom w:val="single" w:sz="4" w:space="0" w:color="auto"/>
              <w:right w:val="single" w:sz="4" w:space="0" w:color="auto"/>
            </w:tcBorders>
          </w:tcPr>
          <w:p w:rsidR="002A0515" w:rsidRPr="004E457E" w:rsidRDefault="002A0515" w:rsidP="00A54BE4">
            <w:pPr>
              <w:keepLines/>
              <w:snapToGrid w:val="0"/>
              <w:rPr>
                <w:rFonts w:cs="Segoe UI"/>
                <w:i/>
                <w:sz w:val="17"/>
                <w:szCs w:val="17"/>
                <w:lang w:eastAsia="en-GB"/>
              </w:rPr>
            </w:pPr>
          </w:p>
        </w:tc>
        <w:tc>
          <w:tcPr>
            <w:tcW w:w="921" w:type="dxa"/>
            <w:tcBorders>
              <w:top w:val="single" w:sz="4" w:space="0" w:color="auto"/>
              <w:left w:val="single" w:sz="4" w:space="0" w:color="auto"/>
              <w:bottom w:val="single" w:sz="4" w:space="0" w:color="auto"/>
              <w:right w:val="single" w:sz="4" w:space="0" w:color="auto"/>
            </w:tcBorders>
            <w:shd w:val="clear" w:color="auto" w:fill="FFFFFF"/>
          </w:tcPr>
          <w:p w:rsidR="002A0515" w:rsidRPr="004E457E" w:rsidRDefault="002A0515" w:rsidP="00A54BE4">
            <w:pPr>
              <w:keepLines/>
              <w:snapToGrid w:val="0"/>
              <w:spacing w:before="40" w:after="40"/>
              <w:jc w:val="center"/>
              <w:rPr>
                <w:rFonts w:cs="Segoe UI"/>
                <w:sz w:val="17"/>
                <w:szCs w:val="17"/>
                <w:lang w:eastAsia="en-GB"/>
              </w:rPr>
            </w:pPr>
            <w:r w:rsidRPr="004E457E">
              <w:rPr>
                <w:rFonts w:cs="Segoe UI"/>
                <w:sz w:val="17"/>
                <w:szCs w:val="17"/>
                <w:lang w:eastAsia="en-GB"/>
              </w:rPr>
              <w:t>T</w:t>
            </w:r>
          </w:p>
        </w:tc>
        <w:tc>
          <w:tcPr>
            <w:tcW w:w="922" w:type="dxa"/>
            <w:tcBorders>
              <w:top w:val="single" w:sz="4" w:space="0" w:color="auto"/>
              <w:left w:val="single" w:sz="4" w:space="0" w:color="auto"/>
              <w:bottom w:val="single" w:sz="4" w:space="0" w:color="auto"/>
              <w:right w:val="single" w:sz="4" w:space="0" w:color="auto"/>
            </w:tcBorders>
            <w:shd w:val="clear" w:color="auto" w:fill="FFFFFF"/>
          </w:tcPr>
          <w:p w:rsidR="002A0515" w:rsidRPr="004E457E" w:rsidRDefault="002A0515" w:rsidP="00A54BE4">
            <w:pPr>
              <w:keepLines/>
              <w:snapToGrid w:val="0"/>
              <w:spacing w:before="40" w:after="40"/>
              <w:jc w:val="center"/>
              <w:rPr>
                <w:rFonts w:cs="Segoe UI"/>
                <w:noProof/>
                <w:sz w:val="17"/>
                <w:szCs w:val="17"/>
                <w:lang w:eastAsia="en-GB"/>
              </w:rPr>
            </w:pPr>
            <w:r w:rsidRPr="004E457E">
              <w:rPr>
                <w:rFonts w:cs="Segoe UI"/>
                <w:sz w:val="17"/>
                <w:szCs w:val="17"/>
                <w:lang w:eastAsia="en-GB"/>
              </w:rPr>
              <w:t>T-1</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2A0515" w:rsidRPr="004E457E" w:rsidRDefault="002A0515" w:rsidP="00A54BE4">
            <w:pPr>
              <w:keepLines/>
              <w:snapToGrid w:val="0"/>
              <w:spacing w:before="40" w:after="40"/>
              <w:jc w:val="center"/>
              <w:rPr>
                <w:rFonts w:cs="Segoe UI"/>
                <w:noProof/>
                <w:sz w:val="17"/>
                <w:szCs w:val="17"/>
                <w:lang w:eastAsia="en-GB"/>
              </w:rPr>
            </w:pPr>
            <w:r w:rsidRPr="004E457E">
              <w:rPr>
                <w:rFonts w:cs="Segoe UI"/>
                <w:noProof/>
                <w:sz w:val="17"/>
                <w:szCs w:val="17"/>
                <w:lang w:eastAsia="en-GB"/>
              </w:rPr>
              <w:t>T</w:t>
            </w:r>
          </w:p>
        </w:tc>
      </w:tr>
      <w:tr w:rsidR="002A0515" w:rsidRPr="004E457E" w:rsidTr="00A54BE4">
        <w:tc>
          <w:tcPr>
            <w:tcW w:w="567" w:type="dxa"/>
            <w:tcBorders>
              <w:top w:val="single" w:sz="4" w:space="0" w:color="auto"/>
              <w:left w:val="nil"/>
              <w:right w:val="single" w:sz="4" w:space="0" w:color="auto"/>
            </w:tcBorders>
          </w:tcPr>
          <w:p w:rsidR="002A0515" w:rsidRPr="00CB685C" w:rsidRDefault="002A0515" w:rsidP="00A54BE4">
            <w:pPr>
              <w:keepLines/>
              <w:tabs>
                <w:tab w:val="left" w:pos="150"/>
                <w:tab w:val="left" w:pos="397"/>
                <w:tab w:val="left" w:pos="794"/>
                <w:tab w:val="left" w:pos="1191"/>
              </w:tabs>
              <w:snapToGrid w:val="0"/>
              <w:spacing w:before="20" w:after="20"/>
              <w:rPr>
                <w:rFonts w:cs="Segoe UI"/>
                <w:sz w:val="17"/>
                <w:szCs w:val="17"/>
                <w:lang w:eastAsia="en-GB"/>
              </w:rPr>
            </w:pPr>
            <w:r w:rsidRPr="00CB685C">
              <w:rPr>
                <w:rFonts w:cs="Segoe UI"/>
                <w:sz w:val="17"/>
                <w:szCs w:val="17"/>
                <w:lang w:eastAsia="en-GB"/>
              </w:rPr>
              <w:t>1</w:t>
            </w:r>
          </w:p>
        </w:tc>
        <w:tc>
          <w:tcPr>
            <w:tcW w:w="5245" w:type="dxa"/>
            <w:tcBorders>
              <w:top w:val="single" w:sz="4" w:space="0" w:color="auto"/>
              <w:left w:val="single" w:sz="4" w:space="0" w:color="auto"/>
              <w:right w:val="single" w:sz="4" w:space="0" w:color="auto"/>
            </w:tcBorders>
          </w:tcPr>
          <w:p w:rsidR="002A0515" w:rsidRPr="004E457E" w:rsidRDefault="002A0515" w:rsidP="00A54BE4">
            <w:pPr>
              <w:keepLines/>
              <w:tabs>
                <w:tab w:val="left" w:pos="397"/>
                <w:tab w:val="left" w:pos="794"/>
                <w:tab w:val="left" w:pos="1191"/>
              </w:tabs>
              <w:snapToGrid w:val="0"/>
              <w:spacing w:before="20" w:after="20"/>
              <w:rPr>
                <w:rFonts w:cs="Segoe UI"/>
                <w:noProof/>
                <w:sz w:val="17"/>
                <w:szCs w:val="17"/>
                <w:lang w:eastAsia="en-GB"/>
              </w:rPr>
            </w:pPr>
            <w:r w:rsidRPr="004E457E">
              <w:rPr>
                <w:rFonts w:cs="Segoe UI"/>
                <w:sz w:val="17"/>
                <w:szCs w:val="17"/>
                <w:lang w:eastAsia="en-GB"/>
              </w:rPr>
              <w:t>Credit risk for non-securitization exposures</w:t>
            </w:r>
          </w:p>
        </w:tc>
        <w:tc>
          <w:tcPr>
            <w:tcW w:w="921" w:type="dxa"/>
            <w:tcBorders>
              <w:top w:val="single" w:sz="4" w:space="0" w:color="auto"/>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auto"/>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auto"/>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c>
          <w:tcPr>
            <w:tcW w:w="567" w:type="dxa"/>
            <w:tcBorders>
              <w:left w:val="nil"/>
              <w:right w:val="single" w:sz="4" w:space="0" w:color="auto"/>
            </w:tcBorders>
          </w:tcPr>
          <w:p w:rsidR="002A0515" w:rsidRPr="00CB685C" w:rsidRDefault="002A0515" w:rsidP="00A54BE4">
            <w:pPr>
              <w:keepLines/>
              <w:tabs>
                <w:tab w:val="left" w:pos="397"/>
                <w:tab w:val="left" w:pos="794"/>
                <w:tab w:val="left" w:pos="1191"/>
              </w:tabs>
              <w:snapToGrid w:val="0"/>
              <w:spacing w:before="20" w:after="20"/>
              <w:rPr>
                <w:rFonts w:cs="Segoe UI"/>
                <w:sz w:val="17"/>
                <w:szCs w:val="17"/>
                <w:lang w:eastAsia="en-GB"/>
              </w:rPr>
            </w:pPr>
            <w:r w:rsidRPr="00CB685C">
              <w:rPr>
                <w:rFonts w:cs="Segoe UI"/>
                <w:sz w:val="17"/>
                <w:szCs w:val="17"/>
                <w:lang w:eastAsia="en-GB"/>
              </w:rPr>
              <w:t>2</w:t>
            </w:r>
          </w:p>
        </w:tc>
        <w:tc>
          <w:tcPr>
            <w:tcW w:w="5245" w:type="dxa"/>
            <w:tcBorders>
              <w:left w:val="single" w:sz="4" w:space="0" w:color="auto"/>
              <w:right w:val="single" w:sz="4" w:space="0" w:color="auto"/>
            </w:tcBorders>
          </w:tcPr>
          <w:p w:rsidR="002A0515" w:rsidRPr="004E457E" w:rsidRDefault="002A0515" w:rsidP="00A54BE4">
            <w:pPr>
              <w:keepLines/>
              <w:tabs>
                <w:tab w:val="left" w:pos="397"/>
                <w:tab w:val="left" w:pos="794"/>
                <w:tab w:val="left" w:pos="1191"/>
              </w:tabs>
              <w:snapToGrid w:val="0"/>
              <w:spacing w:before="20" w:after="20"/>
              <w:ind w:firstLine="323"/>
              <w:rPr>
                <w:rFonts w:cs="Segoe UI"/>
                <w:sz w:val="17"/>
                <w:szCs w:val="17"/>
                <w:lang w:eastAsia="en-GB"/>
              </w:rPr>
            </w:pPr>
            <w:r w:rsidRPr="004E457E">
              <w:rPr>
                <w:rFonts w:cs="Segoe UI"/>
                <w:sz w:val="17"/>
                <w:szCs w:val="17"/>
                <w:lang w:eastAsia="en-GB"/>
              </w:rPr>
              <w:t>Of which STC approach</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c>
          <w:tcPr>
            <w:tcW w:w="567" w:type="dxa"/>
            <w:tcBorders>
              <w:left w:val="nil"/>
              <w:right w:val="single" w:sz="4" w:space="0" w:color="auto"/>
            </w:tcBorders>
          </w:tcPr>
          <w:p w:rsidR="002A0515" w:rsidRPr="00CB685C" w:rsidRDefault="002A0515" w:rsidP="00A54BE4">
            <w:pPr>
              <w:keepLines/>
              <w:tabs>
                <w:tab w:val="left" w:pos="397"/>
                <w:tab w:val="left" w:pos="794"/>
                <w:tab w:val="left" w:pos="1191"/>
              </w:tabs>
              <w:snapToGrid w:val="0"/>
              <w:spacing w:before="20" w:after="20"/>
              <w:rPr>
                <w:rFonts w:cs="Segoe UI"/>
                <w:sz w:val="17"/>
                <w:szCs w:val="17"/>
                <w:lang w:eastAsia="en-GB"/>
              </w:rPr>
            </w:pPr>
            <w:r w:rsidRPr="00CB685C">
              <w:rPr>
                <w:rFonts w:cs="Segoe UI"/>
                <w:sz w:val="17"/>
                <w:szCs w:val="17"/>
                <w:lang w:eastAsia="en-GB"/>
              </w:rPr>
              <w:t>2a</w:t>
            </w:r>
          </w:p>
        </w:tc>
        <w:tc>
          <w:tcPr>
            <w:tcW w:w="5245" w:type="dxa"/>
            <w:tcBorders>
              <w:left w:val="single" w:sz="4" w:space="0" w:color="auto"/>
              <w:right w:val="single" w:sz="4" w:space="0" w:color="auto"/>
            </w:tcBorders>
          </w:tcPr>
          <w:p w:rsidR="002A0515" w:rsidRPr="004E457E" w:rsidRDefault="002A0515" w:rsidP="00A54BE4">
            <w:pPr>
              <w:keepLines/>
              <w:tabs>
                <w:tab w:val="left" w:pos="397"/>
                <w:tab w:val="left" w:pos="794"/>
                <w:tab w:val="left" w:pos="1191"/>
              </w:tabs>
              <w:snapToGrid w:val="0"/>
              <w:spacing w:before="20" w:after="20"/>
              <w:ind w:firstLine="323"/>
              <w:rPr>
                <w:rFonts w:cs="Segoe UI"/>
                <w:sz w:val="17"/>
                <w:szCs w:val="17"/>
                <w:lang w:eastAsia="en-GB"/>
              </w:rPr>
            </w:pPr>
            <w:r w:rsidRPr="004E457E">
              <w:rPr>
                <w:rFonts w:cs="Segoe UI"/>
                <w:sz w:val="17"/>
                <w:szCs w:val="17"/>
                <w:lang w:eastAsia="en-GB"/>
              </w:rPr>
              <w:t>Of which BSC approach</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c>
          <w:tcPr>
            <w:tcW w:w="567" w:type="dxa"/>
            <w:tcBorders>
              <w:left w:val="nil"/>
              <w:right w:val="single" w:sz="4" w:space="0" w:color="auto"/>
            </w:tcBorders>
          </w:tcPr>
          <w:p w:rsidR="002A0515" w:rsidRPr="00CB685C" w:rsidRDefault="002A0515" w:rsidP="00A54BE4">
            <w:pPr>
              <w:keepLines/>
              <w:tabs>
                <w:tab w:val="left" w:pos="397"/>
                <w:tab w:val="left" w:pos="794"/>
                <w:tab w:val="left" w:pos="1191"/>
              </w:tabs>
              <w:snapToGrid w:val="0"/>
              <w:spacing w:before="20" w:after="20"/>
              <w:rPr>
                <w:rFonts w:cs="Segoe UI"/>
                <w:sz w:val="17"/>
                <w:szCs w:val="17"/>
                <w:lang w:eastAsia="en-GB"/>
              </w:rPr>
            </w:pPr>
            <w:r w:rsidRPr="00CB685C">
              <w:rPr>
                <w:rFonts w:cs="Segoe UI"/>
                <w:sz w:val="17"/>
                <w:szCs w:val="17"/>
                <w:lang w:eastAsia="en-GB"/>
              </w:rPr>
              <w:t>3</w:t>
            </w:r>
          </w:p>
        </w:tc>
        <w:tc>
          <w:tcPr>
            <w:tcW w:w="5245" w:type="dxa"/>
            <w:tcBorders>
              <w:left w:val="single" w:sz="4" w:space="0" w:color="auto"/>
              <w:right w:val="single" w:sz="4" w:space="0" w:color="auto"/>
            </w:tcBorders>
          </w:tcPr>
          <w:p w:rsidR="002A0515" w:rsidRPr="004E457E" w:rsidRDefault="002A0515" w:rsidP="00A54BE4">
            <w:pPr>
              <w:keepLines/>
              <w:tabs>
                <w:tab w:val="left" w:pos="397"/>
                <w:tab w:val="left" w:pos="794"/>
                <w:tab w:val="left" w:pos="1191"/>
              </w:tabs>
              <w:snapToGrid w:val="0"/>
              <w:spacing w:before="20" w:after="20"/>
              <w:ind w:firstLine="323"/>
              <w:rPr>
                <w:rFonts w:cs="Segoe UI"/>
                <w:sz w:val="17"/>
                <w:szCs w:val="17"/>
                <w:lang w:eastAsia="en-GB"/>
              </w:rPr>
            </w:pPr>
            <w:r w:rsidRPr="004E457E">
              <w:rPr>
                <w:rFonts w:cs="Segoe UI"/>
                <w:sz w:val="17"/>
                <w:szCs w:val="17"/>
                <w:lang w:eastAsia="en-GB"/>
              </w:rPr>
              <w:t xml:space="preserve">Of which </w:t>
            </w:r>
            <w:r w:rsidRPr="00C3109C">
              <w:rPr>
                <w:rFonts w:cs="Segoe UI"/>
                <w:sz w:val="17"/>
                <w:szCs w:val="17"/>
                <w:lang w:eastAsia="en-GB"/>
              </w:rPr>
              <w:t>foundation IRB approach</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c>
          <w:tcPr>
            <w:tcW w:w="567" w:type="dxa"/>
            <w:tcBorders>
              <w:left w:val="nil"/>
              <w:right w:val="single" w:sz="4" w:space="0" w:color="auto"/>
            </w:tcBorders>
          </w:tcPr>
          <w:p w:rsidR="002A0515" w:rsidRPr="00CB685C" w:rsidRDefault="002A0515" w:rsidP="00A54BE4">
            <w:pPr>
              <w:keepLines/>
              <w:tabs>
                <w:tab w:val="left" w:pos="397"/>
                <w:tab w:val="left" w:pos="794"/>
                <w:tab w:val="left" w:pos="1191"/>
              </w:tabs>
              <w:snapToGrid w:val="0"/>
              <w:spacing w:before="20" w:after="20"/>
              <w:rPr>
                <w:rFonts w:cs="Segoe UI"/>
                <w:sz w:val="17"/>
                <w:szCs w:val="17"/>
              </w:rPr>
            </w:pPr>
            <w:r w:rsidRPr="00CB685C">
              <w:rPr>
                <w:rFonts w:cs="Segoe UI" w:hint="eastAsia"/>
                <w:sz w:val="17"/>
                <w:szCs w:val="17"/>
              </w:rPr>
              <w:t>4</w:t>
            </w:r>
          </w:p>
        </w:tc>
        <w:tc>
          <w:tcPr>
            <w:tcW w:w="5245" w:type="dxa"/>
            <w:tcBorders>
              <w:left w:val="single" w:sz="4" w:space="0" w:color="auto"/>
              <w:right w:val="single" w:sz="4" w:space="0" w:color="auto"/>
            </w:tcBorders>
          </w:tcPr>
          <w:p w:rsidR="002A0515" w:rsidRPr="004E457E" w:rsidRDefault="002A0515" w:rsidP="00A54BE4">
            <w:pPr>
              <w:keepLines/>
              <w:tabs>
                <w:tab w:val="left" w:pos="397"/>
                <w:tab w:val="left" w:pos="794"/>
                <w:tab w:val="left" w:pos="1191"/>
              </w:tabs>
              <w:snapToGrid w:val="0"/>
              <w:spacing w:before="20" w:after="20"/>
              <w:ind w:firstLine="323"/>
              <w:rPr>
                <w:rFonts w:cs="Segoe UI"/>
                <w:sz w:val="17"/>
                <w:szCs w:val="17"/>
                <w:lang w:eastAsia="en-GB"/>
              </w:rPr>
            </w:pPr>
            <w:r w:rsidRPr="004E457E">
              <w:rPr>
                <w:rFonts w:cs="Segoe UI"/>
                <w:sz w:val="17"/>
                <w:szCs w:val="17"/>
                <w:lang w:eastAsia="en-GB"/>
              </w:rPr>
              <w:t xml:space="preserve">Of which </w:t>
            </w:r>
            <w:r w:rsidRPr="00C3109C">
              <w:rPr>
                <w:rFonts w:cs="Segoe UI"/>
                <w:sz w:val="17"/>
                <w:szCs w:val="17"/>
                <w:lang w:eastAsia="en-GB"/>
              </w:rPr>
              <w:t>supervisory slotting criteria approach</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c>
          <w:tcPr>
            <w:tcW w:w="567" w:type="dxa"/>
            <w:tcBorders>
              <w:left w:val="nil"/>
              <w:right w:val="single" w:sz="4" w:space="0" w:color="auto"/>
            </w:tcBorders>
          </w:tcPr>
          <w:p w:rsidR="002A0515" w:rsidRPr="00CB685C" w:rsidRDefault="002A0515" w:rsidP="00A54BE4">
            <w:pPr>
              <w:keepLines/>
              <w:tabs>
                <w:tab w:val="left" w:pos="397"/>
                <w:tab w:val="left" w:pos="794"/>
                <w:tab w:val="left" w:pos="1191"/>
              </w:tabs>
              <w:snapToGrid w:val="0"/>
              <w:spacing w:before="20" w:after="20"/>
              <w:rPr>
                <w:rFonts w:cs="Segoe UI"/>
                <w:sz w:val="17"/>
                <w:szCs w:val="17"/>
              </w:rPr>
            </w:pPr>
            <w:r w:rsidRPr="00CB685C">
              <w:rPr>
                <w:rFonts w:cs="Segoe UI" w:hint="eastAsia"/>
                <w:sz w:val="17"/>
                <w:szCs w:val="17"/>
              </w:rPr>
              <w:t>5</w:t>
            </w:r>
          </w:p>
        </w:tc>
        <w:tc>
          <w:tcPr>
            <w:tcW w:w="5245" w:type="dxa"/>
            <w:tcBorders>
              <w:left w:val="single" w:sz="4" w:space="0" w:color="auto"/>
              <w:right w:val="single" w:sz="4" w:space="0" w:color="auto"/>
            </w:tcBorders>
          </w:tcPr>
          <w:p w:rsidR="002A0515" w:rsidRPr="004E457E" w:rsidRDefault="002A0515" w:rsidP="00A54BE4">
            <w:pPr>
              <w:keepLines/>
              <w:tabs>
                <w:tab w:val="left" w:pos="397"/>
                <w:tab w:val="left" w:pos="794"/>
                <w:tab w:val="left" w:pos="1191"/>
              </w:tabs>
              <w:snapToGrid w:val="0"/>
              <w:spacing w:before="20" w:after="20"/>
              <w:ind w:firstLine="323"/>
              <w:rPr>
                <w:rFonts w:cs="Segoe UI"/>
                <w:sz w:val="17"/>
                <w:szCs w:val="17"/>
                <w:lang w:eastAsia="en-GB"/>
              </w:rPr>
            </w:pPr>
            <w:r w:rsidRPr="004E457E">
              <w:rPr>
                <w:rFonts w:cs="Segoe UI"/>
                <w:sz w:val="17"/>
                <w:szCs w:val="17"/>
                <w:lang w:eastAsia="en-GB"/>
              </w:rPr>
              <w:t xml:space="preserve">Of which </w:t>
            </w:r>
            <w:r w:rsidRPr="00C3109C">
              <w:rPr>
                <w:rFonts w:cs="Segoe UI"/>
                <w:sz w:val="17"/>
                <w:szCs w:val="17"/>
                <w:lang w:eastAsia="en-GB"/>
              </w:rPr>
              <w:t>advanced IRB approach</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c>
          <w:tcPr>
            <w:tcW w:w="567" w:type="dxa"/>
            <w:tcBorders>
              <w:left w:val="nil"/>
              <w:right w:val="single" w:sz="4" w:space="0" w:color="auto"/>
            </w:tcBorders>
          </w:tcPr>
          <w:p w:rsidR="002A0515" w:rsidRPr="00CB685C" w:rsidRDefault="002A0515" w:rsidP="00A54BE4">
            <w:pPr>
              <w:keepLines/>
              <w:tabs>
                <w:tab w:val="left" w:pos="397"/>
                <w:tab w:val="left" w:pos="794"/>
                <w:tab w:val="left" w:pos="1191"/>
              </w:tabs>
              <w:snapToGrid w:val="0"/>
              <w:spacing w:before="20" w:after="20"/>
              <w:rPr>
                <w:rFonts w:cs="Segoe UI"/>
                <w:sz w:val="17"/>
                <w:szCs w:val="17"/>
              </w:rPr>
            </w:pPr>
            <w:r w:rsidRPr="00CB685C">
              <w:rPr>
                <w:rFonts w:cs="Segoe UI" w:hint="eastAsia"/>
                <w:sz w:val="17"/>
                <w:szCs w:val="17"/>
              </w:rPr>
              <w:t>6</w:t>
            </w:r>
          </w:p>
        </w:tc>
        <w:tc>
          <w:tcPr>
            <w:tcW w:w="5245" w:type="dxa"/>
            <w:tcBorders>
              <w:left w:val="single" w:sz="4" w:space="0" w:color="auto"/>
              <w:right w:val="single" w:sz="4" w:space="0" w:color="auto"/>
            </w:tcBorders>
          </w:tcPr>
          <w:p w:rsidR="002A0515" w:rsidRPr="004E457E" w:rsidRDefault="002A0515" w:rsidP="00A54BE4">
            <w:pPr>
              <w:keepLines/>
              <w:tabs>
                <w:tab w:val="left" w:pos="397"/>
                <w:tab w:val="left" w:pos="794"/>
                <w:tab w:val="left" w:pos="1191"/>
              </w:tabs>
              <w:snapToGrid w:val="0"/>
              <w:spacing w:before="20" w:after="20"/>
              <w:rPr>
                <w:rFonts w:cs="Segoe UI"/>
                <w:noProof/>
                <w:sz w:val="17"/>
                <w:szCs w:val="17"/>
                <w:lang w:eastAsia="en-GB"/>
              </w:rPr>
            </w:pPr>
            <w:r>
              <w:rPr>
                <w:rFonts w:cs="Segoe UI"/>
                <w:sz w:val="17"/>
                <w:szCs w:val="17"/>
                <w:lang w:eastAsia="en-GB"/>
              </w:rPr>
              <w:t>Counterparty default risk and default fund contributions</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c>
          <w:tcPr>
            <w:tcW w:w="567" w:type="dxa"/>
            <w:tcBorders>
              <w:left w:val="nil"/>
              <w:right w:val="single" w:sz="4" w:space="0" w:color="auto"/>
            </w:tcBorders>
          </w:tcPr>
          <w:p w:rsidR="002A0515" w:rsidRPr="00CB685C" w:rsidRDefault="002A0515" w:rsidP="00A54BE4">
            <w:pPr>
              <w:keepLines/>
              <w:tabs>
                <w:tab w:val="left" w:pos="397"/>
                <w:tab w:val="left" w:pos="794"/>
                <w:tab w:val="left" w:pos="1191"/>
              </w:tabs>
              <w:snapToGrid w:val="0"/>
              <w:spacing w:before="20" w:after="20"/>
              <w:rPr>
                <w:rFonts w:cs="Segoe UI"/>
                <w:sz w:val="17"/>
                <w:szCs w:val="17"/>
              </w:rPr>
            </w:pPr>
            <w:r w:rsidRPr="00CB685C">
              <w:rPr>
                <w:rFonts w:cs="Segoe UI" w:hint="eastAsia"/>
                <w:sz w:val="17"/>
                <w:szCs w:val="17"/>
              </w:rPr>
              <w:t>7</w:t>
            </w:r>
          </w:p>
        </w:tc>
        <w:tc>
          <w:tcPr>
            <w:tcW w:w="5245" w:type="dxa"/>
            <w:tcBorders>
              <w:left w:val="single" w:sz="4" w:space="0" w:color="auto"/>
              <w:right w:val="single" w:sz="4" w:space="0" w:color="auto"/>
            </w:tcBorders>
          </w:tcPr>
          <w:p w:rsidR="002A0515" w:rsidRPr="004E457E" w:rsidRDefault="002A0515" w:rsidP="00A54BE4">
            <w:pPr>
              <w:keepLines/>
              <w:tabs>
                <w:tab w:val="left" w:pos="397"/>
                <w:tab w:val="left" w:pos="794"/>
                <w:tab w:val="left" w:pos="1191"/>
              </w:tabs>
              <w:snapToGrid w:val="0"/>
              <w:spacing w:before="20" w:after="20"/>
              <w:ind w:firstLine="323"/>
              <w:rPr>
                <w:rFonts w:cs="Segoe UI"/>
                <w:sz w:val="17"/>
                <w:szCs w:val="17"/>
                <w:lang w:eastAsia="en-GB"/>
              </w:rPr>
            </w:pPr>
            <w:r w:rsidRPr="004E457E">
              <w:rPr>
                <w:rFonts w:cs="Segoe UI"/>
                <w:sz w:val="17"/>
                <w:szCs w:val="17"/>
                <w:lang w:eastAsia="en-GB"/>
              </w:rPr>
              <w:t>Of which SA-CCR</w:t>
            </w:r>
            <w:r>
              <w:rPr>
                <w:rFonts w:cs="Segoe UI"/>
                <w:sz w:val="17"/>
                <w:szCs w:val="17"/>
                <w:lang w:eastAsia="en-GB"/>
              </w:rPr>
              <w:t xml:space="preserve"> approach</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c>
          <w:tcPr>
            <w:tcW w:w="567" w:type="dxa"/>
            <w:tcBorders>
              <w:left w:val="nil"/>
              <w:right w:val="single" w:sz="4" w:space="0" w:color="auto"/>
            </w:tcBorders>
          </w:tcPr>
          <w:p w:rsidR="002A0515" w:rsidRPr="00CB685C" w:rsidRDefault="002A0515" w:rsidP="00A54BE4">
            <w:pPr>
              <w:keepLines/>
              <w:tabs>
                <w:tab w:val="left" w:pos="397"/>
                <w:tab w:val="left" w:pos="794"/>
                <w:tab w:val="left" w:pos="1191"/>
              </w:tabs>
              <w:snapToGrid w:val="0"/>
              <w:spacing w:before="20" w:after="20"/>
              <w:rPr>
                <w:rFonts w:cs="Segoe UI"/>
                <w:sz w:val="17"/>
                <w:szCs w:val="17"/>
                <w:lang w:eastAsia="en-GB"/>
              </w:rPr>
            </w:pPr>
            <w:r w:rsidRPr="00CB685C">
              <w:rPr>
                <w:rFonts w:cs="Segoe UI" w:hint="eastAsia"/>
                <w:sz w:val="17"/>
                <w:szCs w:val="17"/>
              </w:rPr>
              <w:t>7</w:t>
            </w:r>
            <w:r w:rsidRPr="00CB685C">
              <w:rPr>
                <w:rFonts w:cs="Segoe UI"/>
                <w:sz w:val="17"/>
                <w:szCs w:val="17"/>
                <w:lang w:eastAsia="en-GB"/>
              </w:rPr>
              <w:t>a</w:t>
            </w:r>
          </w:p>
        </w:tc>
        <w:tc>
          <w:tcPr>
            <w:tcW w:w="5245" w:type="dxa"/>
            <w:tcBorders>
              <w:left w:val="single" w:sz="4" w:space="0" w:color="auto"/>
              <w:right w:val="single" w:sz="4" w:space="0" w:color="auto"/>
            </w:tcBorders>
          </w:tcPr>
          <w:p w:rsidR="002A0515" w:rsidRPr="004E457E" w:rsidRDefault="002A0515" w:rsidP="00A54BE4">
            <w:pPr>
              <w:keepLines/>
              <w:tabs>
                <w:tab w:val="left" w:pos="397"/>
                <w:tab w:val="left" w:pos="794"/>
                <w:tab w:val="left" w:pos="1191"/>
              </w:tabs>
              <w:snapToGrid w:val="0"/>
              <w:spacing w:before="20" w:after="20"/>
              <w:ind w:firstLine="323"/>
              <w:rPr>
                <w:rFonts w:cs="Segoe UI"/>
                <w:sz w:val="17"/>
                <w:szCs w:val="17"/>
                <w:lang w:eastAsia="en-GB"/>
              </w:rPr>
            </w:pPr>
            <w:r w:rsidRPr="004E457E">
              <w:rPr>
                <w:rFonts w:cs="Segoe UI"/>
                <w:sz w:val="17"/>
                <w:szCs w:val="17"/>
                <w:lang w:eastAsia="en-GB"/>
              </w:rPr>
              <w:t>Of which CEM</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c>
          <w:tcPr>
            <w:tcW w:w="567" w:type="dxa"/>
            <w:tcBorders>
              <w:left w:val="nil"/>
              <w:right w:val="single" w:sz="4" w:space="0" w:color="auto"/>
            </w:tcBorders>
          </w:tcPr>
          <w:p w:rsidR="002A0515" w:rsidRPr="00CB685C" w:rsidRDefault="002A0515" w:rsidP="00A54BE4">
            <w:pPr>
              <w:keepLines/>
              <w:tabs>
                <w:tab w:val="left" w:pos="397"/>
                <w:tab w:val="left" w:pos="794"/>
                <w:tab w:val="left" w:pos="1191"/>
              </w:tabs>
              <w:snapToGrid w:val="0"/>
              <w:spacing w:before="20" w:after="20"/>
              <w:rPr>
                <w:rFonts w:cs="Segoe UI"/>
                <w:sz w:val="17"/>
                <w:szCs w:val="17"/>
              </w:rPr>
            </w:pPr>
            <w:r w:rsidRPr="00CB685C">
              <w:rPr>
                <w:rFonts w:cs="Segoe UI" w:hint="eastAsia"/>
                <w:sz w:val="17"/>
                <w:szCs w:val="17"/>
              </w:rPr>
              <w:t>8</w:t>
            </w:r>
          </w:p>
        </w:tc>
        <w:tc>
          <w:tcPr>
            <w:tcW w:w="5245" w:type="dxa"/>
            <w:tcBorders>
              <w:left w:val="single" w:sz="4" w:space="0" w:color="auto"/>
              <w:right w:val="single" w:sz="4" w:space="0" w:color="auto"/>
            </w:tcBorders>
          </w:tcPr>
          <w:p w:rsidR="002A0515" w:rsidRPr="004E457E" w:rsidRDefault="002A0515" w:rsidP="00A54BE4">
            <w:pPr>
              <w:keepLines/>
              <w:tabs>
                <w:tab w:val="left" w:pos="397"/>
                <w:tab w:val="left" w:pos="794"/>
                <w:tab w:val="left" w:pos="1191"/>
              </w:tabs>
              <w:snapToGrid w:val="0"/>
              <w:spacing w:before="20" w:after="20"/>
              <w:ind w:firstLine="323"/>
              <w:rPr>
                <w:rFonts w:cs="Segoe UI"/>
                <w:sz w:val="17"/>
                <w:szCs w:val="17"/>
                <w:lang w:eastAsia="en-GB"/>
              </w:rPr>
            </w:pPr>
            <w:r>
              <w:rPr>
                <w:rFonts w:cs="Segoe UI"/>
                <w:sz w:val="17"/>
                <w:szCs w:val="17"/>
                <w:lang w:eastAsia="en-GB"/>
              </w:rPr>
              <w:t xml:space="preserve">Of which </w:t>
            </w:r>
            <w:r w:rsidRPr="00FC4133">
              <w:rPr>
                <w:rFonts w:cs="Segoe UI"/>
                <w:sz w:val="17"/>
                <w:szCs w:val="17"/>
                <w:lang w:eastAsia="en-GB"/>
              </w:rPr>
              <w:t xml:space="preserve">IMM(CCR) </w:t>
            </w:r>
            <w:r>
              <w:rPr>
                <w:rFonts w:cs="Segoe UI"/>
                <w:sz w:val="17"/>
                <w:szCs w:val="17"/>
                <w:lang w:eastAsia="en-GB"/>
              </w:rPr>
              <w:t>a</w:t>
            </w:r>
            <w:r w:rsidRPr="00FC4133">
              <w:rPr>
                <w:rFonts w:cs="Segoe UI"/>
                <w:sz w:val="17"/>
                <w:szCs w:val="17"/>
                <w:lang w:eastAsia="en-GB"/>
              </w:rPr>
              <w:t>pproach</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c>
          <w:tcPr>
            <w:tcW w:w="567" w:type="dxa"/>
            <w:tcBorders>
              <w:left w:val="nil"/>
              <w:right w:val="single" w:sz="4" w:space="0" w:color="auto"/>
            </w:tcBorders>
          </w:tcPr>
          <w:p w:rsidR="002A0515" w:rsidRPr="00CB685C" w:rsidRDefault="002A0515" w:rsidP="00A54BE4">
            <w:pPr>
              <w:keepLines/>
              <w:tabs>
                <w:tab w:val="left" w:pos="397"/>
                <w:tab w:val="left" w:pos="794"/>
                <w:tab w:val="left" w:pos="1191"/>
              </w:tabs>
              <w:snapToGrid w:val="0"/>
              <w:spacing w:before="20" w:after="20"/>
              <w:rPr>
                <w:rFonts w:cs="Segoe UI"/>
                <w:sz w:val="17"/>
                <w:szCs w:val="17"/>
              </w:rPr>
            </w:pPr>
            <w:r w:rsidRPr="00CB685C">
              <w:rPr>
                <w:rFonts w:cs="Segoe UI" w:hint="eastAsia"/>
                <w:sz w:val="17"/>
                <w:szCs w:val="17"/>
              </w:rPr>
              <w:t>9</w:t>
            </w:r>
          </w:p>
        </w:tc>
        <w:tc>
          <w:tcPr>
            <w:tcW w:w="5245" w:type="dxa"/>
            <w:tcBorders>
              <w:left w:val="single" w:sz="4" w:space="0" w:color="auto"/>
              <w:right w:val="single" w:sz="4" w:space="0" w:color="auto"/>
            </w:tcBorders>
          </w:tcPr>
          <w:p w:rsidR="002A0515" w:rsidRPr="004E457E" w:rsidRDefault="002A0515" w:rsidP="00A54BE4">
            <w:pPr>
              <w:keepLines/>
              <w:tabs>
                <w:tab w:val="left" w:pos="397"/>
                <w:tab w:val="left" w:pos="794"/>
                <w:tab w:val="left" w:pos="1191"/>
              </w:tabs>
              <w:snapToGrid w:val="0"/>
              <w:spacing w:before="20" w:after="20"/>
              <w:ind w:firstLine="323"/>
              <w:rPr>
                <w:rFonts w:cs="Segoe UI"/>
                <w:sz w:val="17"/>
                <w:szCs w:val="17"/>
                <w:lang w:eastAsia="en-GB"/>
              </w:rPr>
            </w:pPr>
            <w:r>
              <w:rPr>
                <w:rFonts w:cs="Segoe UI"/>
                <w:sz w:val="17"/>
                <w:szCs w:val="17"/>
                <w:lang w:eastAsia="en-GB"/>
              </w:rPr>
              <w:t xml:space="preserve">Of which </w:t>
            </w:r>
            <w:r w:rsidRPr="0045027E">
              <w:rPr>
                <w:rFonts w:cs="Segoe UI"/>
                <w:sz w:val="17"/>
                <w:szCs w:val="17"/>
                <w:lang w:eastAsia="en-GB"/>
              </w:rPr>
              <w:t>other</w:t>
            </w:r>
            <w:r>
              <w:rPr>
                <w:rFonts w:cs="Segoe UI"/>
                <w:sz w:val="17"/>
                <w:szCs w:val="17"/>
                <w:lang w:eastAsia="en-GB"/>
              </w:rPr>
              <w:t>s</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rPr>
          <w:trHeight w:val="227"/>
        </w:trPr>
        <w:tc>
          <w:tcPr>
            <w:tcW w:w="567" w:type="dxa"/>
            <w:tcBorders>
              <w:left w:val="nil"/>
              <w:right w:val="single" w:sz="4" w:space="0" w:color="auto"/>
            </w:tcBorders>
          </w:tcPr>
          <w:p w:rsidR="002A0515" w:rsidRPr="00CB685C" w:rsidRDefault="002A0515" w:rsidP="00A54BE4">
            <w:pPr>
              <w:keepLines/>
              <w:tabs>
                <w:tab w:val="left" w:pos="397"/>
                <w:tab w:val="left" w:pos="794"/>
                <w:tab w:val="left" w:pos="1191"/>
              </w:tabs>
              <w:snapToGrid w:val="0"/>
              <w:spacing w:before="20" w:after="20"/>
              <w:rPr>
                <w:rFonts w:cs="Segoe UI"/>
                <w:sz w:val="17"/>
                <w:szCs w:val="17"/>
              </w:rPr>
            </w:pPr>
            <w:r w:rsidRPr="00CB685C">
              <w:rPr>
                <w:rFonts w:cs="Segoe UI" w:hint="eastAsia"/>
                <w:sz w:val="17"/>
                <w:szCs w:val="17"/>
              </w:rPr>
              <w:t>10</w:t>
            </w:r>
          </w:p>
        </w:tc>
        <w:tc>
          <w:tcPr>
            <w:tcW w:w="5245" w:type="dxa"/>
            <w:tcBorders>
              <w:left w:val="single" w:sz="4" w:space="0" w:color="auto"/>
              <w:right w:val="single" w:sz="4" w:space="0" w:color="auto"/>
            </w:tcBorders>
          </w:tcPr>
          <w:p w:rsidR="002A0515" w:rsidRPr="00E44B1B" w:rsidRDefault="002A0515" w:rsidP="00A54BE4">
            <w:pPr>
              <w:keepLines/>
              <w:tabs>
                <w:tab w:val="left" w:pos="397"/>
                <w:tab w:val="left" w:pos="794"/>
                <w:tab w:val="left" w:pos="1191"/>
              </w:tabs>
              <w:snapToGrid w:val="0"/>
              <w:spacing w:before="20" w:after="20"/>
              <w:rPr>
                <w:rFonts w:cs="Segoe UI"/>
              </w:rPr>
            </w:pPr>
            <w:r>
              <w:rPr>
                <w:rFonts w:cs="Segoe UI"/>
                <w:sz w:val="17"/>
                <w:szCs w:val="17"/>
                <w:lang w:eastAsia="en-GB"/>
              </w:rPr>
              <w:t>CVA risk</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c>
          <w:tcPr>
            <w:tcW w:w="567" w:type="dxa"/>
            <w:tcBorders>
              <w:left w:val="nil"/>
              <w:right w:val="single" w:sz="4" w:space="0" w:color="auto"/>
            </w:tcBorders>
          </w:tcPr>
          <w:p w:rsidR="002A0515" w:rsidRPr="00CB685C" w:rsidRDefault="002A0515" w:rsidP="00A54BE4">
            <w:pPr>
              <w:keepLines/>
              <w:tabs>
                <w:tab w:val="left" w:pos="397"/>
                <w:tab w:val="left" w:pos="794"/>
                <w:tab w:val="left" w:pos="1191"/>
              </w:tabs>
              <w:snapToGrid w:val="0"/>
              <w:spacing w:before="20" w:after="20"/>
              <w:rPr>
                <w:rFonts w:cs="Segoe UI"/>
                <w:sz w:val="17"/>
                <w:szCs w:val="17"/>
              </w:rPr>
            </w:pPr>
            <w:r w:rsidRPr="00CB685C">
              <w:rPr>
                <w:rFonts w:cs="Segoe UI" w:hint="eastAsia"/>
                <w:sz w:val="17"/>
                <w:szCs w:val="17"/>
              </w:rPr>
              <w:t>11</w:t>
            </w:r>
          </w:p>
        </w:tc>
        <w:tc>
          <w:tcPr>
            <w:tcW w:w="5245" w:type="dxa"/>
            <w:tcBorders>
              <w:left w:val="single" w:sz="4" w:space="0" w:color="auto"/>
              <w:right w:val="single" w:sz="4" w:space="0" w:color="auto"/>
            </w:tcBorders>
          </w:tcPr>
          <w:p w:rsidR="002A0515" w:rsidRPr="00686916" w:rsidRDefault="002A0515" w:rsidP="00A54BE4">
            <w:pPr>
              <w:keepLines/>
              <w:tabs>
                <w:tab w:val="left" w:pos="397"/>
                <w:tab w:val="left" w:pos="794"/>
                <w:tab w:val="left" w:pos="1191"/>
              </w:tabs>
              <w:snapToGrid w:val="0"/>
              <w:spacing w:before="20" w:after="20"/>
              <w:rPr>
                <w:rFonts w:cs="Segoe UI"/>
                <w:sz w:val="17"/>
                <w:szCs w:val="17"/>
                <w:lang w:eastAsia="en-GB"/>
              </w:rPr>
            </w:pPr>
            <w:r>
              <w:rPr>
                <w:rFonts w:cs="Segoe UI"/>
                <w:sz w:val="17"/>
                <w:szCs w:val="17"/>
                <w:lang w:eastAsia="en-GB"/>
              </w:rPr>
              <w:t xml:space="preserve">Equity positions </w:t>
            </w:r>
            <w:r>
              <w:rPr>
                <w:rFonts w:cs="Segoe UI"/>
                <w:noProof/>
                <w:sz w:val="17"/>
                <w:szCs w:val="17"/>
                <w:lang w:eastAsia="en-GB"/>
              </w:rPr>
              <w:t xml:space="preserve">in banking book </w:t>
            </w:r>
            <w:r w:rsidRPr="00686916">
              <w:rPr>
                <w:rFonts w:cs="Segoe UI"/>
                <w:noProof/>
                <w:sz w:val="17"/>
                <w:szCs w:val="17"/>
                <w:lang w:eastAsia="en-GB"/>
              </w:rPr>
              <w:t xml:space="preserve">under the </w:t>
            </w:r>
            <w:r>
              <w:rPr>
                <w:rFonts w:cs="Segoe UI" w:hint="eastAsia"/>
                <w:noProof/>
                <w:sz w:val="17"/>
                <w:szCs w:val="17"/>
              </w:rPr>
              <w:t>s</w:t>
            </w:r>
            <w:r w:rsidRPr="00146759">
              <w:rPr>
                <w:rFonts w:cs="Segoe UI"/>
                <w:noProof/>
                <w:sz w:val="17"/>
                <w:szCs w:val="17"/>
                <w:lang w:eastAsia="en-GB"/>
              </w:rPr>
              <w:t>imple risk-weight method</w:t>
            </w:r>
            <w:r>
              <w:rPr>
                <w:rFonts w:cs="Segoe UI"/>
                <w:noProof/>
                <w:sz w:val="17"/>
                <w:szCs w:val="17"/>
                <w:lang w:eastAsia="en-GB"/>
              </w:rPr>
              <w:t xml:space="preserve"> and internal models method</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c>
          <w:tcPr>
            <w:tcW w:w="567" w:type="dxa"/>
            <w:tcBorders>
              <w:top w:val="single" w:sz="4" w:space="0" w:color="BCBDBC"/>
              <w:left w:val="nil"/>
              <w:bottom w:val="single" w:sz="4" w:space="0" w:color="BCBDBC"/>
              <w:right w:val="single" w:sz="4" w:space="0" w:color="auto"/>
            </w:tcBorders>
          </w:tcPr>
          <w:p w:rsidR="002A0515" w:rsidRPr="00CB685C" w:rsidRDefault="002A0515" w:rsidP="00A54BE4">
            <w:pPr>
              <w:keepLines/>
              <w:tabs>
                <w:tab w:val="left" w:pos="397"/>
                <w:tab w:val="left" w:pos="794"/>
                <w:tab w:val="left" w:pos="1191"/>
              </w:tabs>
              <w:snapToGrid w:val="0"/>
              <w:spacing w:before="20" w:after="20"/>
              <w:rPr>
                <w:rFonts w:cs="Segoe UI"/>
                <w:sz w:val="17"/>
                <w:szCs w:val="17"/>
              </w:rPr>
            </w:pPr>
            <w:r w:rsidRPr="00CB685C">
              <w:rPr>
                <w:rFonts w:cs="Segoe UI" w:hint="eastAsia"/>
                <w:sz w:val="17"/>
                <w:szCs w:val="17"/>
              </w:rPr>
              <w:t>12</w:t>
            </w:r>
          </w:p>
        </w:tc>
        <w:tc>
          <w:tcPr>
            <w:tcW w:w="5245" w:type="dxa"/>
            <w:tcBorders>
              <w:top w:val="single" w:sz="4" w:space="0" w:color="BCBDBC"/>
              <w:left w:val="single" w:sz="4" w:space="0" w:color="auto"/>
              <w:bottom w:val="single" w:sz="4" w:space="0" w:color="BCBDBC"/>
              <w:right w:val="single" w:sz="4" w:space="0" w:color="auto"/>
            </w:tcBorders>
          </w:tcPr>
          <w:p w:rsidR="002A0515" w:rsidRPr="00180754" w:rsidRDefault="002A0515" w:rsidP="00A54BE4">
            <w:pPr>
              <w:keepLines/>
              <w:tabs>
                <w:tab w:val="left" w:pos="397"/>
                <w:tab w:val="left" w:pos="794"/>
                <w:tab w:val="left" w:pos="1191"/>
              </w:tabs>
              <w:snapToGrid w:val="0"/>
              <w:spacing w:before="20" w:after="20"/>
              <w:rPr>
                <w:rFonts w:cs="Segoe UI"/>
                <w:sz w:val="17"/>
                <w:szCs w:val="17"/>
                <w:lang w:eastAsia="en-GB"/>
              </w:rPr>
            </w:pPr>
            <w:r>
              <w:rPr>
                <w:rFonts w:cs="Segoe UI"/>
                <w:sz w:val="17"/>
                <w:szCs w:val="17"/>
                <w:lang w:eastAsia="en-GB"/>
              </w:rPr>
              <w:t>Collective investment scheme (“</w:t>
            </w:r>
            <w:r w:rsidRPr="004E457E">
              <w:rPr>
                <w:rFonts w:cs="Segoe UI"/>
                <w:sz w:val="17"/>
                <w:szCs w:val="17"/>
                <w:lang w:eastAsia="en-GB"/>
              </w:rPr>
              <w:t>CIS</w:t>
            </w:r>
            <w:r>
              <w:rPr>
                <w:rFonts w:cs="Segoe UI"/>
                <w:sz w:val="17"/>
                <w:szCs w:val="17"/>
                <w:lang w:eastAsia="en-GB"/>
              </w:rPr>
              <w:t>”)</w:t>
            </w:r>
            <w:r w:rsidRPr="004E457E">
              <w:rPr>
                <w:rFonts w:cs="Segoe UI"/>
                <w:sz w:val="17"/>
                <w:szCs w:val="17"/>
                <w:lang w:eastAsia="en-GB"/>
              </w:rPr>
              <w:t xml:space="preserve"> exposures – LTA</w:t>
            </w:r>
            <w:r>
              <w:rPr>
                <w:rFonts w:cs="Segoe UI"/>
                <w:sz w:val="17"/>
                <w:szCs w:val="17"/>
                <w:lang w:eastAsia="en-GB"/>
              </w:rPr>
              <w:t>*</w:t>
            </w:r>
          </w:p>
        </w:tc>
        <w:tc>
          <w:tcPr>
            <w:tcW w:w="921" w:type="dxa"/>
            <w:tcBorders>
              <w:top w:val="single" w:sz="4" w:space="0" w:color="BFBFBF"/>
              <w:left w:val="single" w:sz="4" w:space="0" w:color="auto"/>
              <w:bottom w:val="single" w:sz="4" w:space="0" w:color="BFBFBF"/>
              <w:right w:val="single" w:sz="4" w:space="0" w:color="auto"/>
            </w:tcBorders>
            <w:shd w:val="clear" w:color="auto" w:fill="auto"/>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c>
          <w:tcPr>
            <w:tcW w:w="567" w:type="dxa"/>
            <w:tcBorders>
              <w:top w:val="single" w:sz="4" w:space="0" w:color="BCBDBC"/>
              <w:left w:val="nil"/>
              <w:bottom w:val="single" w:sz="4" w:space="0" w:color="BCBDBC"/>
              <w:right w:val="single" w:sz="4" w:space="0" w:color="auto"/>
            </w:tcBorders>
          </w:tcPr>
          <w:p w:rsidR="002A0515" w:rsidRPr="00CB685C" w:rsidRDefault="002A0515" w:rsidP="00A54BE4">
            <w:pPr>
              <w:keepLines/>
              <w:tabs>
                <w:tab w:val="left" w:pos="397"/>
                <w:tab w:val="left" w:pos="794"/>
                <w:tab w:val="left" w:pos="1191"/>
              </w:tabs>
              <w:snapToGrid w:val="0"/>
              <w:spacing w:before="20" w:after="20"/>
              <w:rPr>
                <w:rFonts w:cs="Segoe UI"/>
                <w:sz w:val="17"/>
                <w:szCs w:val="17"/>
              </w:rPr>
            </w:pPr>
            <w:r w:rsidRPr="00CB685C">
              <w:rPr>
                <w:rFonts w:cs="Segoe UI" w:hint="eastAsia"/>
                <w:sz w:val="17"/>
                <w:szCs w:val="17"/>
              </w:rPr>
              <w:t>13</w:t>
            </w:r>
          </w:p>
        </w:tc>
        <w:tc>
          <w:tcPr>
            <w:tcW w:w="5245" w:type="dxa"/>
            <w:tcBorders>
              <w:top w:val="single" w:sz="4" w:space="0" w:color="BCBDBC"/>
              <w:left w:val="single" w:sz="4" w:space="0" w:color="auto"/>
              <w:bottom w:val="single" w:sz="4" w:space="0" w:color="BCBDBC"/>
              <w:right w:val="single" w:sz="4" w:space="0" w:color="auto"/>
            </w:tcBorders>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r w:rsidRPr="004E457E">
              <w:rPr>
                <w:rFonts w:cs="Segoe UI"/>
                <w:sz w:val="17"/>
                <w:szCs w:val="17"/>
                <w:lang w:eastAsia="en-GB"/>
              </w:rPr>
              <w:t>CIS exposures – MBA</w:t>
            </w:r>
            <w:r>
              <w:rPr>
                <w:rFonts w:cs="Segoe UI"/>
                <w:sz w:val="17"/>
                <w:szCs w:val="17"/>
                <w:lang w:eastAsia="en-GB"/>
              </w:rPr>
              <w:t>*</w:t>
            </w:r>
          </w:p>
        </w:tc>
        <w:tc>
          <w:tcPr>
            <w:tcW w:w="921" w:type="dxa"/>
            <w:tcBorders>
              <w:top w:val="single" w:sz="4" w:space="0" w:color="BFBFBF"/>
              <w:left w:val="single" w:sz="4" w:space="0" w:color="auto"/>
              <w:bottom w:val="single" w:sz="4" w:space="0" w:color="BFBFBF"/>
              <w:right w:val="single" w:sz="4" w:space="0" w:color="auto"/>
            </w:tcBorders>
            <w:shd w:val="clear" w:color="auto" w:fill="auto"/>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c>
          <w:tcPr>
            <w:tcW w:w="567" w:type="dxa"/>
            <w:tcBorders>
              <w:top w:val="single" w:sz="4" w:space="0" w:color="BCBDBC"/>
              <w:left w:val="nil"/>
              <w:bottom w:val="single" w:sz="4" w:space="0" w:color="BCBDBC"/>
              <w:right w:val="single" w:sz="4" w:space="0" w:color="auto"/>
            </w:tcBorders>
          </w:tcPr>
          <w:p w:rsidR="002A0515" w:rsidRPr="00CB685C" w:rsidRDefault="002A0515" w:rsidP="00A54BE4">
            <w:pPr>
              <w:keepLines/>
              <w:tabs>
                <w:tab w:val="left" w:pos="397"/>
                <w:tab w:val="left" w:pos="794"/>
                <w:tab w:val="left" w:pos="1191"/>
              </w:tabs>
              <w:snapToGrid w:val="0"/>
              <w:spacing w:before="20" w:after="20"/>
              <w:rPr>
                <w:rFonts w:cs="Segoe UI"/>
                <w:sz w:val="17"/>
                <w:szCs w:val="17"/>
              </w:rPr>
            </w:pPr>
            <w:r w:rsidRPr="00CB685C">
              <w:rPr>
                <w:rFonts w:cs="Segoe UI"/>
                <w:sz w:val="17"/>
                <w:szCs w:val="17"/>
                <w:lang w:eastAsia="en-GB"/>
              </w:rPr>
              <w:t>14</w:t>
            </w:r>
          </w:p>
        </w:tc>
        <w:tc>
          <w:tcPr>
            <w:tcW w:w="5245" w:type="dxa"/>
            <w:tcBorders>
              <w:top w:val="single" w:sz="4" w:space="0" w:color="BCBDBC"/>
              <w:left w:val="single" w:sz="4" w:space="0" w:color="auto"/>
              <w:bottom w:val="single" w:sz="4" w:space="0" w:color="BCBDBC"/>
              <w:right w:val="single" w:sz="4" w:space="0" w:color="auto"/>
            </w:tcBorders>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r w:rsidRPr="004E457E">
              <w:rPr>
                <w:rFonts w:cs="Segoe UI"/>
                <w:sz w:val="17"/>
                <w:szCs w:val="17"/>
                <w:lang w:eastAsia="en-GB"/>
              </w:rPr>
              <w:t>CIS exposures – FBA</w:t>
            </w:r>
            <w:r>
              <w:rPr>
                <w:rFonts w:cs="Segoe UI"/>
                <w:sz w:val="17"/>
                <w:szCs w:val="17"/>
                <w:lang w:eastAsia="en-GB"/>
              </w:rPr>
              <w:t>*</w:t>
            </w:r>
          </w:p>
        </w:tc>
        <w:tc>
          <w:tcPr>
            <w:tcW w:w="921" w:type="dxa"/>
            <w:tcBorders>
              <w:top w:val="single" w:sz="4" w:space="0" w:color="BFBFBF"/>
              <w:left w:val="single" w:sz="4" w:space="0" w:color="auto"/>
              <w:bottom w:val="single" w:sz="4" w:space="0" w:color="BFBFBF"/>
              <w:right w:val="single" w:sz="4" w:space="0" w:color="auto"/>
            </w:tcBorders>
            <w:shd w:val="clear" w:color="auto" w:fill="auto"/>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c>
          <w:tcPr>
            <w:tcW w:w="567" w:type="dxa"/>
            <w:tcBorders>
              <w:top w:val="single" w:sz="4" w:space="0" w:color="BCBDBC"/>
              <w:left w:val="nil"/>
              <w:bottom w:val="single" w:sz="4" w:space="0" w:color="BCBDBC"/>
              <w:right w:val="single" w:sz="4" w:space="0" w:color="auto"/>
            </w:tcBorders>
          </w:tcPr>
          <w:p w:rsidR="002A0515" w:rsidRPr="00CB685C" w:rsidRDefault="002A0515" w:rsidP="00A54BE4">
            <w:pPr>
              <w:keepLines/>
              <w:tabs>
                <w:tab w:val="left" w:pos="397"/>
                <w:tab w:val="left" w:pos="794"/>
                <w:tab w:val="left" w:pos="1191"/>
              </w:tabs>
              <w:snapToGrid w:val="0"/>
              <w:spacing w:before="20" w:after="20"/>
              <w:rPr>
                <w:rFonts w:cs="Segoe UI"/>
                <w:sz w:val="17"/>
                <w:szCs w:val="17"/>
                <w:lang w:eastAsia="en-GB"/>
              </w:rPr>
            </w:pPr>
            <w:r>
              <w:rPr>
                <w:rFonts w:cs="Segoe UI"/>
                <w:sz w:val="17"/>
                <w:szCs w:val="17"/>
                <w:lang w:eastAsia="en-GB"/>
              </w:rPr>
              <w:t>14a</w:t>
            </w:r>
          </w:p>
        </w:tc>
        <w:tc>
          <w:tcPr>
            <w:tcW w:w="5245" w:type="dxa"/>
            <w:tcBorders>
              <w:top w:val="single" w:sz="4" w:space="0" w:color="BCBDBC"/>
              <w:left w:val="single" w:sz="4" w:space="0" w:color="auto"/>
              <w:bottom w:val="single" w:sz="4" w:space="0" w:color="BCBDBC"/>
              <w:right w:val="single" w:sz="4" w:space="0" w:color="auto"/>
            </w:tcBorders>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r>
              <w:rPr>
                <w:rFonts w:cs="Segoe UI"/>
                <w:sz w:val="17"/>
                <w:szCs w:val="17"/>
                <w:lang w:eastAsia="en-GB"/>
              </w:rPr>
              <w:t>CIS exposures – combination of approaches*</w:t>
            </w:r>
          </w:p>
        </w:tc>
        <w:tc>
          <w:tcPr>
            <w:tcW w:w="921" w:type="dxa"/>
            <w:tcBorders>
              <w:top w:val="single" w:sz="4" w:space="0" w:color="BFBFBF"/>
              <w:left w:val="single" w:sz="4" w:space="0" w:color="auto"/>
              <w:bottom w:val="single" w:sz="4" w:space="0" w:color="BFBFBF"/>
              <w:right w:val="single" w:sz="4" w:space="0" w:color="auto"/>
            </w:tcBorders>
            <w:shd w:val="clear" w:color="auto" w:fill="auto"/>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c>
          <w:tcPr>
            <w:tcW w:w="567" w:type="dxa"/>
            <w:tcBorders>
              <w:top w:val="single" w:sz="4" w:space="0" w:color="BCBDBC"/>
              <w:left w:val="nil"/>
              <w:bottom w:val="single" w:sz="4" w:space="0" w:color="BCBDBC"/>
              <w:right w:val="single" w:sz="4" w:space="0" w:color="auto"/>
            </w:tcBorders>
          </w:tcPr>
          <w:p w:rsidR="002A0515" w:rsidRPr="00CB685C" w:rsidRDefault="002A0515" w:rsidP="00A54BE4">
            <w:pPr>
              <w:keepLines/>
              <w:tabs>
                <w:tab w:val="left" w:pos="397"/>
                <w:tab w:val="left" w:pos="794"/>
                <w:tab w:val="left" w:pos="1191"/>
              </w:tabs>
              <w:snapToGrid w:val="0"/>
              <w:spacing w:before="20" w:after="20"/>
              <w:rPr>
                <w:rFonts w:cs="Segoe UI"/>
                <w:sz w:val="17"/>
                <w:szCs w:val="17"/>
              </w:rPr>
            </w:pPr>
            <w:r w:rsidRPr="00CB685C">
              <w:rPr>
                <w:rFonts w:cs="Segoe UI"/>
                <w:sz w:val="17"/>
                <w:szCs w:val="17"/>
                <w:lang w:eastAsia="en-GB"/>
              </w:rPr>
              <w:t>1</w:t>
            </w:r>
            <w:r w:rsidRPr="00CB685C">
              <w:rPr>
                <w:rFonts w:cs="Segoe UI" w:hint="eastAsia"/>
                <w:sz w:val="17"/>
                <w:szCs w:val="17"/>
              </w:rPr>
              <w:t>5</w:t>
            </w:r>
          </w:p>
        </w:tc>
        <w:tc>
          <w:tcPr>
            <w:tcW w:w="5245" w:type="dxa"/>
            <w:tcBorders>
              <w:top w:val="single" w:sz="4" w:space="0" w:color="BCBDBC"/>
              <w:left w:val="single" w:sz="4" w:space="0" w:color="auto"/>
              <w:bottom w:val="single" w:sz="4" w:space="0" w:color="BCBDBC"/>
              <w:right w:val="single" w:sz="4" w:space="0" w:color="auto"/>
            </w:tcBorders>
          </w:tcPr>
          <w:p w:rsidR="002A0515" w:rsidRPr="004E457E" w:rsidRDefault="002A0515" w:rsidP="00A54BE4">
            <w:pPr>
              <w:keepLines/>
              <w:tabs>
                <w:tab w:val="left" w:pos="397"/>
                <w:tab w:val="left" w:pos="794"/>
                <w:tab w:val="left" w:pos="1191"/>
              </w:tabs>
              <w:snapToGrid w:val="0"/>
              <w:spacing w:before="20" w:after="20"/>
              <w:rPr>
                <w:rFonts w:cs="Segoe UI"/>
                <w:noProof/>
                <w:sz w:val="17"/>
                <w:szCs w:val="17"/>
                <w:lang w:eastAsia="en-GB"/>
              </w:rPr>
            </w:pPr>
            <w:r w:rsidRPr="004E457E">
              <w:rPr>
                <w:rFonts w:cs="Segoe UI"/>
                <w:sz w:val="17"/>
                <w:szCs w:val="17"/>
                <w:lang w:eastAsia="en-GB"/>
              </w:rPr>
              <w:t>Settlement risk</w:t>
            </w:r>
          </w:p>
        </w:tc>
        <w:tc>
          <w:tcPr>
            <w:tcW w:w="921" w:type="dxa"/>
            <w:tcBorders>
              <w:top w:val="single" w:sz="4" w:space="0" w:color="BFBFBF"/>
              <w:left w:val="single" w:sz="4" w:space="0" w:color="auto"/>
              <w:bottom w:val="single" w:sz="4" w:space="0" w:color="BFBFBF"/>
              <w:right w:val="single" w:sz="4" w:space="0" w:color="auto"/>
            </w:tcBorders>
            <w:shd w:val="clear" w:color="auto" w:fill="auto"/>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c>
          <w:tcPr>
            <w:tcW w:w="567" w:type="dxa"/>
            <w:tcBorders>
              <w:left w:val="nil"/>
              <w:right w:val="single" w:sz="4" w:space="0" w:color="auto"/>
            </w:tcBorders>
          </w:tcPr>
          <w:p w:rsidR="002A0515" w:rsidRPr="00CB685C" w:rsidRDefault="002A0515" w:rsidP="00A54BE4">
            <w:pPr>
              <w:keepLines/>
              <w:tabs>
                <w:tab w:val="left" w:pos="397"/>
                <w:tab w:val="left" w:pos="794"/>
                <w:tab w:val="left" w:pos="1191"/>
              </w:tabs>
              <w:snapToGrid w:val="0"/>
              <w:spacing w:before="20" w:after="20"/>
              <w:rPr>
                <w:rFonts w:cs="Segoe UI"/>
                <w:sz w:val="17"/>
                <w:szCs w:val="17"/>
              </w:rPr>
            </w:pPr>
            <w:r w:rsidRPr="00CB685C">
              <w:rPr>
                <w:rFonts w:cs="Segoe UI"/>
                <w:sz w:val="17"/>
                <w:szCs w:val="17"/>
                <w:lang w:eastAsia="en-GB"/>
              </w:rPr>
              <w:t>1</w:t>
            </w:r>
            <w:r w:rsidRPr="00CB685C">
              <w:rPr>
                <w:rFonts w:cs="Segoe UI" w:hint="eastAsia"/>
                <w:sz w:val="17"/>
                <w:szCs w:val="17"/>
              </w:rPr>
              <w:t>6</w:t>
            </w:r>
          </w:p>
        </w:tc>
        <w:tc>
          <w:tcPr>
            <w:tcW w:w="5245" w:type="dxa"/>
            <w:tcBorders>
              <w:left w:val="single" w:sz="4" w:space="0" w:color="auto"/>
              <w:right w:val="single" w:sz="4" w:space="0" w:color="auto"/>
            </w:tcBorders>
          </w:tcPr>
          <w:p w:rsidR="002A0515" w:rsidRPr="004E457E" w:rsidRDefault="002A0515" w:rsidP="00A54BE4">
            <w:pPr>
              <w:keepLines/>
              <w:tabs>
                <w:tab w:val="left" w:pos="397"/>
                <w:tab w:val="left" w:pos="794"/>
                <w:tab w:val="left" w:pos="1191"/>
              </w:tabs>
              <w:snapToGrid w:val="0"/>
              <w:spacing w:before="20" w:after="20"/>
              <w:rPr>
                <w:rFonts w:cs="Segoe UI"/>
                <w:noProof/>
                <w:sz w:val="17"/>
                <w:szCs w:val="17"/>
                <w:lang w:eastAsia="en-GB"/>
              </w:rPr>
            </w:pPr>
            <w:r w:rsidRPr="004E457E">
              <w:rPr>
                <w:rFonts w:cs="Segoe UI"/>
                <w:sz w:val="17"/>
                <w:szCs w:val="17"/>
                <w:lang w:eastAsia="en-GB"/>
              </w:rPr>
              <w:t>Securiti</w:t>
            </w:r>
            <w:r>
              <w:rPr>
                <w:rFonts w:cs="Segoe UI"/>
                <w:sz w:val="17"/>
                <w:szCs w:val="17"/>
                <w:lang w:eastAsia="en-GB"/>
              </w:rPr>
              <w:t>zation exposures in banking book</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c>
          <w:tcPr>
            <w:tcW w:w="567" w:type="dxa"/>
            <w:tcBorders>
              <w:left w:val="nil"/>
              <w:right w:val="single" w:sz="4" w:space="0" w:color="auto"/>
            </w:tcBorders>
          </w:tcPr>
          <w:p w:rsidR="002A0515" w:rsidRPr="00331B2F" w:rsidRDefault="002A0515" w:rsidP="00A54BE4">
            <w:pPr>
              <w:keepLines/>
              <w:tabs>
                <w:tab w:val="left" w:pos="397"/>
                <w:tab w:val="left" w:pos="794"/>
                <w:tab w:val="left" w:pos="1191"/>
              </w:tabs>
              <w:snapToGrid w:val="0"/>
              <w:spacing w:before="20" w:after="20"/>
              <w:rPr>
                <w:rFonts w:cs="Segoe UI"/>
                <w:sz w:val="17"/>
                <w:szCs w:val="17"/>
              </w:rPr>
            </w:pPr>
            <w:r w:rsidRPr="00331B2F">
              <w:rPr>
                <w:rFonts w:cs="Segoe UI"/>
                <w:sz w:val="17"/>
                <w:szCs w:val="17"/>
                <w:lang w:eastAsia="en-GB"/>
              </w:rPr>
              <w:t>1</w:t>
            </w:r>
            <w:r w:rsidRPr="00331B2F">
              <w:rPr>
                <w:rFonts w:cs="Segoe UI" w:hint="eastAsia"/>
                <w:sz w:val="17"/>
                <w:szCs w:val="17"/>
              </w:rPr>
              <w:t>7</w:t>
            </w:r>
          </w:p>
        </w:tc>
        <w:tc>
          <w:tcPr>
            <w:tcW w:w="5245" w:type="dxa"/>
            <w:tcBorders>
              <w:left w:val="single" w:sz="4" w:space="0" w:color="auto"/>
              <w:right w:val="single" w:sz="4" w:space="0" w:color="auto"/>
            </w:tcBorders>
          </w:tcPr>
          <w:p w:rsidR="002A0515" w:rsidRPr="004E457E" w:rsidRDefault="002A0515" w:rsidP="00A54BE4">
            <w:pPr>
              <w:keepLines/>
              <w:tabs>
                <w:tab w:val="left" w:pos="397"/>
                <w:tab w:val="left" w:pos="794"/>
                <w:tab w:val="left" w:pos="1191"/>
              </w:tabs>
              <w:snapToGrid w:val="0"/>
              <w:spacing w:before="20" w:after="20"/>
              <w:ind w:firstLine="323"/>
              <w:rPr>
                <w:rFonts w:cs="Segoe UI"/>
                <w:sz w:val="17"/>
                <w:szCs w:val="17"/>
                <w:lang w:eastAsia="en-GB"/>
              </w:rPr>
            </w:pPr>
            <w:r w:rsidRPr="004E457E">
              <w:rPr>
                <w:rFonts w:cs="Segoe UI"/>
                <w:sz w:val="17"/>
                <w:szCs w:val="17"/>
                <w:lang w:eastAsia="en-GB"/>
              </w:rPr>
              <w:t xml:space="preserve">Of which </w:t>
            </w:r>
            <w:r w:rsidRPr="005F2537">
              <w:rPr>
                <w:rFonts w:cs="Segoe UI"/>
                <w:sz w:val="17"/>
                <w:szCs w:val="17"/>
                <w:lang w:eastAsia="en-GB"/>
              </w:rPr>
              <w:t>SEC-IRBA</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c>
          <w:tcPr>
            <w:tcW w:w="567" w:type="dxa"/>
            <w:tcBorders>
              <w:left w:val="nil"/>
              <w:right w:val="single" w:sz="4" w:space="0" w:color="auto"/>
            </w:tcBorders>
          </w:tcPr>
          <w:p w:rsidR="002A0515" w:rsidRPr="00331B2F" w:rsidRDefault="002A0515" w:rsidP="00A54BE4">
            <w:pPr>
              <w:keepLines/>
              <w:tabs>
                <w:tab w:val="left" w:pos="397"/>
                <w:tab w:val="left" w:pos="794"/>
                <w:tab w:val="left" w:pos="1191"/>
              </w:tabs>
              <w:snapToGrid w:val="0"/>
              <w:spacing w:before="20" w:after="20"/>
              <w:rPr>
                <w:rFonts w:cs="Segoe UI"/>
                <w:sz w:val="17"/>
                <w:szCs w:val="17"/>
              </w:rPr>
            </w:pPr>
            <w:r w:rsidRPr="00331B2F">
              <w:rPr>
                <w:rFonts w:cs="Segoe UI"/>
                <w:sz w:val="17"/>
                <w:szCs w:val="17"/>
                <w:lang w:eastAsia="en-GB"/>
              </w:rPr>
              <w:t>1</w:t>
            </w:r>
            <w:r w:rsidRPr="00331B2F">
              <w:rPr>
                <w:rFonts w:cs="Segoe UI" w:hint="eastAsia"/>
                <w:sz w:val="17"/>
                <w:szCs w:val="17"/>
              </w:rPr>
              <w:t>8</w:t>
            </w:r>
          </w:p>
        </w:tc>
        <w:tc>
          <w:tcPr>
            <w:tcW w:w="5245" w:type="dxa"/>
            <w:tcBorders>
              <w:left w:val="single" w:sz="4" w:space="0" w:color="auto"/>
              <w:right w:val="single" w:sz="4" w:space="0" w:color="auto"/>
            </w:tcBorders>
          </w:tcPr>
          <w:p w:rsidR="002A0515" w:rsidRPr="004E457E" w:rsidRDefault="002A0515" w:rsidP="00A54BE4">
            <w:pPr>
              <w:keepLines/>
              <w:tabs>
                <w:tab w:val="left" w:pos="397"/>
                <w:tab w:val="left" w:pos="794"/>
                <w:tab w:val="left" w:pos="1191"/>
              </w:tabs>
              <w:snapToGrid w:val="0"/>
              <w:spacing w:before="20" w:after="20"/>
              <w:ind w:firstLine="323"/>
              <w:rPr>
                <w:rFonts w:cs="Segoe UI"/>
                <w:sz w:val="17"/>
                <w:szCs w:val="17"/>
                <w:lang w:eastAsia="en-GB"/>
              </w:rPr>
            </w:pPr>
            <w:r>
              <w:rPr>
                <w:rFonts w:cs="Segoe UI"/>
                <w:sz w:val="17"/>
                <w:szCs w:val="17"/>
                <w:lang w:eastAsia="en-GB"/>
              </w:rPr>
              <w:t xml:space="preserve">Of which </w:t>
            </w:r>
            <w:r w:rsidRPr="005F2537">
              <w:rPr>
                <w:rFonts w:cs="Segoe UI"/>
                <w:sz w:val="17"/>
                <w:szCs w:val="17"/>
                <w:lang w:eastAsia="en-GB"/>
              </w:rPr>
              <w:t>SEC-ERBA</w:t>
            </w:r>
            <w:r>
              <w:rPr>
                <w:rFonts w:cs="Segoe UI"/>
                <w:sz w:val="17"/>
                <w:szCs w:val="17"/>
                <w:lang w:eastAsia="en-GB"/>
              </w:rPr>
              <w:t xml:space="preserve"> (including IAA)</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c>
          <w:tcPr>
            <w:tcW w:w="567" w:type="dxa"/>
            <w:tcBorders>
              <w:left w:val="nil"/>
              <w:right w:val="single" w:sz="4" w:space="0" w:color="auto"/>
            </w:tcBorders>
          </w:tcPr>
          <w:p w:rsidR="002A0515" w:rsidRPr="00331B2F" w:rsidRDefault="002A0515" w:rsidP="00A54BE4">
            <w:pPr>
              <w:keepLines/>
              <w:tabs>
                <w:tab w:val="left" w:pos="397"/>
                <w:tab w:val="left" w:pos="794"/>
                <w:tab w:val="left" w:pos="1191"/>
              </w:tabs>
              <w:snapToGrid w:val="0"/>
              <w:spacing w:before="20" w:after="20"/>
              <w:rPr>
                <w:rFonts w:cs="Segoe UI"/>
                <w:sz w:val="17"/>
                <w:szCs w:val="17"/>
              </w:rPr>
            </w:pPr>
            <w:r w:rsidRPr="00331B2F">
              <w:rPr>
                <w:rFonts w:cs="Segoe UI"/>
                <w:sz w:val="17"/>
                <w:szCs w:val="17"/>
                <w:lang w:eastAsia="en-GB"/>
              </w:rPr>
              <w:t>1</w:t>
            </w:r>
            <w:r w:rsidRPr="00331B2F">
              <w:rPr>
                <w:rFonts w:cs="Segoe UI" w:hint="eastAsia"/>
                <w:sz w:val="17"/>
                <w:szCs w:val="17"/>
              </w:rPr>
              <w:t>9</w:t>
            </w:r>
          </w:p>
        </w:tc>
        <w:tc>
          <w:tcPr>
            <w:tcW w:w="5245" w:type="dxa"/>
            <w:tcBorders>
              <w:left w:val="single" w:sz="4" w:space="0" w:color="auto"/>
              <w:right w:val="single" w:sz="4" w:space="0" w:color="auto"/>
            </w:tcBorders>
          </w:tcPr>
          <w:p w:rsidR="002A0515" w:rsidRPr="004E457E" w:rsidRDefault="002A0515" w:rsidP="00A54BE4">
            <w:pPr>
              <w:keepLines/>
              <w:tabs>
                <w:tab w:val="left" w:pos="397"/>
                <w:tab w:val="left" w:pos="794"/>
                <w:tab w:val="left" w:pos="1191"/>
              </w:tabs>
              <w:snapToGrid w:val="0"/>
              <w:spacing w:before="20" w:after="20"/>
              <w:ind w:firstLine="323"/>
              <w:rPr>
                <w:rFonts w:cs="Segoe UI"/>
                <w:sz w:val="17"/>
                <w:szCs w:val="17"/>
                <w:lang w:eastAsia="en-GB"/>
              </w:rPr>
            </w:pPr>
            <w:r w:rsidRPr="004E457E">
              <w:rPr>
                <w:rFonts w:cs="Segoe UI"/>
                <w:sz w:val="17"/>
                <w:szCs w:val="17"/>
                <w:lang w:eastAsia="en-GB"/>
              </w:rPr>
              <w:t xml:space="preserve">Of which </w:t>
            </w:r>
            <w:r w:rsidRPr="005F2537">
              <w:rPr>
                <w:rFonts w:cs="Segoe UI"/>
                <w:sz w:val="17"/>
                <w:szCs w:val="17"/>
                <w:lang w:eastAsia="en-GB"/>
              </w:rPr>
              <w:t>SEC-SA</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c>
          <w:tcPr>
            <w:tcW w:w="567" w:type="dxa"/>
            <w:tcBorders>
              <w:left w:val="nil"/>
              <w:right w:val="single" w:sz="4" w:space="0" w:color="auto"/>
            </w:tcBorders>
          </w:tcPr>
          <w:p w:rsidR="002A0515" w:rsidRPr="00331B2F" w:rsidRDefault="002A0515" w:rsidP="00A54BE4">
            <w:pPr>
              <w:keepLines/>
              <w:tabs>
                <w:tab w:val="left" w:pos="397"/>
                <w:tab w:val="left" w:pos="794"/>
                <w:tab w:val="left" w:pos="1191"/>
              </w:tabs>
              <w:snapToGrid w:val="0"/>
              <w:spacing w:before="20" w:after="20"/>
              <w:rPr>
                <w:rFonts w:cs="Segoe UI"/>
                <w:sz w:val="17"/>
                <w:szCs w:val="17"/>
              </w:rPr>
            </w:pPr>
            <w:r w:rsidRPr="00331B2F">
              <w:rPr>
                <w:rFonts w:cs="Segoe UI"/>
                <w:sz w:val="17"/>
                <w:szCs w:val="17"/>
              </w:rPr>
              <w:t>19a</w:t>
            </w:r>
          </w:p>
        </w:tc>
        <w:tc>
          <w:tcPr>
            <w:tcW w:w="5245" w:type="dxa"/>
            <w:tcBorders>
              <w:left w:val="single" w:sz="4" w:space="0" w:color="auto"/>
              <w:right w:val="single" w:sz="4" w:space="0" w:color="auto"/>
            </w:tcBorders>
          </w:tcPr>
          <w:p w:rsidR="002A0515" w:rsidRPr="004E457E" w:rsidRDefault="002A0515" w:rsidP="00A54BE4">
            <w:pPr>
              <w:keepLines/>
              <w:tabs>
                <w:tab w:val="left" w:pos="397"/>
                <w:tab w:val="left" w:pos="794"/>
                <w:tab w:val="left" w:pos="1191"/>
              </w:tabs>
              <w:snapToGrid w:val="0"/>
              <w:spacing w:before="20" w:after="20"/>
              <w:ind w:firstLine="323"/>
              <w:rPr>
                <w:rFonts w:cs="Segoe UI"/>
                <w:sz w:val="17"/>
                <w:szCs w:val="17"/>
                <w:lang w:eastAsia="en-GB"/>
              </w:rPr>
            </w:pPr>
            <w:r>
              <w:rPr>
                <w:rFonts w:cs="Segoe UI"/>
                <w:sz w:val="17"/>
                <w:szCs w:val="17"/>
                <w:lang w:eastAsia="en-GB"/>
              </w:rPr>
              <w:t xml:space="preserve">Of which </w:t>
            </w:r>
            <w:r w:rsidRPr="00331B2F">
              <w:rPr>
                <w:rFonts w:cs="Segoe UI"/>
                <w:sz w:val="17"/>
                <w:szCs w:val="17"/>
                <w:lang w:eastAsia="en-GB"/>
              </w:rPr>
              <w:t>SEC-FBA</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c>
          <w:tcPr>
            <w:tcW w:w="567" w:type="dxa"/>
            <w:tcBorders>
              <w:left w:val="nil"/>
              <w:right w:val="single" w:sz="4" w:space="0" w:color="auto"/>
            </w:tcBorders>
          </w:tcPr>
          <w:p w:rsidR="002A0515" w:rsidRPr="00F414FC" w:rsidRDefault="002A0515" w:rsidP="00A54BE4">
            <w:pPr>
              <w:keepLines/>
              <w:tabs>
                <w:tab w:val="left" w:pos="397"/>
                <w:tab w:val="left" w:pos="794"/>
                <w:tab w:val="left" w:pos="1191"/>
              </w:tabs>
              <w:snapToGrid w:val="0"/>
              <w:spacing w:before="20" w:after="20"/>
              <w:rPr>
                <w:rFonts w:cs="Segoe UI"/>
                <w:sz w:val="17"/>
                <w:szCs w:val="17"/>
              </w:rPr>
            </w:pPr>
            <w:r w:rsidRPr="00F414FC">
              <w:rPr>
                <w:rFonts w:cs="Segoe UI" w:hint="eastAsia"/>
                <w:sz w:val="17"/>
                <w:szCs w:val="17"/>
              </w:rPr>
              <w:t>20</w:t>
            </w:r>
          </w:p>
        </w:tc>
        <w:tc>
          <w:tcPr>
            <w:tcW w:w="5245" w:type="dxa"/>
            <w:tcBorders>
              <w:left w:val="single" w:sz="4" w:space="0" w:color="auto"/>
              <w:right w:val="single" w:sz="4" w:space="0" w:color="auto"/>
            </w:tcBorders>
          </w:tcPr>
          <w:p w:rsidR="002A0515" w:rsidRPr="004E457E" w:rsidRDefault="002A0515" w:rsidP="00A54BE4">
            <w:pPr>
              <w:keepLines/>
              <w:tabs>
                <w:tab w:val="left" w:pos="397"/>
                <w:tab w:val="left" w:pos="794"/>
                <w:tab w:val="left" w:pos="1191"/>
              </w:tabs>
              <w:snapToGrid w:val="0"/>
              <w:spacing w:before="20" w:after="20"/>
              <w:rPr>
                <w:rFonts w:cs="Segoe UI"/>
                <w:noProof/>
                <w:sz w:val="17"/>
                <w:szCs w:val="17"/>
                <w:lang w:eastAsia="en-GB"/>
              </w:rPr>
            </w:pPr>
            <w:r w:rsidRPr="004E457E">
              <w:rPr>
                <w:rFonts w:cs="Segoe UI"/>
                <w:sz w:val="17"/>
                <w:szCs w:val="17"/>
                <w:lang w:eastAsia="en-GB"/>
              </w:rPr>
              <w:t>Market risk</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c>
          <w:tcPr>
            <w:tcW w:w="567" w:type="dxa"/>
            <w:tcBorders>
              <w:left w:val="nil"/>
              <w:right w:val="single" w:sz="4" w:space="0" w:color="auto"/>
            </w:tcBorders>
          </w:tcPr>
          <w:p w:rsidR="002A0515" w:rsidRPr="00F414FC" w:rsidRDefault="002A0515" w:rsidP="00A54BE4">
            <w:pPr>
              <w:keepLines/>
              <w:tabs>
                <w:tab w:val="left" w:pos="397"/>
                <w:tab w:val="left" w:pos="794"/>
                <w:tab w:val="left" w:pos="1191"/>
              </w:tabs>
              <w:snapToGrid w:val="0"/>
              <w:spacing w:before="20" w:after="20"/>
              <w:rPr>
                <w:rFonts w:cs="Segoe UI"/>
                <w:sz w:val="17"/>
                <w:szCs w:val="17"/>
              </w:rPr>
            </w:pPr>
            <w:r w:rsidRPr="00F414FC">
              <w:rPr>
                <w:rFonts w:cs="Segoe UI" w:hint="eastAsia"/>
                <w:sz w:val="17"/>
                <w:szCs w:val="17"/>
              </w:rPr>
              <w:t>21</w:t>
            </w:r>
          </w:p>
        </w:tc>
        <w:tc>
          <w:tcPr>
            <w:tcW w:w="5245" w:type="dxa"/>
            <w:tcBorders>
              <w:left w:val="single" w:sz="4" w:space="0" w:color="auto"/>
              <w:right w:val="single" w:sz="4" w:space="0" w:color="auto"/>
            </w:tcBorders>
          </w:tcPr>
          <w:p w:rsidR="002A0515" w:rsidRPr="004E457E" w:rsidRDefault="002A0515" w:rsidP="00A54BE4">
            <w:pPr>
              <w:keepLines/>
              <w:tabs>
                <w:tab w:val="left" w:pos="397"/>
                <w:tab w:val="left" w:pos="794"/>
                <w:tab w:val="left" w:pos="1191"/>
              </w:tabs>
              <w:snapToGrid w:val="0"/>
              <w:spacing w:before="20" w:after="20"/>
              <w:ind w:firstLine="323"/>
              <w:rPr>
                <w:rFonts w:cs="Segoe UI"/>
                <w:sz w:val="17"/>
                <w:szCs w:val="17"/>
                <w:lang w:eastAsia="en-GB"/>
              </w:rPr>
            </w:pPr>
            <w:r w:rsidRPr="004E457E">
              <w:rPr>
                <w:rFonts w:cs="Segoe UI"/>
                <w:sz w:val="17"/>
                <w:szCs w:val="17"/>
                <w:lang w:eastAsia="en-GB"/>
              </w:rPr>
              <w:t>Of which STM approach</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c>
          <w:tcPr>
            <w:tcW w:w="567" w:type="dxa"/>
            <w:tcBorders>
              <w:left w:val="nil"/>
              <w:right w:val="single" w:sz="4" w:space="0" w:color="auto"/>
            </w:tcBorders>
          </w:tcPr>
          <w:p w:rsidR="002A0515" w:rsidRPr="00F414FC" w:rsidRDefault="002A0515" w:rsidP="00A54BE4">
            <w:pPr>
              <w:keepLines/>
              <w:tabs>
                <w:tab w:val="left" w:pos="397"/>
                <w:tab w:val="left" w:pos="794"/>
                <w:tab w:val="left" w:pos="1191"/>
              </w:tabs>
              <w:snapToGrid w:val="0"/>
              <w:spacing w:before="20" w:after="20"/>
              <w:rPr>
                <w:rFonts w:cs="Segoe UI"/>
                <w:sz w:val="17"/>
                <w:szCs w:val="17"/>
              </w:rPr>
            </w:pPr>
            <w:r w:rsidRPr="00F414FC">
              <w:rPr>
                <w:rFonts w:cs="Segoe UI" w:hint="eastAsia"/>
                <w:sz w:val="17"/>
                <w:szCs w:val="17"/>
              </w:rPr>
              <w:t>22</w:t>
            </w:r>
          </w:p>
        </w:tc>
        <w:tc>
          <w:tcPr>
            <w:tcW w:w="5245" w:type="dxa"/>
            <w:tcBorders>
              <w:left w:val="single" w:sz="4" w:space="0" w:color="auto"/>
              <w:right w:val="single" w:sz="4" w:space="0" w:color="auto"/>
            </w:tcBorders>
          </w:tcPr>
          <w:p w:rsidR="002A0515" w:rsidRPr="004E457E" w:rsidRDefault="002A0515" w:rsidP="00A54BE4">
            <w:pPr>
              <w:keepLines/>
              <w:tabs>
                <w:tab w:val="left" w:pos="397"/>
                <w:tab w:val="left" w:pos="794"/>
                <w:tab w:val="left" w:pos="1191"/>
              </w:tabs>
              <w:snapToGrid w:val="0"/>
              <w:spacing w:before="20" w:after="20"/>
              <w:ind w:firstLine="323"/>
              <w:rPr>
                <w:rFonts w:cs="Segoe UI"/>
                <w:sz w:val="17"/>
                <w:szCs w:val="17"/>
                <w:lang w:eastAsia="en-GB"/>
              </w:rPr>
            </w:pPr>
            <w:r w:rsidRPr="004E457E">
              <w:rPr>
                <w:rFonts w:cs="Segoe UI"/>
                <w:sz w:val="17"/>
                <w:szCs w:val="17"/>
                <w:lang w:eastAsia="en-GB"/>
              </w:rPr>
              <w:t>Of which IMM approach</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c>
          <w:tcPr>
            <w:tcW w:w="567" w:type="dxa"/>
            <w:tcBorders>
              <w:left w:val="nil"/>
              <w:right w:val="single" w:sz="4" w:space="0" w:color="auto"/>
            </w:tcBorders>
          </w:tcPr>
          <w:p w:rsidR="002A0515" w:rsidRPr="00775EFE" w:rsidRDefault="002A0515" w:rsidP="00A54BE4">
            <w:pPr>
              <w:keepLines/>
              <w:tabs>
                <w:tab w:val="left" w:pos="397"/>
                <w:tab w:val="left" w:pos="794"/>
                <w:tab w:val="left" w:pos="1191"/>
              </w:tabs>
              <w:snapToGrid w:val="0"/>
              <w:spacing w:before="20" w:after="20"/>
              <w:rPr>
                <w:rFonts w:cs="Segoe UI"/>
                <w:sz w:val="17"/>
                <w:szCs w:val="17"/>
              </w:rPr>
            </w:pPr>
            <w:r w:rsidRPr="00775EFE">
              <w:rPr>
                <w:rFonts w:cs="Segoe UI" w:hint="eastAsia"/>
                <w:sz w:val="17"/>
                <w:szCs w:val="17"/>
              </w:rPr>
              <w:t>23</w:t>
            </w:r>
          </w:p>
        </w:tc>
        <w:tc>
          <w:tcPr>
            <w:tcW w:w="5245" w:type="dxa"/>
            <w:tcBorders>
              <w:left w:val="single" w:sz="4" w:space="0" w:color="auto"/>
              <w:right w:val="single" w:sz="4" w:space="0" w:color="auto"/>
            </w:tcBorders>
          </w:tcPr>
          <w:p w:rsidR="002A0515" w:rsidRPr="00FE4698" w:rsidRDefault="002A0515" w:rsidP="00A54BE4">
            <w:pPr>
              <w:keepLines/>
              <w:tabs>
                <w:tab w:val="left" w:pos="397"/>
                <w:tab w:val="left" w:pos="794"/>
                <w:tab w:val="left" w:pos="1191"/>
              </w:tabs>
              <w:snapToGrid w:val="0"/>
              <w:spacing w:before="20" w:after="20"/>
              <w:rPr>
                <w:rFonts w:cs="Segoe UI"/>
                <w:sz w:val="17"/>
                <w:szCs w:val="17"/>
              </w:rPr>
            </w:pPr>
            <w:r w:rsidRPr="00FE4698">
              <w:rPr>
                <w:rFonts w:cs="Segoe UI"/>
                <w:sz w:val="17"/>
                <w:szCs w:val="17"/>
                <w:lang w:eastAsia="en-GB"/>
              </w:rPr>
              <w:t>Capital charge for switch between exposures in trading book and banking book (not applicable before the revised market risk framework takes effect)</w:t>
            </w:r>
            <w:r>
              <w:rPr>
                <w:rFonts w:cs="Segoe UI"/>
                <w:sz w:val="17"/>
                <w:szCs w:val="17"/>
                <w:lang w:eastAsia="en-GB"/>
              </w:rPr>
              <w:t>*</w:t>
            </w:r>
          </w:p>
        </w:tc>
        <w:tc>
          <w:tcPr>
            <w:tcW w:w="921" w:type="dxa"/>
            <w:tcBorders>
              <w:top w:val="single" w:sz="4" w:space="0" w:color="BFBFBF"/>
              <w:left w:val="single" w:sz="4" w:space="0" w:color="auto"/>
              <w:bottom w:val="single" w:sz="4" w:space="0" w:color="BFBFBF"/>
              <w:right w:val="single" w:sz="4" w:space="0" w:color="auto"/>
            </w:tcBorders>
            <w:shd w:val="clear" w:color="auto" w:fill="auto"/>
          </w:tcPr>
          <w:p w:rsidR="002A0515" w:rsidRPr="002705AD"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2A0515" w:rsidRPr="00FE4698"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FE4698"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c>
          <w:tcPr>
            <w:tcW w:w="567" w:type="dxa"/>
            <w:tcBorders>
              <w:left w:val="nil"/>
              <w:right w:val="single" w:sz="4" w:space="0" w:color="auto"/>
            </w:tcBorders>
          </w:tcPr>
          <w:p w:rsidR="002A0515" w:rsidRPr="00775EFE" w:rsidRDefault="002A0515" w:rsidP="00A54BE4">
            <w:pPr>
              <w:keepLines/>
              <w:tabs>
                <w:tab w:val="left" w:pos="397"/>
                <w:tab w:val="left" w:pos="794"/>
                <w:tab w:val="left" w:pos="1191"/>
              </w:tabs>
              <w:snapToGrid w:val="0"/>
              <w:spacing w:before="20" w:after="20"/>
              <w:rPr>
                <w:rFonts w:cs="Segoe UI"/>
                <w:sz w:val="17"/>
                <w:szCs w:val="17"/>
              </w:rPr>
            </w:pPr>
            <w:r w:rsidRPr="00775EFE">
              <w:rPr>
                <w:rFonts w:cs="Segoe UI" w:hint="eastAsia"/>
                <w:sz w:val="17"/>
                <w:szCs w:val="17"/>
              </w:rPr>
              <w:t>24</w:t>
            </w:r>
          </w:p>
        </w:tc>
        <w:tc>
          <w:tcPr>
            <w:tcW w:w="5245" w:type="dxa"/>
            <w:tcBorders>
              <w:left w:val="single" w:sz="4" w:space="0" w:color="auto"/>
              <w:right w:val="single" w:sz="4" w:space="0" w:color="auto"/>
            </w:tcBorders>
          </w:tcPr>
          <w:p w:rsidR="002A0515" w:rsidRPr="004E457E" w:rsidRDefault="002A0515" w:rsidP="00A54BE4">
            <w:pPr>
              <w:keepLines/>
              <w:tabs>
                <w:tab w:val="left" w:pos="397"/>
                <w:tab w:val="left" w:pos="794"/>
                <w:tab w:val="left" w:pos="1191"/>
              </w:tabs>
              <w:snapToGrid w:val="0"/>
              <w:spacing w:before="20" w:after="20"/>
              <w:rPr>
                <w:rFonts w:cs="Segoe UI"/>
                <w:noProof/>
                <w:sz w:val="17"/>
                <w:szCs w:val="17"/>
                <w:lang w:eastAsia="en-GB"/>
              </w:rPr>
            </w:pPr>
            <w:r w:rsidRPr="004E457E">
              <w:rPr>
                <w:rFonts w:cs="Segoe UI"/>
                <w:sz w:val="17"/>
                <w:szCs w:val="17"/>
                <w:lang w:eastAsia="en-GB"/>
              </w:rPr>
              <w:t>Operational risk</w:t>
            </w:r>
          </w:p>
        </w:tc>
        <w:tc>
          <w:tcPr>
            <w:tcW w:w="921" w:type="dxa"/>
            <w:tcBorders>
              <w:top w:val="single" w:sz="4" w:space="0" w:color="BFBFBF"/>
              <w:left w:val="single" w:sz="4" w:space="0" w:color="auto"/>
              <w:bottom w:val="single" w:sz="4" w:space="0" w:color="BFBFBF"/>
              <w:right w:val="single" w:sz="4" w:space="0" w:color="auto"/>
            </w:tcBorders>
            <w:shd w:val="clear" w:color="auto" w:fill="auto"/>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c>
          <w:tcPr>
            <w:tcW w:w="567" w:type="dxa"/>
            <w:tcBorders>
              <w:left w:val="nil"/>
              <w:right w:val="single" w:sz="4" w:space="0" w:color="auto"/>
            </w:tcBorders>
          </w:tcPr>
          <w:p w:rsidR="002A0515" w:rsidRPr="00775EFE" w:rsidRDefault="002A0515" w:rsidP="00A54BE4">
            <w:pPr>
              <w:keepLines/>
              <w:tabs>
                <w:tab w:val="left" w:pos="397"/>
                <w:tab w:val="left" w:pos="794"/>
                <w:tab w:val="left" w:pos="1191"/>
              </w:tabs>
              <w:snapToGrid w:val="0"/>
              <w:spacing w:before="20" w:after="20"/>
              <w:rPr>
                <w:rFonts w:cs="Segoe UI"/>
                <w:sz w:val="17"/>
                <w:szCs w:val="17"/>
              </w:rPr>
            </w:pPr>
            <w:r>
              <w:rPr>
                <w:rFonts w:cs="Segoe UI"/>
                <w:sz w:val="17"/>
                <w:szCs w:val="17"/>
              </w:rPr>
              <w:t>24a</w:t>
            </w:r>
          </w:p>
        </w:tc>
        <w:tc>
          <w:tcPr>
            <w:tcW w:w="5245" w:type="dxa"/>
            <w:tcBorders>
              <w:left w:val="single" w:sz="4" w:space="0" w:color="auto"/>
              <w:right w:val="single" w:sz="4" w:space="0" w:color="auto"/>
            </w:tcBorders>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r>
              <w:rPr>
                <w:rFonts w:cs="Segoe UI"/>
                <w:sz w:val="17"/>
                <w:szCs w:val="17"/>
                <w:lang w:eastAsia="en-GB"/>
              </w:rPr>
              <w:t>Sovereign concentration risk</w:t>
            </w:r>
          </w:p>
        </w:tc>
        <w:tc>
          <w:tcPr>
            <w:tcW w:w="921" w:type="dxa"/>
            <w:tcBorders>
              <w:top w:val="single" w:sz="4" w:space="0" w:color="BFBFBF"/>
              <w:left w:val="single" w:sz="4" w:space="0" w:color="auto"/>
              <w:bottom w:val="single" w:sz="4" w:space="0" w:color="BFBFBF"/>
              <w:right w:val="single" w:sz="4" w:space="0" w:color="auto"/>
            </w:tcBorders>
            <w:shd w:val="clear" w:color="auto" w:fill="auto"/>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c>
          <w:tcPr>
            <w:tcW w:w="567" w:type="dxa"/>
            <w:tcBorders>
              <w:left w:val="nil"/>
              <w:right w:val="single" w:sz="4" w:space="0" w:color="auto"/>
            </w:tcBorders>
          </w:tcPr>
          <w:p w:rsidR="002A0515" w:rsidRPr="00775EFE" w:rsidRDefault="002A0515" w:rsidP="00A54BE4">
            <w:pPr>
              <w:keepLines/>
              <w:tabs>
                <w:tab w:val="left" w:pos="397"/>
                <w:tab w:val="left" w:pos="794"/>
                <w:tab w:val="left" w:pos="1191"/>
              </w:tabs>
              <w:snapToGrid w:val="0"/>
              <w:spacing w:before="20" w:after="20"/>
              <w:rPr>
                <w:rFonts w:cs="Segoe UI"/>
                <w:sz w:val="17"/>
                <w:szCs w:val="17"/>
              </w:rPr>
            </w:pPr>
            <w:r w:rsidRPr="00775EFE">
              <w:rPr>
                <w:rFonts w:cs="Segoe UI" w:hint="eastAsia"/>
                <w:sz w:val="17"/>
                <w:szCs w:val="17"/>
              </w:rPr>
              <w:t>25</w:t>
            </w:r>
          </w:p>
        </w:tc>
        <w:tc>
          <w:tcPr>
            <w:tcW w:w="5245" w:type="dxa"/>
            <w:tcBorders>
              <w:left w:val="single" w:sz="4" w:space="0" w:color="auto"/>
              <w:bottom w:val="single" w:sz="4" w:space="0" w:color="BCBDBC"/>
              <w:right w:val="single" w:sz="4" w:space="0" w:color="auto"/>
            </w:tcBorders>
          </w:tcPr>
          <w:p w:rsidR="002A0515" w:rsidRPr="008D345C" w:rsidRDefault="002A0515" w:rsidP="00A54BE4">
            <w:pPr>
              <w:keepLines/>
              <w:tabs>
                <w:tab w:val="left" w:pos="397"/>
                <w:tab w:val="left" w:pos="794"/>
                <w:tab w:val="left" w:pos="1191"/>
              </w:tabs>
              <w:snapToGrid w:val="0"/>
              <w:spacing w:before="20" w:after="20"/>
              <w:rPr>
                <w:rFonts w:cs="Segoe UI"/>
                <w:sz w:val="17"/>
                <w:szCs w:val="17"/>
                <w:lang w:eastAsia="en-GB"/>
              </w:rPr>
            </w:pPr>
            <w:r w:rsidRPr="004E457E">
              <w:rPr>
                <w:rFonts w:cs="Segoe UI"/>
                <w:sz w:val="17"/>
                <w:szCs w:val="17"/>
                <w:lang w:eastAsia="en-GB"/>
              </w:rPr>
              <w:t>Amounts below the thresholds for deduction (subject to 250% RW)</w:t>
            </w:r>
          </w:p>
        </w:tc>
        <w:tc>
          <w:tcPr>
            <w:tcW w:w="921" w:type="dxa"/>
            <w:tcBorders>
              <w:left w:val="single" w:sz="4" w:space="0" w:color="auto"/>
              <w:bottom w:val="single" w:sz="4" w:space="0" w:color="BFBFBF"/>
              <w:right w:val="single" w:sz="4" w:space="0" w:color="auto"/>
            </w:tcBorders>
            <w:shd w:val="clear" w:color="auto" w:fill="auto"/>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c>
          <w:tcPr>
            <w:tcW w:w="567" w:type="dxa"/>
            <w:tcBorders>
              <w:left w:val="nil"/>
              <w:right w:val="single" w:sz="4" w:space="0" w:color="auto"/>
            </w:tcBorders>
          </w:tcPr>
          <w:p w:rsidR="002A0515" w:rsidRPr="00775EFE" w:rsidRDefault="002A0515" w:rsidP="00A54BE4">
            <w:pPr>
              <w:keepLines/>
              <w:tabs>
                <w:tab w:val="left" w:pos="397"/>
                <w:tab w:val="left" w:pos="794"/>
                <w:tab w:val="left" w:pos="1191"/>
              </w:tabs>
              <w:snapToGrid w:val="0"/>
              <w:spacing w:before="20" w:after="20"/>
              <w:rPr>
                <w:rFonts w:cs="Segoe UI"/>
                <w:sz w:val="17"/>
                <w:szCs w:val="17"/>
              </w:rPr>
            </w:pPr>
            <w:r w:rsidRPr="00775EFE">
              <w:rPr>
                <w:rFonts w:cs="Segoe UI" w:hint="eastAsia"/>
                <w:sz w:val="17"/>
                <w:szCs w:val="17"/>
              </w:rPr>
              <w:t>26</w:t>
            </w:r>
          </w:p>
        </w:tc>
        <w:tc>
          <w:tcPr>
            <w:tcW w:w="5245" w:type="dxa"/>
            <w:tcBorders>
              <w:left w:val="single" w:sz="4" w:space="0" w:color="auto"/>
              <w:bottom w:val="single" w:sz="4" w:space="0" w:color="BCBDBC"/>
              <w:right w:val="single" w:sz="4" w:space="0" w:color="auto"/>
            </w:tcBorders>
          </w:tcPr>
          <w:p w:rsidR="002A0515" w:rsidRPr="004E457E" w:rsidRDefault="002A0515" w:rsidP="00A54BE4">
            <w:pPr>
              <w:keepLines/>
              <w:tabs>
                <w:tab w:val="left" w:pos="397"/>
                <w:tab w:val="left" w:pos="794"/>
                <w:tab w:val="left" w:pos="1191"/>
              </w:tabs>
              <w:snapToGrid w:val="0"/>
              <w:spacing w:before="20" w:after="20"/>
              <w:rPr>
                <w:rFonts w:cs="Segoe UI"/>
                <w:noProof/>
                <w:sz w:val="17"/>
                <w:szCs w:val="17"/>
                <w:lang w:eastAsia="en-GB"/>
              </w:rPr>
            </w:pPr>
            <w:r w:rsidRPr="004E457E">
              <w:rPr>
                <w:rFonts w:cs="Segoe UI"/>
                <w:sz w:val="17"/>
                <w:szCs w:val="17"/>
                <w:lang w:eastAsia="en-GB"/>
              </w:rPr>
              <w:t>Capital floor adjustment</w:t>
            </w:r>
          </w:p>
        </w:tc>
        <w:tc>
          <w:tcPr>
            <w:tcW w:w="921" w:type="dxa"/>
            <w:tcBorders>
              <w:left w:val="single" w:sz="4" w:space="0" w:color="auto"/>
              <w:bottom w:val="single" w:sz="4" w:space="0" w:color="BFBFBF"/>
              <w:right w:val="single" w:sz="4" w:space="0" w:color="auto"/>
            </w:tcBorders>
            <w:shd w:val="clear" w:color="auto" w:fill="auto"/>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c>
          <w:tcPr>
            <w:tcW w:w="567" w:type="dxa"/>
            <w:tcBorders>
              <w:left w:val="nil"/>
              <w:right w:val="single" w:sz="4" w:space="0" w:color="auto"/>
            </w:tcBorders>
          </w:tcPr>
          <w:p w:rsidR="002A0515" w:rsidRPr="00775EFE" w:rsidRDefault="002A0515" w:rsidP="00A54BE4">
            <w:pPr>
              <w:keepLines/>
              <w:tabs>
                <w:tab w:val="left" w:pos="397"/>
                <w:tab w:val="left" w:pos="794"/>
                <w:tab w:val="left" w:pos="1191"/>
              </w:tabs>
              <w:snapToGrid w:val="0"/>
              <w:spacing w:before="20" w:after="20"/>
              <w:rPr>
                <w:rFonts w:cs="Segoe UI"/>
                <w:sz w:val="17"/>
                <w:szCs w:val="17"/>
              </w:rPr>
            </w:pPr>
            <w:r w:rsidRPr="00775EFE">
              <w:rPr>
                <w:rFonts w:cs="Segoe UI" w:hint="eastAsia"/>
                <w:sz w:val="17"/>
                <w:szCs w:val="17"/>
              </w:rPr>
              <w:t>26a</w:t>
            </w:r>
          </w:p>
        </w:tc>
        <w:tc>
          <w:tcPr>
            <w:tcW w:w="5245" w:type="dxa"/>
            <w:tcBorders>
              <w:left w:val="single" w:sz="4" w:space="0" w:color="auto"/>
              <w:bottom w:val="single" w:sz="4" w:space="0" w:color="BCBDBC"/>
              <w:right w:val="single" w:sz="4" w:space="0" w:color="auto"/>
            </w:tcBorders>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r w:rsidRPr="004E457E">
              <w:rPr>
                <w:rFonts w:cs="Segoe UI"/>
                <w:sz w:val="17"/>
                <w:szCs w:val="17"/>
                <w:lang w:eastAsia="en-GB"/>
              </w:rPr>
              <w:t>Deduction to RWA</w:t>
            </w:r>
          </w:p>
        </w:tc>
        <w:tc>
          <w:tcPr>
            <w:tcW w:w="921" w:type="dxa"/>
            <w:tcBorders>
              <w:left w:val="single" w:sz="4" w:space="0" w:color="auto"/>
              <w:bottom w:val="single" w:sz="4" w:space="0" w:color="BFBFBF"/>
              <w:right w:val="single" w:sz="4" w:space="0" w:color="auto"/>
            </w:tcBorders>
            <w:shd w:val="clear" w:color="auto" w:fill="auto"/>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c>
          <w:tcPr>
            <w:tcW w:w="567" w:type="dxa"/>
            <w:tcBorders>
              <w:left w:val="nil"/>
              <w:right w:val="single" w:sz="4" w:space="0" w:color="auto"/>
            </w:tcBorders>
          </w:tcPr>
          <w:p w:rsidR="002A0515" w:rsidRPr="00775EFE" w:rsidRDefault="002A0515" w:rsidP="00A54BE4">
            <w:pPr>
              <w:keepLines/>
              <w:tabs>
                <w:tab w:val="left" w:pos="397"/>
                <w:tab w:val="left" w:pos="794"/>
                <w:tab w:val="left" w:pos="1191"/>
              </w:tabs>
              <w:snapToGrid w:val="0"/>
              <w:spacing w:before="20" w:after="20"/>
              <w:rPr>
                <w:rFonts w:cs="Segoe UI"/>
                <w:sz w:val="17"/>
                <w:szCs w:val="17"/>
              </w:rPr>
            </w:pPr>
            <w:r w:rsidRPr="00775EFE">
              <w:rPr>
                <w:rFonts w:cs="Segoe UI" w:hint="eastAsia"/>
                <w:sz w:val="17"/>
                <w:szCs w:val="17"/>
              </w:rPr>
              <w:t>26b</w:t>
            </w:r>
          </w:p>
        </w:tc>
        <w:tc>
          <w:tcPr>
            <w:tcW w:w="5245" w:type="dxa"/>
            <w:tcBorders>
              <w:left w:val="single" w:sz="4" w:space="0" w:color="auto"/>
              <w:bottom w:val="single" w:sz="4" w:space="0" w:color="BCBDBC"/>
              <w:right w:val="single" w:sz="4" w:space="0" w:color="auto"/>
            </w:tcBorders>
          </w:tcPr>
          <w:p w:rsidR="002A0515" w:rsidRPr="004E457E" w:rsidRDefault="002A0515" w:rsidP="00A54BE4">
            <w:pPr>
              <w:keepLines/>
              <w:tabs>
                <w:tab w:val="left" w:pos="397"/>
                <w:tab w:val="left" w:pos="794"/>
                <w:tab w:val="left" w:pos="1191"/>
              </w:tabs>
              <w:snapToGrid w:val="0"/>
              <w:spacing w:before="20" w:after="20"/>
              <w:ind w:leftChars="159" w:left="318"/>
              <w:rPr>
                <w:rFonts w:cs="Segoe UI"/>
                <w:sz w:val="17"/>
                <w:szCs w:val="17"/>
                <w:lang w:eastAsia="en-GB"/>
              </w:rPr>
            </w:pPr>
            <w:r w:rsidRPr="004E457E">
              <w:rPr>
                <w:rFonts w:cs="Segoe UI"/>
                <w:sz w:val="17"/>
                <w:szCs w:val="17"/>
                <w:lang w:eastAsia="en-GB"/>
              </w:rPr>
              <w:t>Of which portion of regulatory reserve for general banking risks and collective provisions which is not included in Tier 2 Capital</w:t>
            </w:r>
          </w:p>
        </w:tc>
        <w:tc>
          <w:tcPr>
            <w:tcW w:w="921" w:type="dxa"/>
            <w:tcBorders>
              <w:left w:val="single" w:sz="4" w:space="0" w:color="auto"/>
              <w:bottom w:val="single" w:sz="4" w:space="0" w:color="BFBFBF"/>
              <w:right w:val="single" w:sz="4" w:space="0" w:color="auto"/>
            </w:tcBorders>
            <w:shd w:val="clear" w:color="auto" w:fill="auto"/>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c>
          <w:tcPr>
            <w:tcW w:w="567" w:type="dxa"/>
            <w:tcBorders>
              <w:left w:val="nil"/>
              <w:right w:val="single" w:sz="4" w:space="0" w:color="auto"/>
            </w:tcBorders>
          </w:tcPr>
          <w:p w:rsidR="002A0515" w:rsidRPr="00775EFE" w:rsidRDefault="002A0515" w:rsidP="00A54BE4">
            <w:pPr>
              <w:keepLines/>
              <w:tabs>
                <w:tab w:val="left" w:pos="397"/>
                <w:tab w:val="left" w:pos="794"/>
                <w:tab w:val="left" w:pos="1191"/>
              </w:tabs>
              <w:snapToGrid w:val="0"/>
              <w:spacing w:before="20" w:after="20"/>
              <w:rPr>
                <w:rFonts w:cs="Segoe UI"/>
                <w:sz w:val="17"/>
                <w:szCs w:val="17"/>
              </w:rPr>
            </w:pPr>
            <w:r w:rsidRPr="00775EFE">
              <w:rPr>
                <w:rFonts w:cs="Segoe UI" w:hint="eastAsia"/>
                <w:sz w:val="17"/>
                <w:szCs w:val="17"/>
              </w:rPr>
              <w:t>26c</w:t>
            </w:r>
          </w:p>
        </w:tc>
        <w:tc>
          <w:tcPr>
            <w:tcW w:w="5245" w:type="dxa"/>
            <w:tcBorders>
              <w:left w:val="single" w:sz="4" w:space="0" w:color="auto"/>
              <w:bottom w:val="single" w:sz="4" w:space="0" w:color="BCBDBC"/>
              <w:right w:val="single" w:sz="4" w:space="0" w:color="auto"/>
            </w:tcBorders>
          </w:tcPr>
          <w:p w:rsidR="002A0515" w:rsidRPr="004E457E" w:rsidRDefault="002A0515" w:rsidP="00A54BE4">
            <w:pPr>
              <w:keepLines/>
              <w:tabs>
                <w:tab w:val="left" w:pos="397"/>
                <w:tab w:val="left" w:pos="794"/>
                <w:tab w:val="left" w:pos="1191"/>
              </w:tabs>
              <w:snapToGrid w:val="0"/>
              <w:spacing w:before="20" w:after="20"/>
              <w:ind w:leftChars="159" w:left="318"/>
              <w:rPr>
                <w:rFonts w:cs="Segoe UI"/>
                <w:sz w:val="17"/>
                <w:szCs w:val="17"/>
                <w:lang w:eastAsia="en-GB"/>
              </w:rPr>
            </w:pPr>
            <w:r w:rsidRPr="004E457E">
              <w:rPr>
                <w:rFonts w:cs="Segoe UI"/>
                <w:sz w:val="17"/>
                <w:szCs w:val="17"/>
                <w:lang w:eastAsia="en-GB"/>
              </w:rPr>
              <w:t>Of which portion of cumulative fair value gains arising from the revaluation of land and buildings which is not included in Tier 2 Capital</w:t>
            </w:r>
          </w:p>
        </w:tc>
        <w:tc>
          <w:tcPr>
            <w:tcW w:w="921" w:type="dxa"/>
            <w:tcBorders>
              <w:left w:val="single" w:sz="4" w:space="0" w:color="auto"/>
              <w:bottom w:val="single" w:sz="4" w:space="0" w:color="BFBFBF"/>
              <w:right w:val="single" w:sz="4" w:space="0" w:color="auto"/>
            </w:tcBorders>
            <w:shd w:val="clear" w:color="auto" w:fill="auto"/>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rPr>
          <w:trHeight w:val="281"/>
        </w:trPr>
        <w:tc>
          <w:tcPr>
            <w:tcW w:w="567" w:type="dxa"/>
            <w:tcBorders>
              <w:left w:val="nil"/>
              <w:bottom w:val="single" w:sz="4" w:space="0" w:color="auto"/>
              <w:right w:val="single" w:sz="4" w:space="0" w:color="auto"/>
            </w:tcBorders>
          </w:tcPr>
          <w:p w:rsidR="002A0515" w:rsidRPr="00775EFE" w:rsidRDefault="002A0515" w:rsidP="00A54BE4">
            <w:pPr>
              <w:keepLines/>
              <w:tabs>
                <w:tab w:val="left" w:pos="397"/>
                <w:tab w:val="left" w:pos="794"/>
                <w:tab w:val="left" w:pos="1191"/>
              </w:tabs>
              <w:snapToGrid w:val="0"/>
              <w:spacing w:before="20" w:after="20"/>
              <w:rPr>
                <w:rFonts w:cs="Segoe UI"/>
                <w:sz w:val="17"/>
                <w:szCs w:val="17"/>
              </w:rPr>
            </w:pPr>
            <w:r w:rsidRPr="00775EFE">
              <w:rPr>
                <w:rFonts w:cs="Segoe UI" w:hint="eastAsia"/>
                <w:sz w:val="17"/>
                <w:szCs w:val="17"/>
              </w:rPr>
              <w:t>27</w:t>
            </w:r>
          </w:p>
        </w:tc>
        <w:tc>
          <w:tcPr>
            <w:tcW w:w="5245" w:type="dxa"/>
            <w:tcBorders>
              <w:left w:val="single" w:sz="4" w:space="0" w:color="auto"/>
              <w:bottom w:val="single" w:sz="4" w:space="0" w:color="auto"/>
              <w:right w:val="single" w:sz="4" w:space="0" w:color="auto"/>
            </w:tcBorders>
            <w:vAlign w:val="center"/>
          </w:tcPr>
          <w:p w:rsidR="002A0515" w:rsidRPr="004E457E" w:rsidRDefault="002A0515" w:rsidP="00A54BE4">
            <w:pPr>
              <w:keepLines/>
              <w:tabs>
                <w:tab w:val="left" w:pos="397"/>
                <w:tab w:val="left" w:pos="794"/>
                <w:tab w:val="left" w:pos="1191"/>
              </w:tabs>
              <w:snapToGrid w:val="0"/>
              <w:spacing w:before="20" w:after="20"/>
              <w:rPr>
                <w:rFonts w:cs="Segoe UI"/>
                <w:noProof/>
                <w:sz w:val="17"/>
                <w:szCs w:val="17"/>
                <w:lang w:eastAsia="en-GB"/>
              </w:rPr>
            </w:pPr>
            <w:r w:rsidRPr="004E457E">
              <w:rPr>
                <w:rFonts w:cs="Segoe UI"/>
                <w:sz w:val="17"/>
                <w:szCs w:val="17"/>
                <w:lang w:eastAsia="en-GB"/>
              </w:rPr>
              <w:t>Total</w:t>
            </w:r>
          </w:p>
        </w:tc>
        <w:tc>
          <w:tcPr>
            <w:tcW w:w="921" w:type="dxa"/>
            <w:tcBorders>
              <w:top w:val="single" w:sz="4" w:space="0" w:color="BFBFBF"/>
              <w:left w:val="single" w:sz="4" w:space="0" w:color="auto"/>
              <w:bottom w:val="single" w:sz="4" w:space="0" w:color="auto"/>
              <w:right w:val="single" w:sz="4" w:space="0" w:color="auto"/>
            </w:tcBorders>
            <w:shd w:val="clear" w:color="auto" w:fill="auto"/>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auto"/>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auto"/>
              <w:right w:val="single" w:sz="4" w:space="0" w:color="auto"/>
            </w:tcBorders>
            <w:shd w:val="clear" w:color="auto" w:fill="FFFFFF"/>
          </w:tcPr>
          <w:p w:rsidR="002A0515" w:rsidRPr="004E457E" w:rsidRDefault="002A0515" w:rsidP="00A54BE4">
            <w:pPr>
              <w:keepLines/>
              <w:tabs>
                <w:tab w:val="left" w:pos="397"/>
                <w:tab w:val="left" w:pos="794"/>
                <w:tab w:val="left" w:pos="1191"/>
              </w:tabs>
              <w:snapToGrid w:val="0"/>
              <w:spacing w:before="20" w:after="20"/>
              <w:rPr>
                <w:rFonts w:cs="Segoe UI"/>
                <w:sz w:val="17"/>
                <w:szCs w:val="17"/>
                <w:lang w:eastAsia="en-GB"/>
              </w:rPr>
            </w:pPr>
          </w:p>
        </w:tc>
      </w:tr>
      <w:tr w:rsidR="002A0515" w:rsidRPr="004E457E" w:rsidTr="00A54BE4">
        <w:trPr>
          <w:trHeight w:val="281"/>
        </w:trPr>
        <w:tc>
          <w:tcPr>
            <w:tcW w:w="9214" w:type="dxa"/>
            <w:gridSpan w:val="5"/>
            <w:tcBorders>
              <w:top w:val="single" w:sz="4" w:space="0" w:color="auto"/>
              <w:left w:val="nil"/>
              <w:bottom w:val="single" w:sz="4" w:space="0" w:color="auto"/>
              <w:right w:val="single" w:sz="4" w:space="0" w:color="auto"/>
            </w:tcBorders>
          </w:tcPr>
          <w:p w:rsidR="002A0515" w:rsidRPr="002705AD" w:rsidRDefault="002A0515" w:rsidP="00A54BE4">
            <w:pPr>
              <w:keepLines/>
              <w:tabs>
                <w:tab w:val="left" w:pos="397"/>
                <w:tab w:val="left" w:pos="794"/>
                <w:tab w:val="left" w:pos="1191"/>
              </w:tabs>
              <w:snapToGrid w:val="0"/>
              <w:spacing w:before="20" w:after="20"/>
              <w:rPr>
                <w:rFonts w:cs="Segoe UI"/>
                <w:i/>
                <w:sz w:val="16"/>
                <w:szCs w:val="16"/>
                <w:lang w:eastAsia="en-GB"/>
              </w:rPr>
            </w:pPr>
            <w:r w:rsidRPr="002705AD">
              <w:rPr>
                <w:rFonts w:cs="Segoe UI"/>
                <w:i/>
                <w:sz w:val="16"/>
                <w:szCs w:val="16"/>
                <w:lang w:eastAsia="en-GB"/>
              </w:rPr>
              <w:t>Point to note:</w:t>
            </w:r>
          </w:p>
          <w:p w:rsidR="002A0515" w:rsidRPr="002705AD" w:rsidRDefault="002A0515" w:rsidP="002A0515">
            <w:pPr>
              <w:pStyle w:val="ListParagraph"/>
              <w:keepLines/>
              <w:widowControl w:val="0"/>
              <w:numPr>
                <w:ilvl w:val="0"/>
                <w:numId w:val="79"/>
              </w:numPr>
              <w:snapToGrid w:val="0"/>
              <w:spacing w:before="20" w:after="20"/>
              <w:ind w:leftChars="0" w:left="317" w:hanging="317"/>
              <w:jc w:val="both"/>
              <w:rPr>
                <w:rFonts w:cs="Segoe UI"/>
                <w:sz w:val="17"/>
                <w:szCs w:val="17"/>
                <w:lang w:eastAsia="en-GB"/>
              </w:rPr>
            </w:pPr>
            <w:r w:rsidRPr="002705AD">
              <w:rPr>
                <w:rFonts w:cs="Segoe UI"/>
                <w:i/>
                <w:sz w:val="16"/>
                <w:szCs w:val="16"/>
                <w:lang w:eastAsia="en-GB"/>
              </w:rPr>
              <w:t xml:space="preserve">Items marked with an asterisk </w:t>
            </w:r>
            <w:r>
              <w:rPr>
                <w:rFonts w:cs="Segoe UI"/>
                <w:i/>
                <w:sz w:val="16"/>
                <w:szCs w:val="16"/>
                <w:lang w:eastAsia="en-GB"/>
              </w:rPr>
              <w:t xml:space="preserve">(*) </w:t>
            </w:r>
            <w:r w:rsidRPr="002705AD">
              <w:rPr>
                <w:rFonts w:cs="Segoe UI"/>
                <w:i/>
                <w:sz w:val="16"/>
                <w:szCs w:val="16"/>
                <w:lang w:eastAsia="en-GB"/>
              </w:rPr>
              <w:t>will be applicable only after their respective policy frameworks take effect.</w:t>
            </w:r>
            <w:r>
              <w:rPr>
                <w:rFonts w:cs="Segoe UI"/>
                <w:i/>
                <w:sz w:val="16"/>
                <w:szCs w:val="16"/>
                <w:lang w:eastAsia="en-GB"/>
              </w:rPr>
              <w:t xml:space="preserve"> Until then, “Not applicable” should be reported in the rows.</w:t>
            </w:r>
          </w:p>
        </w:tc>
      </w:tr>
    </w:tbl>
    <w:p w:rsidR="002A0515" w:rsidRPr="004E457E" w:rsidRDefault="002A0515" w:rsidP="002A0515">
      <w:pPr>
        <w:spacing w:before="120" w:after="120"/>
        <w:ind w:leftChars="-283" w:left="-566"/>
        <w:rPr>
          <w:sz w:val="22"/>
        </w:rPr>
      </w:pP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8647"/>
      </w:tblGrid>
      <w:tr w:rsidR="002A0515" w:rsidRPr="004E457E" w:rsidTr="00A54BE4">
        <w:trPr>
          <w:tblHeader/>
        </w:trPr>
        <w:tc>
          <w:tcPr>
            <w:tcW w:w="9214" w:type="dxa"/>
            <w:gridSpan w:val="2"/>
            <w:shd w:val="clear" w:color="auto" w:fill="BFBFBF"/>
          </w:tcPr>
          <w:p w:rsidR="002A0515" w:rsidRPr="004E457E" w:rsidRDefault="002A0515" w:rsidP="00A54BE4">
            <w:pPr>
              <w:keepLines/>
              <w:tabs>
                <w:tab w:val="left" w:pos="150"/>
                <w:tab w:val="left" w:pos="397"/>
                <w:tab w:val="left" w:pos="794"/>
                <w:tab w:val="left" w:pos="1191"/>
              </w:tabs>
              <w:spacing w:before="40" w:after="40"/>
              <w:rPr>
                <w:rFonts w:eastAsia="新細明體"/>
                <w:b/>
                <w:sz w:val="17"/>
                <w:lang w:eastAsia="en-GB"/>
              </w:rPr>
            </w:pPr>
            <w:r w:rsidRPr="004E457E">
              <w:rPr>
                <w:rFonts w:eastAsia="新細明體"/>
                <w:b/>
                <w:sz w:val="17"/>
                <w:lang w:eastAsia="en-GB"/>
              </w:rPr>
              <w:t>Explanatory Note</w:t>
            </w:r>
          </w:p>
        </w:tc>
      </w:tr>
      <w:tr w:rsidR="002A0515" w:rsidRPr="004E457E" w:rsidTr="00A54BE4">
        <w:trPr>
          <w:trHeight w:val="153"/>
        </w:trPr>
        <w:tc>
          <w:tcPr>
            <w:tcW w:w="9214" w:type="dxa"/>
            <w:gridSpan w:val="2"/>
            <w:shd w:val="clear" w:color="auto" w:fill="F2F2F2"/>
          </w:tcPr>
          <w:p w:rsidR="002A0515" w:rsidRPr="004E457E" w:rsidRDefault="002A0515" w:rsidP="00A54BE4">
            <w:pPr>
              <w:keepLines/>
              <w:tabs>
                <w:tab w:val="left" w:pos="150"/>
                <w:tab w:val="left" w:pos="397"/>
                <w:tab w:val="left" w:pos="794"/>
                <w:tab w:val="left" w:pos="1191"/>
              </w:tabs>
              <w:spacing w:before="40" w:after="40"/>
              <w:rPr>
                <w:rFonts w:eastAsia="新細明體"/>
                <w:b/>
                <w:sz w:val="17"/>
                <w:lang w:eastAsia="en-GB"/>
              </w:rPr>
            </w:pPr>
            <w:r w:rsidRPr="004E457E">
              <w:rPr>
                <w:rFonts w:eastAsia="新細明體"/>
                <w:b/>
                <w:sz w:val="17"/>
                <w:lang w:eastAsia="en-GB"/>
              </w:rPr>
              <w:t>Columns</w:t>
            </w:r>
          </w:p>
        </w:tc>
      </w:tr>
      <w:tr w:rsidR="002A0515" w:rsidRPr="004E457E" w:rsidTr="00A54BE4">
        <w:tc>
          <w:tcPr>
            <w:tcW w:w="567" w:type="dxa"/>
            <w:shd w:val="clear" w:color="auto" w:fill="auto"/>
          </w:tcPr>
          <w:p w:rsidR="002A0515" w:rsidRPr="004E457E" w:rsidRDefault="002A0515" w:rsidP="00A54BE4">
            <w:pPr>
              <w:keepLines/>
              <w:tabs>
                <w:tab w:val="left" w:pos="150"/>
                <w:tab w:val="left" w:pos="397"/>
                <w:tab w:val="left" w:pos="794"/>
                <w:tab w:val="left" w:pos="1191"/>
              </w:tabs>
              <w:spacing w:before="40" w:after="40"/>
              <w:rPr>
                <w:rFonts w:cs="Segoe UI"/>
                <w:sz w:val="17"/>
                <w:szCs w:val="17"/>
                <w:lang w:eastAsia="en-GB"/>
              </w:rPr>
            </w:pPr>
            <w:r w:rsidRPr="004E457E">
              <w:rPr>
                <w:rFonts w:cs="Segoe UI"/>
                <w:sz w:val="17"/>
                <w:szCs w:val="17"/>
                <w:lang w:eastAsia="en-GB"/>
              </w:rPr>
              <w:t>(a)</w:t>
            </w:r>
          </w:p>
        </w:tc>
        <w:tc>
          <w:tcPr>
            <w:tcW w:w="8647" w:type="dxa"/>
            <w:shd w:val="clear" w:color="auto" w:fill="auto"/>
          </w:tcPr>
          <w:p w:rsidR="002A0515" w:rsidRPr="004E457E" w:rsidRDefault="002A0515" w:rsidP="00A54BE4">
            <w:pPr>
              <w:keepLines/>
              <w:tabs>
                <w:tab w:val="left" w:pos="150"/>
                <w:tab w:val="left" w:pos="397"/>
                <w:tab w:val="left" w:pos="794"/>
                <w:tab w:val="left" w:pos="1191"/>
              </w:tabs>
              <w:spacing w:before="40" w:after="40"/>
              <w:jc w:val="both"/>
              <w:rPr>
                <w:rFonts w:cs="Segoe UI"/>
                <w:sz w:val="17"/>
                <w:szCs w:val="17"/>
                <w:lang w:eastAsia="en-GB"/>
              </w:rPr>
            </w:pPr>
            <w:bookmarkStart w:id="1" w:name="_Toc404082824"/>
            <w:bookmarkStart w:id="2" w:name="_Toc404327946"/>
            <w:r w:rsidRPr="004E457E">
              <w:rPr>
                <w:rFonts w:cs="Segoe UI"/>
                <w:i/>
                <w:sz w:val="17"/>
                <w:szCs w:val="17"/>
              </w:rPr>
              <w:t>RWA (T)</w:t>
            </w:r>
            <w:r w:rsidRPr="004E457E">
              <w:rPr>
                <w:rFonts w:cs="Segoe UI"/>
                <w:sz w:val="17"/>
                <w:szCs w:val="17"/>
              </w:rPr>
              <w:t>:</w:t>
            </w:r>
            <w:r w:rsidRPr="004E457E">
              <w:rPr>
                <w:rFonts w:cs="Segoe UI"/>
                <w:i/>
                <w:sz w:val="17"/>
                <w:szCs w:val="17"/>
              </w:rPr>
              <w:t xml:space="preserve"> </w:t>
            </w:r>
            <w:r w:rsidRPr="004E457E">
              <w:rPr>
                <w:rFonts w:cs="Segoe UI"/>
                <w:sz w:val="17"/>
                <w:szCs w:val="17"/>
              </w:rPr>
              <w:t>RWA referred to in the BCR</w:t>
            </w:r>
            <w:r>
              <w:rPr>
                <w:rFonts w:cs="Segoe UI"/>
                <w:sz w:val="17"/>
                <w:szCs w:val="17"/>
              </w:rPr>
              <w:t xml:space="preserve"> </w:t>
            </w:r>
            <w:r w:rsidRPr="004E457E">
              <w:rPr>
                <w:rFonts w:cs="Segoe UI"/>
                <w:sz w:val="17"/>
                <w:szCs w:val="17"/>
              </w:rPr>
              <w:t xml:space="preserve">and as reported in accordance with the subsequent parts of this document.  Where the output of a calculation approach is a capital charge instead of a RWA (e.g. the approaches for market risk and operational risk), an AI should calculate the RWA by multiplying capital charge by </w:t>
            </w:r>
            <w:r w:rsidRPr="00303B03">
              <w:rPr>
                <w:rFonts w:cs="Segoe UI"/>
                <w:sz w:val="17"/>
                <w:szCs w:val="17"/>
              </w:rPr>
              <w:t>12.5.</w:t>
            </w:r>
            <w:bookmarkEnd w:id="1"/>
            <w:bookmarkEnd w:id="2"/>
          </w:p>
        </w:tc>
      </w:tr>
      <w:tr w:rsidR="002A0515" w:rsidRPr="004E457E" w:rsidTr="00A54BE4">
        <w:trPr>
          <w:trHeight w:val="373"/>
        </w:trPr>
        <w:tc>
          <w:tcPr>
            <w:tcW w:w="567" w:type="dxa"/>
            <w:shd w:val="clear" w:color="auto" w:fill="auto"/>
          </w:tcPr>
          <w:p w:rsidR="002A0515" w:rsidRPr="004E457E" w:rsidRDefault="002A0515" w:rsidP="00A54BE4">
            <w:pPr>
              <w:keepLines/>
              <w:tabs>
                <w:tab w:val="left" w:pos="150"/>
                <w:tab w:val="left" w:pos="397"/>
                <w:tab w:val="left" w:pos="794"/>
                <w:tab w:val="left" w:pos="1191"/>
              </w:tabs>
              <w:spacing w:before="40" w:after="40"/>
              <w:rPr>
                <w:rFonts w:cs="Segoe UI"/>
                <w:sz w:val="17"/>
                <w:szCs w:val="17"/>
                <w:lang w:eastAsia="en-GB"/>
              </w:rPr>
            </w:pPr>
            <w:r w:rsidRPr="004E457E">
              <w:rPr>
                <w:rFonts w:cs="Segoe UI"/>
                <w:sz w:val="17"/>
                <w:szCs w:val="17"/>
                <w:lang w:eastAsia="en-GB"/>
              </w:rPr>
              <w:t>(b)</w:t>
            </w:r>
          </w:p>
        </w:tc>
        <w:tc>
          <w:tcPr>
            <w:tcW w:w="8647" w:type="dxa"/>
            <w:shd w:val="clear" w:color="auto" w:fill="auto"/>
          </w:tcPr>
          <w:p w:rsidR="002A0515" w:rsidRPr="004E457E" w:rsidRDefault="002A0515" w:rsidP="00A54BE4">
            <w:pPr>
              <w:keepLines/>
              <w:tabs>
                <w:tab w:val="left" w:pos="150"/>
                <w:tab w:val="left" w:pos="397"/>
                <w:tab w:val="left" w:pos="794"/>
                <w:tab w:val="left" w:pos="1191"/>
              </w:tabs>
              <w:spacing w:before="40" w:after="40"/>
              <w:jc w:val="both"/>
              <w:rPr>
                <w:rFonts w:cs="Segoe UI"/>
                <w:sz w:val="17"/>
                <w:szCs w:val="17"/>
                <w:lang w:eastAsia="en-GB"/>
              </w:rPr>
            </w:pPr>
            <w:r w:rsidRPr="004E457E">
              <w:rPr>
                <w:rFonts w:cs="Segoe UI"/>
                <w:i/>
                <w:sz w:val="17"/>
                <w:szCs w:val="17"/>
              </w:rPr>
              <w:t>RWA (T-1)</w:t>
            </w:r>
            <w:r w:rsidRPr="004E457E">
              <w:rPr>
                <w:rFonts w:cs="Segoe UI"/>
                <w:sz w:val="17"/>
                <w:szCs w:val="17"/>
              </w:rPr>
              <w:t>:</w:t>
            </w:r>
            <w:r w:rsidRPr="004E457E">
              <w:rPr>
                <w:rFonts w:cs="Segoe UI"/>
                <w:i/>
                <w:sz w:val="17"/>
                <w:szCs w:val="17"/>
              </w:rPr>
              <w:t xml:space="preserve"> </w:t>
            </w:r>
            <w:r w:rsidRPr="004E457E">
              <w:rPr>
                <w:rFonts w:cs="Segoe UI"/>
                <w:sz w:val="17"/>
                <w:szCs w:val="17"/>
              </w:rPr>
              <w:t>RWA as reported in the previous reporting period (i.e. at the end of the previous quarter) of this template.</w:t>
            </w:r>
          </w:p>
        </w:tc>
      </w:tr>
      <w:tr w:rsidR="002A0515" w:rsidRPr="004E457E" w:rsidTr="00A54BE4">
        <w:tc>
          <w:tcPr>
            <w:tcW w:w="567" w:type="dxa"/>
            <w:shd w:val="clear" w:color="auto" w:fill="auto"/>
          </w:tcPr>
          <w:p w:rsidR="002A0515" w:rsidRPr="004E457E" w:rsidRDefault="002A0515" w:rsidP="00A54BE4">
            <w:pPr>
              <w:keepLines/>
              <w:tabs>
                <w:tab w:val="left" w:pos="150"/>
                <w:tab w:val="left" w:pos="397"/>
                <w:tab w:val="left" w:pos="794"/>
                <w:tab w:val="left" w:pos="1191"/>
              </w:tabs>
              <w:spacing w:before="40" w:after="40"/>
              <w:rPr>
                <w:rFonts w:cs="Segoe UI"/>
                <w:sz w:val="17"/>
                <w:szCs w:val="17"/>
                <w:lang w:eastAsia="en-GB"/>
              </w:rPr>
            </w:pPr>
            <w:r w:rsidRPr="004E457E">
              <w:rPr>
                <w:rFonts w:cs="Segoe UI"/>
                <w:sz w:val="17"/>
                <w:szCs w:val="17"/>
                <w:lang w:eastAsia="en-GB"/>
              </w:rPr>
              <w:t>(c)</w:t>
            </w:r>
          </w:p>
        </w:tc>
        <w:tc>
          <w:tcPr>
            <w:tcW w:w="8647" w:type="dxa"/>
            <w:shd w:val="clear" w:color="auto" w:fill="auto"/>
          </w:tcPr>
          <w:p w:rsidR="002A0515" w:rsidRPr="004E457E" w:rsidRDefault="002A0515" w:rsidP="00A54BE4">
            <w:pPr>
              <w:keepLines/>
              <w:tabs>
                <w:tab w:val="left" w:pos="150"/>
                <w:tab w:val="left" w:pos="397"/>
                <w:tab w:val="left" w:pos="794"/>
                <w:tab w:val="left" w:pos="1191"/>
              </w:tabs>
              <w:spacing w:before="40" w:after="40"/>
              <w:jc w:val="both"/>
              <w:rPr>
                <w:rFonts w:cs="Segoe UI"/>
                <w:sz w:val="17"/>
                <w:szCs w:val="17"/>
                <w:lang w:eastAsia="en-GB"/>
              </w:rPr>
            </w:pPr>
            <w:bookmarkStart w:id="3" w:name="_Toc404082825"/>
            <w:bookmarkStart w:id="4" w:name="_Toc404327947"/>
            <w:r w:rsidRPr="004E457E">
              <w:rPr>
                <w:rFonts w:cs="Segoe UI"/>
                <w:i/>
                <w:sz w:val="17"/>
                <w:szCs w:val="17"/>
              </w:rPr>
              <w:t>Minimum capital requirement</w:t>
            </w:r>
            <w:r>
              <w:rPr>
                <w:rFonts w:cs="Segoe UI"/>
                <w:i/>
                <w:sz w:val="17"/>
                <w:szCs w:val="17"/>
              </w:rPr>
              <w:t>s</w:t>
            </w:r>
            <w:r w:rsidRPr="004E457E">
              <w:rPr>
                <w:rFonts w:cs="Segoe UI"/>
                <w:i/>
                <w:sz w:val="17"/>
                <w:szCs w:val="17"/>
              </w:rPr>
              <w:t xml:space="preserve"> (T): </w:t>
            </w:r>
            <w:r w:rsidRPr="004E457E">
              <w:rPr>
                <w:rFonts w:cs="Segoe UI"/>
                <w:sz w:val="17"/>
                <w:szCs w:val="17"/>
              </w:rPr>
              <w:t xml:space="preserve">Pillar 1 capital requirements, which in general are calculated as 8% of the RWA but may differ if a capital floor is applicable or adjustments (such as scaling factors) are applied </w:t>
            </w:r>
            <w:bookmarkEnd w:id="3"/>
            <w:bookmarkEnd w:id="4"/>
            <w:r w:rsidRPr="004E457E">
              <w:rPr>
                <w:rFonts w:cs="Segoe UI"/>
                <w:sz w:val="17"/>
                <w:szCs w:val="17"/>
              </w:rPr>
              <w:t xml:space="preserve">in accordance with the BCR, as of the reporting date.  </w:t>
            </w:r>
            <w:r w:rsidRPr="00F4169B">
              <w:rPr>
                <w:rFonts w:cs="Segoe UI"/>
                <w:sz w:val="17"/>
                <w:szCs w:val="17"/>
              </w:rPr>
              <w:t xml:space="preserve">Any such adjustments, if applicable, should be applied to all the applicable rows in column (c).  For example, an AI using the IRB approach for credit risk is required to apply a scaling factor of 1.06 as specified in section 224 of </w:t>
            </w:r>
            <w:r>
              <w:rPr>
                <w:rFonts w:cs="Segoe UI"/>
                <w:sz w:val="17"/>
                <w:szCs w:val="17"/>
              </w:rPr>
              <w:t xml:space="preserve">the </w:t>
            </w:r>
            <w:r w:rsidRPr="00F4169B">
              <w:rPr>
                <w:rFonts w:cs="Segoe UI"/>
                <w:sz w:val="17"/>
                <w:szCs w:val="17"/>
              </w:rPr>
              <w:t xml:space="preserve">BCR to column (c) of all the items the credit risk requirement of which are calculated in accordance with Part 6 of </w:t>
            </w:r>
            <w:r>
              <w:rPr>
                <w:rFonts w:cs="Segoe UI"/>
                <w:sz w:val="17"/>
                <w:szCs w:val="17"/>
              </w:rPr>
              <w:t>the BCR (i.e. RWA x 8% x 1.06).</w:t>
            </w:r>
            <w:r w:rsidRPr="00F4169B">
              <w:rPr>
                <w:rFonts w:cs="Segoe UI"/>
                <w:sz w:val="17"/>
                <w:szCs w:val="17"/>
              </w:rPr>
              <w:t xml:space="preserve"> </w:t>
            </w:r>
          </w:p>
        </w:tc>
      </w:tr>
      <w:tr w:rsidR="002A0515" w:rsidRPr="004E457E" w:rsidTr="00A54BE4">
        <w:tc>
          <w:tcPr>
            <w:tcW w:w="9214" w:type="dxa"/>
            <w:gridSpan w:val="2"/>
            <w:shd w:val="clear" w:color="auto" w:fill="F2F2F2"/>
          </w:tcPr>
          <w:p w:rsidR="002A0515" w:rsidRPr="004E457E" w:rsidRDefault="002A0515" w:rsidP="00A54BE4">
            <w:pPr>
              <w:keepNext/>
              <w:keepLines/>
              <w:tabs>
                <w:tab w:val="left" w:pos="150"/>
                <w:tab w:val="left" w:pos="397"/>
                <w:tab w:val="left" w:pos="794"/>
                <w:tab w:val="left" w:pos="1191"/>
              </w:tabs>
              <w:spacing w:before="40" w:after="40"/>
              <w:rPr>
                <w:rFonts w:eastAsia="新細明體"/>
                <w:b/>
                <w:sz w:val="17"/>
                <w:lang w:eastAsia="en-GB"/>
              </w:rPr>
            </w:pPr>
            <w:r w:rsidRPr="004E457E">
              <w:rPr>
                <w:rFonts w:eastAsia="新細明體"/>
                <w:b/>
                <w:sz w:val="17"/>
                <w:lang w:eastAsia="en-GB"/>
              </w:rPr>
              <w:t>Rows</w:t>
            </w:r>
          </w:p>
        </w:tc>
      </w:tr>
      <w:tr w:rsidR="002A0515" w:rsidRPr="004E457E" w:rsidTr="00A54BE4">
        <w:tc>
          <w:tcPr>
            <w:tcW w:w="567" w:type="dxa"/>
            <w:shd w:val="clear" w:color="auto" w:fill="auto"/>
          </w:tcPr>
          <w:p w:rsidR="002A0515" w:rsidRPr="00622192" w:rsidRDefault="002A0515" w:rsidP="00A54BE4">
            <w:pPr>
              <w:keepLines/>
              <w:tabs>
                <w:tab w:val="left" w:pos="150"/>
                <w:tab w:val="left" w:pos="397"/>
                <w:tab w:val="left" w:pos="794"/>
                <w:tab w:val="left" w:pos="1191"/>
              </w:tabs>
              <w:spacing w:before="40" w:after="40"/>
              <w:rPr>
                <w:rFonts w:cs="Segoe UI"/>
                <w:sz w:val="17"/>
                <w:szCs w:val="17"/>
                <w:highlight w:val="yellow"/>
              </w:rPr>
            </w:pPr>
            <w:r w:rsidRPr="00496EF9">
              <w:rPr>
                <w:rFonts w:cs="Segoe UI"/>
                <w:sz w:val="17"/>
                <w:szCs w:val="17"/>
              </w:rPr>
              <w:t>1</w:t>
            </w:r>
          </w:p>
        </w:tc>
        <w:tc>
          <w:tcPr>
            <w:tcW w:w="8647" w:type="dxa"/>
            <w:shd w:val="clear" w:color="auto" w:fill="auto"/>
          </w:tcPr>
          <w:p w:rsidR="002A0515" w:rsidRPr="00FE4698" w:rsidRDefault="002A0515" w:rsidP="00A54BE4">
            <w:pPr>
              <w:keepLines/>
              <w:tabs>
                <w:tab w:val="left" w:pos="150"/>
                <w:tab w:val="left" w:pos="397"/>
                <w:tab w:val="left" w:pos="794"/>
                <w:tab w:val="left" w:pos="1191"/>
              </w:tabs>
              <w:spacing w:before="40" w:after="40"/>
              <w:jc w:val="both"/>
              <w:rPr>
                <w:rFonts w:cs="Segoe UI"/>
                <w:sz w:val="17"/>
                <w:szCs w:val="17"/>
              </w:rPr>
            </w:pPr>
            <w:r w:rsidRPr="00FE4698">
              <w:rPr>
                <w:rFonts w:cs="Segoe UI"/>
                <w:i/>
                <w:sz w:val="17"/>
                <w:szCs w:val="17"/>
              </w:rPr>
              <w:t>Credit risk for non-securitization exposures</w:t>
            </w:r>
            <w:r w:rsidRPr="00FE4698">
              <w:rPr>
                <w:rFonts w:cs="Segoe UI"/>
                <w:sz w:val="17"/>
                <w:szCs w:val="17"/>
              </w:rPr>
              <w:t>: RWA and capital requirements according to the credit risk framework reported in Part III of this document.  The amounts exclude all positions subject to capital requirements relating to counterparty default risk</w:t>
            </w:r>
            <w:r>
              <w:rPr>
                <w:rFonts w:cs="Segoe UI"/>
                <w:sz w:val="17"/>
                <w:szCs w:val="17"/>
              </w:rPr>
              <w:t xml:space="preserve"> and default fund contributions</w:t>
            </w:r>
            <w:r w:rsidRPr="00FE4698">
              <w:rPr>
                <w:rFonts w:cs="Segoe UI"/>
                <w:sz w:val="17"/>
                <w:szCs w:val="17"/>
              </w:rPr>
              <w:t>, CVA risk, equity exposures (unless otherwise required), CIS exposures</w:t>
            </w:r>
            <w:r>
              <w:rPr>
                <w:rFonts w:cs="Segoe UI"/>
                <w:sz w:val="17"/>
                <w:szCs w:val="17"/>
              </w:rPr>
              <w:t xml:space="preserve"> (exclusion of CIS exposures from this row only when the new CIS framework takes effect)</w:t>
            </w:r>
            <w:r w:rsidRPr="00FE4698">
              <w:rPr>
                <w:rFonts w:cs="Segoe UI"/>
                <w:sz w:val="17"/>
                <w:szCs w:val="17"/>
              </w:rPr>
              <w:t xml:space="preserve">, settlement risk, securitization framework (e.g. securitization exposures in the banking book), and amount below the deduction threshold </w:t>
            </w:r>
            <w:r>
              <w:rPr>
                <w:rFonts w:cs="Segoe UI"/>
                <w:sz w:val="17"/>
                <w:szCs w:val="17"/>
              </w:rPr>
              <w:t xml:space="preserve">and subject to a </w:t>
            </w:r>
            <w:r w:rsidRPr="00FE4698">
              <w:rPr>
                <w:rFonts w:cs="Segoe UI"/>
                <w:sz w:val="17"/>
                <w:szCs w:val="17"/>
              </w:rPr>
              <w:t>250%</w:t>
            </w:r>
            <w:r>
              <w:rPr>
                <w:rFonts w:cs="Segoe UI"/>
                <w:sz w:val="17"/>
                <w:szCs w:val="17"/>
              </w:rPr>
              <w:t xml:space="preserve"> risk-weight.</w:t>
            </w:r>
            <w:r w:rsidRPr="00FE4698">
              <w:rPr>
                <w:rFonts w:cs="Segoe UI"/>
                <w:sz w:val="17"/>
                <w:szCs w:val="17"/>
              </w:rPr>
              <w:t xml:space="preserve"> </w:t>
            </w:r>
          </w:p>
        </w:tc>
      </w:tr>
      <w:tr w:rsidR="002A0515" w:rsidRPr="004E457E" w:rsidTr="00A54BE4">
        <w:tc>
          <w:tcPr>
            <w:tcW w:w="567" w:type="dxa"/>
            <w:shd w:val="clear" w:color="auto" w:fill="auto"/>
          </w:tcPr>
          <w:p w:rsidR="002A0515" w:rsidRPr="007557FA" w:rsidRDefault="002A0515" w:rsidP="00A54BE4">
            <w:pPr>
              <w:keepLines/>
              <w:tabs>
                <w:tab w:val="left" w:pos="150"/>
                <w:tab w:val="left" w:pos="397"/>
                <w:tab w:val="left" w:pos="794"/>
                <w:tab w:val="left" w:pos="1191"/>
              </w:tabs>
              <w:spacing w:before="40" w:after="40"/>
              <w:rPr>
                <w:rFonts w:cs="Segoe UI"/>
                <w:sz w:val="17"/>
                <w:szCs w:val="17"/>
              </w:rPr>
            </w:pPr>
            <w:r w:rsidRPr="007557FA">
              <w:rPr>
                <w:rFonts w:cs="Segoe UI"/>
                <w:sz w:val="17"/>
                <w:szCs w:val="17"/>
              </w:rPr>
              <w:t>2</w:t>
            </w:r>
          </w:p>
        </w:tc>
        <w:tc>
          <w:tcPr>
            <w:tcW w:w="8647" w:type="dxa"/>
            <w:shd w:val="clear" w:color="auto" w:fill="auto"/>
          </w:tcPr>
          <w:p w:rsidR="002A0515" w:rsidRPr="007557FA" w:rsidRDefault="002A0515" w:rsidP="00A54BE4">
            <w:pPr>
              <w:keepLines/>
              <w:tabs>
                <w:tab w:val="left" w:pos="150"/>
                <w:tab w:val="left" w:pos="397"/>
                <w:tab w:val="left" w:pos="794"/>
                <w:tab w:val="left" w:pos="1191"/>
              </w:tabs>
              <w:spacing w:before="40" w:after="40"/>
              <w:jc w:val="both"/>
              <w:rPr>
                <w:rFonts w:cs="Segoe UI"/>
                <w:sz w:val="17"/>
                <w:szCs w:val="17"/>
              </w:rPr>
            </w:pPr>
            <w:r w:rsidRPr="007557FA">
              <w:rPr>
                <w:rFonts w:cs="Segoe UI"/>
                <w:i/>
                <w:sz w:val="17"/>
                <w:szCs w:val="17"/>
              </w:rPr>
              <w:t xml:space="preserve">Of which </w:t>
            </w:r>
            <w:r w:rsidRPr="007557FA">
              <w:rPr>
                <w:rFonts w:cs="Segoe UI"/>
                <w:i/>
                <w:sz w:val="17"/>
                <w:szCs w:val="17"/>
                <w:lang w:eastAsia="en-GB"/>
              </w:rPr>
              <w:t>STC approach</w:t>
            </w:r>
            <w:r w:rsidRPr="007557FA">
              <w:rPr>
                <w:rFonts w:cs="Segoe UI"/>
                <w:sz w:val="17"/>
                <w:szCs w:val="17"/>
              </w:rPr>
              <w:t xml:space="preserve">: RWA and capital requirements calculated using the STC approach under the BCR.  For an interim or annual reporting period, the value in [OV1: 2/a] should be equal to the value in [CR4 (STC): 15/e]. </w:t>
            </w:r>
          </w:p>
        </w:tc>
      </w:tr>
      <w:tr w:rsidR="002A0515" w:rsidRPr="004E457E" w:rsidTr="00A54BE4">
        <w:tc>
          <w:tcPr>
            <w:tcW w:w="567" w:type="dxa"/>
            <w:shd w:val="clear" w:color="auto" w:fill="auto"/>
          </w:tcPr>
          <w:p w:rsidR="002A0515" w:rsidRPr="007557FA" w:rsidRDefault="002A0515" w:rsidP="00A54BE4">
            <w:pPr>
              <w:keepLines/>
              <w:tabs>
                <w:tab w:val="left" w:pos="150"/>
                <w:tab w:val="left" w:pos="397"/>
                <w:tab w:val="left" w:pos="794"/>
                <w:tab w:val="left" w:pos="1191"/>
              </w:tabs>
              <w:spacing w:before="40" w:after="40"/>
              <w:rPr>
                <w:rFonts w:cs="Segoe UI"/>
                <w:sz w:val="17"/>
                <w:szCs w:val="17"/>
              </w:rPr>
            </w:pPr>
            <w:r w:rsidRPr="007557FA">
              <w:rPr>
                <w:rFonts w:cs="Segoe UI"/>
                <w:sz w:val="17"/>
                <w:szCs w:val="17"/>
              </w:rPr>
              <w:t>2a</w:t>
            </w:r>
          </w:p>
        </w:tc>
        <w:tc>
          <w:tcPr>
            <w:tcW w:w="8647" w:type="dxa"/>
            <w:shd w:val="clear" w:color="auto" w:fill="auto"/>
          </w:tcPr>
          <w:p w:rsidR="002A0515" w:rsidRPr="007557FA" w:rsidRDefault="002A0515" w:rsidP="00A54BE4">
            <w:pPr>
              <w:keepLines/>
              <w:tabs>
                <w:tab w:val="left" w:pos="150"/>
                <w:tab w:val="left" w:pos="397"/>
                <w:tab w:val="left" w:pos="794"/>
                <w:tab w:val="left" w:pos="1191"/>
              </w:tabs>
              <w:spacing w:before="40" w:after="40"/>
              <w:jc w:val="both"/>
              <w:rPr>
                <w:rFonts w:cs="Segoe UI"/>
                <w:i/>
                <w:sz w:val="17"/>
                <w:szCs w:val="17"/>
              </w:rPr>
            </w:pPr>
            <w:r w:rsidRPr="007557FA">
              <w:rPr>
                <w:rFonts w:cs="Segoe UI"/>
                <w:i/>
                <w:sz w:val="17"/>
                <w:szCs w:val="17"/>
              </w:rPr>
              <w:t xml:space="preserve">Of which </w:t>
            </w:r>
            <w:r w:rsidRPr="007557FA">
              <w:rPr>
                <w:rFonts w:cs="Segoe UI"/>
                <w:i/>
                <w:sz w:val="17"/>
                <w:szCs w:val="17"/>
                <w:lang w:eastAsia="en-GB"/>
              </w:rPr>
              <w:t>BSC approach</w:t>
            </w:r>
            <w:r w:rsidRPr="007557FA">
              <w:rPr>
                <w:rFonts w:cs="Segoe UI"/>
                <w:sz w:val="17"/>
                <w:szCs w:val="17"/>
              </w:rPr>
              <w:t xml:space="preserve">: RWA and capital requirements calculated using the BSC approach under the BCR.  For an interim or annual reporting period, the value in [OV1: 2a/a] should be equal to the value in [CR4 (BSC): 10/e]. </w:t>
            </w:r>
          </w:p>
        </w:tc>
      </w:tr>
      <w:tr w:rsidR="002A0515" w:rsidRPr="004E457E" w:rsidTr="00A54BE4">
        <w:tc>
          <w:tcPr>
            <w:tcW w:w="567" w:type="dxa"/>
            <w:shd w:val="clear" w:color="auto" w:fill="auto"/>
          </w:tcPr>
          <w:p w:rsidR="002A0515" w:rsidRDefault="002A0515" w:rsidP="00A54BE4">
            <w:pPr>
              <w:keepLines/>
              <w:tabs>
                <w:tab w:val="left" w:pos="150"/>
                <w:tab w:val="left" w:pos="397"/>
                <w:tab w:val="left" w:pos="794"/>
                <w:tab w:val="left" w:pos="1191"/>
              </w:tabs>
              <w:spacing w:before="40" w:after="40"/>
              <w:rPr>
                <w:rFonts w:cs="Segoe UI"/>
                <w:sz w:val="17"/>
                <w:szCs w:val="17"/>
              </w:rPr>
            </w:pPr>
            <w:r>
              <w:rPr>
                <w:rFonts w:cs="Segoe UI"/>
                <w:sz w:val="17"/>
                <w:szCs w:val="17"/>
              </w:rPr>
              <w:t>3</w:t>
            </w:r>
          </w:p>
        </w:tc>
        <w:tc>
          <w:tcPr>
            <w:tcW w:w="8647" w:type="dxa"/>
            <w:shd w:val="clear" w:color="auto" w:fill="auto"/>
          </w:tcPr>
          <w:p w:rsidR="002A0515" w:rsidRPr="00AD6EBC" w:rsidRDefault="002A0515" w:rsidP="00A54BE4">
            <w:pPr>
              <w:keepLines/>
              <w:tabs>
                <w:tab w:val="left" w:pos="150"/>
                <w:tab w:val="left" w:pos="397"/>
                <w:tab w:val="left" w:pos="794"/>
                <w:tab w:val="left" w:pos="1191"/>
              </w:tabs>
              <w:spacing w:before="40" w:after="40"/>
              <w:jc w:val="both"/>
              <w:rPr>
                <w:rFonts w:cs="Segoe UI"/>
                <w:sz w:val="17"/>
                <w:szCs w:val="17"/>
              </w:rPr>
            </w:pPr>
            <w:r w:rsidRPr="00AD6EBC">
              <w:rPr>
                <w:rFonts w:cs="Segoe UI"/>
                <w:i/>
                <w:sz w:val="17"/>
                <w:szCs w:val="17"/>
              </w:rPr>
              <w:t>Of which foundation IRB approach</w:t>
            </w:r>
            <w:r>
              <w:rPr>
                <w:rFonts w:cs="Segoe UI"/>
                <w:sz w:val="17"/>
                <w:szCs w:val="17"/>
              </w:rPr>
              <w:t xml:space="preserve">: </w:t>
            </w:r>
            <w:r w:rsidRPr="004E457E">
              <w:rPr>
                <w:rFonts w:cs="Segoe UI"/>
                <w:sz w:val="17"/>
                <w:szCs w:val="17"/>
              </w:rPr>
              <w:t xml:space="preserve">RWA and capital requirements </w:t>
            </w:r>
            <w:r>
              <w:rPr>
                <w:rFonts w:cs="Segoe UI"/>
                <w:sz w:val="17"/>
                <w:szCs w:val="17"/>
              </w:rPr>
              <w:t xml:space="preserve">for AIs </w:t>
            </w:r>
            <w:r w:rsidRPr="004E457E">
              <w:rPr>
                <w:rFonts w:cs="Segoe UI"/>
                <w:sz w:val="17"/>
                <w:szCs w:val="17"/>
              </w:rPr>
              <w:t xml:space="preserve">using </w:t>
            </w:r>
            <w:r w:rsidRPr="00FA1F84">
              <w:rPr>
                <w:rFonts w:cs="Segoe UI"/>
                <w:sz w:val="17"/>
                <w:szCs w:val="17"/>
              </w:rPr>
              <w:t xml:space="preserve">the </w:t>
            </w:r>
            <w:r w:rsidRPr="00AD6EBC">
              <w:rPr>
                <w:rFonts w:cs="Segoe UI"/>
                <w:sz w:val="17"/>
                <w:szCs w:val="17"/>
              </w:rPr>
              <w:t>foundation</w:t>
            </w:r>
            <w:r w:rsidRPr="00FA1F84">
              <w:rPr>
                <w:rFonts w:cs="Segoe UI"/>
                <w:sz w:val="17"/>
                <w:szCs w:val="17"/>
              </w:rPr>
              <w:t xml:space="preserve"> IRB approach</w:t>
            </w:r>
            <w:r>
              <w:rPr>
                <w:rFonts w:cs="Segoe UI" w:hint="eastAsia"/>
                <w:sz w:val="17"/>
                <w:szCs w:val="17"/>
              </w:rPr>
              <w:t xml:space="preserve"> </w:t>
            </w:r>
            <w:r>
              <w:rPr>
                <w:rFonts w:cs="Segoe UI"/>
                <w:sz w:val="17"/>
                <w:szCs w:val="17"/>
              </w:rPr>
              <w:t xml:space="preserve">to calculate their credit risk </w:t>
            </w:r>
            <w:r w:rsidRPr="004E457E">
              <w:rPr>
                <w:rFonts w:cs="Segoe UI"/>
                <w:sz w:val="17"/>
                <w:szCs w:val="17"/>
              </w:rPr>
              <w:t>under the BCR,</w:t>
            </w:r>
            <w:r>
              <w:rPr>
                <w:rFonts w:cs="Segoe UI" w:hint="eastAsia"/>
                <w:sz w:val="17"/>
                <w:szCs w:val="17"/>
              </w:rPr>
              <w:t xml:space="preserve"> </w:t>
            </w:r>
            <w:r w:rsidRPr="00D808EB">
              <w:rPr>
                <w:rFonts w:cs="Segoe UI"/>
                <w:sz w:val="17"/>
                <w:szCs w:val="17"/>
              </w:rPr>
              <w:t>excluding</w:t>
            </w:r>
            <w:r>
              <w:rPr>
                <w:rFonts w:cs="Segoe UI" w:hint="eastAsia"/>
                <w:sz w:val="17"/>
                <w:szCs w:val="17"/>
              </w:rPr>
              <w:t xml:space="preserve"> </w:t>
            </w:r>
            <w:r>
              <w:rPr>
                <w:rFonts w:cs="Segoe UI"/>
                <w:sz w:val="17"/>
                <w:szCs w:val="17"/>
              </w:rPr>
              <w:t xml:space="preserve">specialized lending calculated using the </w:t>
            </w:r>
            <w:r w:rsidRPr="00384CE5">
              <w:rPr>
                <w:rFonts w:cs="Segoe UI"/>
                <w:sz w:val="17"/>
                <w:szCs w:val="17"/>
              </w:rPr>
              <w:t>supervisory</w:t>
            </w:r>
            <w:r>
              <w:rPr>
                <w:rFonts w:cs="Segoe UI"/>
                <w:sz w:val="17"/>
                <w:szCs w:val="17"/>
              </w:rPr>
              <w:t xml:space="preserve"> </w:t>
            </w:r>
            <w:r w:rsidRPr="00384CE5">
              <w:rPr>
                <w:rFonts w:cs="Segoe UI"/>
                <w:sz w:val="17"/>
                <w:szCs w:val="17"/>
              </w:rPr>
              <w:t>slotting criteria approach</w:t>
            </w:r>
            <w:r>
              <w:rPr>
                <w:rFonts w:cs="Segoe UI"/>
                <w:sz w:val="17"/>
                <w:szCs w:val="17"/>
              </w:rPr>
              <w:t xml:space="preserve"> (reported in row 4) and </w:t>
            </w:r>
            <w:r w:rsidRPr="00D808EB">
              <w:rPr>
                <w:rFonts w:cs="Segoe UI"/>
                <w:sz w:val="17"/>
                <w:szCs w:val="17"/>
              </w:rPr>
              <w:t xml:space="preserve">equity </w:t>
            </w:r>
            <w:r>
              <w:rPr>
                <w:rFonts w:cs="Segoe UI"/>
                <w:sz w:val="17"/>
                <w:szCs w:val="17"/>
              </w:rPr>
              <w:t xml:space="preserve">positions </w:t>
            </w:r>
            <w:r w:rsidRPr="00D808EB">
              <w:rPr>
                <w:rFonts w:cs="Segoe UI"/>
                <w:sz w:val="17"/>
                <w:szCs w:val="17"/>
              </w:rPr>
              <w:t xml:space="preserve">in banking book </w:t>
            </w:r>
            <w:r w:rsidRPr="00686916">
              <w:rPr>
                <w:rFonts w:cs="Segoe UI"/>
                <w:noProof/>
                <w:sz w:val="17"/>
                <w:szCs w:val="17"/>
                <w:lang w:eastAsia="en-GB"/>
              </w:rPr>
              <w:t xml:space="preserve">under the </w:t>
            </w:r>
            <w:r>
              <w:rPr>
                <w:rFonts w:cs="Segoe UI" w:hint="eastAsia"/>
                <w:noProof/>
                <w:sz w:val="17"/>
                <w:szCs w:val="17"/>
              </w:rPr>
              <w:t>s</w:t>
            </w:r>
            <w:r w:rsidRPr="00146759">
              <w:rPr>
                <w:rFonts w:cs="Segoe UI"/>
                <w:noProof/>
                <w:sz w:val="17"/>
                <w:szCs w:val="17"/>
                <w:lang w:eastAsia="en-GB"/>
              </w:rPr>
              <w:t>imple risk-weight method</w:t>
            </w:r>
            <w:r>
              <w:rPr>
                <w:rFonts w:cs="Segoe UI"/>
                <w:noProof/>
                <w:sz w:val="17"/>
                <w:szCs w:val="17"/>
                <w:lang w:eastAsia="en-GB"/>
              </w:rPr>
              <w:t xml:space="preserve"> and </w:t>
            </w:r>
            <w:r>
              <w:rPr>
                <w:rFonts w:cs="Segoe UI"/>
                <w:sz w:val="17"/>
                <w:szCs w:val="17"/>
              </w:rPr>
              <w:t xml:space="preserve">internal models method </w:t>
            </w:r>
            <w:r w:rsidRPr="00D808EB">
              <w:rPr>
                <w:rFonts w:cs="Segoe UI"/>
                <w:sz w:val="17"/>
                <w:szCs w:val="17"/>
              </w:rPr>
              <w:t xml:space="preserve">(reported in row </w:t>
            </w:r>
            <w:r w:rsidRPr="00D808EB">
              <w:rPr>
                <w:rFonts w:cs="Segoe UI" w:hint="eastAsia"/>
                <w:sz w:val="17"/>
                <w:szCs w:val="17"/>
              </w:rPr>
              <w:t>11</w:t>
            </w:r>
            <w:r w:rsidRPr="00D808EB">
              <w:rPr>
                <w:rFonts w:cs="Segoe UI"/>
                <w:sz w:val="17"/>
                <w:szCs w:val="17"/>
              </w:rPr>
              <w:t>)</w:t>
            </w:r>
            <w:r>
              <w:rPr>
                <w:rFonts w:cs="Segoe UI" w:hint="eastAsia"/>
                <w:sz w:val="17"/>
                <w:szCs w:val="17"/>
              </w:rPr>
              <w:t xml:space="preserve">, </w:t>
            </w:r>
            <w:r>
              <w:rPr>
                <w:rFonts w:cs="Segoe UI"/>
                <w:sz w:val="17"/>
                <w:szCs w:val="17"/>
              </w:rPr>
              <w:t>but including equity exposures under the PD/LGD approach, retail exposures under the retail IRB approach and other exposures under the specific risk-weight approach.</w:t>
            </w:r>
          </w:p>
        </w:tc>
      </w:tr>
      <w:tr w:rsidR="002A0515" w:rsidRPr="004E457E" w:rsidTr="00A54BE4">
        <w:tc>
          <w:tcPr>
            <w:tcW w:w="567" w:type="dxa"/>
            <w:shd w:val="clear" w:color="auto" w:fill="auto"/>
          </w:tcPr>
          <w:p w:rsidR="002A0515" w:rsidRPr="00384CE5" w:rsidRDefault="002A0515" w:rsidP="00A54BE4">
            <w:pPr>
              <w:keepLines/>
              <w:tabs>
                <w:tab w:val="left" w:pos="150"/>
                <w:tab w:val="left" w:pos="397"/>
                <w:tab w:val="left" w:pos="794"/>
                <w:tab w:val="left" w:pos="1191"/>
              </w:tabs>
              <w:spacing w:before="40" w:after="40"/>
              <w:rPr>
                <w:rFonts w:cs="Segoe UI"/>
                <w:sz w:val="17"/>
                <w:szCs w:val="17"/>
                <w:highlight w:val="yellow"/>
              </w:rPr>
            </w:pPr>
            <w:r>
              <w:rPr>
                <w:rFonts w:cs="Segoe UI" w:hint="eastAsia"/>
                <w:sz w:val="17"/>
                <w:szCs w:val="17"/>
              </w:rPr>
              <w:t>4</w:t>
            </w:r>
          </w:p>
        </w:tc>
        <w:tc>
          <w:tcPr>
            <w:tcW w:w="8647" w:type="dxa"/>
            <w:shd w:val="clear" w:color="auto" w:fill="auto"/>
          </w:tcPr>
          <w:p w:rsidR="002A0515" w:rsidRPr="00384CE5" w:rsidRDefault="002A0515" w:rsidP="00A54BE4">
            <w:pPr>
              <w:keepLines/>
              <w:tabs>
                <w:tab w:val="left" w:pos="150"/>
                <w:tab w:val="left" w:pos="397"/>
                <w:tab w:val="left" w:pos="794"/>
                <w:tab w:val="left" w:pos="1191"/>
              </w:tabs>
              <w:spacing w:before="40" w:after="40"/>
              <w:jc w:val="both"/>
              <w:rPr>
                <w:rFonts w:cs="Segoe UI"/>
                <w:sz w:val="17"/>
                <w:szCs w:val="17"/>
              </w:rPr>
            </w:pPr>
            <w:r w:rsidRPr="00384CE5">
              <w:rPr>
                <w:rFonts w:cs="Segoe UI"/>
                <w:i/>
                <w:sz w:val="17"/>
                <w:szCs w:val="17"/>
              </w:rPr>
              <w:t>Of which supervisory slotting criteria approach</w:t>
            </w:r>
            <w:r>
              <w:rPr>
                <w:rFonts w:cs="Segoe UI" w:hint="eastAsia"/>
                <w:sz w:val="17"/>
                <w:szCs w:val="17"/>
              </w:rPr>
              <w:t xml:space="preserve">: </w:t>
            </w:r>
            <w:r>
              <w:rPr>
                <w:rFonts w:cs="Segoe UI"/>
                <w:sz w:val="17"/>
                <w:szCs w:val="17"/>
              </w:rPr>
              <w:t xml:space="preserve">RWA and capital requirements of specialized lending calculated using the </w:t>
            </w:r>
            <w:r w:rsidRPr="00384CE5">
              <w:rPr>
                <w:rFonts w:cs="Segoe UI"/>
                <w:sz w:val="17"/>
                <w:szCs w:val="17"/>
              </w:rPr>
              <w:t>supervisory</w:t>
            </w:r>
            <w:r>
              <w:rPr>
                <w:rFonts w:cs="Segoe UI"/>
                <w:sz w:val="17"/>
                <w:szCs w:val="17"/>
              </w:rPr>
              <w:t xml:space="preserve"> </w:t>
            </w:r>
            <w:r w:rsidRPr="00384CE5">
              <w:rPr>
                <w:rFonts w:cs="Segoe UI"/>
                <w:sz w:val="17"/>
                <w:szCs w:val="17"/>
              </w:rPr>
              <w:t xml:space="preserve">slotting criteria approach </w:t>
            </w:r>
            <w:r>
              <w:rPr>
                <w:rFonts w:cs="Segoe UI"/>
                <w:sz w:val="17"/>
                <w:szCs w:val="17"/>
              </w:rPr>
              <w:t>under the BCR.</w:t>
            </w:r>
          </w:p>
        </w:tc>
      </w:tr>
      <w:tr w:rsidR="002A0515" w:rsidRPr="004E457E" w:rsidTr="00A54BE4">
        <w:tc>
          <w:tcPr>
            <w:tcW w:w="567" w:type="dxa"/>
            <w:shd w:val="clear" w:color="auto" w:fill="auto"/>
          </w:tcPr>
          <w:p w:rsidR="002A0515" w:rsidRPr="00D44754" w:rsidRDefault="002A0515" w:rsidP="00A54BE4">
            <w:pPr>
              <w:keepLines/>
              <w:tabs>
                <w:tab w:val="left" w:pos="150"/>
                <w:tab w:val="left" w:pos="397"/>
                <w:tab w:val="left" w:pos="794"/>
                <w:tab w:val="left" w:pos="1191"/>
              </w:tabs>
              <w:spacing w:before="40" w:after="40"/>
              <w:rPr>
                <w:rFonts w:cs="Segoe UI"/>
                <w:sz w:val="17"/>
                <w:szCs w:val="17"/>
              </w:rPr>
            </w:pPr>
            <w:r>
              <w:rPr>
                <w:rFonts w:cs="Segoe UI" w:hint="eastAsia"/>
                <w:sz w:val="17"/>
                <w:szCs w:val="17"/>
              </w:rPr>
              <w:t>5</w:t>
            </w:r>
          </w:p>
        </w:tc>
        <w:tc>
          <w:tcPr>
            <w:tcW w:w="8647" w:type="dxa"/>
            <w:shd w:val="clear" w:color="auto" w:fill="auto"/>
          </w:tcPr>
          <w:p w:rsidR="002A0515" w:rsidRPr="00BD2D54" w:rsidRDefault="002A0515" w:rsidP="00A54BE4">
            <w:pPr>
              <w:keepLines/>
              <w:tabs>
                <w:tab w:val="left" w:pos="150"/>
                <w:tab w:val="left" w:pos="397"/>
                <w:tab w:val="left" w:pos="794"/>
                <w:tab w:val="left" w:pos="1191"/>
              </w:tabs>
              <w:spacing w:before="40" w:after="40"/>
              <w:jc w:val="both"/>
              <w:rPr>
                <w:rFonts w:cs="Segoe UI"/>
                <w:sz w:val="17"/>
                <w:szCs w:val="17"/>
              </w:rPr>
            </w:pPr>
            <w:r w:rsidRPr="00D44754">
              <w:rPr>
                <w:rFonts w:cs="Segoe UI"/>
                <w:i/>
                <w:sz w:val="17"/>
                <w:szCs w:val="17"/>
                <w:lang w:eastAsia="en-GB"/>
              </w:rPr>
              <w:t>Of which advanced IRB approach</w:t>
            </w:r>
            <w:r>
              <w:rPr>
                <w:rFonts w:cs="Segoe UI" w:hint="eastAsia"/>
                <w:sz w:val="17"/>
                <w:szCs w:val="17"/>
              </w:rPr>
              <w:t xml:space="preserve">: </w:t>
            </w:r>
            <w:r w:rsidRPr="004E457E">
              <w:rPr>
                <w:rFonts w:cs="Segoe UI"/>
                <w:sz w:val="17"/>
                <w:szCs w:val="17"/>
              </w:rPr>
              <w:t xml:space="preserve">RWA and capital requirements </w:t>
            </w:r>
            <w:r>
              <w:rPr>
                <w:rFonts w:cs="Segoe UI"/>
                <w:sz w:val="17"/>
                <w:szCs w:val="17"/>
              </w:rPr>
              <w:t xml:space="preserve">for AIs </w:t>
            </w:r>
            <w:r w:rsidRPr="004E457E">
              <w:rPr>
                <w:rFonts w:cs="Segoe UI"/>
                <w:sz w:val="17"/>
                <w:szCs w:val="17"/>
              </w:rPr>
              <w:t xml:space="preserve">using </w:t>
            </w:r>
            <w:r w:rsidRPr="00FA1F84">
              <w:rPr>
                <w:rFonts w:cs="Segoe UI"/>
                <w:sz w:val="17"/>
                <w:szCs w:val="17"/>
              </w:rPr>
              <w:t>the advanced IRB approach</w:t>
            </w:r>
            <w:r>
              <w:rPr>
                <w:rFonts w:cs="Segoe UI" w:hint="eastAsia"/>
                <w:sz w:val="17"/>
                <w:szCs w:val="17"/>
              </w:rPr>
              <w:t xml:space="preserve"> </w:t>
            </w:r>
            <w:r>
              <w:rPr>
                <w:rFonts w:cs="Segoe UI"/>
                <w:sz w:val="17"/>
                <w:szCs w:val="17"/>
              </w:rPr>
              <w:t xml:space="preserve">to calculate their credit risk </w:t>
            </w:r>
            <w:r w:rsidRPr="004E457E">
              <w:rPr>
                <w:rFonts w:cs="Segoe UI"/>
                <w:sz w:val="17"/>
                <w:szCs w:val="17"/>
              </w:rPr>
              <w:t>under the BCR,</w:t>
            </w:r>
            <w:r>
              <w:rPr>
                <w:rFonts w:cs="Segoe UI" w:hint="eastAsia"/>
                <w:sz w:val="17"/>
                <w:szCs w:val="17"/>
              </w:rPr>
              <w:t xml:space="preserve"> </w:t>
            </w:r>
            <w:r w:rsidRPr="00D808EB">
              <w:rPr>
                <w:rFonts w:cs="Segoe UI"/>
                <w:sz w:val="17"/>
                <w:szCs w:val="17"/>
              </w:rPr>
              <w:t>excluding</w:t>
            </w:r>
            <w:r>
              <w:rPr>
                <w:rFonts w:cs="Segoe UI" w:hint="eastAsia"/>
                <w:sz w:val="17"/>
                <w:szCs w:val="17"/>
              </w:rPr>
              <w:t xml:space="preserve"> </w:t>
            </w:r>
            <w:r>
              <w:rPr>
                <w:rFonts w:cs="Segoe UI"/>
                <w:sz w:val="17"/>
                <w:szCs w:val="17"/>
              </w:rPr>
              <w:t xml:space="preserve">specialized lending calculated using the </w:t>
            </w:r>
            <w:r w:rsidRPr="00384CE5">
              <w:rPr>
                <w:rFonts w:cs="Segoe UI"/>
                <w:sz w:val="17"/>
                <w:szCs w:val="17"/>
              </w:rPr>
              <w:t>supervisory</w:t>
            </w:r>
            <w:r>
              <w:rPr>
                <w:rFonts w:cs="Segoe UI"/>
                <w:sz w:val="17"/>
                <w:szCs w:val="17"/>
              </w:rPr>
              <w:t xml:space="preserve"> </w:t>
            </w:r>
            <w:r w:rsidRPr="00384CE5">
              <w:rPr>
                <w:rFonts w:cs="Segoe UI"/>
                <w:sz w:val="17"/>
                <w:szCs w:val="17"/>
              </w:rPr>
              <w:t>slotting criteria approach</w:t>
            </w:r>
            <w:r>
              <w:rPr>
                <w:rFonts w:cs="Segoe UI"/>
                <w:sz w:val="17"/>
                <w:szCs w:val="17"/>
              </w:rPr>
              <w:t xml:space="preserve"> (reported in row 4) and</w:t>
            </w:r>
            <w:r w:rsidRPr="00D808EB">
              <w:rPr>
                <w:rFonts w:cs="Segoe UI"/>
                <w:sz w:val="17"/>
                <w:szCs w:val="17"/>
              </w:rPr>
              <w:t xml:space="preserve"> equity </w:t>
            </w:r>
            <w:r>
              <w:rPr>
                <w:rFonts w:cs="Segoe UI"/>
                <w:sz w:val="17"/>
                <w:szCs w:val="17"/>
              </w:rPr>
              <w:t>positions</w:t>
            </w:r>
            <w:r w:rsidRPr="00D808EB">
              <w:rPr>
                <w:rFonts w:cs="Segoe UI"/>
                <w:sz w:val="17"/>
                <w:szCs w:val="17"/>
              </w:rPr>
              <w:t xml:space="preserve"> in banking book under </w:t>
            </w:r>
            <w:r w:rsidRPr="00D808EB">
              <w:rPr>
                <w:rFonts w:cs="Segoe UI"/>
                <w:noProof/>
                <w:sz w:val="17"/>
                <w:szCs w:val="17"/>
                <w:lang w:eastAsia="en-GB"/>
              </w:rPr>
              <w:t xml:space="preserve">the </w:t>
            </w:r>
            <w:r w:rsidRPr="00D808EB">
              <w:rPr>
                <w:rFonts w:cs="Segoe UI" w:hint="eastAsia"/>
                <w:noProof/>
                <w:sz w:val="17"/>
                <w:szCs w:val="17"/>
              </w:rPr>
              <w:t>s</w:t>
            </w:r>
            <w:r w:rsidRPr="00D808EB">
              <w:rPr>
                <w:rFonts w:cs="Segoe UI"/>
                <w:noProof/>
                <w:sz w:val="17"/>
                <w:szCs w:val="17"/>
                <w:lang w:eastAsia="en-GB"/>
              </w:rPr>
              <w:t>imple risk-weight method</w:t>
            </w:r>
            <w:r>
              <w:rPr>
                <w:rFonts w:cs="Segoe UI"/>
                <w:noProof/>
                <w:sz w:val="17"/>
                <w:szCs w:val="17"/>
                <w:lang w:eastAsia="en-GB"/>
              </w:rPr>
              <w:t xml:space="preserve"> and internal models method </w:t>
            </w:r>
            <w:r w:rsidRPr="00D808EB">
              <w:rPr>
                <w:rFonts w:cs="Segoe UI"/>
                <w:sz w:val="17"/>
                <w:szCs w:val="17"/>
              </w:rPr>
              <w:t xml:space="preserve">(reported in row </w:t>
            </w:r>
            <w:r w:rsidRPr="00D808EB">
              <w:rPr>
                <w:rFonts w:cs="Segoe UI" w:hint="eastAsia"/>
                <w:sz w:val="17"/>
                <w:szCs w:val="17"/>
              </w:rPr>
              <w:t>11</w:t>
            </w:r>
            <w:r w:rsidRPr="00D808EB">
              <w:rPr>
                <w:rFonts w:cs="Segoe UI"/>
                <w:sz w:val="17"/>
                <w:szCs w:val="17"/>
              </w:rPr>
              <w:t>)</w:t>
            </w:r>
            <w:r>
              <w:rPr>
                <w:rFonts w:cs="Segoe UI" w:hint="eastAsia"/>
                <w:sz w:val="17"/>
                <w:szCs w:val="17"/>
              </w:rPr>
              <w:t xml:space="preserve">, </w:t>
            </w:r>
            <w:r>
              <w:rPr>
                <w:rFonts w:cs="Segoe UI"/>
                <w:sz w:val="17"/>
                <w:szCs w:val="17"/>
              </w:rPr>
              <w:t>but including equity exposures under the PD/LGD approach, retail exposures under the retail IRB approach and other exposures under the specific risk-weight approach.</w:t>
            </w:r>
          </w:p>
        </w:tc>
      </w:tr>
      <w:tr w:rsidR="002A0515" w:rsidRPr="004E457E" w:rsidTr="00A54BE4">
        <w:tc>
          <w:tcPr>
            <w:tcW w:w="567" w:type="dxa"/>
            <w:shd w:val="clear" w:color="auto" w:fill="auto"/>
          </w:tcPr>
          <w:p w:rsidR="002A0515" w:rsidRPr="00983D3E" w:rsidRDefault="002A0515" w:rsidP="00A54BE4">
            <w:pPr>
              <w:keepLines/>
              <w:tabs>
                <w:tab w:val="left" w:pos="150"/>
                <w:tab w:val="left" w:pos="397"/>
                <w:tab w:val="left" w:pos="794"/>
                <w:tab w:val="left" w:pos="1191"/>
              </w:tabs>
              <w:spacing w:before="40" w:after="40"/>
              <w:rPr>
                <w:rFonts w:cs="Segoe UI"/>
                <w:sz w:val="17"/>
                <w:szCs w:val="17"/>
                <w:highlight w:val="yellow"/>
              </w:rPr>
            </w:pPr>
            <w:r w:rsidRPr="00D44754">
              <w:rPr>
                <w:rFonts w:cs="Segoe UI" w:hint="eastAsia"/>
                <w:sz w:val="17"/>
                <w:szCs w:val="17"/>
              </w:rPr>
              <w:t>6</w:t>
            </w:r>
          </w:p>
        </w:tc>
        <w:tc>
          <w:tcPr>
            <w:tcW w:w="8647" w:type="dxa"/>
            <w:shd w:val="clear" w:color="auto" w:fill="auto"/>
          </w:tcPr>
          <w:p w:rsidR="002A0515" w:rsidRPr="00421E07" w:rsidRDefault="002A0515" w:rsidP="00A54BE4">
            <w:pPr>
              <w:keepLines/>
              <w:tabs>
                <w:tab w:val="left" w:pos="150"/>
                <w:tab w:val="left" w:pos="397"/>
                <w:tab w:val="left" w:pos="794"/>
                <w:tab w:val="left" w:pos="1191"/>
              </w:tabs>
              <w:spacing w:before="40" w:after="40"/>
              <w:jc w:val="both"/>
              <w:rPr>
                <w:rFonts w:cs="Segoe UI"/>
                <w:sz w:val="17"/>
                <w:szCs w:val="17"/>
              </w:rPr>
            </w:pPr>
            <w:r w:rsidRPr="004E457E">
              <w:rPr>
                <w:rFonts w:cs="Segoe UI"/>
                <w:i/>
                <w:sz w:val="17"/>
                <w:szCs w:val="17"/>
              </w:rPr>
              <w:t xml:space="preserve">Counterparty </w:t>
            </w:r>
            <w:r>
              <w:rPr>
                <w:rFonts w:cs="Segoe UI"/>
                <w:i/>
                <w:sz w:val="17"/>
                <w:szCs w:val="17"/>
              </w:rPr>
              <w:t>default</w:t>
            </w:r>
            <w:r w:rsidRPr="004E457E">
              <w:rPr>
                <w:rFonts w:cs="Segoe UI"/>
                <w:i/>
                <w:sz w:val="17"/>
                <w:szCs w:val="17"/>
              </w:rPr>
              <w:t xml:space="preserve"> risk</w:t>
            </w:r>
            <w:r>
              <w:rPr>
                <w:rFonts w:cs="Segoe UI"/>
                <w:i/>
                <w:sz w:val="17"/>
                <w:szCs w:val="17"/>
              </w:rPr>
              <w:t xml:space="preserve"> and default fund contributions</w:t>
            </w:r>
            <w:r w:rsidRPr="004E457E">
              <w:rPr>
                <w:rFonts w:cs="Segoe UI"/>
                <w:sz w:val="17"/>
                <w:szCs w:val="17"/>
              </w:rPr>
              <w:t xml:space="preserve">: RWA and capital requirements for counterparty </w:t>
            </w:r>
            <w:r>
              <w:rPr>
                <w:rFonts w:cs="Segoe UI"/>
                <w:sz w:val="17"/>
                <w:szCs w:val="17"/>
              </w:rPr>
              <w:t>default</w:t>
            </w:r>
            <w:r w:rsidRPr="004E457E">
              <w:rPr>
                <w:rFonts w:cs="Segoe UI"/>
                <w:sz w:val="17"/>
                <w:szCs w:val="17"/>
              </w:rPr>
              <w:t xml:space="preserve"> risk (including</w:t>
            </w:r>
            <w:r>
              <w:rPr>
                <w:rFonts w:cs="Segoe UI"/>
                <w:sz w:val="17"/>
                <w:szCs w:val="17"/>
              </w:rPr>
              <w:t xml:space="preserve"> such a risk </w:t>
            </w:r>
            <w:r w:rsidRPr="004E457E">
              <w:rPr>
                <w:rFonts w:cs="Segoe UI"/>
                <w:sz w:val="17"/>
                <w:szCs w:val="17"/>
              </w:rPr>
              <w:t xml:space="preserve">to CCPs) </w:t>
            </w:r>
            <w:r>
              <w:rPr>
                <w:rFonts w:cs="Segoe UI"/>
                <w:sz w:val="17"/>
                <w:szCs w:val="17"/>
              </w:rPr>
              <w:t xml:space="preserve">and default fund contributions, </w:t>
            </w:r>
            <w:r w:rsidRPr="004E457E">
              <w:rPr>
                <w:rFonts w:cs="Segoe UI"/>
                <w:sz w:val="17"/>
                <w:szCs w:val="17"/>
              </w:rPr>
              <w:t>calcul</w:t>
            </w:r>
            <w:r>
              <w:rPr>
                <w:rFonts w:cs="Segoe UI"/>
                <w:sz w:val="17"/>
                <w:szCs w:val="17"/>
              </w:rPr>
              <w:t xml:space="preserve">ated in accordance with the BCR </w:t>
            </w:r>
            <w:r w:rsidRPr="00383487">
              <w:rPr>
                <w:rFonts w:cs="Segoe UI"/>
                <w:sz w:val="17"/>
                <w:szCs w:val="17"/>
              </w:rPr>
              <w:t>as reported i</w:t>
            </w:r>
            <w:r w:rsidRPr="00B74492">
              <w:rPr>
                <w:rFonts w:cs="Segoe UI"/>
                <w:sz w:val="17"/>
                <w:szCs w:val="17"/>
              </w:rPr>
              <w:t>n Part IV of</w:t>
            </w:r>
            <w:r w:rsidRPr="00383487">
              <w:rPr>
                <w:rFonts w:cs="Segoe UI"/>
                <w:sz w:val="17"/>
                <w:szCs w:val="17"/>
              </w:rPr>
              <w:t xml:space="preserve"> this document.</w:t>
            </w:r>
            <w:r w:rsidRPr="004E457E">
              <w:rPr>
                <w:rFonts w:cs="Segoe UI"/>
                <w:sz w:val="17"/>
                <w:szCs w:val="17"/>
              </w:rPr>
              <w:t xml:space="preserve">  </w:t>
            </w:r>
            <w:r>
              <w:rPr>
                <w:rFonts w:cs="Segoe UI"/>
                <w:sz w:val="17"/>
                <w:szCs w:val="17"/>
              </w:rPr>
              <w:t xml:space="preserve">The RWA and capital requirements for </w:t>
            </w:r>
            <w:r>
              <w:rPr>
                <w:rFonts w:cs="Segoe UI" w:hint="eastAsia"/>
                <w:sz w:val="17"/>
                <w:szCs w:val="17"/>
              </w:rPr>
              <w:t>C</w:t>
            </w:r>
            <w:r>
              <w:rPr>
                <w:rFonts w:cs="Segoe UI"/>
                <w:sz w:val="17"/>
                <w:szCs w:val="17"/>
                <w:lang w:eastAsia="en-GB"/>
              </w:rPr>
              <w:t xml:space="preserve">VA should </w:t>
            </w:r>
            <w:r>
              <w:rPr>
                <w:rFonts w:cs="Segoe UI" w:hint="eastAsia"/>
                <w:sz w:val="17"/>
                <w:szCs w:val="17"/>
              </w:rPr>
              <w:t xml:space="preserve">be </w:t>
            </w:r>
            <w:r>
              <w:rPr>
                <w:rFonts w:cs="Segoe UI"/>
                <w:sz w:val="17"/>
                <w:szCs w:val="17"/>
                <w:lang w:eastAsia="en-GB"/>
              </w:rPr>
              <w:t>reported in row 10</w:t>
            </w:r>
            <w:r>
              <w:rPr>
                <w:rFonts w:cs="Segoe UI" w:hint="eastAsia"/>
                <w:sz w:val="17"/>
                <w:szCs w:val="17"/>
              </w:rPr>
              <w:t xml:space="preserve"> </w:t>
            </w:r>
            <w:r>
              <w:rPr>
                <w:rFonts w:cs="Segoe UI"/>
                <w:sz w:val="17"/>
                <w:szCs w:val="17"/>
              </w:rPr>
              <w:t xml:space="preserve">and must not be </w:t>
            </w:r>
            <w:r>
              <w:rPr>
                <w:rFonts w:cs="Segoe UI"/>
                <w:sz w:val="17"/>
                <w:szCs w:val="17"/>
                <w:lang w:eastAsia="en-GB"/>
              </w:rPr>
              <w:t>include</w:t>
            </w:r>
            <w:r>
              <w:rPr>
                <w:rFonts w:cs="Segoe UI" w:hint="eastAsia"/>
                <w:sz w:val="17"/>
                <w:szCs w:val="17"/>
              </w:rPr>
              <w:t xml:space="preserve">d </w:t>
            </w:r>
            <w:r>
              <w:rPr>
                <w:rFonts w:cs="Segoe UI"/>
                <w:sz w:val="17"/>
                <w:szCs w:val="17"/>
              </w:rPr>
              <w:t>in</w:t>
            </w:r>
            <w:r>
              <w:rPr>
                <w:rFonts w:cs="Segoe UI" w:hint="eastAsia"/>
                <w:sz w:val="17"/>
                <w:szCs w:val="17"/>
              </w:rPr>
              <w:t xml:space="preserve"> </w:t>
            </w:r>
            <w:r>
              <w:rPr>
                <w:rFonts w:cs="Segoe UI"/>
                <w:sz w:val="17"/>
                <w:szCs w:val="17"/>
              </w:rPr>
              <w:t>this row and rows 7 to 9 below</w:t>
            </w:r>
            <w:r w:rsidRPr="00FE4698">
              <w:rPr>
                <w:rFonts w:cs="Segoe UI" w:hint="eastAsia"/>
                <w:sz w:val="17"/>
                <w:szCs w:val="17"/>
              </w:rPr>
              <w:t xml:space="preserve">.  </w:t>
            </w:r>
            <w:r w:rsidRPr="00FE4698">
              <w:rPr>
                <w:rFonts w:cs="Segoe UI"/>
                <w:sz w:val="17"/>
                <w:szCs w:val="17"/>
              </w:rPr>
              <w:t>The value in [OV1:6/a] is equal to the sum of values in [CCR1:6/f], [CCR8:1/b] and [CCR8:11/b].</w:t>
            </w:r>
          </w:p>
        </w:tc>
      </w:tr>
      <w:tr w:rsidR="002A0515" w:rsidRPr="004E457E" w:rsidTr="00A54BE4">
        <w:tc>
          <w:tcPr>
            <w:tcW w:w="567" w:type="dxa"/>
            <w:shd w:val="clear" w:color="auto" w:fill="auto"/>
          </w:tcPr>
          <w:p w:rsidR="002A0515" w:rsidRPr="00CA570C" w:rsidRDefault="002A0515" w:rsidP="00A54BE4">
            <w:pPr>
              <w:keepLines/>
              <w:tabs>
                <w:tab w:val="left" w:pos="150"/>
                <w:tab w:val="left" w:pos="397"/>
                <w:tab w:val="left" w:pos="794"/>
                <w:tab w:val="left" w:pos="1191"/>
              </w:tabs>
              <w:spacing w:before="40" w:after="40"/>
              <w:rPr>
                <w:rFonts w:cs="Segoe UI"/>
                <w:sz w:val="17"/>
                <w:szCs w:val="17"/>
                <w:highlight w:val="yellow"/>
              </w:rPr>
            </w:pPr>
            <w:r>
              <w:rPr>
                <w:rFonts w:cs="Segoe UI" w:hint="eastAsia"/>
                <w:sz w:val="17"/>
                <w:szCs w:val="17"/>
              </w:rPr>
              <w:t>7</w:t>
            </w:r>
          </w:p>
        </w:tc>
        <w:tc>
          <w:tcPr>
            <w:tcW w:w="8647" w:type="dxa"/>
            <w:shd w:val="clear" w:color="auto" w:fill="auto"/>
          </w:tcPr>
          <w:p w:rsidR="002A0515" w:rsidRPr="004E457E" w:rsidRDefault="002A0515" w:rsidP="00A54BE4">
            <w:pPr>
              <w:keepLines/>
              <w:tabs>
                <w:tab w:val="left" w:pos="397"/>
                <w:tab w:val="left" w:pos="794"/>
                <w:tab w:val="left" w:pos="1191"/>
              </w:tabs>
              <w:spacing w:before="40" w:after="40"/>
              <w:jc w:val="both"/>
              <w:rPr>
                <w:rFonts w:cs="Segoe UI"/>
                <w:sz w:val="17"/>
                <w:szCs w:val="17"/>
                <w:lang w:eastAsia="en-GB"/>
              </w:rPr>
            </w:pPr>
            <w:r w:rsidRPr="00983D3E">
              <w:rPr>
                <w:rFonts w:cs="Segoe UI"/>
                <w:i/>
                <w:sz w:val="17"/>
                <w:szCs w:val="17"/>
                <w:lang w:eastAsia="en-GB"/>
              </w:rPr>
              <w:t>Of which SA-CCR</w:t>
            </w:r>
            <w:r>
              <w:rPr>
                <w:rFonts w:cs="Segoe UI"/>
                <w:i/>
                <w:sz w:val="17"/>
                <w:szCs w:val="17"/>
                <w:lang w:eastAsia="en-GB"/>
              </w:rPr>
              <w:t xml:space="preserve"> approach</w:t>
            </w:r>
            <w:r w:rsidRPr="004E457E">
              <w:rPr>
                <w:rFonts w:cs="Segoe UI"/>
                <w:sz w:val="17"/>
                <w:szCs w:val="17"/>
                <w:lang w:eastAsia="en-GB"/>
              </w:rPr>
              <w:t xml:space="preserve">: </w:t>
            </w:r>
            <w:r w:rsidRPr="004E457E">
              <w:rPr>
                <w:rFonts w:cs="Segoe UI"/>
                <w:sz w:val="17"/>
                <w:szCs w:val="17"/>
              </w:rPr>
              <w:t xml:space="preserve">RWA calculated based on the amount of default risk exposures calculated under the </w:t>
            </w:r>
            <w:r>
              <w:rPr>
                <w:rFonts w:cs="Segoe UI"/>
                <w:sz w:val="17"/>
                <w:szCs w:val="17"/>
              </w:rPr>
              <w:t xml:space="preserve">SA-CCR approach. </w:t>
            </w:r>
            <w:r w:rsidRPr="00610A32">
              <w:rPr>
                <w:rFonts w:cs="Segoe UI"/>
                <w:sz w:val="17"/>
                <w:szCs w:val="17"/>
                <w:lang w:eastAsia="en-GB"/>
              </w:rPr>
              <w:t xml:space="preserve"> </w:t>
            </w:r>
            <w:r>
              <w:rPr>
                <w:rFonts w:cs="Segoe UI"/>
                <w:sz w:val="17"/>
                <w:szCs w:val="17"/>
                <w:lang w:eastAsia="en-GB"/>
              </w:rPr>
              <w:t xml:space="preserve"> </w:t>
            </w:r>
            <w:r w:rsidRPr="00AC6DA4">
              <w:rPr>
                <w:rFonts w:cs="Segoe UI"/>
                <w:sz w:val="17"/>
                <w:szCs w:val="17"/>
                <w:lang w:eastAsia="en-GB"/>
              </w:rPr>
              <w:t>The value in [OV1:7/a] should be equal to</w:t>
            </w:r>
            <w:r w:rsidRPr="00AC6DA4">
              <w:rPr>
                <w:sz w:val="17"/>
              </w:rPr>
              <w:t xml:space="preserve"> the </w:t>
            </w:r>
            <w:r w:rsidRPr="00AC6DA4">
              <w:rPr>
                <w:rFonts w:cs="Segoe UI"/>
                <w:sz w:val="17"/>
                <w:szCs w:val="17"/>
                <w:lang w:eastAsia="en-GB"/>
              </w:rPr>
              <w:t>value in [CCR1: 1/f].</w:t>
            </w:r>
          </w:p>
        </w:tc>
      </w:tr>
      <w:tr w:rsidR="002A0515" w:rsidRPr="004E457E" w:rsidTr="00A54BE4">
        <w:tc>
          <w:tcPr>
            <w:tcW w:w="567" w:type="dxa"/>
            <w:shd w:val="clear" w:color="auto" w:fill="auto"/>
          </w:tcPr>
          <w:p w:rsidR="002A0515" w:rsidRPr="00CA570C" w:rsidRDefault="002A0515" w:rsidP="00A54BE4">
            <w:pPr>
              <w:keepLines/>
              <w:tabs>
                <w:tab w:val="left" w:pos="150"/>
                <w:tab w:val="left" w:pos="397"/>
                <w:tab w:val="left" w:pos="794"/>
                <w:tab w:val="left" w:pos="1191"/>
              </w:tabs>
              <w:spacing w:before="40" w:after="40"/>
              <w:rPr>
                <w:rFonts w:cs="Segoe UI"/>
                <w:sz w:val="17"/>
                <w:szCs w:val="17"/>
                <w:highlight w:val="yellow"/>
              </w:rPr>
            </w:pPr>
            <w:r w:rsidRPr="00CA570C">
              <w:rPr>
                <w:rFonts w:cs="Segoe UI"/>
                <w:sz w:val="17"/>
                <w:szCs w:val="17"/>
              </w:rPr>
              <w:t>7</w:t>
            </w:r>
            <w:r>
              <w:rPr>
                <w:rFonts w:cs="Segoe UI" w:hint="eastAsia"/>
                <w:sz w:val="17"/>
                <w:szCs w:val="17"/>
              </w:rPr>
              <w:t>a</w:t>
            </w:r>
          </w:p>
        </w:tc>
        <w:tc>
          <w:tcPr>
            <w:tcW w:w="8647" w:type="dxa"/>
            <w:shd w:val="clear" w:color="auto" w:fill="auto"/>
          </w:tcPr>
          <w:p w:rsidR="002A0515" w:rsidRPr="004E457E" w:rsidRDefault="002A0515" w:rsidP="00A54BE4">
            <w:pPr>
              <w:keepLines/>
              <w:tabs>
                <w:tab w:val="left" w:pos="397"/>
                <w:tab w:val="left" w:pos="794"/>
                <w:tab w:val="left" w:pos="1191"/>
              </w:tabs>
              <w:spacing w:before="40" w:after="40"/>
              <w:jc w:val="both"/>
              <w:rPr>
                <w:rFonts w:cs="Segoe UI"/>
                <w:i/>
                <w:sz w:val="17"/>
                <w:szCs w:val="17"/>
                <w:lang w:eastAsia="en-GB"/>
              </w:rPr>
            </w:pPr>
            <w:r w:rsidRPr="000A6D82">
              <w:rPr>
                <w:rFonts w:cs="Segoe UI"/>
                <w:i/>
                <w:sz w:val="17"/>
                <w:szCs w:val="17"/>
                <w:lang w:eastAsia="en-GB"/>
              </w:rPr>
              <w:t>Of which CEM</w:t>
            </w:r>
            <w:r w:rsidRPr="004E457E">
              <w:rPr>
                <w:rFonts w:cs="Segoe UI"/>
                <w:sz w:val="17"/>
                <w:szCs w:val="17"/>
                <w:lang w:eastAsia="en-GB"/>
              </w:rPr>
              <w:t xml:space="preserve">: </w:t>
            </w:r>
            <w:r w:rsidRPr="004E457E">
              <w:rPr>
                <w:rFonts w:cs="Segoe UI"/>
                <w:sz w:val="17"/>
                <w:szCs w:val="17"/>
              </w:rPr>
              <w:t>RWA calculated based on the amount of default risk exposures calculated under the CEM, and the capital requirem</w:t>
            </w:r>
            <w:r>
              <w:rPr>
                <w:rFonts w:cs="Segoe UI"/>
                <w:sz w:val="17"/>
                <w:szCs w:val="17"/>
              </w:rPr>
              <w:t>ent calculated based on the RWA</w:t>
            </w:r>
            <w:r>
              <w:rPr>
                <w:rFonts w:cs="Segoe UI" w:hint="eastAsia"/>
                <w:sz w:val="17"/>
                <w:szCs w:val="17"/>
              </w:rPr>
              <w:t>.</w:t>
            </w:r>
            <w:r w:rsidRPr="004E457E">
              <w:rPr>
                <w:rFonts w:cs="Segoe UI"/>
                <w:sz w:val="17"/>
                <w:szCs w:val="17"/>
              </w:rPr>
              <w:t xml:space="preserve"> </w:t>
            </w:r>
            <w:r>
              <w:rPr>
                <w:rFonts w:cs="Segoe UI"/>
                <w:sz w:val="17"/>
                <w:szCs w:val="17"/>
              </w:rPr>
              <w:t xml:space="preserve"> </w:t>
            </w:r>
            <w:r w:rsidRPr="004E457E">
              <w:rPr>
                <w:rFonts w:cs="Segoe UI"/>
                <w:sz w:val="17"/>
                <w:szCs w:val="17"/>
              </w:rPr>
              <w:t xml:space="preserve">The value in </w:t>
            </w:r>
            <w:r w:rsidRPr="00421E07">
              <w:rPr>
                <w:rFonts w:cs="Segoe UI"/>
                <w:sz w:val="17"/>
                <w:szCs w:val="17"/>
              </w:rPr>
              <w:t>[OV1:</w:t>
            </w:r>
            <w:r>
              <w:rPr>
                <w:rFonts w:cs="Segoe UI"/>
                <w:sz w:val="17"/>
                <w:szCs w:val="17"/>
              </w:rPr>
              <w:t>7a</w:t>
            </w:r>
            <w:r w:rsidRPr="00421E07">
              <w:rPr>
                <w:rFonts w:cs="Segoe UI"/>
                <w:sz w:val="17"/>
                <w:szCs w:val="17"/>
              </w:rPr>
              <w:t>/a] is equal to the value in [CCR</w:t>
            </w:r>
            <w:r>
              <w:rPr>
                <w:rFonts w:cs="Segoe UI"/>
                <w:sz w:val="17"/>
                <w:szCs w:val="17"/>
              </w:rPr>
              <w:t>1</w:t>
            </w:r>
            <w:r w:rsidRPr="00421E07">
              <w:rPr>
                <w:rFonts w:cs="Segoe UI"/>
                <w:sz w:val="17"/>
                <w:szCs w:val="17"/>
              </w:rPr>
              <w:t>:</w:t>
            </w:r>
            <w:r>
              <w:rPr>
                <w:rFonts w:cs="Segoe UI"/>
                <w:sz w:val="17"/>
                <w:szCs w:val="17"/>
              </w:rPr>
              <w:t>1a</w:t>
            </w:r>
            <w:r w:rsidRPr="00421E07">
              <w:rPr>
                <w:rFonts w:cs="Segoe UI"/>
                <w:sz w:val="17"/>
                <w:szCs w:val="17"/>
              </w:rPr>
              <w:t>/</w:t>
            </w:r>
            <w:r>
              <w:rPr>
                <w:rFonts w:cs="Segoe UI"/>
                <w:sz w:val="17"/>
                <w:szCs w:val="17"/>
              </w:rPr>
              <w:t>f</w:t>
            </w:r>
            <w:r w:rsidRPr="00421E07">
              <w:rPr>
                <w:rFonts w:cs="Segoe UI"/>
                <w:sz w:val="17"/>
                <w:szCs w:val="17"/>
              </w:rPr>
              <w:t>].</w:t>
            </w:r>
          </w:p>
        </w:tc>
      </w:tr>
      <w:tr w:rsidR="002A0515" w:rsidRPr="004E457E" w:rsidTr="00A54BE4">
        <w:tc>
          <w:tcPr>
            <w:tcW w:w="567" w:type="dxa"/>
            <w:shd w:val="clear" w:color="auto" w:fill="auto"/>
          </w:tcPr>
          <w:p w:rsidR="002A0515" w:rsidRPr="00622192" w:rsidRDefault="002A0515" w:rsidP="00A54BE4">
            <w:pPr>
              <w:keepLines/>
              <w:tabs>
                <w:tab w:val="left" w:pos="150"/>
                <w:tab w:val="left" w:pos="397"/>
                <w:tab w:val="left" w:pos="794"/>
                <w:tab w:val="left" w:pos="1191"/>
              </w:tabs>
              <w:spacing w:before="40" w:after="40"/>
              <w:rPr>
                <w:rFonts w:cs="Segoe UI"/>
                <w:sz w:val="17"/>
                <w:szCs w:val="17"/>
                <w:highlight w:val="yellow"/>
              </w:rPr>
            </w:pPr>
            <w:r w:rsidRPr="00F00CD5">
              <w:rPr>
                <w:rFonts w:cs="Segoe UI"/>
                <w:sz w:val="17"/>
                <w:szCs w:val="17"/>
              </w:rPr>
              <w:t>8</w:t>
            </w:r>
          </w:p>
        </w:tc>
        <w:tc>
          <w:tcPr>
            <w:tcW w:w="8647" w:type="dxa"/>
            <w:shd w:val="clear" w:color="auto" w:fill="auto"/>
          </w:tcPr>
          <w:p w:rsidR="002A0515" w:rsidRPr="004E457E" w:rsidRDefault="002A0515" w:rsidP="00A54BE4">
            <w:pPr>
              <w:keepLines/>
              <w:tabs>
                <w:tab w:val="left" w:pos="397"/>
                <w:tab w:val="left" w:pos="794"/>
                <w:tab w:val="left" w:pos="1191"/>
              </w:tabs>
              <w:spacing w:before="40" w:after="40"/>
              <w:jc w:val="both"/>
              <w:rPr>
                <w:rFonts w:cs="Segoe UI"/>
                <w:sz w:val="17"/>
                <w:szCs w:val="17"/>
                <w:lang w:eastAsia="en-GB"/>
              </w:rPr>
            </w:pPr>
            <w:r w:rsidRPr="00156333">
              <w:rPr>
                <w:rFonts w:cs="Segoe UI"/>
                <w:i/>
                <w:sz w:val="17"/>
                <w:szCs w:val="17"/>
                <w:lang w:eastAsia="en-GB"/>
              </w:rPr>
              <w:t>Of which IMM(CCR) approach</w:t>
            </w:r>
            <w:r w:rsidRPr="004E457E">
              <w:rPr>
                <w:rFonts w:cs="Segoe UI"/>
                <w:sz w:val="17"/>
                <w:szCs w:val="17"/>
                <w:lang w:eastAsia="en-GB"/>
              </w:rPr>
              <w:t xml:space="preserve">: </w:t>
            </w:r>
            <w:r w:rsidRPr="004E457E">
              <w:rPr>
                <w:rFonts w:cs="Segoe UI"/>
                <w:sz w:val="17"/>
                <w:szCs w:val="17"/>
              </w:rPr>
              <w:t>RWA calculated based on the amount of default risk exposures calculated under the IMM(CCR) approach, and the capital requirem</w:t>
            </w:r>
            <w:r>
              <w:rPr>
                <w:rFonts w:cs="Segoe UI"/>
                <w:sz w:val="17"/>
                <w:szCs w:val="17"/>
              </w:rPr>
              <w:t>ent calculated based on the RWA</w:t>
            </w:r>
            <w:r>
              <w:rPr>
                <w:rFonts w:cs="Segoe UI" w:hint="eastAsia"/>
                <w:sz w:val="17"/>
                <w:szCs w:val="17"/>
              </w:rPr>
              <w:t xml:space="preserve">.  </w:t>
            </w:r>
            <w:r w:rsidRPr="004E457E">
              <w:rPr>
                <w:rFonts w:cs="Segoe UI"/>
                <w:sz w:val="17"/>
                <w:szCs w:val="17"/>
              </w:rPr>
              <w:t xml:space="preserve">The value in </w:t>
            </w:r>
            <w:r w:rsidRPr="00421E07">
              <w:rPr>
                <w:rFonts w:cs="Segoe UI"/>
                <w:sz w:val="17"/>
                <w:szCs w:val="17"/>
              </w:rPr>
              <w:t xml:space="preserve">[OV1:8/a] is equal to </w:t>
            </w:r>
            <w:r>
              <w:rPr>
                <w:rFonts w:cs="Segoe UI"/>
                <w:sz w:val="17"/>
                <w:szCs w:val="17"/>
              </w:rPr>
              <w:t xml:space="preserve">the value in [CCR1:2/f] and </w:t>
            </w:r>
            <w:r w:rsidRPr="00421E07">
              <w:rPr>
                <w:rFonts w:cs="Segoe UI"/>
                <w:sz w:val="17"/>
                <w:szCs w:val="17"/>
              </w:rPr>
              <w:t>the value in [CCR7:9/a].</w:t>
            </w:r>
          </w:p>
        </w:tc>
      </w:tr>
      <w:tr w:rsidR="002A0515" w:rsidRPr="004147BF" w:rsidTr="00A54BE4">
        <w:tc>
          <w:tcPr>
            <w:tcW w:w="567" w:type="dxa"/>
            <w:shd w:val="clear" w:color="auto" w:fill="auto"/>
          </w:tcPr>
          <w:p w:rsidR="002A0515" w:rsidRPr="00012673" w:rsidRDefault="002A0515" w:rsidP="00A54BE4">
            <w:pPr>
              <w:keepLines/>
              <w:tabs>
                <w:tab w:val="left" w:pos="150"/>
                <w:tab w:val="left" w:pos="397"/>
                <w:tab w:val="left" w:pos="794"/>
                <w:tab w:val="left" w:pos="1191"/>
              </w:tabs>
              <w:spacing w:before="40" w:after="40"/>
              <w:rPr>
                <w:rFonts w:cs="Segoe UI"/>
                <w:sz w:val="17"/>
                <w:szCs w:val="17"/>
              </w:rPr>
            </w:pPr>
            <w:r>
              <w:rPr>
                <w:rFonts w:cs="Segoe UI"/>
                <w:sz w:val="17"/>
                <w:szCs w:val="17"/>
              </w:rPr>
              <w:t>9</w:t>
            </w:r>
          </w:p>
        </w:tc>
        <w:tc>
          <w:tcPr>
            <w:tcW w:w="8647" w:type="dxa"/>
            <w:shd w:val="clear" w:color="auto" w:fill="auto"/>
          </w:tcPr>
          <w:p w:rsidR="002A0515" w:rsidRPr="00FE4698" w:rsidRDefault="002A0515" w:rsidP="00A54BE4">
            <w:pPr>
              <w:keepLines/>
              <w:tabs>
                <w:tab w:val="left" w:pos="397"/>
                <w:tab w:val="left" w:pos="794"/>
                <w:tab w:val="left" w:pos="1191"/>
              </w:tabs>
              <w:spacing w:before="40" w:after="40"/>
              <w:jc w:val="both"/>
              <w:rPr>
                <w:rFonts w:cs="Segoe UI"/>
                <w:sz w:val="17"/>
                <w:szCs w:val="17"/>
              </w:rPr>
            </w:pPr>
            <w:r w:rsidRPr="00FE4698">
              <w:rPr>
                <w:rFonts w:cs="Segoe UI"/>
                <w:i/>
                <w:sz w:val="17"/>
                <w:szCs w:val="17"/>
                <w:lang w:eastAsia="en-GB"/>
              </w:rPr>
              <w:t>Of which others</w:t>
            </w:r>
            <w:r w:rsidRPr="00FE4698">
              <w:rPr>
                <w:rFonts w:cs="Segoe UI"/>
                <w:sz w:val="17"/>
                <w:szCs w:val="17"/>
                <w:lang w:eastAsia="en-GB"/>
              </w:rPr>
              <w:t xml:space="preserve">: </w:t>
            </w:r>
            <w:r w:rsidRPr="00FE4698">
              <w:rPr>
                <w:rFonts w:cs="Segoe UI"/>
                <w:sz w:val="17"/>
                <w:szCs w:val="17"/>
              </w:rPr>
              <w:t xml:space="preserve">RWA and capital requirements for the following items calculated in accordance with the BCR by using methods other than those falling under rows 7 </w:t>
            </w:r>
            <w:r>
              <w:rPr>
                <w:rFonts w:cs="Segoe UI"/>
                <w:sz w:val="17"/>
                <w:szCs w:val="17"/>
              </w:rPr>
              <w:t>to</w:t>
            </w:r>
            <w:r w:rsidRPr="00FE4698">
              <w:rPr>
                <w:rFonts w:cs="Segoe UI"/>
                <w:sz w:val="17"/>
                <w:szCs w:val="17"/>
              </w:rPr>
              <w:t xml:space="preserve"> 8 above as reported in Part IV of this document:</w:t>
            </w:r>
          </w:p>
          <w:p w:rsidR="002A0515" w:rsidRPr="00FE4698" w:rsidRDefault="002A0515" w:rsidP="002A0515">
            <w:pPr>
              <w:pStyle w:val="ListParagraph"/>
              <w:keepLines/>
              <w:widowControl w:val="0"/>
              <w:numPr>
                <w:ilvl w:val="0"/>
                <w:numId w:val="43"/>
              </w:numPr>
              <w:tabs>
                <w:tab w:val="left" w:pos="397"/>
                <w:tab w:val="left" w:pos="794"/>
                <w:tab w:val="left" w:pos="1191"/>
              </w:tabs>
              <w:spacing w:before="40" w:after="40"/>
              <w:ind w:leftChars="0"/>
              <w:jc w:val="both"/>
              <w:rPr>
                <w:rFonts w:cs="Segoe UI"/>
                <w:sz w:val="17"/>
                <w:szCs w:val="17"/>
              </w:rPr>
            </w:pPr>
            <w:r w:rsidRPr="00FE4698">
              <w:rPr>
                <w:rFonts w:cs="Segoe UI"/>
                <w:sz w:val="17"/>
                <w:szCs w:val="17"/>
              </w:rPr>
              <w:t>counterparty default risk (including such a risk to CCPs) in respect of securities financing transactions; and</w:t>
            </w:r>
          </w:p>
          <w:p w:rsidR="002A0515" w:rsidRPr="00FE4698" w:rsidRDefault="002A0515" w:rsidP="002A0515">
            <w:pPr>
              <w:pStyle w:val="ListParagraph"/>
              <w:keepLines/>
              <w:widowControl w:val="0"/>
              <w:numPr>
                <w:ilvl w:val="0"/>
                <w:numId w:val="43"/>
              </w:numPr>
              <w:tabs>
                <w:tab w:val="left" w:pos="397"/>
                <w:tab w:val="left" w:pos="794"/>
                <w:tab w:val="left" w:pos="1191"/>
              </w:tabs>
              <w:spacing w:before="40" w:after="40"/>
              <w:ind w:leftChars="0"/>
              <w:jc w:val="both"/>
              <w:rPr>
                <w:rFonts w:cs="Segoe UI"/>
                <w:sz w:val="17"/>
                <w:szCs w:val="17"/>
              </w:rPr>
            </w:pPr>
            <w:r w:rsidRPr="00FE4698">
              <w:rPr>
                <w:rFonts w:cs="Segoe UI"/>
                <w:sz w:val="17"/>
                <w:szCs w:val="17"/>
              </w:rPr>
              <w:t>default fund contributions.</w:t>
            </w:r>
          </w:p>
        </w:tc>
      </w:tr>
      <w:tr w:rsidR="002A0515" w:rsidRPr="004E457E" w:rsidTr="00A54BE4">
        <w:tc>
          <w:tcPr>
            <w:tcW w:w="567" w:type="dxa"/>
            <w:shd w:val="clear" w:color="auto" w:fill="auto"/>
          </w:tcPr>
          <w:p w:rsidR="002A0515" w:rsidRPr="00012673" w:rsidRDefault="002A0515" w:rsidP="00A54BE4">
            <w:pPr>
              <w:keepLines/>
              <w:tabs>
                <w:tab w:val="left" w:pos="150"/>
                <w:tab w:val="left" w:pos="397"/>
                <w:tab w:val="left" w:pos="794"/>
                <w:tab w:val="left" w:pos="1191"/>
              </w:tabs>
              <w:spacing w:before="40" w:after="40"/>
              <w:rPr>
                <w:rFonts w:cs="Segoe UI"/>
                <w:sz w:val="17"/>
                <w:szCs w:val="17"/>
              </w:rPr>
            </w:pPr>
            <w:r w:rsidRPr="00012673">
              <w:rPr>
                <w:rFonts w:cs="Segoe UI"/>
                <w:sz w:val="17"/>
                <w:szCs w:val="17"/>
              </w:rPr>
              <w:t>10</w:t>
            </w:r>
          </w:p>
        </w:tc>
        <w:tc>
          <w:tcPr>
            <w:tcW w:w="8647" w:type="dxa"/>
            <w:shd w:val="clear" w:color="auto" w:fill="auto"/>
          </w:tcPr>
          <w:p w:rsidR="002A0515" w:rsidRPr="00FE4698" w:rsidRDefault="002A0515" w:rsidP="00A54BE4">
            <w:pPr>
              <w:keepLines/>
              <w:tabs>
                <w:tab w:val="left" w:pos="397"/>
                <w:tab w:val="left" w:pos="794"/>
                <w:tab w:val="left" w:pos="1191"/>
              </w:tabs>
              <w:spacing w:before="40" w:after="40"/>
              <w:jc w:val="both"/>
              <w:rPr>
                <w:rFonts w:cs="Segoe UI"/>
                <w:sz w:val="17"/>
                <w:szCs w:val="17"/>
                <w:lang w:eastAsia="en-GB"/>
              </w:rPr>
            </w:pPr>
            <w:r w:rsidRPr="00FE4698">
              <w:rPr>
                <w:rFonts w:cs="Segoe UI"/>
                <w:i/>
                <w:sz w:val="17"/>
                <w:szCs w:val="17"/>
                <w:lang w:eastAsia="en-GB"/>
              </w:rPr>
              <w:t>CVA risk</w:t>
            </w:r>
            <w:r w:rsidRPr="00FE4698">
              <w:rPr>
                <w:rFonts w:cs="Segoe UI"/>
                <w:sz w:val="17"/>
                <w:szCs w:val="17"/>
                <w:lang w:eastAsia="en-GB"/>
              </w:rPr>
              <w:t>: capital requirements for CVA calculated in accordance with the BCR and the corresponding RWA for CVA, as reported in Part IV of this document.</w:t>
            </w:r>
            <w:r w:rsidRPr="00FE4698">
              <w:rPr>
                <w:rFonts w:cs="Segoe UI"/>
                <w:sz w:val="17"/>
                <w:szCs w:val="17"/>
              </w:rPr>
              <w:t xml:space="preserve">  The value in [OV1:10/a] is equal to </w:t>
            </w:r>
            <w:r>
              <w:rPr>
                <w:rFonts w:cs="Segoe UI"/>
                <w:sz w:val="17"/>
                <w:szCs w:val="17"/>
              </w:rPr>
              <w:t xml:space="preserve">the </w:t>
            </w:r>
            <w:r w:rsidRPr="00FE4698">
              <w:rPr>
                <w:rFonts w:cs="Segoe UI"/>
                <w:sz w:val="17"/>
                <w:szCs w:val="17"/>
              </w:rPr>
              <w:t>value in [CCR2:4/b].</w:t>
            </w:r>
          </w:p>
        </w:tc>
      </w:tr>
      <w:tr w:rsidR="002A0515" w:rsidRPr="004E457E" w:rsidTr="00A54BE4">
        <w:tc>
          <w:tcPr>
            <w:tcW w:w="567" w:type="dxa"/>
            <w:shd w:val="clear" w:color="auto" w:fill="auto"/>
          </w:tcPr>
          <w:p w:rsidR="002A0515" w:rsidRPr="00622192" w:rsidRDefault="002A0515" w:rsidP="00A54BE4">
            <w:pPr>
              <w:keepLines/>
              <w:tabs>
                <w:tab w:val="left" w:pos="150"/>
                <w:tab w:val="left" w:pos="397"/>
                <w:tab w:val="left" w:pos="794"/>
                <w:tab w:val="left" w:pos="1191"/>
              </w:tabs>
              <w:spacing w:before="40" w:after="40"/>
              <w:rPr>
                <w:rFonts w:cs="Segoe UI"/>
                <w:sz w:val="17"/>
                <w:szCs w:val="17"/>
                <w:highlight w:val="yellow"/>
              </w:rPr>
            </w:pPr>
            <w:r w:rsidRPr="005F7B0C">
              <w:rPr>
                <w:rFonts w:cs="Segoe UI"/>
                <w:sz w:val="17"/>
                <w:szCs w:val="17"/>
              </w:rPr>
              <w:t>11</w:t>
            </w:r>
          </w:p>
        </w:tc>
        <w:tc>
          <w:tcPr>
            <w:tcW w:w="8647" w:type="dxa"/>
            <w:shd w:val="clear" w:color="auto" w:fill="auto"/>
          </w:tcPr>
          <w:p w:rsidR="002A0515" w:rsidRDefault="002A0515" w:rsidP="00A54BE4">
            <w:pPr>
              <w:keepLines/>
              <w:tabs>
                <w:tab w:val="left" w:pos="397"/>
                <w:tab w:val="left" w:pos="794"/>
                <w:tab w:val="left" w:pos="1191"/>
              </w:tabs>
              <w:spacing w:before="40" w:after="40"/>
              <w:jc w:val="both"/>
              <w:rPr>
                <w:rFonts w:cs="Segoe UI"/>
                <w:sz w:val="17"/>
                <w:szCs w:val="17"/>
              </w:rPr>
            </w:pPr>
            <w:r w:rsidRPr="000066A2">
              <w:rPr>
                <w:rFonts w:cs="Segoe UI"/>
                <w:i/>
                <w:sz w:val="17"/>
                <w:szCs w:val="17"/>
              </w:rPr>
              <w:t xml:space="preserve">Equity </w:t>
            </w:r>
            <w:r>
              <w:rPr>
                <w:rFonts w:cs="Segoe UI"/>
                <w:i/>
                <w:sz w:val="17"/>
                <w:szCs w:val="17"/>
              </w:rPr>
              <w:t xml:space="preserve">positions in banking book </w:t>
            </w:r>
            <w:r w:rsidRPr="000066A2">
              <w:rPr>
                <w:rFonts w:cs="Segoe UI"/>
                <w:i/>
                <w:sz w:val="17"/>
                <w:szCs w:val="17"/>
              </w:rPr>
              <w:t xml:space="preserve">under the </w:t>
            </w:r>
            <w:r w:rsidRPr="00146759">
              <w:rPr>
                <w:rFonts w:cs="Segoe UI"/>
                <w:i/>
                <w:sz w:val="17"/>
                <w:szCs w:val="17"/>
              </w:rPr>
              <w:t>simple risk-weight method</w:t>
            </w:r>
            <w:r>
              <w:rPr>
                <w:rFonts w:cs="Segoe UI"/>
                <w:i/>
                <w:sz w:val="17"/>
                <w:szCs w:val="17"/>
              </w:rPr>
              <w:t xml:space="preserve"> and internal models method</w:t>
            </w:r>
            <w:r>
              <w:rPr>
                <w:rFonts w:cs="Segoe UI"/>
                <w:sz w:val="17"/>
                <w:szCs w:val="17"/>
              </w:rPr>
              <w:t xml:space="preserve">: The amounts correspond to the RWA and capital requirements where the AI applies the </w:t>
            </w:r>
            <w:r w:rsidRPr="003E544C">
              <w:rPr>
                <w:rFonts w:cs="Segoe UI"/>
                <w:sz w:val="17"/>
                <w:szCs w:val="17"/>
              </w:rPr>
              <w:t>simple risk-weight method</w:t>
            </w:r>
            <w:r>
              <w:rPr>
                <w:rFonts w:cs="Segoe UI"/>
                <w:sz w:val="17"/>
                <w:szCs w:val="17"/>
              </w:rPr>
              <w:t xml:space="preserve"> and internal models method specified in the BCR.  Where the regulatory treatment of equities is in accordance with the simple risk-weight method, the corresponding RWA are included in Template CR10 and in this row. </w:t>
            </w:r>
            <w:r>
              <w:rPr>
                <w:rFonts w:cs="Segoe UI" w:hint="eastAsia"/>
                <w:sz w:val="17"/>
                <w:szCs w:val="17"/>
              </w:rPr>
              <w:t xml:space="preserve"> </w:t>
            </w:r>
            <w:r w:rsidRPr="00752C12">
              <w:rPr>
                <w:rFonts w:cs="Segoe UI"/>
                <w:sz w:val="17"/>
                <w:szCs w:val="17"/>
              </w:rPr>
              <w:t>The value in [OV1:11/a] is equal to the sum of values in [CR10: total/e for equity exposures under the simple risk-weight method] and the RWA corresponding to the internal models method for equity exposures in the banking book.</w:t>
            </w:r>
          </w:p>
          <w:p w:rsidR="002A0515" w:rsidRPr="004E457E" w:rsidRDefault="002A0515" w:rsidP="00A54BE4">
            <w:pPr>
              <w:keepLines/>
              <w:tabs>
                <w:tab w:val="left" w:pos="397"/>
                <w:tab w:val="left" w:pos="794"/>
                <w:tab w:val="left" w:pos="1191"/>
              </w:tabs>
              <w:spacing w:before="40" w:after="40"/>
              <w:jc w:val="both"/>
              <w:rPr>
                <w:rFonts w:cs="Segoe UI"/>
                <w:noProof/>
                <w:sz w:val="17"/>
                <w:szCs w:val="17"/>
                <w:lang w:eastAsia="en-GB"/>
              </w:rPr>
            </w:pPr>
            <w:r w:rsidRPr="004E457E">
              <w:rPr>
                <w:rFonts w:cs="Segoe UI"/>
                <w:sz w:val="17"/>
                <w:szCs w:val="17"/>
              </w:rPr>
              <w:t>To avoid doubt</w:t>
            </w:r>
            <w:r>
              <w:rPr>
                <w:rFonts w:cs="Segoe UI"/>
                <w:sz w:val="17"/>
                <w:szCs w:val="17"/>
              </w:rPr>
              <w:t>, r</w:t>
            </w:r>
            <w:r w:rsidRPr="00A76646">
              <w:rPr>
                <w:rFonts w:cs="Segoe UI"/>
                <w:sz w:val="17"/>
                <w:szCs w:val="17"/>
              </w:rPr>
              <w:t xml:space="preserve">ow 11 is not applicable to equity exposures that are subject to the STC approach or the BSC approach.  The corresponding RWA calculated under the STC or BSC approach is reported in </w:t>
            </w:r>
            <w:r>
              <w:rPr>
                <w:rFonts w:cs="Segoe UI"/>
                <w:sz w:val="17"/>
                <w:szCs w:val="17"/>
              </w:rPr>
              <w:t>T</w:t>
            </w:r>
            <w:r w:rsidRPr="00A76646">
              <w:rPr>
                <w:rFonts w:cs="Segoe UI"/>
                <w:sz w:val="17"/>
                <w:szCs w:val="17"/>
              </w:rPr>
              <w:t>emplate CR4 and included in row 2 (for STC approach) or row 2a (for BSC approach), as the case requires, of this template.</w:t>
            </w:r>
          </w:p>
        </w:tc>
      </w:tr>
      <w:tr w:rsidR="002A0515" w:rsidRPr="004E457E" w:rsidTr="00A54BE4">
        <w:tc>
          <w:tcPr>
            <w:tcW w:w="567" w:type="dxa"/>
            <w:shd w:val="clear" w:color="auto" w:fill="auto"/>
          </w:tcPr>
          <w:p w:rsidR="002A0515" w:rsidRPr="00B047A9" w:rsidRDefault="002A0515" w:rsidP="00A54BE4">
            <w:pPr>
              <w:keepLines/>
              <w:tabs>
                <w:tab w:val="left" w:pos="150"/>
                <w:tab w:val="left" w:pos="397"/>
                <w:tab w:val="left" w:pos="794"/>
                <w:tab w:val="left" w:pos="1191"/>
              </w:tabs>
              <w:spacing w:before="40" w:after="40"/>
              <w:rPr>
                <w:rFonts w:cs="Segoe UI"/>
                <w:sz w:val="17"/>
                <w:szCs w:val="17"/>
              </w:rPr>
            </w:pPr>
            <w:r w:rsidRPr="00B047A9">
              <w:rPr>
                <w:rFonts w:cs="Segoe UI"/>
                <w:sz w:val="17"/>
                <w:szCs w:val="17"/>
              </w:rPr>
              <w:t>12</w:t>
            </w:r>
          </w:p>
        </w:tc>
        <w:tc>
          <w:tcPr>
            <w:tcW w:w="8647" w:type="dxa"/>
            <w:shd w:val="clear" w:color="auto" w:fill="auto"/>
          </w:tcPr>
          <w:p w:rsidR="002A0515" w:rsidRPr="00FE4698" w:rsidRDefault="002A0515" w:rsidP="00A54BE4">
            <w:pPr>
              <w:keepLines/>
              <w:tabs>
                <w:tab w:val="left" w:pos="397"/>
                <w:tab w:val="left" w:pos="794"/>
                <w:tab w:val="left" w:pos="1191"/>
              </w:tabs>
              <w:spacing w:before="40" w:after="40"/>
              <w:jc w:val="both"/>
              <w:rPr>
                <w:rFonts w:cs="Segoe UI"/>
                <w:sz w:val="17"/>
                <w:szCs w:val="17"/>
                <w:lang w:eastAsia="en-GB"/>
              </w:rPr>
            </w:pPr>
            <w:r w:rsidRPr="00FE4698">
              <w:rPr>
                <w:rFonts w:cs="Segoe UI"/>
                <w:i/>
                <w:sz w:val="17"/>
                <w:szCs w:val="17"/>
                <w:lang w:eastAsia="en-GB"/>
              </w:rPr>
              <w:t>Collective investment scheme (“CIS”) exposures</w:t>
            </w:r>
            <w:r w:rsidRPr="00FE4698">
              <w:rPr>
                <w:rFonts w:cs="Segoe UI"/>
                <w:i/>
                <w:sz w:val="17"/>
                <w:szCs w:val="17"/>
              </w:rPr>
              <w:t xml:space="preserve"> – LTA</w:t>
            </w:r>
            <w:r>
              <w:rPr>
                <w:rFonts w:cs="Segoe UI"/>
                <w:i/>
                <w:sz w:val="17"/>
                <w:szCs w:val="17"/>
              </w:rPr>
              <w:t>*</w:t>
            </w:r>
            <w:r w:rsidRPr="00FE4698">
              <w:rPr>
                <w:rFonts w:cs="Segoe UI"/>
                <w:sz w:val="17"/>
                <w:szCs w:val="17"/>
              </w:rPr>
              <w:t xml:space="preserve">: </w:t>
            </w:r>
            <w:r w:rsidRPr="00610A32">
              <w:rPr>
                <w:rFonts w:cs="Segoe UI"/>
                <w:sz w:val="17"/>
                <w:szCs w:val="17"/>
                <w:lang w:eastAsia="en-GB"/>
              </w:rPr>
              <w:t xml:space="preserve">This row is not applicable before the </w:t>
            </w:r>
            <w:r>
              <w:rPr>
                <w:rFonts w:cs="Segoe UI"/>
                <w:sz w:val="17"/>
                <w:szCs w:val="17"/>
                <w:lang w:eastAsia="en-GB"/>
              </w:rPr>
              <w:t>new</w:t>
            </w:r>
            <w:r w:rsidRPr="00610A32">
              <w:rPr>
                <w:rFonts w:cs="Segoe UI"/>
                <w:sz w:val="17"/>
                <w:szCs w:val="17"/>
                <w:lang w:eastAsia="en-GB"/>
              </w:rPr>
              <w:t xml:space="preserve"> </w:t>
            </w:r>
            <w:r>
              <w:rPr>
                <w:rFonts w:cs="Segoe UI"/>
                <w:sz w:val="17"/>
                <w:szCs w:val="17"/>
                <w:lang w:eastAsia="en-GB"/>
              </w:rPr>
              <w:t>CIS</w:t>
            </w:r>
            <w:r w:rsidRPr="00610A32">
              <w:rPr>
                <w:rFonts w:cs="Segoe UI"/>
                <w:sz w:val="17"/>
                <w:szCs w:val="17"/>
                <w:lang w:eastAsia="en-GB"/>
              </w:rPr>
              <w:t xml:space="preserve"> framework takes effect</w:t>
            </w:r>
            <w:r>
              <w:rPr>
                <w:rFonts w:cs="Segoe UI"/>
                <w:sz w:val="17"/>
                <w:szCs w:val="17"/>
                <w:lang w:eastAsia="en-GB"/>
              </w:rPr>
              <w:t>.</w:t>
            </w:r>
          </w:p>
        </w:tc>
      </w:tr>
      <w:tr w:rsidR="002A0515" w:rsidRPr="004E457E" w:rsidTr="00A54BE4">
        <w:tc>
          <w:tcPr>
            <w:tcW w:w="567" w:type="dxa"/>
            <w:shd w:val="clear" w:color="auto" w:fill="auto"/>
          </w:tcPr>
          <w:p w:rsidR="002A0515" w:rsidRPr="00B047A9" w:rsidRDefault="002A0515" w:rsidP="00A54BE4">
            <w:pPr>
              <w:keepLines/>
              <w:tabs>
                <w:tab w:val="left" w:pos="150"/>
                <w:tab w:val="left" w:pos="397"/>
                <w:tab w:val="left" w:pos="794"/>
                <w:tab w:val="left" w:pos="1191"/>
              </w:tabs>
              <w:spacing w:before="40" w:after="40"/>
              <w:rPr>
                <w:rFonts w:cs="Segoe UI"/>
                <w:sz w:val="17"/>
                <w:szCs w:val="17"/>
              </w:rPr>
            </w:pPr>
            <w:r w:rsidRPr="00B047A9">
              <w:rPr>
                <w:rFonts w:cs="Segoe UI"/>
                <w:sz w:val="17"/>
                <w:szCs w:val="17"/>
              </w:rPr>
              <w:t>13</w:t>
            </w:r>
          </w:p>
        </w:tc>
        <w:tc>
          <w:tcPr>
            <w:tcW w:w="8647" w:type="dxa"/>
            <w:shd w:val="clear" w:color="auto" w:fill="auto"/>
          </w:tcPr>
          <w:p w:rsidR="002A0515" w:rsidRPr="00FE4698" w:rsidRDefault="002A0515" w:rsidP="00A54BE4">
            <w:pPr>
              <w:keepLines/>
              <w:tabs>
                <w:tab w:val="left" w:pos="397"/>
                <w:tab w:val="left" w:pos="794"/>
                <w:tab w:val="left" w:pos="1191"/>
              </w:tabs>
              <w:spacing w:before="40" w:after="40"/>
              <w:jc w:val="both"/>
              <w:rPr>
                <w:rFonts w:cs="Segoe UI"/>
                <w:sz w:val="17"/>
                <w:szCs w:val="17"/>
                <w:lang w:eastAsia="en-GB"/>
              </w:rPr>
            </w:pPr>
            <w:r w:rsidRPr="00FE4698">
              <w:rPr>
                <w:rFonts w:cs="Segoe UI"/>
                <w:i/>
                <w:sz w:val="17"/>
                <w:szCs w:val="17"/>
                <w:lang w:eastAsia="en-GB"/>
              </w:rPr>
              <w:t>CIS exposures – MBA</w:t>
            </w:r>
            <w:r>
              <w:rPr>
                <w:rFonts w:cs="Segoe UI"/>
                <w:i/>
                <w:sz w:val="17"/>
                <w:szCs w:val="17"/>
                <w:lang w:eastAsia="en-GB"/>
              </w:rPr>
              <w:t>*</w:t>
            </w:r>
            <w:r w:rsidRPr="00FE4698">
              <w:rPr>
                <w:rFonts w:cs="Segoe UI"/>
                <w:sz w:val="17"/>
                <w:szCs w:val="17"/>
              </w:rPr>
              <w:t xml:space="preserve">: </w:t>
            </w:r>
            <w:r w:rsidRPr="00610A32">
              <w:rPr>
                <w:rFonts w:cs="Segoe UI"/>
                <w:sz w:val="17"/>
                <w:szCs w:val="17"/>
                <w:lang w:eastAsia="en-GB"/>
              </w:rPr>
              <w:t xml:space="preserve">This row is not applicable before the </w:t>
            </w:r>
            <w:r>
              <w:rPr>
                <w:rFonts w:cs="Segoe UI"/>
                <w:sz w:val="17"/>
                <w:szCs w:val="17"/>
                <w:lang w:eastAsia="en-GB"/>
              </w:rPr>
              <w:t>new</w:t>
            </w:r>
            <w:r w:rsidRPr="00610A32">
              <w:rPr>
                <w:rFonts w:cs="Segoe UI"/>
                <w:sz w:val="17"/>
                <w:szCs w:val="17"/>
                <w:lang w:eastAsia="en-GB"/>
              </w:rPr>
              <w:t xml:space="preserve"> </w:t>
            </w:r>
            <w:r>
              <w:rPr>
                <w:rFonts w:cs="Segoe UI"/>
                <w:sz w:val="17"/>
                <w:szCs w:val="17"/>
                <w:lang w:eastAsia="en-GB"/>
              </w:rPr>
              <w:t>CIS</w:t>
            </w:r>
            <w:r w:rsidRPr="00610A32">
              <w:rPr>
                <w:rFonts w:cs="Segoe UI"/>
                <w:sz w:val="17"/>
                <w:szCs w:val="17"/>
                <w:lang w:eastAsia="en-GB"/>
              </w:rPr>
              <w:t xml:space="preserve"> framework takes effect</w:t>
            </w:r>
            <w:r>
              <w:rPr>
                <w:rFonts w:cs="Segoe UI"/>
                <w:sz w:val="17"/>
                <w:szCs w:val="17"/>
                <w:lang w:eastAsia="en-GB"/>
              </w:rPr>
              <w:t>.</w:t>
            </w:r>
          </w:p>
        </w:tc>
      </w:tr>
      <w:tr w:rsidR="002A0515" w:rsidRPr="004E457E" w:rsidTr="00A54BE4">
        <w:tc>
          <w:tcPr>
            <w:tcW w:w="567" w:type="dxa"/>
            <w:shd w:val="clear" w:color="auto" w:fill="auto"/>
          </w:tcPr>
          <w:p w:rsidR="002A0515" w:rsidRPr="00B047A9" w:rsidRDefault="002A0515" w:rsidP="00A54BE4">
            <w:pPr>
              <w:keepLines/>
              <w:tabs>
                <w:tab w:val="left" w:pos="150"/>
                <w:tab w:val="left" w:pos="397"/>
                <w:tab w:val="left" w:pos="794"/>
                <w:tab w:val="left" w:pos="1191"/>
              </w:tabs>
              <w:spacing w:before="40" w:after="40"/>
              <w:rPr>
                <w:rFonts w:cs="Segoe UI"/>
                <w:sz w:val="17"/>
                <w:szCs w:val="17"/>
              </w:rPr>
            </w:pPr>
            <w:r w:rsidRPr="00B047A9">
              <w:rPr>
                <w:rFonts w:cs="Segoe UI"/>
                <w:sz w:val="17"/>
                <w:szCs w:val="17"/>
              </w:rPr>
              <w:t>14</w:t>
            </w:r>
          </w:p>
        </w:tc>
        <w:tc>
          <w:tcPr>
            <w:tcW w:w="8647" w:type="dxa"/>
            <w:shd w:val="clear" w:color="auto" w:fill="auto"/>
          </w:tcPr>
          <w:p w:rsidR="002A0515" w:rsidRPr="00FE4698" w:rsidRDefault="002A0515" w:rsidP="00A54BE4">
            <w:pPr>
              <w:keepLines/>
              <w:tabs>
                <w:tab w:val="left" w:pos="397"/>
                <w:tab w:val="left" w:pos="794"/>
                <w:tab w:val="left" w:pos="1191"/>
              </w:tabs>
              <w:spacing w:before="40" w:after="40"/>
              <w:jc w:val="both"/>
              <w:rPr>
                <w:rFonts w:cs="Segoe UI"/>
                <w:sz w:val="17"/>
                <w:szCs w:val="17"/>
                <w:lang w:eastAsia="en-GB"/>
              </w:rPr>
            </w:pPr>
            <w:r w:rsidRPr="00FE4698">
              <w:rPr>
                <w:rFonts w:cs="Segoe UI"/>
                <w:i/>
                <w:sz w:val="17"/>
                <w:szCs w:val="17"/>
                <w:lang w:eastAsia="en-GB"/>
              </w:rPr>
              <w:t>CIS exposures – FBA</w:t>
            </w:r>
            <w:r>
              <w:rPr>
                <w:rFonts w:cs="Segoe UI"/>
                <w:i/>
                <w:sz w:val="17"/>
                <w:szCs w:val="17"/>
                <w:lang w:eastAsia="en-GB"/>
              </w:rPr>
              <w:t>*</w:t>
            </w:r>
            <w:r w:rsidRPr="00FE4698">
              <w:rPr>
                <w:rFonts w:cs="Segoe UI"/>
                <w:sz w:val="17"/>
                <w:szCs w:val="17"/>
              </w:rPr>
              <w:t xml:space="preserve">: </w:t>
            </w:r>
            <w:r w:rsidRPr="00610A32">
              <w:rPr>
                <w:rFonts w:cs="Segoe UI"/>
                <w:sz w:val="17"/>
                <w:szCs w:val="17"/>
                <w:lang w:eastAsia="en-GB"/>
              </w:rPr>
              <w:t xml:space="preserve">This row is not applicable before the </w:t>
            </w:r>
            <w:r>
              <w:rPr>
                <w:rFonts w:cs="Segoe UI"/>
                <w:sz w:val="17"/>
                <w:szCs w:val="17"/>
                <w:lang w:eastAsia="en-GB"/>
              </w:rPr>
              <w:t>new</w:t>
            </w:r>
            <w:r w:rsidRPr="00610A32">
              <w:rPr>
                <w:rFonts w:cs="Segoe UI"/>
                <w:sz w:val="17"/>
                <w:szCs w:val="17"/>
                <w:lang w:eastAsia="en-GB"/>
              </w:rPr>
              <w:t xml:space="preserve"> </w:t>
            </w:r>
            <w:r>
              <w:rPr>
                <w:rFonts w:cs="Segoe UI"/>
                <w:sz w:val="17"/>
                <w:szCs w:val="17"/>
                <w:lang w:eastAsia="en-GB"/>
              </w:rPr>
              <w:t>CIS</w:t>
            </w:r>
            <w:r w:rsidRPr="00610A32">
              <w:rPr>
                <w:rFonts w:cs="Segoe UI"/>
                <w:sz w:val="17"/>
                <w:szCs w:val="17"/>
                <w:lang w:eastAsia="en-GB"/>
              </w:rPr>
              <w:t xml:space="preserve"> framework takes effect</w:t>
            </w:r>
            <w:r>
              <w:rPr>
                <w:rFonts w:cs="Segoe UI"/>
                <w:sz w:val="17"/>
                <w:szCs w:val="17"/>
                <w:lang w:eastAsia="en-GB"/>
              </w:rPr>
              <w:t>.</w:t>
            </w:r>
          </w:p>
        </w:tc>
      </w:tr>
      <w:tr w:rsidR="002A0515" w:rsidRPr="004E457E" w:rsidTr="00A54BE4">
        <w:tc>
          <w:tcPr>
            <w:tcW w:w="567" w:type="dxa"/>
            <w:shd w:val="clear" w:color="auto" w:fill="auto"/>
          </w:tcPr>
          <w:p w:rsidR="002A0515" w:rsidRPr="00B047A9" w:rsidRDefault="002A0515" w:rsidP="00A54BE4">
            <w:pPr>
              <w:keepLines/>
              <w:tabs>
                <w:tab w:val="left" w:pos="150"/>
                <w:tab w:val="left" w:pos="397"/>
                <w:tab w:val="left" w:pos="794"/>
                <w:tab w:val="left" w:pos="1191"/>
              </w:tabs>
              <w:spacing w:before="40" w:after="40"/>
              <w:rPr>
                <w:rFonts w:cs="Segoe UI"/>
                <w:sz w:val="17"/>
                <w:szCs w:val="17"/>
              </w:rPr>
            </w:pPr>
            <w:r>
              <w:rPr>
                <w:rFonts w:cs="Segoe UI"/>
                <w:sz w:val="17"/>
                <w:szCs w:val="17"/>
              </w:rPr>
              <w:t>14a</w:t>
            </w:r>
          </w:p>
        </w:tc>
        <w:tc>
          <w:tcPr>
            <w:tcW w:w="8647" w:type="dxa"/>
            <w:shd w:val="clear" w:color="auto" w:fill="auto"/>
          </w:tcPr>
          <w:p w:rsidR="002A0515" w:rsidRPr="00FE4698" w:rsidRDefault="002A0515" w:rsidP="00A54BE4">
            <w:pPr>
              <w:keepLines/>
              <w:tabs>
                <w:tab w:val="left" w:pos="397"/>
                <w:tab w:val="left" w:pos="794"/>
                <w:tab w:val="left" w:pos="1191"/>
              </w:tabs>
              <w:spacing w:before="40" w:after="40"/>
              <w:jc w:val="both"/>
              <w:rPr>
                <w:rFonts w:cs="Segoe UI"/>
                <w:i/>
                <w:sz w:val="17"/>
                <w:szCs w:val="17"/>
                <w:lang w:eastAsia="en-GB"/>
              </w:rPr>
            </w:pPr>
            <w:r w:rsidRPr="00FE4698">
              <w:rPr>
                <w:rFonts w:cs="Segoe UI"/>
                <w:i/>
                <w:sz w:val="17"/>
                <w:szCs w:val="17"/>
                <w:lang w:eastAsia="en-GB"/>
              </w:rPr>
              <w:t>CIS exposures – combination of approaches</w:t>
            </w:r>
            <w:r>
              <w:rPr>
                <w:rFonts w:cs="Segoe UI"/>
                <w:i/>
                <w:sz w:val="17"/>
                <w:szCs w:val="17"/>
                <w:lang w:eastAsia="en-GB"/>
              </w:rPr>
              <w:t>*</w:t>
            </w:r>
            <w:r w:rsidRPr="00FE4698">
              <w:rPr>
                <w:rFonts w:cs="Segoe UI"/>
                <w:sz w:val="17"/>
                <w:szCs w:val="17"/>
              </w:rPr>
              <w:t xml:space="preserve">: </w:t>
            </w:r>
            <w:r w:rsidRPr="00610A32">
              <w:rPr>
                <w:rFonts w:cs="Segoe UI"/>
                <w:sz w:val="17"/>
                <w:szCs w:val="17"/>
                <w:lang w:eastAsia="en-GB"/>
              </w:rPr>
              <w:t xml:space="preserve">This row is not applicable before the </w:t>
            </w:r>
            <w:r>
              <w:rPr>
                <w:rFonts w:cs="Segoe UI"/>
                <w:sz w:val="17"/>
                <w:szCs w:val="17"/>
                <w:lang w:eastAsia="en-GB"/>
              </w:rPr>
              <w:t>new</w:t>
            </w:r>
            <w:r w:rsidRPr="00610A32">
              <w:rPr>
                <w:rFonts w:cs="Segoe UI"/>
                <w:sz w:val="17"/>
                <w:szCs w:val="17"/>
                <w:lang w:eastAsia="en-GB"/>
              </w:rPr>
              <w:t xml:space="preserve"> </w:t>
            </w:r>
            <w:r>
              <w:rPr>
                <w:rFonts w:cs="Segoe UI"/>
                <w:sz w:val="17"/>
                <w:szCs w:val="17"/>
                <w:lang w:eastAsia="en-GB"/>
              </w:rPr>
              <w:t>CIS</w:t>
            </w:r>
            <w:r w:rsidRPr="00610A32">
              <w:rPr>
                <w:rFonts w:cs="Segoe UI"/>
                <w:sz w:val="17"/>
                <w:szCs w:val="17"/>
                <w:lang w:eastAsia="en-GB"/>
              </w:rPr>
              <w:t xml:space="preserve"> framework takes effect</w:t>
            </w:r>
            <w:r>
              <w:rPr>
                <w:rFonts w:cs="Segoe UI"/>
                <w:sz w:val="17"/>
                <w:szCs w:val="17"/>
                <w:lang w:eastAsia="en-GB"/>
              </w:rPr>
              <w:t>.</w:t>
            </w:r>
          </w:p>
        </w:tc>
      </w:tr>
      <w:tr w:rsidR="002A0515" w:rsidRPr="004E457E" w:rsidTr="00A54BE4">
        <w:tc>
          <w:tcPr>
            <w:tcW w:w="567" w:type="dxa"/>
            <w:shd w:val="clear" w:color="auto" w:fill="auto"/>
          </w:tcPr>
          <w:p w:rsidR="002A0515" w:rsidRPr="00622192" w:rsidRDefault="002A0515" w:rsidP="00A54BE4">
            <w:pPr>
              <w:keepLines/>
              <w:tabs>
                <w:tab w:val="left" w:pos="150"/>
                <w:tab w:val="left" w:pos="397"/>
                <w:tab w:val="left" w:pos="794"/>
                <w:tab w:val="left" w:pos="1191"/>
              </w:tabs>
              <w:spacing w:before="40" w:after="40"/>
              <w:rPr>
                <w:rFonts w:cs="Segoe UI"/>
                <w:sz w:val="17"/>
                <w:szCs w:val="17"/>
                <w:highlight w:val="yellow"/>
              </w:rPr>
            </w:pPr>
            <w:r w:rsidRPr="00C15837">
              <w:rPr>
                <w:rFonts w:cs="Segoe UI"/>
                <w:sz w:val="17"/>
                <w:szCs w:val="17"/>
              </w:rPr>
              <w:t>15</w:t>
            </w:r>
          </w:p>
        </w:tc>
        <w:tc>
          <w:tcPr>
            <w:tcW w:w="8647" w:type="dxa"/>
            <w:shd w:val="clear" w:color="auto" w:fill="auto"/>
          </w:tcPr>
          <w:p w:rsidR="002A0515" w:rsidRPr="00FE4698" w:rsidRDefault="002A0515" w:rsidP="00A54BE4">
            <w:pPr>
              <w:keepLines/>
              <w:tabs>
                <w:tab w:val="left" w:pos="150"/>
                <w:tab w:val="left" w:pos="397"/>
                <w:tab w:val="left" w:pos="794"/>
                <w:tab w:val="left" w:pos="1191"/>
              </w:tabs>
              <w:spacing w:before="40" w:after="40"/>
              <w:jc w:val="both"/>
              <w:rPr>
                <w:rFonts w:cs="Segoe UI"/>
                <w:sz w:val="17"/>
                <w:szCs w:val="17"/>
              </w:rPr>
            </w:pPr>
            <w:r w:rsidRPr="00FE4698">
              <w:rPr>
                <w:rFonts w:cs="Segoe UI"/>
                <w:i/>
                <w:sz w:val="17"/>
                <w:szCs w:val="17"/>
              </w:rPr>
              <w:t>Settlement risk</w:t>
            </w:r>
            <w:r w:rsidRPr="00FE4698">
              <w:rPr>
                <w:rFonts w:cs="Segoe UI"/>
                <w:sz w:val="17"/>
                <w:szCs w:val="17"/>
              </w:rPr>
              <w:t>: RWA and capital requirements for the exposures arising from the following items:</w:t>
            </w:r>
          </w:p>
          <w:p w:rsidR="002A0515" w:rsidRPr="00FE4698" w:rsidRDefault="002A0515" w:rsidP="002A0515">
            <w:pPr>
              <w:keepLines/>
              <w:numPr>
                <w:ilvl w:val="0"/>
                <w:numId w:val="6"/>
              </w:numPr>
              <w:spacing w:before="40" w:after="40"/>
              <w:jc w:val="both"/>
              <w:rPr>
                <w:rFonts w:cs="Segoe UI"/>
                <w:sz w:val="17"/>
                <w:szCs w:val="17"/>
              </w:rPr>
            </w:pPr>
            <w:r w:rsidRPr="00FE4698">
              <w:rPr>
                <w:rFonts w:cs="Segoe UI"/>
                <w:sz w:val="17"/>
                <w:szCs w:val="17"/>
              </w:rPr>
              <w:t>Transactions in securities (other than repo-style transactions), foreign exchange, and commodities that are entered into on a delivery-versus-payment basis and remain outstanding for 5 or more business days after the settlement date, calculated in accordance with the risk-weight allocated to the exposures as specified in the BCR; and</w:t>
            </w:r>
          </w:p>
          <w:p w:rsidR="002A0515" w:rsidRPr="00FE4698" w:rsidRDefault="002A0515" w:rsidP="002A0515">
            <w:pPr>
              <w:keepLines/>
              <w:numPr>
                <w:ilvl w:val="0"/>
                <w:numId w:val="6"/>
              </w:numPr>
              <w:spacing w:before="40" w:after="40"/>
              <w:jc w:val="both"/>
              <w:rPr>
                <w:rFonts w:cs="Segoe UI"/>
                <w:sz w:val="17"/>
                <w:szCs w:val="17"/>
              </w:rPr>
            </w:pPr>
            <w:r w:rsidRPr="00FE4698">
              <w:rPr>
                <w:rFonts w:cs="Segoe UI"/>
                <w:sz w:val="17"/>
                <w:szCs w:val="17"/>
              </w:rPr>
              <w:t>Transactions in securities (other than repo-style transactions), foreign exchange, and commodities that are entered into on a non-delivery-versus-payment basis and remain unsettled after the settlement date, calculated in accordance with the risk-weight allocated to the exposures as specified in the BCR.</w:t>
            </w:r>
          </w:p>
        </w:tc>
      </w:tr>
      <w:tr w:rsidR="002A0515" w:rsidRPr="004E457E" w:rsidTr="00A54BE4">
        <w:tc>
          <w:tcPr>
            <w:tcW w:w="567" w:type="dxa"/>
            <w:shd w:val="clear" w:color="auto" w:fill="auto"/>
          </w:tcPr>
          <w:p w:rsidR="002A0515" w:rsidRPr="00622192" w:rsidRDefault="002A0515" w:rsidP="00A54BE4">
            <w:pPr>
              <w:keepLines/>
              <w:tabs>
                <w:tab w:val="left" w:pos="150"/>
                <w:tab w:val="left" w:pos="397"/>
                <w:tab w:val="left" w:pos="794"/>
                <w:tab w:val="left" w:pos="1191"/>
              </w:tabs>
              <w:spacing w:before="40" w:after="40"/>
              <w:rPr>
                <w:rFonts w:cs="Segoe UI"/>
                <w:sz w:val="17"/>
                <w:szCs w:val="17"/>
                <w:highlight w:val="yellow"/>
              </w:rPr>
            </w:pPr>
            <w:r w:rsidRPr="0002175E">
              <w:rPr>
                <w:rFonts w:cs="Segoe UI"/>
                <w:sz w:val="17"/>
                <w:szCs w:val="17"/>
              </w:rPr>
              <w:t>16</w:t>
            </w:r>
          </w:p>
        </w:tc>
        <w:tc>
          <w:tcPr>
            <w:tcW w:w="8647" w:type="dxa"/>
            <w:shd w:val="clear" w:color="auto" w:fill="auto"/>
          </w:tcPr>
          <w:p w:rsidR="002A0515" w:rsidRPr="00FE4698" w:rsidRDefault="002A0515" w:rsidP="00A54BE4">
            <w:pPr>
              <w:keepNext/>
              <w:spacing w:before="40" w:after="40"/>
              <w:jc w:val="both"/>
              <w:rPr>
                <w:rFonts w:cs="Segoe UI"/>
                <w:sz w:val="17"/>
                <w:szCs w:val="17"/>
              </w:rPr>
            </w:pPr>
            <w:r w:rsidRPr="00FE4698">
              <w:rPr>
                <w:rFonts w:cs="Segoe UI"/>
                <w:i/>
                <w:sz w:val="17"/>
                <w:szCs w:val="17"/>
              </w:rPr>
              <w:t xml:space="preserve">Securitization exposures in banking book: </w:t>
            </w:r>
            <w:r w:rsidRPr="00FE4698">
              <w:rPr>
                <w:rFonts w:cs="Segoe UI"/>
                <w:sz w:val="17"/>
                <w:szCs w:val="17"/>
              </w:rPr>
              <w:t>The amounts correspond to capital requirements applicable to the securitization exposures in the banking book (Part V of this document).  The RWA should be derived from the capital requirements</w:t>
            </w:r>
            <w:r w:rsidRPr="00FE4698">
              <w:rPr>
                <w:rFonts w:cs="Segoe UI" w:hint="eastAsia"/>
                <w:sz w:val="17"/>
                <w:szCs w:val="17"/>
              </w:rPr>
              <w:t xml:space="preserve"> (</w:t>
            </w:r>
            <w:r w:rsidRPr="00FE4698">
              <w:rPr>
                <w:rFonts w:cs="Segoe UI"/>
                <w:sz w:val="17"/>
                <w:szCs w:val="17"/>
              </w:rPr>
              <w:t xml:space="preserve">including the </w:t>
            </w:r>
            <w:r w:rsidRPr="00FE4698">
              <w:rPr>
                <w:rFonts w:cs="Segoe UI" w:hint="eastAsia"/>
                <w:sz w:val="17"/>
                <w:szCs w:val="17"/>
              </w:rPr>
              <w:t>impact of the cap</w:t>
            </w:r>
            <w:r w:rsidRPr="00FE4698">
              <w:rPr>
                <w:rFonts w:cs="Segoe UI"/>
                <w:sz w:val="17"/>
                <w:szCs w:val="17"/>
              </w:rPr>
              <w:t xml:space="preserve"> specified in the BCR</w:t>
            </w:r>
            <w:r w:rsidRPr="00FE4698">
              <w:rPr>
                <w:rFonts w:cs="Segoe UI" w:hint="eastAsia"/>
                <w:sz w:val="17"/>
                <w:szCs w:val="17"/>
              </w:rPr>
              <w:t>)</w:t>
            </w:r>
            <w:r w:rsidRPr="00FE4698">
              <w:rPr>
                <w:rFonts w:cs="Segoe UI"/>
                <w:sz w:val="17"/>
                <w:szCs w:val="17"/>
              </w:rPr>
              <w:t>, meaning that they do not necessarily systematically correspond to the RWA reported in Templates SEC3 and SEC4, which are before the application of the cap.</w:t>
            </w:r>
          </w:p>
        </w:tc>
      </w:tr>
      <w:tr w:rsidR="002A0515" w:rsidRPr="00EB57BC" w:rsidTr="00A54BE4">
        <w:tc>
          <w:tcPr>
            <w:tcW w:w="567" w:type="dxa"/>
            <w:shd w:val="clear" w:color="auto" w:fill="auto"/>
          </w:tcPr>
          <w:p w:rsidR="002A0515" w:rsidRPr="00F84BA0" w:rsidRDefault="002A0515" w:rsidP="00A54BE4">
            <w:pPr>
              <w:keepLines/>
              <w:tabs>
                <w:tab w:val="left" w:pos="150"/>
                <w:tab w:val="left" w:pos="397"/>
                <w:tab w:val="left" w:pos="794"/>
                <w:tab w:val="left" w:pos="1191"/>
              </w:tabs>
              <w:spacing w:before="40" w:after="40"/>
              <w:rPr>
                <w:rFonts w:cs="Segoe UI"/>
                <w:sz w:val="17"/>
                <w:szCs w:val="17"/>
              </w:rPr>
            </w:pPr>
            <w:r w:rsidRPr="00F84BA0">
              <w:rPr>
                <w:rFonts w:cs="Segoe UI"/>
                <w:sz w:val="17"/>
                <w:szCs w:val="17"/>
              </w:rPr>
              <w:t>17</w:t>
            </w:r>
          </w:p>
        </w:tc>
        <w:tc>
          <w:tcPr>
            <w:tcW w:w="8647" w:type="dxa"/>
            <w:shd w:val="clear" w:color="auto" w:fill="auto"/>
          </w:tcPr>
          <w:p w:rsidR="002A0515" w:rsidRPr="00F84BA0" w:rsidRDefault="002A0515" w:rsidP="00A54BE4">
            <w:pPr>
              <w:keepLines/>
              <w:tabs>
                <w:tab w:val="left" w:pos="397"/>
                <w:tab w:val="left" w:pos="794"/>
                <w:tab w:val="left" w:pos="1191"/>
              </w:tabs>
              <w:spacing w:before="40" w:after="40"/>
              <w:jc w:val="both"/>
              <w:rPr>
                <w:rFonts w:cs="Segoe UI"/>
                <w:sz w:val="17"/>
                <w:szCs w:val="17"/>
              </w:rPr>
            </w:pPr>
            <w:r w:rsidRPr="00F84BA0">
              <w:rPr>
                <w:rFonts w:cs="Segoe UI"/>
                <w:i/>
                <w:sz w:val="17"/>
                <w:szCs w:val="17"/>
                <w:lang w:eastAsia="en-GB"/>
              </w:rPr>
              <w:t>Of which SEC-IRBA</w:t>
            </w:r>
            <w:r w:rsidRPr="00F84BA0">
              <w:rPr>
                <w:rFonts w:cs="Segoe UI"/>
                <w:sz w:val="17"/>
                <w:szCs w:val="17"/>
                <w:lang w:eastAsia="en-GB"/>
              </w:rPr>
              <w:t xml:space="preserve">: </w:t>
            </w:r>
            <w:r w:rsidRPr="00F84BA0">
              <w:rPr>
                <w:rFonts w:cs="Segoe UI"/>
                <w:sz w:val="17"/>
                <w:szCs w:val="17"/>
              </w:rPr>
              <w:t>RWA and capital requirements calculated using the SEC-IRBA under the BCR.</w:t>
            </w:r>
          </w:p>
        </w:tc>
      </w:tr>
      <w:tr w:rsidR="002A0515" w:rsidRPr="004E457E" w:rsidTr="00A54BE4">
        <w:tc>
          <w:tcPr>
            <w:tcW w:w="567" w:type="dxa"/>
            <w:shd w:val="clear" w:color="auto" w:fill="auto"/>
          </w:tcPr>
          <w:p w:rsidR="002A0515" w:rsidRPr="00F84BA0" w:rsidRDefault="002A0515" w:rsidP="00A54BE4">
            <w:pPr>
              <w:keepLines/>
              <w:tabs>
                <w:tab w:val="left" w:pos="150"/>
                <w:tab w:val="left" w:pos="397"/>
                <w:tab w:val="left" w:pos="794"/>
                <w:tab w:val="left" w:pos="1191"/>
              </w:tabs>
              <w:spacing w:before="40" w:after="40"/>
              <w:rPr>
                <w:rFonts w:cs="Segoe UI"/>
                <w:sz w:val="17"/>
                <w:szCs w:val="17"/>
              </w:rPr>
            </w:pPr>
            <w:r w:rsidRPr="00F84BA0">
              <w:rPr>
                <w:rFonts w:cs="Segoe UI"/>
                <w:sz w:val="17"/>
                <w:szCs w:val="17"/>
              </w:rPr>
              <w:t>18</w:t>
            </w:r>
          </w:p>
        </w:tc>
        <w:tc>
          <w:tcPr>
            <w:tcW w:w="8647" w:type="dxa"/>
            <w:shd w:val="clear" w:color="auto" w:fill="auto"/>
          </w:tcPr>
          <w:p w:rsidR="002A0515" w:rsidRPr="00F84BA0" w:rsidRDefault="002A0515" w:rsidP="00A54BE4">
            <w:pPr>
              <w:keepLines/>
              <w:tabs>
                <w:tab w:val="left" w:pos="397"/>
                <w:tab w:val="left" w:pos="794"/>
                <w:tab w:val="left" w:pos="1191"/>
              </w:tabs>
              <w:spacing w:before="40" w:after="40"/>
              <w:jc w:val="both"/>
              <w:rPr>
                <w:rFonts w:cs="Segoe UI"/>
                <w:sz w:val="17"/>
                <w:szCs w:val="17"/>
              </w:rPr>
            </w:pPr>
            <w:r w:rsidRPr="00F84BA0">
              <w:rPr>
                <w:rFonts w:cs="Segoe UI"/>
                <w:i/>
                <w:sz w:val="17"/>
                <w:szCs w:val="17"/>
                <w:lang w:eastAsia="en-GB"/>
              </w:rPr>
              <w:t>Of which SEC-ERBA</w:t>
            </w:r>
            <w:r>
              <w:rPr>
                <w:rFonts w:cs="Segoe UI"/>
                <w:i/>
                <w:sz w:val="17"/>
                <w:szCs w:val="17"/>
                <w:lang w:eastAsia="en-GB"/>
              </w:rPr>
              <w:t xml:space="preserve"> (including IAA)</w:t>
            </w:r>
            <w:r w:rsidRPr="00F84BA0">
              <w:rPr>
                <w:rFonts w:cs="Segoe UI"/>
                <w:sz w:val="17"/>
                <w:szCs w:val="17"/>
                <w:lang w:eastAsia="en-GB"/>
              </w:rPr>
              <w:t xml:space="preserve">: </w:t>
            </w:r>
            <w:r w:rsidRPr="00F84BA0">
              <w:rPr>
                <w:rFonts w:cs="Segoe UI"/>
                <w:sz w:val="17"/>
                <w:szCs w:val="17"/>
              </w:rPr>
              <w:t xml:space="preserve">RWA and capital requirements calculated using the </w:t>
            </w:r>
            <w:r w:rsidRPr="00F84BA0">
              <w:rPr>
                <w:rFonts w:cs="Segoe UI"/>
                <w:sz w:val="17"/>
                <w:szCs w:val="17"/>
                <w:lang w:eastAsia="en-GB"/>
              </w:rPr>
              <w:t xml:space="preserve">SEC-ERBA </w:t>
            </w:r>
            <w:r>
              <w:rPr>
                <w:rFonts w:cs="Segoe UI"/>
                <w:sz w:val="17"/>
                <w:szCs w:val="17"/>
                <w:lang w:eastAsia="en-GB"/>
              </w:rPr>
              <w:t xml:space="preserve">(including those exposures that the AI uses IAA to determine the risk-weights) </w:t>
            </w:r>
            <w:r w:rsidRPr="00F84BA0">
              <w:rPr>
                <w:rFonts w:cs="Segoe UI"/>
                <w:sz w:val="17"/>
                <w:szCs w:val="17"/>
              </w:rPr>
              <w:t>under the BCR.</w:t>
            </w:r>
          </w:p>
        </w:tc>
      </w:tr>
      <w:tr w:rsidR="002A0515" w:rsidRPr="004E457E" w:rsidTr="00A54BE4">
        <w:tc>
          <w:tcPr>
            <w:tcW w:w="567" w:type="dxa"/>
            <w:shd w:val="clear" w:color="auto" w:fill="auto"/>
          </w:tcPr>
          <w:p w:rsidR="002A0515" w:rsidRPr="00F84BA0" w:rsidRDefault="002A0515" w:rsidP="00A54BE4">
            <w:pPr>
              <w:keepLines/>
              <w:tabs>
                <w:tab w:val="left" w:pos="150"/>
                <w:tab w:val="left" w:pos="397"/>
                <w:tab w:val="left" w:pos="794"/>
                <w:tab w:val="left" w:pos="1191"/>
              </w:tabs>
              <w:spacing w:before="40" w:after="40"/>
              <w:rPr>
                <w:rFonts w:cs="Segoe UI"/>
                <w:sz w:val="17"/>
                <w:szCs w:val="17"/>
              </w:rPr>
            </w:pPr>
            <w:r w:rsidRPr="00F84BA0">
              <w:rPr>
                <w:rFonts w:cs="Segoe UI"/>
                <w:sz w:val="17"/>
                <w:szCs w:val="17"/>
              </w:rPr>
              <w:t>19</w:t>
            </w:r>
          </w:p>
        </w:tc>
        <w:tc>
          <w:tcPr>
            <w:tcW w:w="8647" w:type="dxa"/>
            <w:shd w:val="clear" w:color="auto" w:fill="auto"/>
          </w:tcPr>
          <w:p w:rsidR="002A0515" w:rsidRPr="00F84BA0" w:rsidRDefault="002A0515" w:rsidP="00A54BE4">
            <w:pPr>
              <w:keepLines/>
              <w:tabs>
                <w:tab w:val="left" w:pos="397"/>
                <w:tab w:val="left" w:pos="794"/>
                <w:tab w:val="left" w:pos="1191"/>
              </w:tabs>
              <w:spacing w:before="40" w:after="40"/>
              <w:jc w:val="both"/>
              <w:rPr>
                <w:rFonts w:cs="Segoe UI"/>
                <w:sz w:val="17"/>
                <w:szCs w:val="17"/>
              </w:rPr>
            </w:pPr>
            <w:r w:rsidRPr="00F84BA0">
              <w:rPr>
                <w:rFonts w:cs="Segoe UI"/>
                <w:i/>
                <w:sz w:val="17"/>
                <w:szCs w:val="17"/>
                <w:lang w:eastAsia="en-GB"/>
              </w:rPr>
              <w:t>Of which SEC-SA</w:t>
            </w:r>
            <w:r w:rsidRPr="00F84BA0">
              <w:rPr>
                <w:rFonts w:cs="Segoe UI"/>
                <w:sz w:val="17"/>
                <w:szCs w:val="17"/>
                <w:lang w:eastAsia="en-GB"/>
              </w:rPr>
              <w:t xml:space="preserve">: </w:t>
            </w:r>
            <w:r w:rsidRPr="00F84BA0">
              <w:rPr>
                <w:rFonts w:cs="Segoe UI"/>
                <w:sz w:val="17"/>
                <w:szCs w:val="17"/>
              </w:rPr>
              <w:t xml:space="preserve">RWA and capital requirements calculated using the </w:t>
            </w:r>
            <w:r w:rsidRPr="00F84BA0">
              <w:rPr>
                <w:rFonts w:cs="Segoe UI"/>
                <w:sz w:val="17"/>
                <w:szCs w:val="17"/>
                <w:lang w:eastAsia="en-GB"/>
              </w:rPr>
              <w:t xml:space="preserve">SEC-SA </w:t>
            </w:r>
            <w:r w:rsidRPr="00F84BA0">
              <w:rPr>
                <w:rFonts w:cs="Segoe UI"/>
                <w:sz w:val="17"/>
                <w:szCs w:val="17"/>
              </w:rPr>
              <w:t>under the BCR.</w:t>
            </w:r>
          </w:p>
        </w:tc>
      </w:tr>
      <w:tr w:rsidR="002A0515" w:rsidRPr="004E457E" w:rsidTr="00A54BE4">
        <w:tc>
          <w:tcPr>
            <w:tcW w:w="567" w:type="dxa"/>
            <w:shd w:val="clear" w:color="auto" w:fill="auto"/>
          </w:tcPr>
          <w:p w:rsidR="002A0515" w:rsidRPr="00F84BA0" w:rsidRDefault="002A0515" w:rsidP="00A54BE4">
            <w:pPr>
              <w:keepLines/>
              <w:tabs>
                <w:tab w:val="left" w:pos="150"/>
                <w:tab w:val="left" w:pos="397"/>
                <w:tab w:val="left" w:pos="794"/>
                <w:tab w:val="left" w:pos="1191"/>
              </w:tabs>
              <w:spacing w:before="40" w:after="40"/>
              <w:rPr>
                <w:rFonts w:cs="Segoe UI"/>
                <w:sz w:val="17"/>
                <w:szCs w:val="17"/>
              </w:rPr>
            </w:pPr>
            <w:r w:rsidRPr="00F84BA0">
              <w:rPr>
                <w:rFonts w:cs="Segoe UI"/>
                <w:sz w:val="17"/>
                <w:szCs w:val="17"/>
              </w:rPr>
              <w:t>19a</w:t>
            </w:r>
          </w:p>
        </w:tc>
        <w:tc>
          <w:tcPr>
            <w:tcW w:w="8647" w:type="dxa"/>
            <w:shd w:val="clear" w:color="auto" w:fill="auto"/>
          </w:tcPr>
          <w:p w:rsidR="002A0515" w:rsidRPr="00F84BA0" w:rsidRDefault="002A0515" w:rsidP="00A54BE4">
            <w:pPr>
              <w:keepLines/>
              <w:tabs>
                <w:tab w:val="left" w:pos="150"/>
                <w:tab w:val="left" w:pos="397"/>
                <w:tab w:val="left" w:pos="794"/>
                <w:tab w:val="left" w:pos="1191"/>
              </w:tabs>
              <w:spacing w:before="40" w:after="40"/>
              <w:jc w:val="both"/>
              <w:rPr>
                <w:rFonts w:cs="Segoe UI"/>
                <w:sz w:val="17"/>
                <w:szCs w:val="17"/>
              </w:rPr>
            </w:pPr>
            <w:r w:rsidRPr="00F84BA0">
              <w:rPr>
                <w:rFonts w:cs="Segoe UI"/>
                <w:i/>
                <w:sz w:val="17"/>
                <w:szCs w:val="17"/>
              </w:rPr>
              <w:t>Of which SEC-FBA</w:t>
            </w:r>
            <w:r w:rsidRPr="00F84BA0">
              <w:rPr>
                <w:rFonts w:cs="Segoe UI"/>
                <w:sz w:val="17"/>
                <w:szCs w:val="17"/>
              </w:rPr>
              <w:t xml:space="preserve">: RWA and capital requirements calculated using the </w:t>
            </w:r>
            <w:r w:rsidRPr="00F84BA0">
              <w:rPr>
                <w:rFonts w:cs="Segoe UI"/>
                <w:sz w:val="17"/>
                <w:szCs w:val="17"/>
                <w:lang w:eastAsia="en-GB"/>
              </w:rPr>
              <w:t xml:space="preserve">SEC-FBA </w:t>
            </w:r>
            <w:r w:rsidRPr="00F84BA0">
              <w:rPr>
                <w:rFonts w:cs="Segoe UI"/>
                <w:sz w:val="17"/>
                <w:szCs w:val="17"/>
              </w:rPr>
              <w:t>under the BCR.</w:t>
            </w:r>
          </w:p>
        </w:tc>
      </w:tr>
      <w:tr w:rsidR="002A0515" w:rsidRPr="004E457E" w:rsidTr="00A54BE4">
        <w:tc>
          <w:tcPr>
            <w:tcW w:w="567" w:type="dxa"/>
            <w:shd w:val="clear" w:color="auto" w:fill="auto"/>
          </w:tcPr>
          <w:p w:rsidR="002A0515" w:rsidRPr="00D1767E" w:rsidRDefault="002A0515" w:rsidP="00A54BE4">
            <w:pPr>
              <w:keepLines/>
              <w:tabs>
                <w:tab w:val="left" w:pos="150"/>
                <w:tab w:val="left" w:pos="397"/>
                <w:tab w:val="left" w:pos="794"/>
                <w:tab w:val="left" w:pos="1191"/>
              </w:tabs>
              <w:spacing w:before="40" w:after="40"/>
              <w:rPr>
                <w:rFonts w:cs="Segoe UI"/>
                <w:sz w:val="17"/>
                <w:szCs w:val="17"/>
              </w:rPr>
            </w:pPr>
            <w:r w:rsidRPr="00D1767E">
              <w:rPr>
                <w:rFonts w:cs="Segoe UI"/>
                <w:sz w:val="17"/>
                <w:szCs w:val="17"/>
              </w:rPr>
              <w:t>20</w:t>
            </w:r>
          </w:p>
        </w:tc>
        <w:tc>
          <w:tcPr>
            <w:tcW w:w="8647" w:type="dxa"/>
            <w:shd w:val="clear" w:color="auto" w:fill="auto"/>
          </w:tcPr>
          <w:p w:rsidR="002A0515" w:rsidRPr="004E457E" w:rsidRDefault="002A0515" w:rsidP="00A54BE4">
            <w:pPr>
              <w:keepLines/>
              <w:tabs>
                <w:tab w:val="left" w:pos="150"/>
                <w:tab w:val="left" w:pos="397"/>
                <w:tab w:val="left" w:pos="794"/>
                <w:tab w:val="left" w:pos="1191"/>
              </w:tabs>
              <w:spacing w:before="40" w:after="40"/>
              <w:jc w:val="both"/>
              <w:rPr>
                <w:rFonts w:cs="Segoe UI"/>
                <w:i/>
                <w:sz w:val="17"/>
                <w:szCs w:val="17"/>
              </w:rPr>
            </w:pPr>
            <w:r w:rsidRPr="007B2B5C">
              <w:rPr>
                <w:rFonts w:cs="Segoe UI"/>
                <w:i/>
                <w:sz w:val="17"/>
                <w:szCs w:val="17"/>
              </w:rPr>
              <w:t>Market risk</w:t>
            </w:r>
            <w:r w:rsidRPr="007B2B5C">
              <w:rPr>
                <w:rFonts w:cs="Segoe UI"/>
                <w:sz w:val="17"/>
                <w:szCs w:val="17"/>
              </w:rPr>
              <w:t>: The amounts correspond to the RWA and capital requirements in the market risk framework (</w:t>
            </w:r>
            <w:r w:rsidRPr="00FE4698">
              <w:rPr>
                <w:rFonts w:cs="Segoe UI"/>
                <w:sz w:val="17"/>
                <w:szCs w:val="17"/>
              </w:rPr>
              <w:t xml:space="preserve">Part VI of this document), which also includes capital charges for securitization exposures booked in the trading book but excludes the </w:t>
            </w:r>
            <w:r>
              <w:rPr>
                <w:rFonts w:cs="Segoe UI"/>
                <w:sz w:val="17"/>
                <w:szCs w:val="17"/>
              </w:rPr>
              <w:t xml:space="preserve">capital charges for </w:t>
            </w:r>
            <w:r w:rsidRPr="00FE4698">
              <w:rPr>
                <w:rFonts w:cs="Segoe UI"/>
                <w:sz w:val="17"/>
                <w:szCs w:val="17"/>
              </w:rPr>
              <w:t xml:space="preserve">counterparty </w:t>
            </w:r>
            <w:r>
              <w:rPr>
                <w:rFonts w:cs="Segoe UI"/>
                <w:sz w:val="17"/>
                <w:szCs w:val="17"/>
              </w:rPr>
              <w:t xml:space="preserve">default </w:t>
            </w:r>
            <w:r w:rsidRPr="00FE4698">
              <w:rPr>
                <w:rFonts w:cs="Segoe UI"/>
                <w:sz w:val="17"/>
                <w:szCs w:val="17"/>
              </w:rPr>
              <w:t>risk</w:t>
            </w:r>
            <w:r>
              <w:rPr>
                <w:rFonts w:cs="Segoe UI"/>
                <w:sz w:val="17"/>
                <w:szCs w:val="17"/>
              </w:rPr>
              <w:t>, default fund contributions and CVA risk</w:t>
            </w:r>
            <w:r w:rsidRPr="00FE4698">
              <w:rPr>
                <w:rFonts w:cs="Segoe UI"/>
                <w:sz w:val="17"/>
                <w:szCs w:val="17"/>
              </w:rPr>
              <w:t xml:space="preserve"> associated with covered positions (reported in Part IV of this document and</w:t>
            </w:r>
            <w:r>
              <w:rPr>
                <w:rFonts w:cs="Segoe UI"/>
                <w:sz w:val="17"/>
                <w:szCs w:val="17"/>
              </w:rPr>
              <w:t xml:space="preserve"> in</w:t>
            </w:r>
            <w:r w:rsidRPr="00FE4698">
              <w:rPr>
                <w:rFonts w:cs="Segoe UI"/>
                <w:sz w:val="17"/>
                <w:szCs w:val="17"/>
              </w:rPr>
              <w:t xml:space="preserve"> row</w:t>
            </w:r>
            <w:r>
              <w:rPr>
                <w:rFonts w:cs="Segoe UI"/>
                <w:sz w:val="17"/>
                <w:szCs w:val="17"/>
              </w:rPr>
              <w:t>s</w:t>
            </w:r>
            <w:r w:rsidRPr="00FE4698">
              <w:rPr>
                <w:rFonts w:cs="Segoe UI"/>
                <w:sz w:val="17"/>
                <w:szCs w:val="17"/>
              </w:rPr>
              <w:t xml:space="preserve"> 6</w:t>
            </w:r>
            <w:r>
              <w:rPr>
                <w:rFonts w:cs="Segoe UI"/>
                <w:sz w:val="17"/>
                <w:szCs w:val="17"/>
              </w:rPr>
              <w:t xml:space="preserve"> and 10</w:t>
            </w:r>
            <w:r w:rsidRPr="00FE4698">
              <w:rPr>
                <w:rFonts w:cs="Segoe UI"/>
                <w:sz w:val="17"/>
                <w:szCs w:val="17"/>
              </w:rPr>
              <w:t xml:space="preserve"> of this template).  An AI should derive the market risk RWAs by multiplying t</w:t>
            </w:r>
            <w:r w:rsidRPr="007B2B5C">
              <w:rPr>
                <w:rFonts w:cs="Segoe UI"/>
                <w:sz w:val="17"/>
                <w:szCs w:val="17"/>
              </w:rPr>
              <w:t>he market risk capital requirements by 12.5.</w:t>
            </w:r>
          </w:p>
        </w:tc>
      </w:tr>
      <w:tr w:rsidR="002A0515" w:rsidRPr="004E457E" w:rsidTr="00A54BE4">
        <w:tc>
          <w:tcPr>
            <w:tcW w:w="567" w:type="dxa"/>
            <w:shd w:val="clear" w:color="auto" w:fill="auto"/>
          </w:tcPr>
          <w:p w:rsidR="002A0515" w:rsidRPr="00D1767E" w:rsidRDefault="002A0515" w:rsidP="00A54BE4">
            <w:pPr>
              <w:keepLines/>
              <w:tabs>
                <w:tab w:val="left" w:pos="150"/>
                <w:tab w:val="left" w:pos="397"/>
                <w:tab w:val="left" w:pos="794"/>
                <w:tab w:val="left" w:pos="1191"/>
              </w:tabs>
              <w:spacing w:before="40" w:after="40"/>
              <w:rPr>
                <w:rFonts w:cs="Segoe UI"/>
                <w:sz w:val="17"/>
                <w:szCs w:val="17"/>
              </w:rPr>
            </w:pPr>
            <w:r w:rsidRPr="00D1767E">
              <w:rPr>
                <w:rFonts w:cs="Segoe UI"/>
                <w:sz w:val="17"/>
                <w:szCs w:val="17"/>
              </w:rPr>
              <w:t>21</w:t>
            </w:r>
          </w:p>
        </w:tc>
        <w:tc>
          <w:tcPr>
            <w:tcW w:w="8647" w:type="dxa"/>
            <w:shd w:val="clear" w:color="auto" w:fill="auto"/>
          </w:tcPr>
          <w:p w:rsidR="002A0515" w:rsidRPr="004E457E" w:rsidRDefault="002A0515" w:rsidP="00A54BE4">
            <w:pPr>
              <w:keepLines/>
              <w:tabs>
                <w:tab w:val="left" w:pos="397"/>
                <w:tab w:val="left" w:pos="794"/>
                <w:tab w:val="left" w:pos="1191"/>
              </w:tabs>
              <w:spacing w:before="40" w:after="40"/>
              <w:jc w:val="both"/>
              <w:rPr>
                <w:rFonts w:cs="Segoe UI"/>
                <w:sz w:val="17"/>
                <w:szCs w:val="17"/>
              </w:rPr>
            </w:pPr>
            <w:r w:rsidRPr="004E457E">
              <w:rPr>
                <w:rFonts w:cs="Segoe UI"/>
                <w:i/>
                <w:sz w:val="17"/>
                <w:szCs w:val="17"/>
                <w:lang w:eastAsia="en-GB"/>
              </w:rPr>
              <w:t>Of which STM approach</w:t>
            </w:r>
            <w:r w:rsidRPr="004E457E">
              <w:rPr>
                <w:rFonts w:cs="Segoe UI"/>
                <w:sz w:val="17"/>
                <w:szCs w:val="17"/>
                <w:lang w:eastAsia="en-GB"/>
              </w:rPr>
              <w:t xml:space="preserve">: </w:t>
            </w:r>
            <w:r w:rsidRPr="004E457E">
              <w:rPr>
                <w:rFonts w:cs="Segoe UI"/>
                <w:sz w:val="17"/>
                <w:szCs w:val="17"/>
              </w:rPr>
              <w:t>RWA and capital requirements calculated using the STM approach under the BCR</w:t>
            </w:r>
            <w:r>
              <w:rPr>
                <w:rFonts w:cs="Segoe UI"/>
                <w:sz w:val="17"/>
                <w:szCs w:val="17"/>
              </w:rPr>
              <w:t xml:space="preserve">, including </w:t>
            </w:r>
            <w:r w:rsidRPr="007B2B5C">
              <w:rPr>
                <w:rFonts w:cs="Segoe UI"/>
                <w:sz w:val="17"/>
                <w:szCs w:val="17"/>
              </w:rPr>
              <w:t>capital charges for securitization exposures booked in the trading book</w:t>
            </w:r>
            <w:r w:rsidRPr="004E457E">
              <w:rPr>
                <w:rFonts w:cs="Segoe UI"/>
                <w:sz w:val="17"/>
                <w:szCs w:val="17"/>
              </w:rPr>
              <w:t xml:space="preserve">.  </w:t>
            </w:r>
            <w:r w:rsidRPr="00214964">
              <w:rPr>
                <w:rFonts w:cs="Segoe UI"/>
                <w:sz w:val="17"/>
                <w:szCs w:val="17"/>
              </w:rPr>
              <w:t>The value in</w:t>
            </w:r>
            <w:r w:rsidRPr="00214964">
              <w:rPr>
                <w:rFonts w:cs="Segoe UI"/>
                <w:sz w:val="17"/>
                <w:szCs w:val="17"/>
                <w:lang w:eastAsia="en-GB"/>
              </w:rPr>
              <w:t xml:space="preserve"> [OV1:21/a] is equal </w:t>
            </w:r>
            <w:r w:rsidRPr="00214964">
              <w:rPr>
                <w:rFonts w:cs="Segoe UI"/>
                <w:sz w:val="17"/>
                <w:szCs w:val="17"/>
              </w:rPr>
              <w:t>to the value in</w:t>
            </w:r>
            <w:r w:rsidRPr="00214964">
              <w:rPr>
                <w:rFonts w:cs="Segoe UI"/>
                <w:sz w:val="17"/>
                <w:szCs w:val="17"/>
                <w:lang w:eastAsia="en-GB"/>
              </w:rPr>
              <w:t xml:space="preserve"> [MR1:</w:t>
            </w:r>
            <w:r>
              <w:rPr>
                <w:rFonts w:cs="Segoe UI"/>
                <w:sz w:val="17"/>
                <w:szCs w:val="17"/>
                <w:lang w:eastAsia="en-GB"/>
              </w:rPr>
              <w:t>9</w:t>
            </w:r>
            <w:r w:rsidRPr="00214964">
              <w:rPr>
                <w:rFonts w:cs="Segoe UI"/>
                <w:sz w:val="17"/>
                <w:szCs w:val="17"/>
                <w:lang w:eastAsia="en-GB"/>
              </w:rPr>
              <w:t>/a].</w:t>
            </w:r>
          </w:p>
        </w:tc>
      </w:tr>
      <w:tr w:rsidR="002A0515" w:rsidRPr="004E457E" w:rsidTr="00A54BE4">
        <w:tc>
          <w:tcPr>
            <w:tcW w:w="567" w:type="dxa"/>
            <w:shd w:val="clear" w:color="auto" w:fill="auto"/>
          </w:tcPr>
          <w:p w:rsidR="002A0515" w:rsidRPr="00D1767E" w:rsidRDefault="002A0515" w:rsidP="00A54BE4">
            <w:pPr>
              <w:keepLines/>
              <w:tabs>
                <w:tab w:val="left" w:pos="150"/>
                <w:tab w:val="left" w:pos="397"/>
                <w:tab w:val="left" w:pos="794"/>
                <w:tab w:val="left" w:pos="1191"/>
              </w:tabs>
              <w:spacing w:before="40" w:after="40"/>
              <w:rPr>
                <w:rFonts w:cs="Segoe UI"/>
                <w:sz w:val="17"/>
                <w:szCs w:val="17"/>
              </w:rPr>
            </w:pPr>
            <w:r w:rsidRPr="00D1767E">
              <w:rPr>
                <w:rFonts w:cs="Segoe UI"/>
                <w:sz w:val="17"/>
                <w:szCs w:val="17"/>
              </w:rPr>
              <w:t>22</w:t>
            </w:r>
          </w:p>
        </w:tc>
        <w:tc>
          <w:tcPr>
            <w:tcW w:w="8647" w:type="dxa"/>
            <w:shd w:val="clear" w:color="auto" w:fill="auto"/>
          </w:tcPr>
          <w:p w:rsidR="002A0515" w:rsidRPr="00214964" w:rsidRDefault="002A0515" w:rsidP="00A54BE4">
            <w:pPr>
              <w:keepLines/>
              <w:tabs>
                <w:tab w:val="left" w:pos="397"/>
                <w:tab w:val="left" w:pos="794"/>
                <w:tab w:val="left" w:pos="1191"/>
              </w:tabs>
              <w:spacing w:before="40" w:after="40"/>
              <w:jc w:val="both"/>
              <w:rPr>
                <w:rFonts w:cs="Segoe UI"/>
                <w:sz w:val="17"/>
                <w:szCs w:val="17"/>
              </w:rPr>
            </w:pPr>
            <w:r w:rsidRPr="00214964">
              <w:rPr>
                <w:rFonts w:cs="Segoe UI"/>
                <w:i/>
                <w:sz w:val="17"/>
                <w:szCs w:val="17"/>
                <w:lang w:eastAsia="en-GB"/>
              </w:rPr>
              <w:t>Of which IMM approach</w:t>
            </w:r>
            <w:r w:rsidRPr="00214964">
              <w:rPr>
                <w:rFonts w:cs="Segoe UI"/>
                <w:sz w:val="17"/>
                <w:szCs w:val="17"/>
                <w:lang w:eastAsia="en-GB"/>
              </w:rPr>
              <w:t xml:space="preserve">: </w:t>
            </w:r>
            <w:r w:rsidRPr="00214964">
              <w:rPr>
                <w:rFonts w:cs="Segoe UI"/>
                <w:sz w:val="17"/>
                <w:szCs w:val="17"/>
              </w:rPr>
              <w:t xml:space="preserve">RWA and capital requirements calculated using the IMM approach under the BCR.  The value in </w:t>
            </w:r>
            <w:r w:rsidRPr="00214964">
              <w:rPr>
                <w:rFonts w:cs="Segoe UI"/>
                <w:sz w:val="17"/>
                <w:szCs w:val="17"/>
                <w:lang w:eastAsia="en-GB"/>
              </w:rPr>
              <w:t>[OV1:22/a]</w:t>
            </w:r>
            <w:r w:rsidRPr="00214964">
              <w:rPr>
                <w:rFonts w:cs="Segoe UI"/>
                <w:sz w:val="17"/>
                <w:szCs w:val="17"/>
              </w:rPr>
              <w:t xml:space="preserve"> is equal to the value in </w:t>
            </w:r>
            <w:r w:rsidRPr="00214964">
              <w:rPr>
                <w:rFonts w:cs="Segoe UI"/>
                <w:sz w:val="17"/>
                <w:szCs w:val="17"/>
                <w:lang w:eastAsia="en-GB"/>
              </w:rPr>
              <w:t>[MR2:</w:t>
            </w:r>
            <w:r>
              <w:rPr>
                <w:rFonts w:cs="Segoe UI"/>
                <w:sz w:val="17"/>
                <w:szCs w:val="17"/>
                <w:lang w:eastAsia="en-GB"/>
              </w:rPr>
              <w:t>8/f</w:t>
            </w:r>
            <w:r w:rsidRPr="00214964">
              <w:rPr>
                <w:rFonts w:cs="Segoe UI"/>
                <w:sz w:val="17"/>
                <w:szCs w:val="17"/>
                <w:lang w:eastAsia="en-GB"/>
              </w:rPr>
              <w:t>]</w:t>
            </w:r>
            <w:r w:rsidRPr="00214964">
              <w:rPr>
                <w:rFonts w:cs="Segoe UI"/>
                <w:sz w:val="17"/>
                <w:szCs w:val="17"/>
              </w:rPr>
              <w:t>.</w:t>
            </w:r>
          </w:p>
        </w:tc>
      </w:tr>
      <w:tr w:rsidR="002A0515" w:rsidRPr="004E457E" w:rsidTr="00A54BE4">
        <w:tc>
          <w:tcPr>
            <w:tcW w:w="567" w:type="dxa"/>
            <w:shd w:val="clear" w:color="auto" w:fill="auto"/>
          </w:tcPr>
          <w:p w:rsidR="002A0515" w:rsidRPr="00622192" w:rsidRDefault="002A0515" w:rsidP="00A54BE4">
            <w:pPr>
              <w:keepLines/>
              <w:tabs>
                <w:tab w:val="left" w:pos="150"/>
                <w:tab w:val="left" w:pos="397"/>
                <w:tab w:val="left" w:pos="794"/>
                <w:tab w:val="left" w:pos="1191"/>
              </w:tabs>
              <w:spacing w:before="40" w:after="40"/>
              <w:rPr>
                <w:rFonts w:cs="Segoe UI"/>
                <w:sz w:val="17"/>
                <w:szCs w:val="17"/>
                <w:highlight w:val="yellow"/>
              </w:rPr>
            </w:pPr>
            <w:r w:rsidRPr="008C194E">
              <w:rPr>
                <w:rFonts w:cs="Segoe UI"/>
                <w:sz w:val="17"/>
                <w:szCs w:val="17"/>
              </w:rPr>
              <w:t>23</w:t>
            </w:r>
          </w:p>
        </w:tc>
        <w:tc>
          <w:tcPr>
            <w:tcW w:w="8647" w:type="dxa"/>
            <w:shd w:val="clear" w:color="auto" w:fill="auto"/>
          </w:tcPr>
          <w:p w:rsidR="002A0515" w:rsidRPr="003E6DD6" w:rsidRDefault="002A0515" w:rsidP="00A54BE4">
            <w:pPr>
              <w:keepLines/>
              <w:tabs>
                <w:tab w:val="left" w:pos="397"/>
                <w:tab w:val="left" w:pos="794"/>
                <w:tab w:val="left" w:pos="1191"/>
              </w:tabs>
              <w:spacing w:before="40" w:after="40"/>
              <w:jc w:val="both"/>
              <w:rPr>
                <w:rFonts w:cs="Segoe UI"/>
                <w:sz w:val="17"/>
                <w:szCs w:val="17"/>
                <w:highlight w:val="yellow"/>
                <w:lang w:eastAsia="en-GB"/>
              </w:rPr>
            </w:pPr>
            <w:r w:rsidRPr="007B5E64">
              <w:rPr>
                <w:rFonts w:cs="Segoe UI"/>
                <w:i/>
                <w:sz w:val="17"/>
                <w:szCs w:val="17"/>
                <w:lang w:eastAsia="en-GB"/>
              </w:rPr>
              <w:t>Capital charge for switch between exposures in trading book and banking book</w:t>
            </w:r>
            <w:r>
              <w:rPr>
                <w:rFonts w:cs="Segoe UI"/>
                <w:i/>
                <w:sz w:val="17"/>
                <w:szCs w:val="17"/>
                <w:lang w:eastAsia="en-GB"/>
              </w:rPr>
              <w:t xml:space="preserve"> </w:t>
            </w:r>
            <w:r w:rsidRPr="00DA473B">
              <w:rPr>
                <w:rFonts w:cs="Segoe UI"/>
                <w:i/>
                <w:sz w:val="17"/>
                <w:szCs w:val="17"/>
                <w:lang w:eastAsia="en-GB"/>
              </w:rPr>
              <w:t>(not applicable before the revised market risk framework takes effect)</w:t>
            </w:r>
            <w:r>
              <w:rPr>
                <w:rFonts w:cs="Segoe UI"/>
                <w:i/>
                <w:sz w:val="17"/>
                <w:szCs w:val="17"/>
                <w:lang w:eastAsia="en-GB"/>
              </w:rPr>
              <w:t>*</w:t>
            </w:r>
            <w:r w:rsidRPr="007B5E64">
              <w:rPr>
                <w:rFonts w:cs="Segoe UI"/>
                <w:sz w:val="17"/>
                <w:szCs w:val="17"/>
                <w:lang w:eastAsia="en-GB"/>
              </w:rPr>
              <w:t xml:space="preserve">: </w:t>
            </w:r>
            <w:r w:rsidRPr="00610A32">
              <w:rPr>
                <w:rFonts w:cs="Segoe UI"/>
                <w:sz w:val="17"/>
                <w:szCs w:val="17"/>
                <w:lang w:eastAsia="en-GB"/>
              </w:rPr>
              <w:t>This row is not applicable before the revised market risk framework takes effect</w:t>
            </w:r>
            <w:r>
              <w:rPr>
                <w:rFonts w:cs="Segoe UI"/>
                <w:sz w:val="17"/>
                <w:szCs w:val="17"/>
                <w:lang w:eastAsia="en-GB"/>
              </w:rPr>
              <w:t>.</w:t>
            </w:r>
          </w:p>
        </w:tc>
      </w:tr>
      <w:tr w:rsidR="002A0515" w:rsidRPr="004E457E" w:rsidTr="00A54BE4">
        <w:tc>
          <w:tcPr>
            <w:tcW w:w="567" w:type="dxa"/>
            <w:shd w:val="clear" w:color="auto" w:fill="auto"/>
          </w:tcPr>
          <w:p w:rsidR="002A0515" w:rsidRPr="00622192" w:rsidRDefault="002A0515" w:rsidP="00A54BE4">
            <w:pPr>
              <w:keepLines/>
              <w:tabs>
                <w:tab w:val="left" w:pos="150"/>
                <w:tab w:val="left" w:pos="397"/>
                <w:tab w:val="left" w:pos="794"/>
                <w:tab w:val="left" w:pos="1191"/>
              </w:tabs>
              <w:spacing w:before="40" w:after="40"/>
              <w:rPr>
                <w:rFonts w:cs="Segoe UI"/>
                <w:sz w:val="17"/>
                <w:szCs w:val="17"/>
                <w:highlight w:val="yellow"/>
              </w:rPr>
            </w:pPr>
            <w:r w:rsidRPr="004B07C3">
              <w:rPr>
                <w:rFonts w:cs="Segoe UI"/>
                <w:sz w:val="17"/>
                <w:szCs w:val="17"/>
              </w:rPr>
              <w:t>24</w:t>
            </w:r>
          </w:p>
        </w:tc>
        <w:tc>
          <w:tcPr>
            <w:tcW w:w="8647" w:type="dxa"/>
            <w:shd w:val="clear" w:color="auto" w:fill="auto"/>
          </w:tcPr>
          <w:p w:rsidR="002A0515" w:rsidRPr="004E457E" w:rsidRDefault="002A0515" w:rsidP="00A54BE4">
            <w:pPr>
              <w:keepLines/>
              <w:tabs>
                <w:tab w:val="left" w:pos="150"/>
                <w:tab w:val="left" w:pos="397"/>
                <w:tab w:val="left" w:pos="794"/>
                <w:tab w:val="left" w:pos="1191"/>
              </w:tabs>
              <w:spacing w:before="40" w:after="40"/>
              <w:jc w:val="both"/>
              <w:rPr>
                <w:rFonts w:cs="Segoe UI"/>
                <w:sz w:val="17"/>
                <w:szCs w:val="17"/>
              </w:rPr>
            </w:pPr>
            <w:r w:rsidRPr="004E457E">
              <w:rPr>
                <w:rFonts w:cs="Segoe UI"/>
                <w:i/>
                <w:sz w:val="17"/>
                <w:szCs w:val="17"/>
              </w:rPr>
              <w:t>Operational risk</w:t>
            </w:r>
            <w:r w:rsidRPr="004B07C3">
              <w:rPr>
                <w:rFonts w:cs="Segoe UI"/>
                <w:sz w:val="17"/>
                <w:szCs w:val="17"/>
              </w:rPr>
              <w:t>:</w:t>
            </w:r>
            <w:r w:rsidRPr="004E457E">
              <w:rPr>
                <w:rFonts w:cs="Segoe UI"/>
                <w:sz w:val="17"/>
                <w:szCs w:val="17"/>
              </w:rPr>
              <w:t xml:space="preserve"> The amounts correspond to capital requirements in the operational risk framework specified in the BCR.</w:t>
            </w:r>
          </w:p>
        </w:tc>
      </w:tr>
      <w:tr w:rsidR="002A0515" w:rsidRPr="004E457E" w:rsidTr="00A54BE4">
        <w:tc>
          <w:tcPr>
            <w:tcW w:w="567" w:type="dxa"/>
            <w:shd w:val="clear" w:color="auto" w:fill="auto"/>
          </w:tcPr>
          <w:p w:rsidR="002A0515" w:rsidRPr="004B07C3" w:rsidRDefault="002A0515" w:rsidP="00A54BE4">
            <w:pPr>
              <w:keepLines/>
              <w:tabs>
                <w:tab w:val="left" w:pos="150"/>
                <w:tab w:val="left" w:pos="397"/>
                <w:tab w:val="left" w:pos="794"/>
                <w:tab w:val="left" w:pos="1191"/>
              </w:tabs>
              <w:spacing w:before="40" w:after="40"/>
              <w:rPr>
                <w:rFonts w:cs="Segoe UI"/>
                <w:sz w:val="17"/>
                <w:szCs w:val="17"/>
              </w:rPr>
            </w:pPr>
            <w:r>
              <w:rPr>
                <w:rFonts w:cs="Segoe UI"/>
                <w:sz w:val="17"/>
                <w:szCs w:val="17"/>
              </w:rPr>
              <w:t>24a</w:t>
            </w:r>
          </w:p>
        </w:tc>
        <w:tc>
          <w:tcPr>
            <w:tcW w:w="8647" w:type="dxa"/>
            <w:shd w:val="clear" w:color="auto" w:fill="auto"/>
          </w:tcPr>
          <w:p w:rsidR="002A0515" w:rsidRPr="004E457E" w:rsidRDefault="002A0515" w:rsidP="00A54BE4">
            <w:pPr>
              <w:keepLines/>
              <w:tabs>
                <w:tab w:val="left" w:pos="150"/>
                <w:tab w:val="left" w:pos="397"/>
                <w:tab w:val="left" w:pos="794"/>
                <w:tab w:val="left" w:pos="1191"/>
              </w:tabs>
              <w:spacing w:before="40" w:after="40"/>
              <w:jc w:val="both"/>
              <w:rPr>
                <w:rFonts w:cs="Segoe UI"/>
                <w:i/>
                <w:sz w:val="17"/>
                <w:szCs w:val="17"/>
              </w:rPr>
            </w:pPr>
            <w:r>
              <w:rPr>
                <w:rFonts w:cs="Segoe UI"/>
                <w:i/>
                <w:sz w:val="17"/>
                <w:szCs w:val="17"/>
                <w:lang w:eastAsia="en-GB"/>
              </w:rPr>
              <w:t>Sovereign c</w:t>
            </w:r>
            <w:r w:rsidRPr="001234E1">
              <w:rPr>
                <w:rFonts w:cs="Segoe UI"/>
                <w:i/>
                <w:sz w:val="17"/>
                <w:szCs w:val="17"/>
                <w:lang w:eastAsia="en-GB"/>
              </w:rPr>
              <w:t>oncentration risk</w:t>
            </w:r>
            <w:r>
              <w:rPr>
                <w:rFonts w:cs="Segoe UI"/>
                <w:sz w:val="17"/>
                <w:szCs w:val="17"/>
                <w:lang w:eastAsia="en-GB"/>
              </w:rPr>
              <w:t xml:space="preserve">: </w:t>
            </w:r>
            <w:r w:rsidRPr="004E457E">
              <w:rPr>
                <w:rFonts w:cs="Segoe UI"/>
                <w:sz w:val="17"/>
                <w:szCs w:val="17"/>
              </w:rPr>
              <w:t xml:space="preserve">The amounts correspond to capital requirements in the </w:t>
            </w:r>
            <w:r>
              <w:rPr>
                <w:rFonts w:cs="Segoe UI"/>
                <w:sz w:val="17"/>
                <w:szCs w:val="17"/>
              </w:rPr>
              <w:t>sovereign concentration</w:t>
            </w:r>
            <w:r w:rsidRPr="004E457E">
              <w:rPr>
                <w:rFonts w:cs="Segoe UI"/>
                <w:sz w:val="17"/>
                <w:szCs w:val="17"/>
              </w:rPr>
              <w:t xml:space="preserve"> risk framework specified in the BCR.</w:t>
            </w:r>
          </w:p>
        </w:tc>
      </w:tr>
      <w:tr w:rsidR="002A0515" w:rsidRPr="004E457E" w:rsidTr="00A54BE4">
        <w:tc>
          <w:tcPr>
            <w:tcW w:w="567" w:type="dxa"/>
            <w:shd w:val="clear" w:color="auto" w:fill="auto"/>
          </w:tcPr>
          <w:p w:rsidR="002A0515" w:rsidRPr="00AE64D1" w:rsidRDefault="002A0515" w:rsidP="00A54BE4">
            <w:pPr>
              <w:keepLines/>
              <w:tabs>
                <w:tab w:val="left" w:pos="150"/>
                <w:tab w:val="left" w:pos="397"/>
                <w:tab w:val="left" w:pos="794"/>
                <w:tab w:val="left" w:pos="1191"/>
              </w:tabs>
              <w:spacing w:before="40" w:after="40"/>
              <w:rPr>
                <w:rFonts w:cs="Segoe UI"/>
                <w:sz w:val="17"/>
                <w:szCs w:val="17"/>
              </w:rPr>
            </w:pPr>
            <w:r w:rsidRPr="00AE64D1">
              <w:rPr>
                <w:rFonts w:cs="Segoe UI"/>
                <w:sz w:val="17"/>
                <w:szCs w:val="17"/>
              </w:rPr>
              <w:t>25</w:t>
            </w:r>
          </w:p>
        </w:tc>
        <w:tc>
          <w:tcPr>
            <w:tcW w:w="8647" w:type="dxa"/>
            <w:shd w:val="clear" w:color="auto" w:fill="auto"/>
          </w:tcPr>
          <w:p w:rsidR="002A0515" w:rsidRPr="00AE64D1" w:rsidRDefault="002A0515" w:rsidP="00A54BE4">
            <w:pPr>
              <w:keepLines/>
              <w:tabs>
                <w:tab w:val="left" w:pos="150"/>
                <w:tab w:val="left" w:pos="397"/>
                <w:tab w:val="left" w:pos="794"/>
                <w:tab w:val="left" w:pos="1191"/>
              </w:tabs>
              <w:spacing w:before="40" w:after="40"/>
              <w:jc w:val="both"/>
              <w:rPr>
                <w:rFonts w:cs="Segoe UI"/>
                <w:sz w:val="17"/>
                <w:szCs w:val="17"/>
              </w:rPr>
            </w:pPr>
            <w:r w:rsidRPr="00AE64D1">
              <w:rPr>
                <w:rFonts w:cs="Segoe UI"/>
                <w:i/>
                <w:sz w:val="17"/>
                <w:szCs w:val="17"/>
              </w:rPr>
              <w:t>Amounts below the thresholds for deduction (subject to 250% RW)</w:t>
            </w:r>
            <w:r w:rsidRPr="00AE64D1">
              <w:rPr>
                <w:rFonts w:cs="Segoe UI"/>
                <w:sz w:val="17"/>
                <w:szCs w:val="17"/>
              </w:rPr>
              <w:t>: The amounts correspond to items subject to a 250% risk-weight pursuant to the BCR.</w:t>
            </w:r>
          </w:p>
        </w:tc>
      </w:tr>
      <w:tr w:rsidR="002A0515" w:rsidRPr="004E457E" w:rsidTr="00A54BE4">
        <w:tc>
          <w:tcPr>
            <w:tcW w:w="567" w:type="dxa"/>
            <w:shd w:val="clear" w:color="auto" w:fill="auto"/>
          </w:tcPr>
          <w:p w:rsidR="002A0515" w:rsidRPr="004B2378" w:rsidRDefault="002A0515" w:rsidP="00A54BE4">
            <w:pPr>
              <w:keepLines/>
              <w:tabs>
                <w:tab w:val="left" w:pos="150"/>
                <w:tab w:val="left" w:pos="397"/>
                <w:tab w:val="left" w:pos="794"/>
                <w:tab w:val="left" w:pos="1191"/>
              </w:tabs>
              <w:spacing w:before="40" w:after="40"/>
              <w:rPr>
                <w:rFonts w:cs="Segoe UI"/>
                <w:sz w:val="17"/>
                <w:szCs w:val="17"/>
              </w:rPr>
            </w:pPr>
            <w:r w:rsidRPr="004B2378">
              <w:rPr>
                <w:rFonts w:cs="Segoe UI"/>
                <w:sz w:val="17"/>
                <w:szCs w:val="17"/>
              </w:rPr>
              <w:t>26</w:t>
            </w:r>
          </w:p>
        </w:tc>
        <w:tc>
          <w:tcPr>
            <w:tcW w:w="8647" w:type="dxa"/>
            <w:shd w:val="clear" w:color="auto" w:fill="auto"/>
          </w:tcPr>
          <w:p w:rsidR="002A0515" w:rsidRPr="004B2378" w:rsidRDefault="002A0515" w:rsidP="00A54BE4">
            <w:pPr>
              <w:keepLines/>
              <w:tabs>
                <w:tab w:val="left" w:pos="150"/>
                <w:tab w:val="left" w:pos="397"/>
                <w:tab w:val="left" w:pos="794"/>
                <w:tab w:val="left" w:pos="1191"/>
              </w:tabs>
              <w:spacing w:before="40" w:after="40"/>
              <w:jc w:val="both"/>
              <w:rPr>
                <w:rFonts w:cs="Segoe UI"/>
                <w:i/>
                <w:sz w:val="17"/>
                <w:szCs w:val="17"/>
              </w:rPr>
            </w:pPr>
            <w:r w:rsidRPr="004B2378">
              <w:rPr>
                <w:rFonts w:cs="Segoe UI"/>
                <w:i/>
                <w:sz w:val="17"/>
                <w:szCs w:val="17"/>
              </w:rPr>
              <w:t>Capital floor adjustment</w:t>
            </w:r>
            <w:r w:rsidRPr="004B2378">
              <w:rPr>
                <w:rFonts w:cs="Segoe UI"/>
                <w:sz w:val="17"/>
                <w:szCs w:val="17"/>
              </w:rPr>
              <w:t>: The impact of any Pillar 1 capital floor adjustment on total RWA and total capital requirements determined according to the BCR so that the total amount in row 27 below reflects the total RWA and total capital requirements, in</w:t>
            </w:r>
            <w:r>
              <w:rPr>
                <w:rFonts w:cs="Segoe UI"/>
                <w:sz w:val="17"/>
                <w:szCs w:val="17"/>
              </w:rPr>
              <w:t>cluding such an adjustment.  An</w:t>
            </w:r>
            <w:r w:rsidRPr="004B2378">
              <w:rPr>
                <w:rFonts w:cs="Segoe UI"/>
                <w:sz w:val="17"/>
                <w:szCs w:val="17"/>
              </w:rPr>
              <w:t xml:space="preserve"> AI should not report Pillar 2 adjustments applied to it in this row.  Where the capital floor or adjustments are applied at a more granular level (e.g. at risk category level), the AI should reflect them in the capital requirements reported for the risk category.</w:t>
            </w:r>
          </w:p>
        </w:tc>
      </w:tr>
      <w:tr w:rsidR="002A0515" w:rsidRPr="004E457E" w:rsidTr="00A54BE4">
        <w:tc>
          <w:tcPr>
            <w:tcW w:w="567" w:type="dxa"/>
            <w:shd w:val="clear" w:color="auto" w:fill="auto"/>
          </w:tcPr>
          <w:p w:rsidR="002A0515" w:rsidRPr="00CF37B9" w:rsidRDefault="002A0515" w:rsidP="00A54BE4">
            <w:pPr>
              <w:keepLines/>
              <w:tabs>
                <w:tab w:val="left" w:pos="150"/>
                <w:tab w:val="left" w:pos="397"/>
                <w:tab w:val="left" w:pos="794"/>
                <w:tab w:val="left" w:pos="1191"/>
              </w:tabs>
              <w:spacing w:before="40" w:after="40"/>
              <w:rPr>
                <w:rFonts w:cs="Segoe UI"/>
                <w:sz w:val="17"/>
                <w:szCs w:val="17"/>
              </w:rPr>
            </w:pPr>
            <w:r w:rsidRPr="00CF37B9">
              <w:rPr>
                <w:rFonts w:cs="Segoe UI"/>
                <w:sz w:val="17"/>
                <w:szCs w:val="17"/>
              </w:rPr>
              <w:t>26a</w:t>
            </w:r>
          </w:p>
        </w:tc>
        <w:tc>
          <w:tcPr>
            <w:tcW w:w="8647" w:type="dxa"/>
            <w:shd w:val="clear" w:color="auto" w:fill="auto"/>
          </w:tcPr>
          <w:p w:rsidR="002A0515" w:rsidRPr="00CF37B9" w:rsidRDefault="002A0515" w:rsidP="00A54BE4">
            <w:pPr>
              <w:keepLines/>
              <w:tabs>
                <w:tab w:val="left" w:pos="150"/>
                <w:tab w:val="left" w:pos="397"/>
                <w:tab w:val="left" w:pos="794"/>
                <w:tab w:val="left" w:pos="1191"/>
              </w:tabs>
              <w:spacing w:before="40" w:after="40"/>
              <w:jc w:val="both"/>
              <w:rPr>
                <w:rFonts w:cs="Segoe UI"/>
                <w:sz w:val="17"/>
                <w:szCs w:val="17"/>
              </w:rPr>
            </w:pPr>
            <w:r w:rsidRPr="00CF37B9">
              <w:rPr>
                <w:rFonts w:cs="Segoe UI"/>
                <w:i/>
                <w:sz w:val="17"/>
                <w:szCs w:val="17"/>
              </w:rPr>
              <w:t>Deduction to RWA</w:t>
            </w:r>
            <w:r w:rsidRPr="00CF37B9">
              <w:rPr>
                <w:rFonts w:cs="Segoe UI"/>
                <w:sz w:val="17"/>
                <w:szCs w:val="17"/>
              </w:rPr>
              <w:t>: This is the sum of values in rows 26b and 26c.</w:t>
            </w:r>
          </w:p>
        </w:tc>
      </w:tr>
      <w:tr w:rsidR="002A0515" w:rsidRPr="004E457E" w:rsidTr="00A54BE4">
        <w:tc>
          <w:tcPr>
            <w:tcW w:w="567" w:type="dxa"/>
            <w:shd w:val="clear" w:color="auto" w:fill="auto"/>
          </w:tcPr>
          <w:p w:rsidR="002A0515" w:rsidRPr="00622192" w:rsidRDefault="002A0515" w:rsidP="00A54BE4">
            <w:pPr>
              <w:keepLines/>
              <w:tabs>
                <w:tab w:val="left" w:pos="150"/>
                <w:tab w:val="left" w:pos="397"/>
                <w:tab w:val="left" w:pos="794"/>
                <w:tab w:val="left" w:pos="1191"/>
              </w:tabs>
              <w:spacing w:before="40" w:after="40"/>
              <w:rPr>
                <w:rFonts w:cs="Segoe UI"/>
                <w:sz w:val="17"/>
                <w:szCs w:val="17"/>
                <w:highlight w:val="yellow"/>
              </w:rPr>
            </w:pPr>
            <w:r w:rsidRPr="00BD5038">
              <w:rPr>
                <w:rFonts w:cs="Segoe UI"/>
                <w:sz w:val="17"/>
                <w:szCs w:val="17"/>
              </w:rPr>
              <w:t>26b</w:t>
            </w:r>
          </w:p>
        </w:tc>
        <w:tc>
          <w:tcPr>
            <w:tcW w:w="8647" w:type="dxa"/>
            <w:shd w:val="clear" w:color="auto" w:fill="auto"/>
          </w:tcPr>
          <w:p w:rsidR="002A0515" w:rsidRPr="004E457E" w:rsidRDefault="002A0515" w:rsidP="00A54BE4">
            <w:pPr>
              <w:keepLines/>
              <w:tabs>
                <w:tab w:val="left" w:pos="150"/>
                <w:tab w:val="left" w:pos="397"/>
                <w:tab w:val="left" w:pos="794"/>
                <w:tab w:val="left" w:pos="1191"/>
              </w:tabs>
              <w:spacing w:before="40" w:after="40"/>
              <w:jc w:val="both"/>
              <w:rPr>
                <w:rFonts w:cs="Segoe UI"/>
                <w:i/>
                <w:sz w:val="17"/>
                <w:szCs w:val="17"/>
              </w:rPr>
            </w:pPr>
            <w:r w:rsidRPr="00892BF1">
              <w:rPr>
                <w:rFonts w:cs="Segoe UI"/>
                <w:i/>
                <w:sz w:val="17"/>
                <w:szCs w:val="17"/>
                <w:lang w:eastAsia="en-GB"/>
              </w:rPr>
              <w:t>Of which portion of regulatory reserve for general banking risks and collective provisions which is not included in Tier 2 Capital:</w:t>
            </w:r>
            <w:r w:rsidRPr="004E457E">
              <w:rPr>
                <w:rFonts w:cs="Segoe UI"/>
                <w:sz w:val="17"/>
                <w:szCs w:val="17"/>
                <w:lang w:eastAsia="en-GB"/>
              </w:rPr>
              <w:t xml:space="preserve"> This row is only applicable for an AI using the STC, BSC</w:t>
            </w:r>
            <w:r>
              <w:rPr>
                <w:rFonts w:cs="Segoe UI"/>
                <w:sz w:val="17"/>
                <w:szCs w:val="17"/>
                <w:lang w:eastAsia="en-GB"/>
              </w:rPr>
              <w:t>,</w:t>
            </w:r>
            <w:r w:rsidRPr="004E457E">
              <w:rPr>
                <w:rFonts w:cs="Segoe UI"/>
                <w:sz w:val="17"/>
                <w:szCs w:val="17"/>
                <w:lang w:eastAsia="en-GB"/>
              </w:rPr>
              <w:t xml:space="preserve"> </w:t>
            </w:r>
            <w:r w:rsidRPr="000E0EB0">
              <w:rPr>
                <w:rFonts w:cs="Segoe UI"/>
                <w:sz w:val="17"/>
                <w:szCs w:val="17"/>
                <w:lang w:eastAsia="en-GB"/>
              </w:rPr>
              <w:t>SEC-SA</w:t>
            </w:r>
            <w:r>
              <w:rPr>
                <w:rFonts w:cs="Segoe UI"/>
                <w:sz w:val="17"/>
                <w:szCs w:val="17"/>
                <w:lang w:eastAsia="en-GB"/>
              </w:rPr>
              <w:t>, SEC-ERBA or SEC-FBA</w:t>
            </w:r>
            <w:r w:rsidRPr="004E457E">
              <w:rPr>
                <w:rFonts w:cs="Segoe UI"/>
                <w:sz w:val="17"/>
                <w:szCs w:val="17"/>
                <w:lang w:eastAsia="en-GB"/>
              </w:rPr>
              <w:t xml:space="preserve"> approach for calculating credit risk for all or part of its exposures.  It refers to and has the same calculation basis as the amount reported in item </w:t>
            </w:r>
            <w:r w:rsidRPr="00BD5038">
              <w:rPr>
                <w:rFonts w:cs="Segoe UI"/>
                <w:sz w:val="17"/>
                <w:szCs w:val="17"/>
                <w:lang w:eastAsia="en-GB"/>
              </w:rPr>
              <w:t>2.12(</w:t>
            </w:r>
            <w:proofErr w:type="spellStart"/>
            <w:r w:rsidRPr="00BD5038">
              <w:rPr>
                <w:rFonts w:cs="Segoe UI"/>
                <w:sz w:val="17"/>
                <w:szCs w:val="17"/>
                <w:lang w:eastAsia="en-GB"/>
              </w:rPr>
              <w:t>i</w:t>
            </w:r>
            <w:proofErr w:type="spellEnd"/>
            <w:r w:rsidRPr="00BD5038">
              <w:rPr>
                <w:rFonts w:cs="Segoe UI"/>
                <w:sz w:val="17"/>
                <w:szCs w:val="17"/>
                <w:lang w:eastAsia="en-GB"/>
              </w:rPr>
              <w:t>), Division A, Part I of CAR return MA(BS)3.</w:t>
            </w:r>
          </w:p>
        </w:tc>
      </w:tr>
      <w:tr w:rsidR="002A0515" w:rsidRPr="004E457E" w:rsidTr="00A54BE4">
        <w:tc>
          <w:tcPr>
            <w:tcW w:w="567" w:type="dxa"/>
            <w:shd w:val="clear" w:color="auto" w:fill="auto"/>
          </w:tcPr>
          <w:p w:rsidR="002A0515" w:rsidRPr="00593071" w:rsidRDefault="002A0515" w:rsidP="00A54BE4">
            <w:pPr>
              <w:keepLines/>
              <w:tabs>
                <w:tab w:val="left" w:pos="150"/>
                <w:tab w:val="left" w:pos="397"/>
                <w:tab w:val="left" w:pos="794"/>
                <w:tab w:val="left" w:pos="1191"/>
              </w:tabs>
              <w:spacing w:before="40" w:after="40"/>
              <w:rPr>
                <w:rFonts w:cs="Segoe UI"/>
                <w:sz w:val="17"/>
                <w:szCs w:val="17"/>
              </w:rPr>
            </w:pPr>
            <w:r w:rsidRPr="00593071">
              <w:rPr>
                <w:rFonts w:cs="Segoe UI"/>
                <w:sz w:val="17"/>
                <w:szCs w:val="17"/>
              </w:rPr>
              <w:t>26c</w:t>
            </w:r>
          </w:p>
        </w:tc>
        <w:tc>
          <w:tcPr>
            <w:tcW w:w="8647" w:type="dxa"/>
            <w:shd w:val="clear" w:color="auto" w:fill="auto"/>
          </w:tcPr>
          <w:p w:rsidR="002A0515" w:rsidRPr="00593071" w:rsidRDefault="002A0515" w:rsidP="00A54BE4">
            <w:pPr>
              <w:keepLines/>
              <w:tabs>
                <w:tab w:val="left" w:pos="150"/>
                <w:tab w:val="left" w:pos="397"/>
                <w:tab w:val="left" w:pos="794"/>
                <w:tab w:val="left" w:pos="1191"/>
              </w:tabs>
              <w:spacing w:before="40" w:after="40"/>
              <w:jc w:val="both"/>
              <w:rPr>
                <w:rFonts w:cs="Segoe UI"/>
                <w:i/>
                <w:sz w:val="17"/>
                <w:szCs w:val="17"/>
              </w:rPr>
            </w:pPr>
            <w:r w:rsidRPr="00593071">
              <w:rPr>
                <w:rFonts w:cs="Segoe UI"/>
                <w:i/>
                <w:sz w:val="17"/>
                <w:szCs w:val="17"/>
                <w:lang w:eastAsia="en-GB"/>
              </w:rPr>
              <w:t>Of which portion of cumulative fair value gains arising from the revaluation of land and buildings which is not included in Tier 2 Capital</w:t>
            </w:r>
            <w:r w:rsidRPr="00593071">
              <w:rPr>
                <w:rFonts w:cs="Segoe UI"/>
                <w:sz w:val="17"/>
                <w:szCs w:val="17"/>
                <w:lang w:eastAsia="en-GB"/>
              </w:rPr>
              <w:t>: It refers to and has the same calculation basis as the amount reported in item 2.12(ii), Division A, Part I of CAR return MA(BS)3.</w:t>
            </w:r>
          </w:p>
        </w:tc>
      </w:tr>
      <w:tr w:rsidR="002A0515" w:rsidRPr="004E457E" w:rsidTr="00A54BE4">
        <w:tc>
          <w:tcPr>
            <w:tcW w:w="567" w:type="dxa"/>
            <w:shd w:val="clear" w:color="auto" w:fill="auto"/>
          </w:tcPr>
          <w:p w:rsidR="002A0515" w:rsidRPr="004B43DE" w:rsidRDefault="002A0515" w:rsidP="00A54BE4">
            <w:pPr>
              <w:keepLines/>
              <w:tabs>
                <w:tab w:val="left" w:pos="150"/>
                <w:tab w:val="left" w:pos="397"/>
                <w:tab w:val="left" w:pos="794"/>
                <w:tab w:val="left" w:pos="1191"/>
              </w:tabs>
              <w:spacing w:before="40" w:after="40"/>
              <w:rPr>
                <w:rFonts w:cs="Segoe UI"/>
                <w:sz w:val="17"/>
                <w:szCs w:val="17"/>
              </w:rPr>
            </w:pPr>
            <w:r w:rsidRPr="004B43DE">
              <w:rPr>
                <w:rFonts w:cs="Segoe UI"/>
                <w:sz w:val="17"/>
                <w:szCs w:val="17"/>
              </w:rPr>
              <w:t>27</w:t>
            </w:r>
          </w:p>
        </w:tc>
        <w:tc>
          <w:tcPr>
            <w:tcW w:w="8647" w:type="dxa"/>
            <w:shd w:val="clear" w:color="auto" w:fill="auto"/>
          </w:tcPr>
          <w:p w:rsidR="002A0515" w:rsidRPr="004B43DE" w:rsidRDefault="002A0515" w:rsidP="00A54BE4">
            <w:pPr>
              <w:keepLines/>
              <w:tabs>
                <w:tab w:val="left" w:pos="150"/>
                <w:tab w:val="left" w:pos="397"/>
                <w:tab w:val="left" w:pos="794"/>
                <w:tab w:val="left" w:pos="1191"/>
              </w:tabs>
              <w:spacing w:before="40" w:after="40"/>
              <w:jc w:val="both"/>
              <w:rPr>
                <w:rFonts w:cs="Segoe UI"/>
                <w:sz w:val="17"/>
                <w:szCs w:val="17"/>
                <w:lang w:eastAsia="en-GB"/>
              </w:rPr>
            </w:pPr>
            <w:r w:rsidRPr="004B43DE">
              <w:rPr>
                <w:rFonts w:cs="Segoe UI"/>
                <w:i/>
                <w:sz w:val="17"/>
                <w:szCs w:val="17"/>
              </w:rPr>
              <w:t>Total</w:t>
            </w:r>
            <w:r w:rsidRPr="004B43DE">
              <w:rPr>
                <w:rFonts w:cs="Segoe UI"/>
                <w:sz w:val="17"/>
                <w:szCs w:val="17"/>
              </w:rPr>
              <w:t xml:space="preserve">: This is equal to the sum of values in rows </w:t>
            </w:r>
            <w:r w:rsidRPr="004B43DE">
              <w:rPr>
                <w:rFonts w:cs="Segoe UI"/>
                <w:sz w:val="17"/>
                <w:szCs w:val="17"/>
                <w:lang w:eastAsia="en-GB"/>
              </w:rPr>
              <w:t xml:space="preserve">1, 6, 10, 11, </w:t>
            </w:r>
            <w:r>
              <w:rPr>
                <w:rFonts w:cs="Segoe UI"/>
                <w:sz w:val="17"/>
                <w:szCs w:val="17"/>
                <w:lang w:eastAsia="en-GB"/>
              </w:rPr>
              <w:t>[</w:t>
            </w:r>
            <w:r w:rsidRPr="004B43DE">
              <w:rPr>
                <w:rFonts w:cs="Segoe UI"/>
                <w:sz w:val="17"/>
                <w:szCs w:val="17"/>
                <w:lang w:eastAsia="en-GB"/>
              </w:rPr>
              <w:t xml:space="preserve">12, 13, 14, </w:t>
            </w:r>
            <w:r>
              <w:rPr>
                <w:rFonts w:cs="Segoe UI"/>
                <w:sz w:val="17"/>
                <w:szCs w:val="17"/>
                <w:lang w:eastAsia="en-GB"/>
              </w:rPr>
              <w:t>14</w:t>
            </w:r>
            <w:proofErr w:type="gramStart"/>
            <w:r>
              <w:rPr>
                <w:rFonts w:cs="Segoe UI"/>
                <w:sz w:val="17"/>
                <w:szCs w:val="17"/>
                <w:lang w:eastAsia="en-GB"/>
              </w:rPr>
              <w:t>a]*</w:t>
            </w:r>
            <w:proofErr w:type="gramEnd"/>
            <w:r>
              <w:rPr>
                <w:rFonts w:cs="Segoe UI"/>
                <w:sz w:val="17"/>
                <w:szCs w:val="17"/>
                <w:lang w:eastAsia="en-GB"/>
              </w:rPr>
              <w:t xml:space="preserve">, </w:t>
            </w:r>
            <w:r w:rsidRPr="004B43DE">
              <w:rPr>
                <w:rFonts w:cs="Segoe UI"/>
                <w:sz w:val="17"/>
                <w:szCs w:val="17"/>
                <w:lang w:eastAsia="en-GB"/>
              </w:rPr>
              <w:t xml:space="preserve">15, 16, 20, </w:t>
            </w:r>
            <w:r>
              <w:rPr>
                <w:rFonts w:cs="Segoe UI"/>
                <w:sz w:val="17"/>
                <w:szCs w:val="17"/>
                <w:lang w:eastAsia="en-GB"/>
              </w:rPr>
              <w:t>[</w:t>
            </w:r>
            <w:r w:rsidRPr="004B43DE">
              <w:rPr>
                <w:rFonts w:cs="Segoe UI"/>
                <w:sz w:val="17"/>
                <w:szCs w:val="17"/>
                <w:lang w:eastAsia="en-GB"/>
              </w:rPr>
              <w:t>23</w:t>
            </w:r>
            <w:r>
              <w:rPr>
                <w:rFonts w:cs="Segoe UI"/>
                <w:sz w:val="17"/>
                <w:szCs w:val="17"/>
                <w:lang w:eastAsia="en-GB"/>
              </w:rPr>
              <w:t>]*</w:t>
            </w:r>
            <w:r w:rsidRPr="004B43DE">
              <w:rPr>
                <w:rFonts w:cs="Segoe UI"/>
                <w:sz w:val="17"/>
                <w:szCs w:val="17"/>
                <w:lang w:eastAsia="en-GB"/>
              </w:rPr>
              <w:t xml:space="preserve">, 24, </w:t>
            </w:r>
            <w:r>
              <w:rPr>
                <w:rFonts w:cs="Segoe UI"/>
                <w:sz w:val="17"/>
                <w:szCs w:val="17"/>
                <w:lang w:eastAsia="en-GB"/>
              </w:rPr>
              <w:t xml:space="preserve">24a, </w:t>
            </w:r>
            <w:r w:rsidRPr="004B43DE">
              <w:rPr>
                <w:rFonts w:cs="Segoe UI"/>
                <w:sz w:val="17"/>
                <w:szCs w:val="17"/>
                <w:lang w:eastAsia="en-GB"/>
              </w:rPr>
              <w:t>25 and 26, minus the deduction value in row 26a.</w:t>
            </w:r>
            <w:r>
              <w:rPr>
                <w:rFonts w:cs="Segoe UI"/>
                <w:sz w:val="17"/>
                <w:szCs w:val="17"/>
                <w:lang w:eastAsia="en-GB"/>
              </w:rPr>
              <w:t xml:space="preserve">  [ ]* only applicable when relevant policy frameworks take effect.</w:t>
            </w:r>
          </w:p>
        </w:tc>
      </w:tr>
    </w:tbl>
    <w:p w:rsidR="002A0515" w:rsidRDefault="002A0515" w:rsidP="002A0515">
      <w:pPr>
        <w:keepNext/>
        <w:keepLines/>
        <w:tabs>
          <w:tab w:val="left" w:pos="426"/>
        </w:tabs>
        <w:spacing w:after="360"/>
        <w:ind w:rightChars="-142" w:right="-284"/>
        <w:outlineLvl w:val="0"/>
        <w:sectPr w:rsidR="002A0515" w:rsidSect="00A54BE4">
          <w:footerReference w:type="default" r:id="rId9"/>
          <w:pgSz w:w="11906" w:h="16838"/>
          <w:pgMar w:top="1440" w:right="1800" w:bottom="1276" w:left="1800" w:header="851" w:footer="992" w:gutter="0"/>
          <w:cols w:space="425"/>
          <w:docGrid w:type="lines" w:linePitch="360"/>
        </w:sectPr>
      </w:pPr>
    </w:p>
    <w:p w:rsidR="002A0515" w:rsidRPr="001449B5" w:rsidRDefault="002A0515" w:rsidP="002A0515">
      <w:pPr>
        <w:keepNext/>
        <w:keepLines/>
        <w:tabs>
          <w:tab w:val="left" w:pos="567"/>
        </w:tabs>
        <w:spacing w:after="360"/>
        <w:ind w:leftChars="-283" w:left="-566" w:rightChars="-142" w:right="-284"/>
        <w:outlineLvl w:val="0"/>
        <w:rPr>
          <w:color w:val="C00000"/>
          <w:sz w:val="28"/>
          <w:szCs w:val="28"/>
        </w:rPr>
      </w:pPr>
      <w:r w:rsidRPr="001449B5">
        <w:rPr>
          <w:color w:val="C00000"/>
          <w:sz w:val="28"/>
          <w:szCs w:val="28"/>
        </w:rPr>
        <w:t>Part IIC:</w:t>
      </w:r>
      <w:r w:rsidRPr="001449B5">
        <w:rPr>
          <w:color w:val="C00000"/>
          <w:sz w:val="28"/>
          <w:szCs w:val="28"/>
        </w:rPr>
        <w:tab/>
        <w:t>Leverage ratio</w:t>
      </w:r>
    </w:p>
    <w:tbl>
      <w:tblPr>
        <w:tblW w:w="9242"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008"/>
        <w:gridCol w:w="7234"/>
      </w:tblGrid>
      <w:tr w:rsidR="002A0515" w:rsidRPr="00D97E28" w:rsidTr="00A54BE4">
        <w:tc>
          <w:tcPr>
            <w:tcW w:w="9242" w:type="dxa"/>
            <w:gridSpan w:val="2"/>
            <w:tcBorders>
              <w:top w:val="nil"/>
            </w:tcBorders>
          </w:tcPr>
          <w:p w:rsidR="002A0515" w:rsidRPr="00D97E28" w:rsidRDefault="002A0515" w:rsidP="00A54BE4">
            <w:pPr>
              <w:spacing w:before="40" w:after="40"/>
              <w:jc w:val="both"/>
              <w:rPr>
                <w:noProof/>
                <w:sz w:val="17"/>
                <w:lang w:eastAsia="en-GB"/>
              </w:rPr>
            </w:pPr>
            <w:r w:rsidRPr="00D97E28">
              <w:rPr>
                <w:sz w:val="22"/>
              </w:rPr>
              <w:t>Template LR1: Summary comparison of accounting assets against leverage ratio (“LR”) exposure measure</w:t>
            </w:r>
          </w:p>
        </w:tc>
      </w:tr>
      <w:tr w:rsidR="002A0515" w:rsidRPr="00D97E28" w:rsidTr="00A54BE4">
        <w:tc>
          <w:tcPr>
            <w:tcW w:w="2008" w:type="dxa"/>
          </w:tcPr>
          <w:p w:rsidR="002A0515" w:rsidRPr="00D97E28" w:rsidRDefault="002A0515" w:rsidP="00A54BE4">
            <w:pPr>
              <w:spacing w:before="40" w:after="40"/>
              <w:rPr>
                <w:noProof/>
                <w:sz w:val="17"/>
                <w:lang w:eastAsia="en-GB"/>
              </w:rPr>
            </w:pPr>
            <w:r w:rsidRPr="00D97E28">
              <w:rPr>
                <w:b/>
                <w:sz w:val="17"/>
                <w:lang w:eastAsia="en-GB"/>
              </w:rPr>
              <w:t>Purpose:</w:t>
            </w:r>
            <w:r w:rsidRPr="00D97E28">
              <w:rPr>
                <w:sz w:val="17"/>
                <w:lang w:eastAsia="en-GB"/>
              </w:rPr>
              <w:t xml:space="preserve"> </w:t>
            </w:r>
          </w:p>
        </w:tc>
        <w:tc>
          <w:tcPr>
            <w:tcW w:w="7234" w:type="dxa"/>
          </w:tcPr>
          <w:p w:rsidR="002A0515" w:rsidRPr="00D97E28" w:rsidRDefault="002A0515" w:rsidP="00A54BE4">
            <w:pPr>
              <w:spacing w:before="40" w:after="40"/>
              <w:jc w:val="both"/>
              <w:rPr>
                <w:sz w:val="17"/>
                <w:szCs w:val="17"/>
              </w:rPr>
            </w:pPr>
            <w:r w:rsidRPr="00D97E28">
              <w:rPr>
                <w:rFonts w:eastAsiaTheme="minorEastAsia"/>
                <w:sz w:val="17"/>
                <w:lang w:eastAsia="en-GB"/>
              </w:rPr>
              <w:t>To r</w:t>
            </w:r>
            <w:r w:rsidRPr="00D97E28">
              <w:rPr>
                <w:sz w:val="17"/>
                <w:szCs w:val="17"/>
              </w:rPr>
              <w:t>econcile the total assets in the published financial statements (if any) to the LR exposure measure.</w:t>
            </w:r>
          </w:p>
        </w:tc>
      </w:tr>
      <w:tr w:rsidR="002A0515" w:rsidRPr="00D97E28" w:rsidTr="00A54BE4">
        <w:tc>
          <w:tcPr>
            <w:tcW w:w="2008" w:type="dxa"/>
          </w:tcPr>
          <w:p w:rsidR="002A0515" w:rsidRPr="00D97E28" w:rsidRDefault="002A0515" w:rsidP="00A54BE4">
            <w:pPr>
              <w:spacing w:before="40" w:after="40"/>
              <w:rPr>
                <w:b/>
                <w:sz w:val="17"/>
                <w:lang w:eastAsia="en-GB"/>
              </w:rPr>
            </w:pPr>
            <w:r w:rsidRPr="00D97E28">
              <w:rPr>
                <w:b/>
                <w:sz w:val="17"/>
                <w:lang w:eastAsia="en-GB"/>
              </w:rPr>
              <w:t>Scope of application:</w:t>
            </w:r>
          </w:p>
        </w:tc>
        <w:tc>
          <w:tcPr>
            <w:tcW w:w="7234" w:type="dxa"/>
          </w:tcPr>
          <w:p w:rsidR="002A0515" w:rsidRPr="00D97E28" w:rsidRDefault="002A0515" w:rsidP="00A54BE4">
            <w:pPr>
              <w:spacing w:before="40" w:after="40"/>
              <w:jc w:val="both"/>
              <w:rPr>
                <w:sz w:val="17"/>
                <w:szCs w:val="17"/>
              </w:rPr>
            </w:pPr>
            <w:r w:rsidRPr="00D97E28">
              <w:rPr>
                <w:rFonts w:eastAsiaTheme="minorEastAsia"/>
                <w:sz w:val="17"/>
                <w:lang w:eastAsia="en-GB"/>
              </w:rPr>
              <w:t>The template is mandatory for all AIs incorporated in Hong Kong</w:t>
            </w:r>
            <w:r w:rsidRPr="00D97E28">
              <w:rPr>
                <w:sz w:val="17"/>
                <w:szCs w:val="17"/>
              </w:rPr>
              <w:t xml:space="preserve">.  The LR framework should follow the same scope of regulatory consolidation as the risk-based capital framework (i.e. solo basis, solo-consolidated basis, and/or consolidated basis as specified by the MA under BCR </w:t>
            </w:r>
            <w:r w:rsidRPr="00D97E28">
              <w:rPr>
                <w:rFonts w:cs="Segoe UI"/>
                <w:sz w:val="17"/>
                <w:szCs w:val="17"/>
              </w:rPr>
              <w:t>§</w:t>
            </w:r>
            <w:r w:rsidRPr="00D97E28">
              <w:rPr>
                <w:sz w:val="17"/>
                <w:szCs w:val="17"/>
              </w:rPr>
              <w:t>3C).</w:t>
            </w:r>
          </w:p>
        </w:tc>
      </w:tr>
      <w:tr w:rsidR="002A0515" w:rsidRPr="00D97E28" w:rsidTr="00A54BE4">
        <w:tc>
          <w:tcPr>
            <w:tcW w:w="2008" w:type="dxa"/>
          </w:tcPr>
          <w:p w:rsidR="002A0515" w:rsidRPr="00D97E28" w:rsidRDefault="002A0515" w:rsidP="00A54BE4">
            <w:pPr>
              <w:spacing w:before="40" w:after="40"/>
              <w:rPr>
                <w:b/>
                <w:sz w:val="17"/>
                <w:lang w:eastAsia="en-GB"/>
              </w:rPr>
            </w:pPr>
            <w:r w:rsidRPr="00D97E28">
              <w:rPr>
                <w:b/>
                <w:sz w:val="17"/>
                <w:lang w:eastAsia="en-GB"/>
              </w:rPr>
              <w:t>Content:</w:t>
            </w:r>
          </w:p>
        </w:tc>
        <w:tc>
          <w:tcPr>
            <w:tcW w:w="7234" w:type="dxa"/>
          </w:tcPr>
          <w:p w:rsidR="002A0515" w:rsidRPr="00D97E28" w:rsidRDefault="002A0515" w:rsidP="00A54BE4">
            <w:pPr>
              <w:spacing w:before="40" w:after="40"/>
              <w:jc w:val="both"/>
              <w:rPr>
                <w:sz w:val="17"/>
                <w:szCs w:val="17"/>
              </w:rPr>
            </w:pPr>
            <w:r w:rsidRPr="00D97E28">
              <w:rPr>
                <w:sz w:val="17"/>
                <w:szCs w:val="17"/>
              </w:rPr>
              <w:t xml:space="preserve">Quantitative information.  Where an AI has a reporting date for disclosure (e.g. </w:t>
            </w:r>
            <w:proofErr w:type="gramStart"/>
            <w:r w:rsidRPr="00D97E28">
              <w:rPr>
                <w:sz w:val="17"/>
                <w:szCs w:val="17"/>
              </w:rPr>
              <w:t>end</w:t>
            </w:r>
            <w:proofErr w:type="gramEnd"/>
            <w:r w:rsidRPr="00D97E28">
              <w:rPr>
                <w:sz w:val="17"/>
                <w:szCs w:val="17"/>
              </w:rPr>
              <w:t>-April, end-October) that does not fall on the same position date for the Return of Leverage Ratio (MA(BS)27) (i.e. end-March, end-June, end-September, end-December), the AI should disclose this template based on its own reporting date.  In such circumstance, the calculation basis of values disclosed in this template should, however, follow the same calculation basis used for the return.</w:t>
            </w:r>
          </w:p>
        </w:tc>
      </w:tr>
      <w:tr w:rsidR="002A0515" w:rsidRPr="00D97E28" w:rsidTr="00A54BE4">
        <w:tc>
          <w:tcPr>
            <w:tcW w:w="2008" w:type="dxa"/>
          </w:tcPr>
          <w:p w:rsidR="002A0515" w:rsidRPr="00D97E28" w:rsidRDefault="002A0515" w:rsidP="00A54BE4">
            <w:pPr>
              <w:spacing w:before="40" w:after="40"/>
              <w:rPr>
                <w:sz w:val="17"/>
                <w:lang w:eastAsia="en-GB"/>
              </w:rPr>
            </w:pPr>
            <w:r w:rsidRPr="00D97E28">
              <w:rPr>
                <w:b/>
                <w:sz w:val="17"/>
                <w:lang w:eastAsia="en-GB"/>
              </w:rPr>
              <w:t>Frequency:</w:t>
            </w:r>
          </w:p>
        </w:tc>
        <w:tc>
          <w:tcPr>
            <w:tcW w:w="7234" w:type="dxa"/>
          </w:tcPr>
          <w:p w:rsidR="002A0515" w:rsidRPr="00D97E28" w:rsidRDefault="002A0515" w:rsidP="00A54BE4">
            <w:pPr>
              <w:pStyle w:val="TableText"/>
              <w:jc w:val="both"/>
              <w:rPr>
                <w:szCs w:val="17"/>
              </w:rPr>
            </w:pPr>
            <w:r w:rsidRPr="00D97E28">
              <w:rPr>
                <w:szCs w:val="17"/>
              </w:rPr>
              <w:t>Semi-annually.</w:t>
            </w:r>
          </w:p>
        </w:tc>
      </w:tr>
      <w:tr w:rsidR="002A0515" w:rsidRPr="00D97E28" w:rsidTr="00A54BE4">
        <w:tc>
          <w:tcPr>
            <w:tcW w:w="2008" w:type="dxa"/>
          </w:tcPr>
          <w:p w:rsidR="002A0515" w:rsidRPr="00D97E28" w:rsidRDefault="002A0515" w:rsidP="00A54BE4">
            <w:pPr>
              <w:spacing w:before="40" w:after="40"/>
              <w:rPr>
                <w:sz w:val="17"/>
                <w:lang w:eastAsia="en-GB"/>
              </w:rPr>
            </w:pPr>
            <w:r w:rsidRPr="00D97E28">
              <w:rPr>
                <w:b/>
                <w:sz w:val="17"/>
                <w:lang w:eastAsia="en-GB"/>
              </w:rPr>
              <w:t>Format:</w:t>
            </w:r>
          </w:p>
        </w:tc>
        <w:tc>
          <w:tcPr>
            <w:tcW w:w="7234" w:type="dxa"/>
          </w:tcPr>
          <w:p w:rsidR="002A0515" w:rsidRPr="00D97E28" w:rsidRDefault="002A0515" w:rsidP="00A54BE4">
            <w:pPr>
              <w:pStyle w:val="TableText"/>
              <w:jc w:val="both"/>
              <w:rPr>
                <w:lang w:eastAsia="en-GB"/>
              </w:rPr>
            </w:pPr>
            <w:r w:rsidRPr="00D97E28">
              <w:rPr>
                <w:lang w:eastAsia="en-GB"/>
              </w:rPr>
              <w:t>Fixed.</w:t>
            </w:r>
          </w:p>
        </w:tc>
      </w:tr>
      <w:tr w:rsidR="002A0515" w:rsidRPr="00D97E28" w:rsidTr="00A54BE4">
        <w:tc>
          <w:tcPr>
            <w:tcW w:w="2008" w:type="dxa"/>
          </w:tcPr>
          <w:p w:rsidR="002A0515" w:rsidRPr="00D97E28" w:rsidRDefault="002A0515" w:rsidP="00A54BE4">
            <w:pPr>
              <w:spacing w:before="40" w:after="40"/>
              <w:rPr>
                <w:b/>
                <w:sz w:val="17"/>
                <w:lang w:eastAsia="en-GB"/>
              </w:rPr>
            </w:pPr>
            <w:r w:rsidRPr="00D97E28">
              <w:rPr>
                <w:rFonts w:eastAsiaTheme="minorEastAsia"/>
                <w:b/>
                <w:sz w:val="17"/>
                <w:szCs w:val="17"/>
                <w:lang w:eastAsia="en-GB"/>
              </w:rPr>
              <w:t>Accompanying narrative</w:t>
            </w:r>
            <w:r w:rsidRPr="00D97E28">
              <w:rPr>
                <w:rFonts w:eastAsiaTheme="minorEastAsia"/>
                <w:sz w:val="17"/>
                <w:szCs w:val="17"/>
                <w:lang w:eastAsia="en-GB"/>
              </w:rPr>
              <w:t>:</w:t>
            </w:r>
          </w:p>
        </w:tc>
        <w:tc>
          <w:tcPr>
            <w:tcW w:w="7234" w:type="dxa"/>
          </w:tcPr>
          <w:p w:rsidR="002A0515" w:rsidRPr="00D97E28" w:rsidRDefault="002A0515" w:rsidP="00A54BE4">
            <w:pPr>
              <w:pStyle w:val="TableText"/>
              <w:jc w:val="both"/>
              <w:rPr>
                <w:szCs w:val="17"/>
              </w:rPr>
            </w:pPr>
            <w:r w:rsidRPr="00D97E28">
              <w:rPr>
                <w:szCs w:val="17"/>
              </w:rPr>
              <w:t>An AI should disclose and detail the source of material differences between its total balance sheet assets (net of on-balance sheet derivative exposures and securities financing transaction (“SFT”) exposures) as reported in its financial statements and its on-balance sheet exposures as set out in row 1 of Template LR2.</w:t>
            </w:r>
            <w:r w:rsidRPr="00D97E28" w:rsidDel="00652489">
              <w:rPr>
                <w:szCs w:val="17"/>
              </w:rPr>
              <w:t xml:space="preserve"> </w:t>
            </w:r>
          </w:p>
        </w:tc>
      </w:tr>
      <w:tr w:rsidR="002A0515" w:rsidRPr="00D97E28" w:rsidTr="00A54BE4">
        <w:tc>
          <w:tcPr>
            <w:tcW w:w="2008" w:type="dxa"/>
          </w:tcPr>
          <w:p w:rsidR="002A0515" w:rsidRPr="00D97E28" w:rsidRDefault="002A0515" w:rsidP="00A54BE4">
            <w:pPr>
              <w:spacing w:before="40" w:after="40"/>
              <w:rPr>
                <w:rFonts w:eastAsiaTheme="minorEastAsia"/>
                <w:b/>
                <w:sz w:val="17"/>
                <w:szCs w:val="17"/>
                <w:lang w:eastAsia="en-GB"/>
              </w:rPr>
            </w:pPr>
            <w:r w:rsidRPr="00D97E28">
              <w:rPr>
                <w:rFonts w:eastAsiaTheme="minorEastAsia"/>
                <w:b/>
                <w:sz w:val="17"/>
                <w:szCs w:val="17"/>
                <w:lang w:eastAsia="en-GB"/>
              </w:rPr>
              <w:t>Corresponding BDR section:</w:t>
            </w:r>
          </w:p>
        </w:tc>
        <w:tc>
          <w:tcPr>
            <w:tcW w:w="7234" w:type="dxa"/>
          </w:tcPr>
          <w:p w:rsidR="002A0515" w:rsidRPr="00D97E28" w:rsidRDefault="002A0515" w:rsidP="00A54BE4">
            <w:pPr>
              <w:pStyle w:val="TableText"/>
              <w:jc w:val="both"/>
              <w:rPr>
                <w:szCs w:val="17"/>
                <w:lang w:eastAsia="en-GB"/>
              </w:rPr>
            </w:pPr>
            <w:r w:rsidRPr="00D97E28">
              <w:rPr>
                <w:szCs w:val="17"/>
                <w:lang w:eastAsia="en-GB"/>
              </w:rPr>
              <w:t>16FH</w:t>
            </w:r>
          </w:p>
        </w:tc>
      </w:tr>
    </w:tbl>
    <w:p w:rsidR="002A0515" w:rsidRPr="00D97E28" w:rsidRDefault="002A0515" w:rsidP="002A0515">
      <w:pPr>
        <w:spacing w:before="120" w:after="120"/>
        <w:rPr>
          <w:sz w:val="22"/>
        </w:rPr>
      </w:pPr>
    </w:p>
    <w:tbl>
      <w:tblPr>
        <w:tblW w:w="9214" w:type="dxa"/>
        <w:tblInd w:w="-459" w:type="dxa"/>
        <w:tblBorders>
          <w:top w:val="single" w:sz="4" w:space="0" w:color="BCBDBC"/>
          <w:left w:val="single" w:sz="4" w:space="0" w:color="BCBDBC"/>
          <w:bottom w:val="single" w:sz="4" w:space="0" w:color="BCBDBC"/>
          <w:right w:val="single" w:sz="4" w:space="0" w:color="BCBDBC"/>
          <w:insideH w:val="single" w:sz="4" w:space="0" w:color="BCBDBC"/>
          <w:insideV w:val="single" w:sz="4" w:space="0" w:color="BCBDBC"/>
        </w:tblBorders>
        <w:tblLayout w:type="fixed"/>
        <w:tblLook w:val="00A0" w:firstRow="1" w:lastRow="0" w:firstColumn="1" w:lastColumn="0" w:noHBand="0" w:noVBand="0"/>
      </w:tblPr>
      <w:tblGrid>
        <w:gridCol w:w="571"/>
        <w:gridCol w:w="7084"/>
        <w:gridCol w:w="1559"/>
      </w:tblGrid>
      <w:tr w:rsidR="002A0515" w:rsidRPr="00D97E28" w:rsidTr="00A54BE4">
        <w:trPr>
          <w:cantSplit/>
          <w:trHeight w:val="249"/>
          <w:tblHeader/>
        </w:trPr>
        <w:tc>
          <w:tcPr>
            <w:tcW w:w="571" w:type="dxa"/>
            <w:tcBorders>
              <w:top w:val="nil"/>
              <w:left w:val="nil"/>
              <w:bottom w:val="single" w:sz="4" w:space="0" w:color="auto"/>
              <w:right w:val="nil"/>
            </w:tcBorders>
          </w:tcPr>
          <w:p w:rsidR="002A0515" w:rsidRPr="00D97E28" w:rsidRDefault="002A0515" w:rsidP="00A54BE4">
            <w:pPr>
              <w:pStyle w:val="TableText"/>
              <w:snapToGrid w:val="0"/>
              <w:rPr>
                <w:lang w:eastAsia="en-GB"/>
              </w:rPr>
            </w:pPr>
          </w:p>
        </w:tc>
        <w:tc>
          <w:tcPr>
            <w:tcW w:w="7084" w:type="dxa"/>
            <w:tcBorders>
              <w:top w:val="nil"/>
              <w:left w:val="nil"/>
              <w:bottom w:val="single" w:sz="4" w:space="0" w:color="auto"/>
              <w:right w:val="single" w:sz="4" w:space="0" w:color="auto"/>
            </w:tcBorders>
            <w:vAlign w:val="center"/>
          </w:tcPr>
          <w:p w:rsidR="002A0515" w:rsidRPr="00D97E28" w:rsidRDefault="002A0515" w:rsidP="00A54BE4">
            <w:pPr>
              <w:pStyle w:val="TableText"/>
              <w:snapToGrid w:val="0"/>
              <w:rPr>
                <w:lang w:eastAsia="en-GB"/>
              </w:rPr>
            </w:pPr>
          </w:p>
        </w:tc>
        <w:tc>
          <w:tcPr>
            <w:tcW w:w="1559" w:type="dxa"/>
            <w:tcBorders>
              <w:top w:val="single" w:sz="4" w:space="0" w:color="auto"/>
              <w:left w:val="single" w:sz="4" w:space="0" w:color="auto"/>
              <w:bottom w:val="single" w:sz="4" w:space="0" w:color="auto"/>
              <w:right w:val="single" w:sz="4" w:space="0" w:color="auto"/>
            </w:tcBorders>
            <w:vAlign w:val="center"/>
          </w:tcPr>
          <w:p w:rsidR="002A0515" w:rsidRPr="00D97E28" w:rsidRDefault="002A0515" w:rsidP="00A54BE4">
            <w:pPr>
              <w:pStyle w:val="TableText"/>
              <w:snapToGrid w:val="0"/>
              <w:jc w:val="center"/>
              <w:rPr>
                <w:bCs/>
                <w:szCs w:val="17"/>
                <w:lang w:eastAsia="it-IT"/>
              </w:rPr>
            </w:pPr>
            <w:r w:rsidRPr="00D97E28">
              <w:rPr>
                <w:bCs/>
                <w:szCs w:val="17"/>
                <w:lang w:eastAsia="it-IT"/>
              </w:rPr>
              <w:t>(a)</w:t>
            </w:r>
          </w:p>
        </w:tc>
      </w:tr>
      <w:tr w:rsidR="002A0515" w:rsidRPr="00D97E28" w:rsidTr="00A54BE4">
        <w:trPr>
          <w:cantSplit/>
          <w:tblHeader/>
        </w:trPr>
        <w:tc>
          <w:tcPr>
            <w:tcW w:w="571" w:type="dxa"/>
            <w:tcBorders>
              <w:top w:val="single" w:sz="4" w:space="0" w:color="auto"/>
              <w:left w:val="nil"/>
              <w:bottom w:val="single" w:sz="4" w:space="0" w:color="auto"/>
              <w:right w:val="single" w:sz="4" w:space="0" w:color="auto"/>
            </w:tcBorders>
          </w:tcPr>
          <w:p w:rsidR="002A0515" w:rsidRPr="00D97E28" w:rsidRDefault="002A0515" w:rsidP="00A54BE4">
            <w:pPr>
              <w:pStyle w:val="TableText"/>
              <w:snapToGrid w:val="0"/>
              <w:rPr>
                <w:b/>
                <w:lang w:eastAsia="en-GB"/>
              </w:rPr>
            </w:pPr>
          </w:p>
        </w:tc>
        <w:tc>
          <w:tcPr>
            <w:tcW w:w="7084" w:type="dxa"/>
            <w:tcBorders>
              <w:top w:val="single" w:sz="4" w:space="0" w:color="auto"/>
              <w:left w:val="nil"/>
              <w:bottom w:val="single" w:sz="4" w:space="0" w:color="auto"/>
              <w:right w:val="single" w:sz="4" w:space="0" w:color="auto"/>
            </w:tcBorders>
          </w:tcPr>
          <w:p w:rsidR="002A0515" w:rsidRPr="00D97E28" w:rsidRDefault="002A0515" w:rsidP="00A54BE4">
            <w:pPr>
              <w:pStyle w:val="TableText"/>
              <w:snapToGrid w:val="0"/>
              <w:rPr>
                <w:b/>
                <w:szCs w:val="17"/>
                <w:lang w:val="en-US" w:eastAsia="en-GB"/>
              </w:rPr>
            </w:pPr>
            <w:r w:rsidRPr="00D97E28">
              <w:rPr>
                <w:b/>
                <w:szCs w:val="17"/>
                <w:lang w:val="en-US" w:eastAsia="en-GB"/>
              </w:rPr>
              <w:t>Item</w:t>
            </w:r>
          </w:p>
        </w:tc>
        <w:tc>
          <w:tcPr>
            <w:tcW w:w="1559" w:type="dxa"/>
            <w:tcBorders>
              <w:top w:val="single" w:sz="4" w:space="0" w:color="auto"/>
              <w:left w:val="single" w:sz="4" w:space="0" w:color="auto"/>
              <w:bottom w:val="single" w:sz="4" w:space="0" w:color="auto"/>
              <w:right w:val="single" w:sz="4" w:space="0" w:color="auto"/>
            </w:tcBorders>
          </w:tcPr>
          <w:p w:rsidR="002A0515" w:rsidRPr="00D97E28" w:rsidRDefault="002A0515" w:rsidP="00A54BE4">
            <w:pPr>
              <w:pStyle w:val="TableText"/>
              <w:snapToGrid w:val="0"/>
              <w:jc w:val="center"/>
              <w:rPr>
                <w:b/>
                <w:szCs w:val="17"/>
              </w:rPr>
            </w:pPr>
            <w:r w:rsidRPr="00D97E28">
              <w:rPr>
                <w:b/>
                <w:szCs w:val="17"/>
              </w:rPr>
              <w:t>Value under the LR framework</w:t>
            </w:r>
          </w:p>
          <w:p w:rsidR="002A0515" w:rsidRPr="00D97E28" w:rsidRDefault="002A0515" w:rsidP="00A54BE4">
            <w:pPr>
              <w:pStyle w:val="TableText"/>
              <w:snapToGrid w:val="0"/>
              <w:jc w:val="center"/>
              <w:rPr>
                <w:szCs w:val="17"/>
              </w:rPr>
            </w:pPr>
            <w:r w:rsidRPr="00D97E28">
              <w:rPr>
                <w:szCs w:val="17"/>
              </w:rPr>
              <w:t>(HK$ equivalent)</w:t>
            </w:r>
          </w:p>
        </w:tc>
      </w:tr>
      <w:tr w:rsidR="002A0515" w:rsidRPr="00D97E28" w:rsidTr="00BE3D4E">
        <w:trPr>
          <w:cantSplit/>
        </w:trPr>
        <w:tc>
          <w:tcPr>
            <w:tcW w:w="571" w:type="dxa"/>
            <w:tcBorders>
              <w:top w:val="single" w:sz="4" w:space="0" w:color="auto"/>
              <w:left w:val="nil"/>
              <w:bottom w:val="single" w:sz="4" w:space="0" w:color="D9D9D9" w:themeColor="background1" w:themeShade="D9"/>
              <w:right w:val="single" w:sz="4" w:space="0" w:color="auto"/>
            </w:tcBorders>
            <w:shd w:val="clear" w:color="auto" w:fill="auto"/>
          </w:tcPr>
          <w:p w:rsidR="002A0515" w:rsidRPr="00D97E28" w:rsidRDefault="002A0515" w:rsidP="002A0515">
            <w:pPr>
              <w:pStyle w:val="TableText"/>
              <w:numPr>
                <w:ilvl w:val="0"/>
                <w:numId w:val="88"/>
              </w:numPr>
              <w:snapToGrid w:val="0"/>
              <w:rPr>
                <w:lang w:eastAsia="en-GB"/>
              </w:rPr>
            </w:pPr>
          </w:p>
        </w:tc>
        <w:tc>
          <w:tcPr>
            <w:tcW w:w="7084" w:type="dxa"/>
            <w:tcBorders>
              <w:top w:val="single" w:sz="4" w:space="0" w:color="auto"/>
              <w:left w:val="single" w:sz="4" w:space="0" w:color="auto"/>
              <w:bottom w:val="single" w:sz="4" w:space="0" w:color="D9D9D9" w:themeColor="background1" w:themeShade="D9"/>
              <w:right w:val="single" w:sz="4" w:space="0" w:color="auto"/>
            </w:tcBorders>
            <w:shd w:val="clear" w:color="auto" w:fill="auto"/>
          </w:tcPr>
          <w:p w:rsidR="002A0515" w:rsidRPr="008D6C05" w:rsidRDefault="002A0515" w:rsidP="008D6C05">
            <w:pPr>
              <w:pStyle w:val="TableText"/>
              <w:snapToGrid w:val="0"/>
              <w:rPr>
                <w:lang w:eastAsia="en-GB"/>
              </w:rPr>
            </w:pPr>
            <w:r w:rsidRPr="00D97E28">
              <w:rPr>
                <w:szCs w:val="17"/>
                <w:lang w:eastAsia="en-GB"/>
              </w:rPr>
              <w:t>Total consolidated assets as per published financial statements</w:t>
            </w:r>
          </w:p>
        </w:tc>
        <w:tc>
          <w:tcPr>
            <w:tcW w:w="1559" w:type="dxa"/>
            <w:tcBorders>
              <w:top w:val="single" w:sz="4" w:space="0" w:color="auto"/>
              <w:left w:val="single" w:sz="4" w:space="0" w:color="auto"/>
              <w:bottom w:val="single" w:sz="4" w:space="0" w:color="D9D9D9" w:themeColor="background1" w:themeShade="D9"/>
              <w:right w:val="single" w:sz="4" w:space="0" w:color="auto"/>
            </w:tcBorders>
            <w:shd w:val="clear" w:color="auto" w:fill="auto"/>
            <w:vAlign w:val="center"/>
          </w:tcPr>
          <w:p w:rsidR="002A0515" w:rsidRPr="00D97E28" w:rsidRDefault="002A0515" w:rsidP="00A54BE4">
            <w:pPr>
              <w:pStyle w:val="TableText"/>
              <w:snapToGrid w:val="0"/>
              <w:rPr>
                <w:szCs w:val="17"/>
                <w:lang w:eastAsia="en-GB"/>
              </w:rPr>
            </w:pPr>
          </w:p>
        </w:tc>
      </w:tr>
      <w:tr w:rsidR="002A0515" w:rsidRPr="00D97E28" w:rsidTr="00A54BE4">
        <w:trPr>
          <w:cantSplit/>
        </w:trPr>
        <w:tc>
          <w:tcPr>
            <w:tcW w:w="571" w:type="dxa"/>
            <w:tcBorders>
              <w:top w:val="single" w:sz="4" w:space="0" w:color="D9D9D9" w:themeColor="background1" w:themeShade="D9"/>
              <w:left w:val="nil"/>
              <w:bottom w:val="single" w:sz="4" w:space="0" w:color="D9D9D9" w:themeColor="background1" w:themeShade="D9"/>
              <w:right w:val="single" w:sz="4" w:space="0" w:color="auto"/>
            </w:tcBorders>
            <w:shd w:val="clear" w:color="auto" w:fill="auto"/>
          </w:tcPr>
          <w:p w:rsidR="002A0515" w:rsidRPr="00D97E28" w:rsidRDefault="002A0515" w:rsidP="002A0515">
            <w:pPr>
              <w:pStyle w:val="TableText"/>
              <w:numPr>
                <w:ilvl w:val="0"/>
                <w:numId w:val="88"/>
              </w:numPr>
              <w:snapToGrid w:val="0"/>
              <w:rPr>
                <w:lang w:eastAsia="en-GB"/>
              </w:rPr>
            </w:pPr>
          </w:p>
        </w:tc>
        <w:tc>
          <w:tcPr>
            <w:tcW w:w="7084"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2A0515" w:rsidRPr="008D6C05" w:rsidRDefault="002A0515" w:rsidP="008D6C05">
            <w:pPr>
              <w:pStyle w:val="TableText"/>
              <w:snapToGrid w:val="0"/>
              <w:rPr>
                <w:szCs w:val="17"/>
                <w:lang w:eastAsia="en-GB"/>
              </w:rPr>
            </w:pPr>
            <w:r w:rsidRPr="00D97E28">
              <w:rPr>
                <w:szCs w:val="17"/>
                <w:lang w:eastAsia="en-GB"/>
              </w:rPr>
              <w:t>Adjustment for investments in banking, financial, insurance or commercial entities that are consolidated for accounting purposes but outside the scope of regulatory consolidation</w:t>
            </w:r>
          </w:p>
        </w:tc>
        <w:tc>
          <w:tcPr>
            <w:tcW w:w="1559"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vAlign w:val="center"/>
          </w:tcPr>
          <w:p w:rsidR="002A0515" w:rsidRPr="00D97E28" w:rsidRDefault="002A0515" w:rsidP="00A54BE4">
            <w:pPr>
              <w:pStyle w:val="TableText"/>
              <w:snapToGrid w:val="0"/>
              <w:rPr>
                <w:szCs w:val="17"/>
                <w:lang w:eastAsia="en-GB"/>
              </w:rPr>
            </w:pPr>
          </w:p>
        </w:tc>
      </w:tr>
      <w:tr w:rsidR="002A0515" w:rsidRPr="00D97E28" w:rsidTr="00A54BE4">
        <w:trPr>
          <w:cantSplit/>
        </w:trPr>
        <w:tc>
          <w:tcPr>
            <w:tcW w:w="571" w:type="dxa"/>
            <w:tcBorders>
              <w:top w:val="single" w:sz="4" w:space="0" w:color="D9D9D9" w:themeColor="background1" w:themeShade="D9"/>
              <w:left w:val="nil"/>
              <w:bottom w:val="single" w:sz="4" w:space="0" w:color="D9D9D9" w:themeColor="background1" w:themeShade="D9"/>
              <w:right w:val="single" w:sz="4" w:space="0" w:color="auto"/>
            </w:tcBorders>
            <w:shd w:val="clear" w:color="auto" w:fill="auto"/>
          </w:tcPr>
          <w:p w:rsidR="002A0515" w:rsidRPr="00D97E28" w:rsidRDefault="002A0515" w:rsidP="00AC6DA4">
            <w:pPr>
              <w:pStyle w:val="TableText"/>
              <w:snapToGrid w:val="0"/>
              <w:rPr>
                <w:lang w:eastAsia="en-GB"/>
              </w:rPr>
            </w:pPr>
            <w:r>
              <w:rPr>
                <w:lang w:eastAsia="en-GB"/>
              </w:rPr>
              <w:t>2a</w:t>
            </w:r>
          </w:p>
        </w:tc>
        <w:tc>
          <w:tcPr>
            <w:tcW w:w="7084"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2A0515" w:rsidRPr="008D6C05" w:rsidRDefault="002A0515" w:rsidP="008D6C05">
            <w:pPr>
              <w:pStyle w:val="TableText"/>
              <w:snapToGrid w:val="0"/>
              <w:rPr>
                <w:lang w:eastAsia="en-GB"/>
              </w:rPr>
            </w:pPr>
            <w:r>
              <w:t>Adjustment for securitised exposures that meet the operational requirements for the recognition of risk transference</w:t>
            </w:r>
          </w:p>
        </w:tc>
        <w:tc>
          <w:tcPr>
            <w:tcW w:w="1559"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2A0515" w:rsidRPr="00D97E28" w:rsidRDefault="002A0515" w:rsidP="00A54BE4">
            <w:pPr>
              <w:pStyle w:val="TableText"/>
              <w:snapToGrid w:val="0"/>
              <w:rPr>
                <w:szCs w:val="17"/>
                <w:lang w:eastAsia="en-GB"/>
              </w:rPr>
            </w:pPr>
          </w:p>
        </w:tc>
      </w:tr>
      <w:tr w:rsidR="002A0515" w:rsidRPr="00D97E28" w:rsidTr="00A54BE4">
        <w:trPr>
          <w:cantSplit/>
        </w:trPr>
        <w:tc>
          <w:tcPr>
            <w:tcW w:w="571" w:type="dxa"/>
            <w:tcBorders>
              <w:top w:val="single" w:sz="4" w:space="0" w:color="D9D9D9" w:themeColor="background1" w:themeShade="D9"/>
              <w:left w:val="nil"/>
              <w:bottom w:val="single" w:sz="4" w:space="0" w:color="D9D9D9" w:themeColor="background1" w:themeShade="D9"/>
              <w:right w:val="single" w:sz="4" w:space="0" w:color="auto"/>
            </w:tcBorders>
            <w:shd w:val="clear" w:color="auto" w:fill="auto"/>
          </w:tcPr>
          <w:p w:rsidR="002A0515" w:rsidRPr="00D97E28" w:rsidRDefault="002A0515" w:rsidP="002A0515">
            <w:pPr>
              <w:pStyle w:val="TableText"/>
              <w:numPr>
                <w:ilvl w:val="0"/>
                <w:numId w:val="88"/>
              </w:numPr>
              <w:snapToGrid w:val="0"/>
              <w:rPr>
                <w:lang w:eastAsia="en-GB"/>
              </w:rPr>
            </w:pPr>
          </w:p>
        </w:tc>
        <w:tc>
          <w:tcPr>
            <w:tcW w:w="7084"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2A0515" w:rsidRPr="008D6C05" w:rsidRDefault="002A0515" w:rsidP="008D6C05">
            <w:pPr>
              <w:pStyle w:val="TableText"/>
              <w:snapToGrid w:val="0"/>
              <w:rPr>
                <w:lang w:eastAsia="en-GB"/>
              </w:rPr>
            </w:pPr>
            <w:r w:rsidRPr="00D97E28">
              <w:rPr>
                <w:szCs w:val="17"/>
                <w:lang w:eastAsia="en-GB"/>
              </w:rPr>
              <w:t>Adjustment for fiduciary assets recognised on the balance sheet pursuant to the applicable accounting standard but excluded from the LR exposure measure</w:t>
            </w:r>
          </w:p>
        </w:tc>
        <w:tc>
          <w:tcPr>
            <w:tcW w:w="1559"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2A0515" w:rsidRPr="00D97E28" w:rsidRDefault="002A0515" w:rsidP="00A54BE4">
            <w:pPr>
              <w:pStyle w:val="TableText"/>
              <w:snapToGrid w:val="0"/>
              <w:rPr>
                <w:szCs w:val="17"/>
                <w:lang w:eastAsia="en-GB"/>
              </w:rPr>
            </w:pPr>
          </w:p>
        </w:tc>
      </w:tr>
      <w:tr w:rsidR="002A0515" w:rsidRPr="00D97E28" w:rsidTr="00A54BE4">
        <w:trPr>
          <w:cantSplit/>
        </w:trPr>
        <w:tc>
          <w:tcPr>
            <w:tcW w:w="571" w:type="dxa"/>
            <w:tcBorders>
              <w:top w:val="single" w:sz="4" w:space="0" w:color="D9D9D9" w:themeColor="background1" w:themeShade="D9"/>
              <w:left w:val="nil"/>
              <w:bottom w:val="single" w:sz="4" w:space="0" w:color="D9D9D9" w:themeColor="background1" w:themeShade="D9"/>
              <w:right w:val="single" w:sz="4" w:space="0" w:color="auto"/>
            </w:tcBorders>
            <w:shd w:val="clear" w:color="auto" w:fill="auto"/>
          </w:tcPr>
          <w:p w:rsidR="002A0515" w:rsidRPr="00D97E28" w:rsidRDefault="002A0515" w:rsidP="00AC6DA4">
            <w:pPr>
              <w:pStyle w:val="TableText"/>
              <w:snapToGrid w:val="0"/>
              <w:rPr>
                <w:lang w:eastAsia="en-GB"/>
              </w:rPr>
            </w:pPr>
            <w:r>
              <w:rPr>
                <w:lang w:eastAsia="en-GB"/>
              </w:rPr>
              <w:t>3a</w:t>
            </w:r>
          </w:p>
        </w:tc>
        <w:tc>
          <w:tcPr>
            <w:tcW w:w="7084"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2A0515" w:rsidRPr="008D6C05" w:rsidRDefault="002A0515" w:rsidP="008D6C05">
            <w:pPr>
              <w:pStyle w:val="TableText"/>
              <w:snapToGrid w:val="0"/>
              <w:rPr>
                <w:lang w:eastAsia="en-GB"/>
              </w:rPr>
            </w:pPr>
            <w:r w:rsidRPr="00AC6DA4">
              <w:rPr>
                <w:rFonts w:eastAsia="SimSun" w:cs="Segoe UI"/>
                <w:kern w:val="2"/>
                <w:szCs w:val="17"/>
                <w:lang w:eastAsia="zh-CN"/>
              </w:rPr>
              <w:t>Adjustments for eligible cash pooling transactions</w:t>
            </w:r>
          </w:p>
        </w:tc>
        <w:tc>
          <w:tcPr>
            <w:tcW w:w="1559"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2A0515" w:rsidRPr="00D97E28" w:rsidRDefault="002A0515" w:rsidP="00A54BE4">
            <w:pPr>
              <w:pStyle w:val="TableText"/>
              <w:snapToGrid w:val="0"/>
              <w:rPr>
                <w:szCs w:val="17"/>
                <w:lang w:eastAsia="en-GB"/>
              </w:rPr>
            </w:pPr>
          </w:p>
        </w:tc>
      </w:tr>
      <w:tr w:rsidR="002A0515" w:rsidRPr="00D97E28" w:rsidTr="00A54BE4">
        <w:trPr>
          <w:cantSplit/>
        </w:trPr>
        <w:tc>
          <w:tcPr>
            <w:tcW w:w="571" w:type="dxa"/>
            <w:tcBorders>
              <w:top w:val="single" w:sz="4" w:space="0" w:color="D9D9D9" w:themeColor="background1" w:themeShade="D9"/>
              <w:left w:val="nil"/>
              <w:bottom w:val="single" w:sz="4" w:space="0" w:color="D9D9D9" w:themeColor="background1" w:themeShade="D9"/>
              <w:right w:val="single" w:sz="4" w:space="0" w:color="auto"/>
            </w:tcBorders>
            <w:shd w:val="clear" w:color="auto" w:fill="auto"/>
          </w:tcPr>
          <w:p w:rsidR="002A0515" w:rsidRPr="00D97E28" w:rsidRDefault="002A0515" w:rsidP="002A0515">
            <w:pPr>
              <w:pStyle w:val="TableText"/>
              <w:numPr>
                <w:ilvl w:val="0"/>
                <w:numId w:val="88"/>
              </w:numPr>
              <w:snapToGrid w:val="0"/>
              <w:rPr>
                <w:lang w:eastAsia="en-GB"/>
              </w:rPr>
            </w:pPr>
          </w:p>
        </w:tc>
        <w:tc>
          <w:tcPr>
            <w:tcW w:w="7084"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2A0515" w:rsidRPr="00D97E28" w:rsidRDefault="002A0515" w:rsidP="00A54BE4">
            <w:pPr>
              <w:pStyle w:val="TableText"/>
              <w:snapToGrid w:val="0"/>
              <w:rPr>
                <w:szCs w:val="17"/>
                <w:lang w:eastAsia="en-GB"/>
              </w:rPr>
            </w:pPr>
            <w:r w:rsidRPr="00D97E28">
              <w:rPr>
                <w:szCs w:val="17"/>
                <w:lang w:eastAsia="en-GB"/>
              </w:rPr>
              <w:t>Adjustments for derivative contracts</w:t>
            </w:r>
          </w:p>
        </w:tc>
        <w:tc>
          <w:tcPr>
            <w:tcW w:w="1559"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2A0515" w:rsidRPr="00D97E28" w:rsidRDefault="002A0515" w:rsidP="00A54BE4">
            <w:pPr>
              <w:pStyle w:val="TableText"/>
              <w:snapToGrid w:val="0"/>
              <w:rPr>
                <w:szCs w:val="17"/>
                <w:lang w:eastAsia="en-GB"/>
              </w:rPr>
            </w:pPr>
          </w:p>
        </w:tc>
      </w:tr>
      <w:tr w:rsidR="002A0515" w:rsidRPr="00D97E28" w:rsidTr="00A54BE4">
        <w:trPr>
          <w:cantSplit/>
        </w:trPr>
        <w:tc>
          <w:tcPr>
            <w:tcW w:w="571" w:type="dxa"/>
            <w:tcBorders>
              <w:top w:val="single" w:sz="4" w:space="0" w:color="D9D9D9" w:themeColor="background1" w:themeShade="D9"/>
              <w:left w:val="nil"/>
              <w:bottom w:val="single" w:sz="4" w:space="0" w:color="D9D9D9" w:themeColor="background1" w:themeShade="D9"/>
              <w:right w:val="single" w:sz="4" w:space="0" w:color="auto"/>
            </w:tcBorders>
            <w:shd w:val="clear" w:color="auto" w:fill="auto"/>
          </w:tcPr>
          <w:p w:rsidR="002A0515" w:rsidRPr="00D97E28" w:rsidRDefault="002A0515" w:rsidP="002A0515">
            <w:pPr>
              <w:pStyle w:val="TableText"/>
              <w:numPr>
                <w:ilvl w:val="0"/>
                <w:numId w:val="88"/>
              </w:numPr>
              <w:snapToGrid w:val="0"/>
              <w:rPr>
                <w:lang w:eastAsia="en-GB"/>
              </w:rPr>
            </w:pPr>
          </w:p>
        </w:tc>
        <w:tc>
          <w:tcPr>
            <w:tcW w:w="7084"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2A0515" w:rsidRPr="00D97E28" w:rsidRDefault="002A0515" w:rsidP="00A54BE4">
            <w:pPr>
              <w:pStyle w:val="TableText"/>
              <w:snapToGrid w:val="0"/>
              <w:rPr>
                <w:szCs w:val="17"/>
                <w:lang w:eastAsia="en-GB"/>
              </w:rPr>
            </w:pPr>
            <w:r w:rsidRPr="00D97E28">
              <w:rPr>
                <w:szCs w:val="17"/>
                <w:lang w:eastAsia="en-GB"/>
              </w:rPr>
              <w:t>Adjustment for SFTs (i.e. repos and similar secured lending)</w:t>
            </w:r>
          </w:p>
        </w:tc>
        <w:tc>
          <w:tcPr>
            <w:tcW w:w="1559"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2A0515" w:rsidRPr="00D97E28" w:rsidRDefault="002A0515" w:rsidP="00A54BE4">
            <w:pPr>
              <w:pStyle w:val="TableText"/>
              <w:snapToGrid w:val="0"/>
              <w:rPr>
                <w:szCs w:val="17"/>
                <w:lang w:eastAsia="en-GB"/>
              </w:rPr>
            </w:pPr>
          </w:p>
        </w:tc>
      </w:tr>
      <w:tr w:rsidR="002A0515" w:rsidRPr="00D97E28" w:rsidTr="00A54BE4">
        <w:trPr>
          <w:cantSplit/>
        </w:trPr>
        <w:tc>
          <w:tcPr>
            <w:tcW w:w="571" w:type="dxa"/>
            <w:tcBorders>
              <w:top w:val="single" w:sz="4" w:space="0" w:color="D9D9D9" w:themeColor="background1" w:themeShade="D9"/>
              <w:left w:val="nil"/>
              <w:bottom w:val="single" w:sz="4" w:space="0" w:color="D9D9D9" w:themeColor="background1" w:themeShade="D9"/>
              <w:right w:val="single" w:sz="4" w:space="0" w:color="auto"/>
            </w:tcBorders>
            <w:shd w:val="clear" w:color="auto" w:fill="auto"/>
          </w:tcPr>
          <w:p w:rsidR="002A0515" w:rsidRPr="00D97E28" w:rsidRDefault="002A0515" w:rsidP="002A0515">
            <w:pPr>
              <w:pStyle w:val="TableText"/>
              <w:numPr>
                <w:ilvl w:val="0"/>
                <w:numId w:val="88"/>
              </w:numPr>
              <w:snapToGrid w:val="0"/>
              <w:rPr>
                <w:lang w:eastAsia="en-GB"/>
              </w:rPr>
            </w:pPr>
          </w:p>
        </w:tc>
        <w:tc>
          <w:tcPr>
            <w:tcW w:w="7084"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2A0515" w:rsidRPr="00D97E28" w:rsidRDefault="002A0515" w:rsidP="00A54BE4">
            <w:pPr>
              <w:pStyle w:val="TableText"/>
              <w:snapToGrid w:val="0"/>
              <w:rPr>
                <w:szCs w:val="17"/>
                <w:lang w:eastAsia="en-GB"/>
              </w:rPr>
            </w:pPr>
            <w:r w:rsidRPr="00D97E28">
              <w:rPr>
                <w:szCs w:val="17"/>
                <w:lang w:eastAsia="en-GB"/>
              </w:rPr>
              <w:t>Adjustment for off-balance sheet (“OBS”) items (i.e. conversion to credit equivalent amounts of OBS exposures)</w:t>
            </w:r>
          </w:p>
        </w:tc>
        <w:tc>
          <w:tcPr>
            <w:tcW w:w="1559"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2A0515" w:rsidRPr="00D97E28" w:rsidRDefault="002A0515" w:rsidP="00A54BE4">
            <w:pPr>
              <w:pStyle w:val="TableText"/>
              <w:snapToGrid w:val="0"/>
              <w:rPr>
                <w:szCs w:val="17"/>
                <w:lang w:eastAsia="en-GB"/>
              </w:rPr>
            </w:pPr>
          </w:p>
        </w:tc>
      </w:tr>
      <w:tr w:rsidR="002A0515" w:rsidRPr="00D97E28" w:rsidTr="00A54BE4">
        <w:trPr>
          <w:cantSplit/>
        </w:trPr>
        <w:tc>
          <w:tcPr>
            <w:tcW w:w="571" w:type="dxa"/>
            <w:tcBorders>
              <w:top w:val="single" w:sz="4" w:space="0" w:color="D9D9D9" w:themeColor="background1" w:themeShade="D9"/>
              <w:left w:val="nil"/>
              <w:bottom w:val="single" w:sz="4" w:space="0" w:color="D9D9D9" w:themeColor="background1" w:themeShade="D9"/>
              <w:right w:val="single" w:sz="4" w:space="0" w:color="auto"/>
            </w:tcBorders>
            <w:shd w:val="clear" w:color="auto" w:fill="auto"/>
          </w:tcPr>
          <w:p w:rsidR="002A0515" w:rsidRPr="00D97E28" w:rsidRDefault="002A0515" w:rsidP="00A54BE4">
            <w:pPr>
              <w:pStyle w:val="TableText"/>
              <w:snapToGrid w:val="0"/>
              <w:rPr>
                <w:lang w:eastAsia="en-GB"/>
              </w:rPr>
            </w:pPr>
            <w:r>
              <w:rPr>
                <w:lang w:eastAsia="en-GB"/>
              </w:rPr>
              <w:t>6a</w:t>
            </w:r>
          </w:p>
        </w:tc>
        <w:tc>
          <w:tcPr>
            <w:tcW w:w="7084"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2A0515" w:rsidRPr="00266F56" w:rsidRDefault="002A0515" w:rsidP="00A54BE4">
            <w:pPr>
              <w:pStyle w:val="TableText"/>
              <w:snapToGrid w:val="0"/>
              <w:rPr>
                <w:szCs w:val="17"/>
                <w:lang w:eastAsia="en-GB"/>
              </w:rPr>
            </w:pPr>
            <w:r w:rsidRPr="00266F56">
              <w:rPr>
                <w:szCs w:val="17"/>
                <w:lang w:eastAsia="en-GB"/>
              </w:rPr>
              <w:t>Adjustments for prudent valuation adjustments and specific and collective provisions that are allowed to be excluded from exposure measure</w:t>
            </w:r>
          </w:p>
        </w:tc>
        <w:tc>
          <w:tcPr>
            <w:tcW w:w="1559"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2A0515" w:rsidRPr="00D97E28" w:rsidRDefault="002A0515" w:rsidP="00A54BE4">
            <w:pPr>
              <w:pStyle w:val="TableText"/>
              <w:snapToGrid w:val="0"/>
              <w:rPr>
                <w:szCs w:val="17"/>
                <w:lang w:eastAsia="en-GB"/>
              </w:rPr>
            </w:pPr>
          </w:p>
        </w:tc>
      </w:tr>
      <w:tr w:rsidR="002A0515" w:rsidRPr="00D97E28" w:rsidTr="00A54BE4">
        <w:trPr>
          <w:cantSplit/>
        </w:trPr>
        <w:tc>
          <w:tcPr>
            <w:tcW w:w="571" w:type="dxa"/>
            <w:tcBorders>
              <w:top w:val="single" w:sz="4" w:space="0" w:color="D9D9D9" w:themeColor="background1" w:themeShade="D9"/>
              <w:left w:val="nil"/>
              <w:bottom w:val="single" w:sz="4" w:space="0" w:color="D9D9D9" w:themeColor="background1" w:themeShade="D9"/>
              <w:right w:val="single" w:sz="4" w:space="0" w:color="auto"/>
            </w:tcBorders>
            <w:shd w:val="clear" w:color="auto" w:fill="auto"/>
          </w:tcPr>
          <w:p w:rsidR="002A0515" w:rsidRPr="00D97E28" w:rsidRDefault="002A0515" w:rsidP="002A0515">
            <w:pPr>
              <w:pStyle w:val="TableText"/>
              <w:numPr>
                <w:ilvl w:val="0"/>
                <w:numId w:val="88"/>
              </w:numPr>
              <w:snapToGrid w:val="0"/>
              <w:rPr>
                <w:lang w:eastAsia="en-GB"/>
              </w:rPr>
            </w:pPr>
          </w:p>
        </w:tc>
        <w:tc>
          <w:tcPr>
            <w:tcW w:w="7084"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2A0515" w:rsidRPr="00D97E28" w:rsidRDefault="002A0515" w:rsidP="00A54BE4">
            <w:pPr>
              <w:pStyle w:val="TableText"/>
              <w:snapToGrid w:val="0"/>
              <w:rPr>
                <w:szCs w:val="17"/>
                <w:lang w:eastAsia="en-GB"/>
              </w:rPr>
            </w:pPr>
            <w:r w:rsidRPr="00D97E28">
              <w:rPr>
                <w:szCs w:val="17"/>
                <w:lang w:eastAsia="en-GB"/>
              </w:rPr>
              <w:t>Other adjustments</w:t>
            </w:r>
          </w:p>
        </w:tc>
        <w:tc>
          <w:tcPr>
            <w:tcW w:w="1559"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2A0515" w:rsidRPr="00D97E28" w:rsidRDefault="002A0515" w:rsidP="00A54BE4">
            <w:pPr>
              <w:pStyle w:val="TableText"/>
              <w:snapToGrid w:val="0"/>
              <w:rPr>
                <w:szCs w:val="17"/>
                <w:lang w:eastAsia="en-GB"/>
              </w:rPr>
            </w:pPr>
          </w:p>
        </w:tc>
      </w:tr>
      <w:tr w:rsidR="002A0515" w:rsidRPr="00D97E28" w:rsidTr="00A54BE4">
        <w:trPr>
          <w:cantSplit/>
        </w:trPr>
        <w:tc>
          <w:tcPr>
            <w:tcW w:w="571" w:type="dxa"/>
            <w:tcBorders>
              <w:top w:val="single" w:sz="4" w:space="0" w:color="D9D9D9" w:themeColor="background1" w:themeShade="D9"/>
              <w:left w:val="nil"/>
              <w:bottom w:val="single" w:sz="4" w:space="0" w:color="auto"/>
              <w:right w:val="single" w:sz="4" w:space="0" w:color="auto"/>
            </w:tcBorders>
            <w:shd w:val="clear" w:color="auto" w:fill="auto"/>
          </w:tcPr>
          <w:p w:rsidR="002A0515" w:rsidRPr="00D97E28" w:rsidRDefault="002A0515" w:rsidP="002A0515">
            <w:pPr>
              <w:pStyle w:val="TableText"/>
              <w:numPr>
                <w:ilvl w:val="0"/>
                <w:numId w:val="88"/>
              </w:numPr>
              <w:snapToGrid w:val="0"/>
              <w:rPr>
                <w:b/>
                <w:lang w:eastAsia="en-GB"/>
              </w:rPr>
            </w:pPr>
          </w:p>
        </w:tc>
        <w:tc>
          <w:tcPr>
            <w:tcW w:w="7084" w:type="dxa"/>
            <w:tcBorders>
              <w:top w:val="single" w:sz="4" w:space="0" w:color="D9D9D9" w:themeColor="background1" w:themeShade="D9"/>
              <w:left w:val="single" w:sz="4" w:space="0" w:color="auto"/>
              <w:bottom w:val="single" w:sz="4" w:space="0" w:color="auto"/>
              <w:right w:val="single" w:sz="4" w:space="0" w:color="auto"/>
            </w:tcBorders>
            <w:shd w:val="clear" w:color="auto" w:fill="auto"/>
          </w:tcPr>
          <w:p w:rsidR="002A0515" w:rsidRPr="00D97E28" w:rsidRDefault="002A0515" w:rsidP="00A54BE4">
            <w:pPr>
              <w:pStyle w:val="TableText"/>
              <w:snapToGrid w:val="0"/>
              <w:rPr>
                <w:b/>
                <w:szCs w:val="17"/>
                <w:lang w:eastAsia="en-GB"/>
              </w:rPr>
            </w:pPr>
            <w:r w:rsidRPr="00D97E28">
              <w:rPr>
                <w:b/>
                <w:szCs w:val="17"/>
                <w:lang w:eastAsia="en-GB"/>
              </w:rPr>
              <w:t>Leverage ratio exposure measure</w:t>
            </w:r>
          </w:p>
        </w:tc>
        <w:tc>
          <w:tcPr>
            <w:tcW w:w="1559" w:type="dxa"/>
            <w:tcBorders>
              <w:top w:val="single" w:sz="4" w:space="0" w:color="D9D9D9" w:themeColor="background1" w:themeShade="D9"/>
              <w:left w:val="single" w:sz="4" w:space="0" w:color="auto"/>
              <w:bottom w:val="single" w:sz="4" w:space="0" w:color="auto"/>
              <w:right w:val="single" w:sz="4" w:space="0" w:color="auto"/>
            </w:tcBorders>
            <w:shd w:val="clear" w:color="auto" w:fill="auto"/>
          </w:tcPr>
          <w:p w:rsidR="002A0515" w:rsidRPr="00D97E28" w:rsidRDefault="002A0515" w:rsidP="00A54BE4">
            <w:pPr>
              <w:pStyle w:val="TableText"/>
              <w:snapToGrid w:val="0"/>
              <w:rPr>
                <w:szCs w:val="17"/>
                <w:lang w:eastAsia="en-GB"/>
              </w:rPr>
            </w:pPr>
          </w:p>
        </w:tc>
      </w:tr>
    </w:tbl>
    <w:p w:rsidR="002A0515" w:rsidRPr="00D97E28" w:rsidRDefault="002A0515" w:rsidP="002A0515">
      <w:pPr>
        <w:spacing w:before="120" w:after="120"/>
        <w:ind w:leftChars="-283" w:left="-566"/>
        <w:rPr>
          <w:sz w:val="22"/>
        </w:rPr>
      </w:pPr>
    </w:p>
    <w:tbl>
      <w:tblPr>
        <w:tblStyle w:val="TableGrid"/>
        <w:tblW w:w="8975" w:type="dxa"/>
        <w:tblInd w:w="-459" w:type="dxa"/>
        <w:tblLook w:val="04A0" w:firstRow="1" w:lastRow="0" w:firstColumn="1" w:lastColumn="0" w:noHBand="0" w:noVBand="1"/>
      </w:tblPr>
      <w:tblGrid>
        <w:gridCol w:w="573"/>
        <w:gridCol w:w="8402"/>
      </w:tblGrid>
      <w:tr w:rsidR="002A0515" w:rsidRPr="00D97E28" w:rsidTr="00A54BE4">
        <w:trPr>
          <w:tblHeader/>
        </w:trPr>
        <w:tc>
          <w:tcPr>
            <w:tcW w:w="8975" w:type="dxa"/>
            <w:gridSpan w:val="2"/>
            <w:shd w:val="clear" w:color="auto" w:fill="BFBFBF" w:themeFill="background1" w:themeFillShade="BF"/>
          </w:tcPr>
          <w:p w:rsidR="002A0515" w:rsidRPr="00D97E28" w:rsidRDefault="002A0515" w:rsidP="00A54BE4">
            <w:pPr>
              <w:spacing w:before="40" w:after="40"/>
              <w:jc w:val="both"/>
              <w:rPr>
                <w:rFonts w:eastAsiaTheme="minorEastAsia"/>
                <w:b/>
                <w:sz w:val="17"/>
                <w:szCs w:val="17"/>
                <w:lang w:eastAsia="en-GB"/>
              </w:rPr>
            </w:pPr>
            <w:r w:rsidRPr="00D97E28">
              <w:rPr>
                <w:rFonts w:eastAsiaTheme="minorEastAsia"/>
                <w:b/>
                <w:sz w:val="17"/>
                <w:szCs w:val="17"/>
                <w:lang w:eastAsia="en-GB"/>
              </w:rPr>
              <w:t>Explanatory Note</w:t>
            </w:r>
          </w:p>
        </w:tc>
      </w:tr>
      <w:tr w:rsidR="002A0515" w:rsidRPr="00D97E28" w:rsidTr="00A54BE4">
        <w:trPr>
          <w:trHeight w:val="373"/>
        </w:trPr>
        <w:tc>
          <w:tcPr>
            <w:tcW w:w="8975" w:type="dxa"/>
            <w:gridSpan w:val="2"/>
            <w:shd w:val="clear" w:color="auto" w:fill="F2F2F2" w:themeFill="background1" w:themeFillShade="F2"/>
          </w:tcPr>
          <w:p w:rsidR="002A0515" w:rsidRPr="00D97E28" w:rsidRDefault="002A0515" w:rsidP="00A54BE4">
            <w:pPr>
              <w:pStyle w:val="TableNote"/>
              <w:spacing w:before="40" w:after="40"/>
              <w:rPr>
                <w:i/>
                <w:sz w:val="17"/>
                <w:szCs w:val="17"/>
              </w:rPr>
            </w:pPr>
            <w:r w:rsidRPr="00D97E28">
              <w:rPr>
                <w:rFonts w:eastAsiaTheme="minorEastAsia"/>
                <w:b/>
                <w:sz w:val="17"/>
                <w:szCs w:val="17"/>
                <w:lang w:eastAsia="en-GB"/>
              </w:rPr>
              <w:t>Rows</w:t>
            </w:r>
          </w:p>
        </w:tc>
      </w:tr>
      <w:tr w:rsidR="002A0515" w:rsidRPr="00D97E28" w:rsidTr="00AC6DA4">
        <w:trPr>
          <w:trHeight w:val="373"/>
        </w:trPr>
        <w:tc>
          <w:tcPr>
            <w:tcW w:w="573" w:type="dxa"/>
          </w:tcPr>
          <w:p w:rsidR="002A0515" w:rsidRPr="00D97E28" w:rsidRDefault="002A0515" w:rsidP="002A0515">
            <w:pPr>
              <w:pStyle w:val="ListParagraph"/>
              <w:keepLines/>
              <w:widowControl w:val="0"/>
              <w:numPr>
                <w:ilvl w:val="0"/>
                <w:numId w:val="89"/>
              </w:numPr>
              <w:tabs>
                <w:tab w:val="left" w:pos="150"/>
                <w:tab w:val="left" w:pos="397"/>
                <w:tab w:val="left" w:pos="794"/>
                <w:tab w:val="left" w:pos="1191"/>
              </w:tabs>
              <w:spacing w:before="40" w:after="40"/>
              <w:ind w:leftChars="0"/>
              <w:contextualSpacing/>
              <w:rPr>
                <w:rFonts w:cs="Segoe UI"/>
                <w:sz w:val="17"/>
                <w:szCs w:val="17"/>
                <w:lang w:eastAsia="en-GB"/>
              </w:rPr>
            </w:pPr>
          </w:p>
        </w:tc>
        <w:tc>
          <w:tcPr>
            <w:tcW w:w="8402" w:type="dxa"/>
          </w:tcPr>
          <w:p w:rsidR="002A0515" w:rsidRPr="00D97E28" w:rsidRDefault="002A0515" w:rsidP="00A54BE4">
            <w:pPr>
              <w:keepLines/>
              <w:widowControl w:val="0"/>
              <w:tabs>
                <w:tab w:val="left" w:pos="150"/>
                <w:tab w:val="left" w:pos="397"/>
                <w:tab w:val="left" w:pos="794"/>
                <w:tab w:val="left" w:pos="1191"/>
              </w:tabs>
              <w:spacing w:before="40" w:after="40"/>
              <w:jc w:val="both"/>
              <w:rPr>
                <w:sz w:val="17"/>
                <w:szCs w:val="17"/>
              </w:rPr>
            </w:pPr>
            <w:r w:rsidRPr="00D97E28">
              <w:rPr>
                <w:sz w:val="17"/>
                <w:szCs w:val="17"/>
              </w:rPr>
              <w:t>The AI’s total consolidated assets as per published financial statements.</w:t>
            </w:r>
          </w:p>
        </w:tc>
      </w:tr>
      <w:tr w:rsidR="002A0515" w:rsidRPr="00D97E28" w:rsidTr="00AC6DA4">
        <w:trPr>
          <w:trHeight w:val="373"/>
        </w:trPr>
        <w:tc>
          <w:tcPr>
            <w:tcW w:w="573" w:type="dxa"/>
          </w:tcPr>
          <w:p w:rsidR="002A0515" w:rsidRPr="00D97E28" w:rsidRDefault="002A0515" w:rsidP="002A0515">
            <w:pPr>
              <w:pStyle w:val="ListParagraph"/>
              <w:keepLines/>
              <w:widowControl w:val="0"/>
              <w:numPr>
                <w:ilvl w:val="0"/>
                <w:numId w:val="89"/>
              </w:numPr>
              <w:tabs>
                <w:tab w:val="left" w:pos="150"/>
                <w:tab w:val="left" w:pos="397"/>
                <w:tab w:val="left" w:pos="794"/>
                <w:tab w:val="left" w:pos="1191"/>
              </w:tabs>
              <w:spacing w:before="40" w:after="40"/>
              <w:ind w:leftChars="0"/>
              <w:contextualSpacing/>
              <w:rPr>
                <w:rFonts w:cs="Segoe UI"/>
                <w:sz w:val="17"/>
                <w:szCs w:val="17"/>
                <w:lang w:eastAsia="en-GB"/>
              </w:rPr>
            </w:pPr>
          </w:p>
        </w:tc>
        <w:tc>
          <w:tcPr>
            <w:tcW w:w="8402" w:type="dxa"/>
          </w:tcPr>
          <w:p w:rsidR="002A0515" w:rsidRPr="00D97E28" w:rsidRDefault="002A0515" w:rsidP="00A54BE4">
            <w:pPr>
              <w:keepLines/>
              <w:widowControl w:val="0"/>
              <w:tabs>
                <w:tab w:val="left" w:pos="150"/>
                <w:tab w:val="left" w:pos="397"/>
                <w:tab w:val="left" w:pos="794"/>
                <w:tab w:val="left" w:pos="1191"/>
              </w:tabs>
              <w:spacing w:before="40" w:after="40"/>
              <w:jc w:val="both"/>
              <w:rPr>
                <w:sz w:val="17"/>
                <w:szCs w:val="17"/>
              </w:rPr>
            </w:pPr>
            <w:r w:rsidRPr="00D97E28">
              <w:rPr>
                <w:sz w:val="17"/>
                <w:szCs w:val="17"/>
              </w:rPr>
              <w:t>Adjustments in relation to the AI’s investments in financial sector entities or commercial entities as defined in BCR §35 that are consolidated for accounting purposes, but outside the scope of regulatory consolidation.  As these adjustments reduce the total leverage ratio exposure measure, they should be reported as a negative amount.</w:t>
            </w:r>
          </w:p>
        </w:tc>
      </w:tr>
      <w:tr w:rsidR="002A0515" w:rsidRPr="00D97E28" w:rsidTr="00AC6DA4">
        <w:trPr>
          <w:trHeight w:val="373"/>
        </w:trPr>
        <w:tc>
          <w:tcPr>
            <w:tcW w:w="573" w:type="dxa"/>
          </w:tcPr>
          <w:p w:rsidR="002A0515" w:rsidRPr="00D97E28" w:rsidRDefault="002A0515" w:rsidP="00AC6DA4">
            <w:pPr>
              <w:pStyle w:val="ListParagraph"/>
              <w:keepLines/>
              <w:tabs>
                <w:tab w:val="left" w:pos="150"/>
                <w:tab w:val="left" w:pos="397"/>
                <w:tab w:val="left" w:pos="794"/>
                <w:tab w:val="left" w:pos="1191"/>
              </w:tabs>
              <w:spacing w:before="40" w:after="40"/>
              <w:ind w:leftChars="0" w:left="0"/>
              <w:rPr>
                <w:rFonts w:cs="Segoe UI"/>
                <w:sz w:val="17"/>
                <w:szCs w:val="17"/>
                <w:lang w:eastAsia="en-GB"/>
              </w:rPr>
            </w:pPr>
            <w:r>
              <w:rPr>
                <w:rFonts w:cs="Segoe UI"/>
                <w:sz w:val="17"/>
                <w:szCs w:val="17"/>
                <w:lang w:eastAsia="en-GB"/>
              </w:rPr>
              <w:t>2a</w:t>
            </w:r>
          </w:p>
        </w:tc>
        <w:tc>
          <w:tcPr>
            <w:tcW w:w="8402" w:type="dxa"/>
          </w:tcPr>
          <w:p w:rsidR="002A0515" w:rsidRPr="00D97E28" w:rsidRDefault="002A0515" w:rsidP="00A54BE4">
            <w:pPr>
              <w:keepLines/>
              <w:widowControl w:val="0"/>
              <w:tabs>
                <w:tab w:val="left" w:pos="150"/>
                <w:tab w:val="left" w:pos="397"/>
                <w:tab w:val="left" w:pos="794"/>
                <w:tab w:val="left" w:pos="1191"/>
              </w:tabs>
              <w:spacing w:before="40" w:after="40"/>
              <w:jc w:val="both"/>
              <w:rPr>
                <w:sz w:val="17"/>
                <w:szCs w:val="17"/>
              </w:rPr>
            </w:pPr>
            <w:r w:rsidRPr="00D97E28">
              <w:rPr>
                <w:rFonts w:cs="Segoe UI"/>
                <w:sz w:val="17"/>
                <w:szCs w:val="17"/>
              </w:rPr>
              <w:t xml:space="preserve">Adjustment related to </w:t>
            </w:r>
            <w:proofErr w:type="spellStart"/>
            <w:r w:rsidRPr="00D97E28">
              <w:rPr>
                <w:rFonts w:cs="Segoe UI"/>
                <w:sz w:val="17"/>
                <w:szCs w:val="17"/>
              </w:rPr>
              <w:t>securitised</w:t>
            </w:r>
            <w:proofErr w:type="spellEnd"/>
            <w:r w:rsidRPr="00D97E28">
              <w:rPr>
                <w:rFonts w:cs="Segoe UI"/>
                <w:sz w:val="17"/>
                <w:szCs w:val="17"/>
              </w:rPr>
              <w:t xml:space="preserve"> exposures that meet the operational requirements for the recognition of risk transference.  As the adjustment reduce</w:t>
            </w:r>
            <w:r>
              <w:rPr>
                <w:rFonts w:cs="Segoe UI"/>
                <w:sz w:val="17"/>
                <w:szCs w:val="17"/>
              </w:rPr>
              <w:t>s</w:t>
            </w:r>
            <w:r w:rsidRPr="00D97E28">
              <w:rPr>
                <w:rFonts w:cs="Segoe UI"/>
                <w:sz w:val="17"/>
                <w:szCs w:val="17"/>
              </w:rPr>
              <w:t xml:space="preserve"> the total leverage ratio exposure measure, </w:t>
            </w:r>
            <w:r>
              <w:rPr>
                <w:rFonts w:cs="Segoe UI"/>
                <w:sz w:val="17"/>
                <w:szCs w:val="17"/>
              </w:rPr>
              <w:t>i</w:t>
            </w:r>
            <w:r w:rsidRPr="00D97E28">
              <w:rPr>
                <w:rFonts w:cs="Segoe UI"/>
                <w:sz w:val="17"/>
                <w:szCs w:val="17"/>
              </w:rPr>
              <w:t>t shall be reported as a negative amount.</w:t>
            </w:r>
          </w:p>
        </w:tc>
      </w:tr>
      <w:tr w:rsidR="002A0515" w:rsidRPr="00D97E28" w:rsidTr="00AC6DA4">
        <w:trPr>
          <w:trHeight w:val="373"/>
        </w:trPr>
        <w:tc>
          <w:tcPr>
            <w:tcW w:w="573" w:type="dxa"/>
          </w:tcPr>
          <w:p w:rsidR="002A0515" w:rsidRPr="00D97E28" w:rsidRDefault="002A0515" w:rsidP="002A0515">
            <w:pPr>
              <w:pStyle w:val="ListParagraph"/>
              <w:keepLines/>
              <w:widowControl w:val="0"/>
              <w:numPr>
                <w:ilvl w:val="0"/>
                <w:numId w:val="89"/>
              </w:numPr>
              <w:tabs>
                <w:tab w:val="left" w:pos="150"/>
                <w:tab w:val="left" w:pos="397"/>
                <w:tab w:val="left" w:pos="794"/>
                <w:tab w:val="left" w:pos="1191"/>
              </w:tabs>
              <w:spacing w:before="40" w:after="40"/>
              <w:ind w:leftChars="0"/>
              <w:contextualSpacing/>
              <w:rPr>
                <w:rFonts w:cs="Segoe UI"/>
                <w:sz w:val="17"/>
                <w:szCs w:val="17"/>
                <w:lang w:eastAsia="en-GB"/>
              </w:rPr>
            </w:pPr>
          </w:p>
        </w:tc>
        <w:tc>
          <w:tcPr>
            <w:tcW w:w="8402" w:type="dxa"/>
          </w:tcPr>
          <w:p w:rsidR="002A0515" w:rsidRPr="00D97E28" w:rsidRDefault="002A0515" w:rsidP="00A54BE4">
            <w:pPr>
              <w:keepLines/>
              <w:widowControl w:val="0"/>
              <w:tabs>
                <w:tab w:val="left" w:pos="150"/>
                <w:tab w:val="left" w:pos="397"/>
                <w:tab w:val="left" w:pos="794"/>
                <w:tab w:val="left" w:pos="1191"/>
              </w:tabs>
              <w:spacing w:before="40" w:after="40"/>
              <w:jc w:val="both"/>
              <w:rPr>
                <w:sz w:val="17"/>
                <w:szCs w:val="17"/>
              </w:rPr>
            </w:pPr>
            <w:r w:rsidRPr="00D97E28">
              <w:rPr>
                <w:sz w:val="17"/>
                <w:szCs w:val="17"/>
              </w:rPr>
              <w:t xml:space="preserve">Adjustments related to any fiduciary assets </w:t>
            </w:r>
            <w:proofErr w:type="spellStart"/>
            <w:r w:rsidRPr="00D97E28">
              <w:rPr>
                <w:sz w:val="17"/>
                <w:szCs w:val="17"/>
              </w:rPr>
              <w:t>recognised</w:t>
            </w:r>
            <w:proofErr w:type="spellEnd"/>
            <w:r w:rsidRPr="00D97E28">
              <w:rPr>
                <w:sz w:val="17"/>
                <w:szCs w:val="17"/>
              </w:rPr>
              <w:t xml:space="preserve"> on the balance sheet pursuant to the AI’s applicable accounting framework but excluded from the LR exposure measure, provided that the assets meet the IAS 39 / IFRS 9 (or HKAS 39 / HKFRS 9) criteria for </w:t>
            </w:r>
            <w:proofErr w:type="spellStart"/>
            <w:r w:rsidRPr="00D97E28">
              <w:rPr>
                <w:sz w:val="17"/>
                <w:szCs w:val="17"/>
              </w:rPr>
              <w:t>derecognition</w:t>
            </w:r>
            <w:proofErr w:type="spellEnd"/>
            <w:r w:rsidRPr="00D97E28">
              <w:rPr>
                <w:sz w:val="17"/>
                <w:szCs w:val="17"/>
              </w:rPr>
              <w:t xml:space="preserve"> and, where applicable, IFRS 10 (or HKFRS 10) for deconsolidation.  As these adjustments reduce the total leverage ratio exposure measure, they should be reported as a negative amount.</w:t>
            </w:r>
          </w:p>
        </w:tc>
      </w:tr>
      <w:tr w:rsidR="002A0515" w:rsidRPr="00D97E28" w:rsidTr="00AC6DA4">
        <w:trPr>
          <w:trHeight w:val="373"/>
        </w:trPr>
        <w:tc>
          <w:tcPr>
            <w:tcW w:w="573" w:type="dxa"/>
          </w:tcPr>
          <w:p w:rsidR="002A0515" w:rsidRPr="00AC6DA4" w:rsidRDefault="002A0515" w:rsidP="00AC6DA4">
            <w:pPr>
              <w:keepLines/>
              <w:widowControl w:val="0"/>
              <w:tabs>
                <w:tab w:val="left" w:pos="150"/>
                <w:tab w:val="left" w:pos="397"/>
                <w:tab w:val="left" w:pos="794"/>
                <w:tab w:val="left" w:pos="1191"/>
              </w:tabs>
              <w:spacing w:before="40" w:after="40"/>
              <w:rPr>
                <w:rFonts w:cs="Segoe UI"/>
                <w:kern w:val="0"/>
                <w:sz w:val="17"/>
                <w:szCs w:val="17"/>
                <w:lang w:val="en-GB" w:eastAsia="en-GB"/>
              </w:rPr>
            </w:pPr>
            <w:r>
              <w:rPr>
                <w:rFonts w:cs="Segoe UI"/>
                <w:sz w:val="17"/>
                <w:szCs w:val="17"/>
                <w:lang w:eastAsia="en-GB"/>
              </w:rPr>
              <w:t>3a</w:t>
            </w:r>
          </w:p>
        </w:tc>
        <w:tc>
          <w:tcPr>
            <w:tcW w:w="8402" w:type="dxa"/>
          </w:tcPr>
          <w:p w:rsidR="002A0515" w:rsidRPr="00D97E28" w:rsidRDefault="002A0515" w:rsidP="00A54BE4">
            <w:pPr>
              <w:keepLines/>
              <w:widowControl w:val="0"/>
              <w:tabs>
                <w:tab w:val="left" w:pos="150"/>
                <w:tab w:val="left" w:pos="397"/>
                <w:tab w:val="left" w:pos="794"/>
                <w:tab w:val="left" w:pos="1191"/>
              </w:tabs>
              <w:spacing w:before="40" w:after="40"/>
              <w:jc w:val="both"/>
              <w:rPr>
                <w:sz w:val="17"/>
                <w:szCs w:val="17"/>
              </w:rPr>
            </w:pPr>
            <w:r w:rsidRPr="00D97E28">
              <w:rPr>
                <w:rFonts w:cs="Segoe UI"/>
                <w:sz w:val="17"/>
                <w:szCs w:val="17"/>
              </w:rPr>
              <w:t xml:space="preserve">Adjustments for eligible cash-pooling transactions. </w:t>
            </w:r>
            <w:r>
              <w:rPr>
                <w:rFonts w:cs="Segoe UI"/>
                <w:sz w:val="17"/>
                <w:szCs w:val="17"/>
              </w:rPr>
              <w:t xml:space="preserve"> An</w:t>
            </w:r>
            <w:r w:rsidRPr="00D97E28">
              <w:rPr>
                <w:rFonts w:cs="Segoe UI"/>
                <w:sz w:val="17"/>
                <w:szCs w:val="17"/>
              </w:rPr>
              <w:t xml:space="preserve"> adjustment is</w:t>
            </w:r>
            <w:r>
              <w:rPr>
                <w:rFonts w:cs="Segoe UI"/>
                <w:sz w:val="17"/>
                <w:szCs w:val="17"/>
              </w:rPr>
              <w:t xml:space="preserve"> </w:t>
            </w:r>
            <w:r w:rsidRPr="00164A51">
              <w:rPr>
                <w:rFonts w:cs="Segoe UI"/>
                <w:sz w:val="17"/>
                <w:szCs w:val="17"/>
              </w:rPr>
              <w:t>for</w:t>
            </w:r>
            <w:r w:rsidRPr="00D97E28">
              <w:rPr>
                <w:rFonts w:cs="Segoe UI"/>
                <w:sz w:val="17"/>
                <w:szCs w:val="17"/>
              </w:rPr>
              <w:t xml:space="preserve"> the difference between the accounting value of cash-pooling transactions and the treatments specified in </w:t>
            </w:r>
            <w:r>
              <w:rPr>
                <w:rFonts w:cs="Segoe UI"/>
                <w:sz w:val="17"/>
                <w:szCs w:val="17"/>
              </w:rPr>
              <w:t>Consolidated Basel Framework (2022) LEV30.12</w:t>
            </w:r>
            <w:r w:rsidRPr="00D97E28">
              <w:rPr>
                <w:rFonts w:cs="Segoe UI"/>
                <w:sz w:val="17"/>
                <w:szCs w:val="17"/>
              </w:rPr>
              <w:t xml:space="preserve">.  If this adjustment leads to an increase in exposure, it shall be reported as a positive amount. </w:t>
            </w:r>
            <w:r>
              <w:rPr>
                <w:rFonts w:cs="Segoe UI"/>
                <w:sz w:val="17"/>
                <w:szCs w:val="17"/>
              </w:rPr>
              <w:t xml:space="preserve"> </w:t>
            </w:r>
            <w:r w:rsidRPr="00D97E28">
              <w:rPr>
                <w:rFonts w:cs="Segoe UI"/>
                <w:sz w:val="17"/>
                <w:szCs w:val="17"/>
              </w:rPr>
              <w:t>If this adjustment leads to a decrease in exposure, it shall be reported as a negative amount.</w:t>
            </w:r>
          </w:p>
        </w:tc>
      </w:tr>
      <w:tr w:rsidR="002A0515" w:rsidRPr="00D97E28" w:rsidTr="00AC6DA4">
        <w:trPr>
          <w:trHeight w:val="373"/>
        </w:trPr>
        <w:tc>
          <w:tcPr>
            <w:tcW w:w="573" w:type="dxa"/>
          </w:tcPr>
          <w:p w:rsidR="002A0515" w:rsidRPr="00D97E28" w:rsidRDefault="002A0515" w:rsidP="002A0515">
            <w:pPr>
              <w:pStyle w:val="ListParagraph"/>
              <w:keepLines/>
              <w:widowControl w:val="0"/>
              <w:numPr>
                <w:ilvl w:val="0"/>
                <w:numId w:val="89"/>
              </w:numPr>
              <w:tabs>
                <w:tab w:val="left" w:pos="150"/>
                <w:tab w:val="left" w:pos="397"/>
                <w:tab w:val="left" w:pos="794"/>
                <w:tab w:val="left" w:pos="1191"/>
              </w:tabs>
              <w:spacing w:before="40" w:after="40"/>
              <w:ind w:leftChars="0"/>
              <w:contextualSpacing/>
              <w:rPr>
                <w:rFonts w:cs="Segoe UI"/>
                <w:sz w:val="17"/>
                <w:szCs w:val="17"/>
                <w:lang w:eastAsia="en-GB"/>
              </w:rPr>
            </w:pPr>
          </w:p>
        </w:tc>
        <w:tc>
          <w:tcPr>
            <w:tcW w:w="8402" w:type="dxa"/>
          </w:tcPr>
          <w:p w:rsidR="002A0515" w:rsidRPr="00D97E28" w:rsidRDefault="002A0515" w:rsidP="00A54BE4">
            <w:pPr>
              <w:keepLines/>
              <w:widowControl w:val="0"/>
              <w:tabs>
                <w:tab w:val="left" w:pos="150"/>
                <w:tab w:val="left" w:pos="397"/>
                <w:tab w:val="left" w:pos="794"/>
                <w:tab w:val="left" w:pos="1191"/>
              </w:tabs>
              <w:spacing w:before="40" w:after="40"/>
              <w:jc w:val="both"/>
              <w:rPr>
                <w:sz w:val="17"/>
                <w:szCs w:val="17"/>
              </w:rPr>
            </w:pPr>
            <w:r w:rsidRPr="00D97E28">
              <w:rPr>
                <w:sz w:val="17"/>
                <w:szCs w:val="17"/>
              </w:rPr>
              <w:t>Any adjustments in relation to derivative contracts should be in line with the LR calculation methodology under Part 1C of the BCR.  If this adjustment leads to an increase in exposure, an AI should disclose this as a positive amount.  If this adjustment leads to a decrease in exposure, the AI should disclose this as a negative amount.</w:t>
            </w:r>
          </w:p>
        </w:tc>
      </w:tr>
      <w:tr w:rsidR="002A0515" w:rsidRPr="00D97E28" w:rsidTr="00AC6DA4">
        <w:trPr>
          <w:trHeight w:val="373"/>
        </w:trPr>
        <w:tc>
          <w:tcPr>
            <w:tcW w:w="573" w:type="dxa"/>
          </w:tcPr>
          <w:p w:rsidR="002A0515" w:rsidRPr="00D97E28" w:rsidRDefault="002A0515" w:rsidP="002A0515">
            <w:pPr>
              <w:pStyle w:val="ListParagraph"/>
              <w:keepLines/>
              <w:widowControl w:val="0"/>
              <w:numPr>
                <w:ilvl w:val="0"/>
                <w:numId w:val="89"/>
              </w:numPr>
              <w:tabs>
                <w:tab w:val="left" w:pos="150"/>
                <w:tab w:val="left" w:pos="397"/>
                <w:tab w:val="left" w:pos="794"/>
                <w:tab w:val="left" w:pos="1191"/>
              </w:tabs>
              <w:spacing w:before="40" w:after="40"/>
              <w:ind w:leftChars="0"/>
              <w:contextualSpacing/>
              <w:rPr>
                <w:rFonts w:cs="Segoe UI"/>
                <w:sz w:val="17"/>
                <w:szCs w:val="17"/>
                <w:lang w:eastAsia="en-GB"/>
              </w:rPr>
            </w:pPr>
          </w:p>
        </w:tc>
        <w:tc>
          <w:tcPr>
            <w:tcW w:w="8402" w:type="dxa"/>
          </w:tcPr>
          <w:p w:rsidR="002A0515" w:rsidRPr="00D97E28" w:rsidRDefault="002A0515" w:rsidP="00A54BE4">
            <w:pPr>
              <w:keepLines/>
              <w:widowControl w:val="0"/>
              <w:tabs>
                <w:tab w:val="left" w:pos="150"/>
                <w:tab w:val="left" w:pos="397"/>
                <w:tab w:val="left" w:pos="794"/>
                <w:tab w:val="left" w:pos="1191"/>
              </w:tabs>
              <w:spacing w:before="40" w:after="40"/>
              <w:jc w:val="both"/>
              <w:rPr>
                <w:sz w:val="17"/>
                <w:szCs w:val="17"/>
              </w:rPr>
            </w:pPr>
            <w:r w:rsidRPr="00D97E28">
              <w:rPr>
                <w:sz w:val="17"/>
                <w:szCs w:val="17"/>
              </w:rPr>
              <w:t xml:space="preserve">Any adjustments in relation to SFTs (i.e. repos and other similar secured lending) should be in line with the LR calculation methodology under Part 1C of the BCR. </w:t>
            </w:r>
            <w:r w:rsidRPr="00D97E28">
              <w:t xml:space="preserve"> </w:t>
            </w:r>
            <w:r w:rsidRPr="00D97E28">
              <w:rPr>
                <w:sz w:val="17"/>
                <w:szCs w:val="17"/>
              </w:rPr>
              <w:t>If this adjustment leads to an increase in the exposure, an AI should disclose this as a positive amount.  If this adjustment leads to a decrease in exposure, the AI should disclose this as a negative amount.</w:t>
            </w:r>
          </w:p>
        </w:tc>
      </w:tr>
      <w:tr w:rsidR="002A0515" w:rsidRPr="00D97E28" w:rsidTr="00AC6DA4">
        <w:trPr>
          <w:trHeight w:val="373"/>
        </w:trPr>
        <w:tc>
          <w:tcPr>
            <w:tcW w:w="573" w:type="dxa"/>
          </w:tcPr>
          <w:p w:rsidR="002A0515" w:rsidRPr="00D97E28" w:rsidRDefault="002A0515" w:rsidP="002A0515">
            <w:pPr>
              <w:pStyle w:val="ListParagraph"/>
              <w:keepLines/>
              <w:widowControl w:val="0"/>
              <w:numPr>
                <w:ilvl w:val="0"/>
                <w:numId w:val="89"/>
              </w:numPr>
              <w:tabs>
                <w:tab w:val="left" w:pos="150"/>
                <w:tab w:val="left" w:pos="397"/>
                <w:tab w:val="left" w:pos="794"/>
                <w:tab w:val="left" w:pos="1191"/>
              </w:tabs>
              <w:spacing w:before="40" w:after="40"/>
              <w:ind w:leftChars="0"/>
              <w:contextualSpacing/>
              <w:rPr>
                <w:rFonts w:cs="Segoe UI"/>
                <w:sz w:val="17"/>
                <w:szCs w:val="17"/>
                <w:lang w:eastAsia="en-GB"/>
              </w:rPr>
            </w:pPr>
          </w:p>
        </w:tc>
        <w:tc>
          <w:tcPr>
            <w:tcW w:w="8402" w:type="dxa"/>
          </w:tcPr>
          <w:p w:rsidR="002A0515" w:rsidRPr="00D97E28" w:rsidRDefault="002A0515" w:rsidP="00A54BE4">
            <w:pPr>
              <w:keepLines/>
              <w:widowControl w:val="0"/>
              <w:tabs>
                <w:tab w:val="left" w:pos="150"/>
                <w:tab w:val="left" w:pos="397"/>
                <w:tab w:val="left" w:pos="794"/>
                <w:tab w:val="left" w:pos="1191"/>
              </w:tabs>
              <w:spacing w:before="40" w:after="40"/>
              <w:jc w:val="both"/>
              <w:rPr>
                <w:sz w:val="17"/>
                <w:szCs w:val="17"/>
              </w:rPr>
            </w:pPr>
            <w:r w:rsidRPr="00D97E28">
              <w:rPr>
                <w:sz w:val="17"/>
                <w:szCs w:val="17"/>
              </w:rPr>
              <w:t>Aggregates of the credit equivalent amount of OBS exposures, as converted under the STC approach under the BCR, subject to a floor of 10%, through the use of credit conversion factors (“CCFs”).  For details of the OBS exposures and their applicable CCFs, please refer to the LR calculation methodology under Part 1C of the BCR.</w:t>
            </w:r>
          </w:p>
        </w:tc>
      </w:tr>
      <w:tr w:rsidR="002A0515" w:rsidRPr="00D97E28" w:rsidTr="00AC6DA4">
        <w:trPr>
          <w:trHeight w:val="373"/>
        </w:trPr>
        <w:tc>
          <w:tcPr>
            <w:tcW w:w="573" w:type="dxa"/>
          </w:tcPr>
          <w:p w:rsidR="002A0515" w:rsidRPr="00D97E28"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6a</w:t>
            </w:r>
          </w:p>
        </w:tc>
        <w:tc>
          <w:tcPr>
            <w:tcW w:w="8402" w:type="dxa"/>
          </w:tcPr>
          <w:p w:rsidR="002A0515" w:rsidRPr="00D97E28" w:rsidRDefault="002A0515" w:rsidP="00A54BE4">
            <w:pPr>
              <w:keepLines/>
              <w:widowControl w:val="0"/>
              <w:tabs>
                <w:tab w:val="left" w:pos="150"/>
                <w:tab w:val="left" w:pos="397"/>
                <w:tab w:val="left" w:pos="794"/>
                <w:tab w:val="left" w:pos="1191"/>
              </w:tabs>
              <w:spacing w:before="40" w:after="40"/>
              <w:jc w:val="both"/>
              <w:rPr>
                <w:sz w:val="17"/>
                <w:szCs w:val="17"/>
              </w:rPr>
            </w:pPr>
            <w:r w:rsidRPr="00F20338">
              <w:rPr>
                <w:sz w:val="17"/>
                <w:szCs w:val="17"/>
              </w:rPr>
              <w:t>Adjustments for prudent valuation adjustments and specific and collective provisions which have reduced Tier 1 capital.  This adjustment reduces the LR exposure measure by the amount of prudent valuation adjustments and provisions</w:t>
            </w:r>
            <w:r w:rsidRPr="00D97E28">
              <w:rPr>
                <w:sz w:val="17"/>
                <w:szCs w:val="17"/>
              </w:rPr>
              <w:t xml:space="preserve"> that have reduced Tier 1 capital, which should be reported as a negative amount.</w:t>
            </w:r>
          </w:p>
          <w:p w:rsidR="002A0515" w:rsidRPr="00D97E28" w:rsidRDefault="002A0515" w:rsidP="00A54BE4">
            <w:pPr>
              <w:keepLines/>
              <w:widowControl w:val="0"/>
              <w:tabs>
                <w:tab w:val="left" w:pos="150"/>
                <w:tab w:val="left" w:pos="397"/>
                <w:tab w:val="left" w:pos="794"/>
                <w:tab w:val="left" w:pos="1191"/>
              </w:tabs>
              <w:spacing w:before="40" w:after="40"/>
              <w:jc w:val="both"/>
              <w:rPr>
                <w:sz w:val="17"/>
                <w:szCs w:val="17"/>
              </w:rPr>
            </w:pPr>
            <w:r w:rsidRPr="00D97E28">
              <w:rPr>
                <w:sz w:val="17"/>
                <w:szCs w:val="17"/>
              </w:rPr>
              <w:t>Where specific and collective provisions are set aside against OBS exposures that have an effect to decrease Tier 1 capital, such provision amounts may be deducted from the credit equivalent amount of the exposures and in turn reported in this row.  However, the resulting total credit equivalent amount for OBS exposures cannot be less than zero.</w:t>
            </w:r>
          </w:p>
        </w:tc>
      </w:tr>
      <w:tr w:rsidR="002A0515" w:rsidRPr="00D97E28" w:rsidTr="00AC6DA4">
        <w:trPr>
          <w:trHeight w:val="373"/>
        </w:trPr>
        <w:tc>
          <w:tcPr>
            <w:tcW w:w="573" w:type="dxa"/>
          </w:tcPr>
          <w:p w:rsidR="002A0515" w:rsidRPr="00D97E28" w:rsidRDefault="002A0515" w:rsidP="002A0515">
            <w:pPr>
              <w:pStyle w:val="ListParagraph"/>
              <w:keepLines/>
              <w:widowControl w:val="0"/>
              <w:numPr>
                <w:ilvl w:val="0"/>
                <w:numId w:val="89"/>
              </w:numPr>
              <w:tabs>
                <w:tab w:val="left" w:pos="150"/>
                <w:tab w:val="left" w:pos="397"/>
                <w:tab w:val="left" w:pos="794"/>
                <w:tab w:val="left" w:pos="1191"/>
              </w:tabs>
              <w:spacing w:before="40" w:after="40"/>
              <w:ind w:leftChars="0"/>
              <w:contextualSpacing/>
              <w:rPr>
                <w:rFonts w:cs="Segoe UI"/>
                <w:sz w:val="17"/>
                <w:szCs w:val="17"/>
                <w:lang w:eastAsia="en-GB"/>
              </w:rPr>
            </w:pPr>
          </w:p>
        </w:tc>
        <w:tc>
          <w:tcPr>
            <w:tcW w:w="8402" w:type="dxa"/>
          </w:tcPr>
          <w:p w:rsidR="002A0515" w:rsidRPr="00D97E28" w:rsidRDefault="002A0515" w:rsidP="00A54BE4">
            <w:pPr>
              <w:keepLines/>
              <w:widowControl w:val="0"/>
              <w:tabs>
                <w:tab w:val="left" w:pos="150"/>
                <w:tab w:val="left" w:pos="397"/>
                <w:tab w:val="left" w:pos="794"/>
                <w:tab w:val="left" w:pos="1191"/>
              </w:tabs>
              <w:spacing w:before="40" w:after="40"/>
              <w:jc w:val="both"/>
              <w:rPr>
                <w:sz w:val="17"/>
                <w:szCs w:val="17"/>
              </w:rPr>
            </w:pPr>
            <w:r w:rsidRPr="00D97E28">
              <w:rPr>
                <w:sz w:val="17"/>
                <w:szCs w:val="17"/>
              </w:rPr>
              <w:t xml:space="preserve">Any other adjustments that are necessary for the reconciliation but not included in rows 1 to </w:t>
            </w:r>
            <w:r w:rsidRPr="002D3030">
              <w:rPr>
                <w:sz w:val="17"/>
                <w:szCs w:val="17"/>
              </w:rPr>
              <w:t>6</w:t>
            </w:r>
            <w:r>
              <w:rPr>
                <w:sz w:val="17"/>
                <w:szCs w:val="17"/>
              </w:rPr>
              <w:t>a</w:t>
            </w:r>
            <w:r w:rsidRPr="00D97E28">
              <w:rPr>
                <w:sz w:val="17"/>
                <w:szCs w:val="17"/>
              </w:rPr>
              <w:t xml:space="preserve"> above.  These may include adjustments in relation to any items that are deducted from Tier 1 capital under the risk-based capital framework in accordance with BCR §38(2), §43 and §47, but are not already excluded from the calculation of the LR exposure measure.  For a note-issuing bank as defined under the Legal Tender Notes Issue Ordinance (Cap. 65), the adjustments should also include any certificates of indebtedness issued under the Exchange Fund Ordinance (Cap. 66) and held by it as cover for legal tender notes issued.</w:t>
            </w:r>
          </w:p>
        </w:tc>
      </w:tr>
      <w:tr w:rsidR="002A0515" w:rsidRPr="003E1934" w:rsidTr="00AC6DA4">
        <w:trPr>
          <w:trHeight w:val="373"/>
        </w:trPr>
        <w:tc>
          <w:tcPr>
            <w:tcW w:w="573" w:type="dxa"/>
          </w:tcPr>
          <w:p w:rsidR="002A0515" w:rsidRPr="00D97E28" w:rsidRDefault="002A0515" w:rsidP="002A0515">
            <w:pPr>
              <w:pStyle w:val="ListParagraph"/>
              <w:keepLines/>
              <w:widowControl w:val="0"/>
              <w:numPr>
                <w:ilvl w:val="0"/>
                <w:numId w:val="89"/>
              </w:numPr>
              <w:tabs>
                <w:tab w:val="left" w:pos="150"/>
                <w:tab w:val="left" w:pos="397"/>
                <w:tab w:val="left" w:pos="794"/>
                <w:tab w:val="left" w:pos="1191"/>
              </w:tabs>
              <w:spacing w:before="40" w:after="40"/>
              <w:ind w:leftChars="0"/>
              <w:contextualSpacing/>
              <w:rPr>
                <w:rFonts w:cs="Segoe UI"/>
                <w:sz w:val="17"/>
                <w:szCs w:val="17"/>
                <w:lang w:eastAsia="en-GB"/>
              </w:rPr>
            </w:pPr>
          </w:p>
        </w:tc>
        <w:tc>
          <w:tcPr>
            <w:tcW w:w="8402" w:type="dxa"/>
          </w:tcPr>
          <w:p w:rsidR="002A0515" w:rsidRPr="003E1934" w:rsidRDefault="002A0515" w:rsidP="00A54BE4">
            <w:pPr>
              <w:keepLines/>
              <w:widowControl w:val="0"/>
              <w:tabs>
                <w:tab w:val="left" w:pos="150"/>
                <w:tab w:val="left" w:pos="397"/>
                <w:tab w:val="left" w:pos="794"/>
                <w:tab w:val="left" w:pos="1191"/>
              </w:tabs>
              <w:spacing w:before="40" w:after="40"/>
              <w:jc w:val="both"/>
              <w:rPr>
                <w:sz w:val="17"/>
                <w:szCs w:val="17"/>
              </w:rPr>
            </w:pPr>
            <w:r w:rsidRPr="00D97E28">
              <w:rPr>
                <w:sz w:val="17"/>
                <w:szCs w:val="17"/>
              </w:rPr>
              <w:t xml:space="preserve">The LR exposure, which should be the sum of rows 1 to </w:t>
            </w:r>
            <w:r w:rsidRPr="00F20338">
              <w:rPr>
                <w:sz w:val="17"/>
                <w:szCs w:val="17"/>
              </w:rPr>
              <w:t>7</w:t>
            </w:r>
            <w:r w:rsidRPr="00D97E28">
              <w:rPr>
                <w:sz w:val="17"/>
                <w:szCs w:val="17"/>
              </w:rPr>
              <w:t xml:space="preserve"> above, should be consistent with the total exposures amount reported in [LR2: 21/a].</w:t>
            </w:r>
            <w:r w:rsidRPr="003E1934">
              <w:rPr>
                <w:sz w:val="17"/>
                <w:szCs w:val="17"/>
              </w:rPr>
              <w:t xml:space="preserve"> </w:t>
            </w:r>
          </w:p>
        </w:tc>
      </w:tr>
    </w:tbl>
    <w:p w:rsidR="002A0515" w:rsidRDefault="002A0515" w:rsidP="002A0515">
      <w:pPr>
        <w:spacing w:before="40" w:after="40"/>
        <w:jc w:val="both"/>
        <w:rPr>
          <w:sz w:val="22"/>
        </w:rPr>
        <w:sectPr w:rsidR="002A0515" w:rsidSect="008D6C0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60"/>
        </w:sectPr>
      </w:pPr>
    </w:p>
    <w:tbl>
      <w:tblPr>
        <w:tblpPr w:leftFromText="180" w:rightFromText="180" w:vertAnchor="text" w:horzAnchor="margin" w:tblpXSpec="center" w:tblpY="137"/>
        <w:tblW w:w="9242"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008"/>
        <w:gridCol w:w="7234"/>
      </w:tblGrid>
      <w:tr w:rsidR="002A0515" w:rsidRPr="00E30DEC" w:rsidTr="00A54BE4">
        <w:tc>
          <w:tcPr>
            <w:tcW w:w="9242" w:type="dxa"/>
            <w:gridSpan w:val="2"/>
            <w:tcBorders>
              <w:top w:val="nil"/>
            </w:tcBorders>
          </w:tcPr>
          <w:p w:rsidR="002A0515" w:rsidRPr="00E30DEC" w:rsidRDefault="002A0515" w:rsidP="00A54BE4">
            <w:pPr>
              <w:spacing w:before="40" w:after="40"/>
              <w:jc w:val="both"/>
              <w:rPr>
                <w:noProof/>
                <w:sz w:val="17"/>
                <w:lang w:eastAsia="en-GB"/>
              </w:rPr>
            </w:pPr>
            <w:r w:rsidRPr="00E30DEC">
              <w:rPr>
                <w:sz w:val="22"/>
              </w:rPr>
              <w:t>Template LR2: Leverage ratio (“LR”)</w:t>
            </w:r>
          </w:p>
        </w:tc>
      </w:tr>
      <w:tr w:rsidR="002A0515" w:rsidRPr="00E30DEC" w:rsidTr="00A54BE4">
        <w:tc>
          <w:tcPr>
            <w:tcW w:w="2008" w:type="dxa"/>
          </w:tcPr>
          <w:p w:rsidR="002A0515" w:rsidRPr="00E30DEC" w:rsidRDefault="002A0515" w:rsidP="00A54BE4">
            <w:pPr>
              <w:spacing w:before="40" w:after="40"/>
              <w:rPr>
                <w:noProof/>
                <w:sz w:val="17"/>
                <w:lang w:eastAsia="en-GB"/>
              </w:rPr>
            </w:pPr>
            <w:r w:rsidRPr="00E30DEC">
              <w:rPr>
                <w:b/>
                <w:sz w:val="17"/>
                <w:lang w:eastAsia="en-GB"/>
              </w:rPr>
              <w:t>Purpose:</w:t>
            </w:r>
          </w:p>
        </w:tc>
        <w:tc>
          <w:tcPr>
            <w:tcW w:w="7234" w:type="dxa"/>
          </w:tcPr>
          <w:p w:rsidR="002A0515" w:rsidRPr="00E30DEC" w:rsidRDefault="002A0515" w:rsidP="00A54BE4">
            <w:pPr>
              <w:pStyle w:val="TableText"/>
              <w:jc w:val="both"/>
              <w:rPr>
                <w:szCs w:val="17"/>
              </w:rPr>
            </w:pPr>
            <w:r w:rsidRPr="00E30DEC">
              <w:rPr>
                <w:lang w:eastAsia="en-GB"/>
              </w:rPr>
              <w:t>To p</w:t>
            </w:r>
            <w:r w:rsidRPr="00E30DEC">
              <w:rPr>
                <w:szCs w:val="17"/>
              </w:rPr>
              <w:t>rovide a detailed breakdown of the components of the LR denominator.</w:t>
            </w:r>
          </w:p>
        </w:tc>
      </w:tr>
      <w:tr w:rsidR="002A0515" w:rsidRPr="00E30DEC" w:rsidTr="00A54BE4">
        <w:tc>
          <w:tcPr>
            <w:tcW w:w="2008" w:type="dxa"/>
          </w:tcPr>
          <w:p w:rsidR="002A0515" w:rsidRPr="00E30DEC" w:rsidRDefault="002A0515" w:rsidP="00A54BE4">
            <w:pPr>
              <w:spacing w:before="40" w:after="40"/>
              <w:rPr>
                <w:b/>
                <w:sz w:val="17"/>
                <w:lang w:eastAsia="en-GB"/>
              </w:rPr>
            </w:pPr>
            <w:r w:rsidRPr="00E30DEC">
              <w:rPr>
                <w:b/>
                <w:sz w:val="17"/>
                <w:lang w:eastAsia="en-GB"/>
              </w:rPr>
              <w:t>Scope of application:</w:t>
            </w:r>
          </w:p>
        </w:tc>
        <w:tc>
          <w:tcPr>
            <w:tcW w:w="7234" w:type="dxa"/>
          </w:tcPr>
          <w:p w:rsidR="002A0515" w:rsidRPr="00E30DEC" w:rsidRDefault="002A0515" w:rsidP="00A54BE4">
            <w:pPr>
              <w:pStyle w:val="TableText"/>
              <w:jc w:val="both"/>
              <w:rPr>
                <w:rFonts w:eastAsiaTheme="minorEastAsia"/>
                <w:b/>
                <w:lang w:val="en-US" w:eastAsia="en-GB"/>
              </w:rPr>
            </w:pPr>
            <w:r w:rsidRPr="00E30DEC">
              <w:rPr>
                <w:szCs w:val="17"/>
              </w:rPr>
              <w:t xml:space="preserve">The template is mandatory for all AIs incorporated in Hong Kong.  The LR framework should follow the same scope of regulatory consolidation as the risk-based capital framework (i.e. solo basis, solo-consolidated basis, and/or consolidated basis as specified by the MA under BCR </w:t>
            </w:r>
            <w:r w:rsidRPr="00E30DEC">
              <w:rPr>
                <w:rFonts w:cs="Segoe UI"/>
                <w:szCs w:val="17"/>
              </w:rPr>
              <w:t>§</w:t>
            </w:r>
            <w:r w:rsidRPr="00E30DEC">
              <w:rPr>
                <w:szCs w:val="17"/>
              </w:rPr>
              <w:t>3C).</w:t>
            </w:r>
          </w:p>
        </w:tc>
      </w:tr>
      <w:tr w:rsidR="002A0515" w:rsidRPr="00E30DEC" w:rsidTr="00A54BE4">
        <w:tc>
          <w:tcPr>
            <w:tcW w:w="2008" w:type="dxa"/>
          </w:tcPr>
          <w:p w:rsidR="002A0515" w:rsidRPr="00E30DEC" w:rsidRDefault="002A0515" w:rsidP="00A54BE4">
            <w:pPr>
              <w:spacing w:before="40" w:after="40"/>
              <w:rPr>
                <w:b/>
                <w:sz w:val="17"/>
                <w:lang w:eastAsia="en-GB"/>
              </w:rPr>
            </w:pPr>
            <w:r w:rsidRPr="00E30DEC">
              <w:rPr>
                <w:b/>
                <w:sz w:val="17"/>
                <w:lang w:eastAsia="en-GB"/>
              </w:rPr>
              <w:t>Content:</w:t>
            </w:r>
          </w:p>
        </w:tc>
        <w:tc>
          <w:tcPr>
            <w:tcW w:w="7234" w:type="dxa"/>
          </w:tcPr>
          <w:p w:rsidR="002A0515" w:rsidRPr="00E30DEC" w:rsidRDefault="002A0515" w:rsidP="00A54BE4">
            <w:pPr>
              <w:pStyle w:val="TableText"/>
              <w:jc w:val="both"/>
              <w:rPr>
                <w:szCs w:val="17"/>
              </w:rPr>
            </w:pPr>
            <w:r w:rsidRPr="00E30DEC">
              <w:rPr>
                <w:szCs w:val="17"/>
              </w:rPr>
              <w:t xml:space="preserve">Quantitative information.  Where an AI has a reporting date for disclosure (e.g. </w:t>
            </w:r>
            <w:proofErr w:type="gramStart"/>
            <w:r w:rsidRPr="00E30DEC">
              <w:rPr>
                <w:szCs w:val="17"/>
              </w:rPr>
              <w:t>end</w:t>
            </w:r>
            <w:proofErr w:type="gramEnd"/>
            <w:r w:rsidRPr="00E30DEC">
              <w:rPr>
                <w:szCs w:val="17"/>
              </w:rPr>
              <w:t>-April, end-October) that does not fall on the same position date for the Return of Leverage Ratio (MA(BS)27) (i.e. end-March, end-June, end-September, end-December), the AI should disclose this template based on its own reporting date.  In such circumstance, the calculation basis of values disclosed in this template should, however, follow the same calculation basis used for the return.</w:t>
            </w:r>
          </w:p>
        </w:tc>
      </w:tr>
      <w:tr w:rsidR="002A0515" w:rsidRPr="00E30DEC" w:rsidTr="00A54BE4">
        <w:tc>
          <w:tcPr>
            <w:tcW w:w="2008" w:type="dxa"/>
          </w:tcPr>
          <w:p w:rsidR="002A0515" w:rsidRPr="00E30DEC" w:rsidRDefault="002A0515" w:rsidP="00A54BE4">
            <w:pPr>
              <w:spacing w:before="40" w:after="40"/>
              <w:rPr>
                <w:sz w:val="17"/>
                <w:lang w:eastAsia="en-GB"/>
              </w:rPr>
            </w:pPr>
            <w:r w:rsidRPr="00E30DEC">
              <w:rPr>
                <w:b/>
                <w:sz w:val="17"/>
                <w:lang w:eastAsia="en-GB"/>
              </w:rPr>
              <w:t>Frequency:</w:t>
            </w:r>
          </w:p>
        </w:tc>
        <w:tc>
          <w:tcPr>
            <w:tcW w:w="7234" w:type="dxa"/>
          </w:tcPr>
          <w:p w:rsidR="002A0515" w:rsidRPr="00E30DEC" w:rsidRDefault="002A0515" w:rsidP="00A54BE4">
            <w:pPr>
              <w:pStyle w:val="TableText"/>
              <w:jc w:val="both"/>
              <w:rPr>
                <w:lang w:eastAsia="en-GB"/>
              </w:rPr>
            </w:pPr>
            <w:r w:rsidRPr="00E30DEC">
              <w:rPr>
                <w:lang w:eastAsia="en-GB"/>
              </w:rPr>
              <w:t>Quarterly.</w:t>
            </w:r>
          </w:p>
        </w:tc>
      </w:tr>
      <w:tr w:rsidR="002A0515" w:rsidRPr="00E30DEC" w:rsidTr="00A54BE4">
        <w:tc>
          <w:tcPr>
            <w:tcW w:w="2008" w:type="dxa"/>
          </w:tcPr>
          <w:p w:rsidR="002A0515" w:rsidRPr="00E30DEC" w:rsidRDefault="002A0515" w:rsidP="00A54BE4">
            <w:pPr>
              <w:spacing w:before="40" w:after="40"/>
              <w:rPr>
                <w:sz w:val="17"/>
                <w:lang w:eastAsia="en-GB"/>
              </w:rPr>
            </w:pPr>
            <w:r w:rsidRPr="00E30DEC">
              <w:rPr>
                <w:b/>
                <w:sz w:val="17"/>
                <w:lang w:eastAsia="en-GB"/>
              </w:rPr>
              <w:t>Format:</w:t>
            </w:r>
          </w:p>
        </w:tc>
        <w:tc>
          <w:tcPr>
            <w:tcW w:w="7234" w:type="dxa"/>
          </w:tcPr>
          <w:p w:rsidR="002A0515" w:rsidRPr="00E30DEC" w:rsidRDefault="002A0515" w:rsidP="00A54BE4">
            <w:pPr>
              <w:pStyle w:val="TableText"/>
              <w:jc w:val="both"/>
              <w:rPr>
                <w:lang w:eastAsia="en-GB"/>
              </w:rPr>
            </w:pPr>
            <w:r w:rsidRPr="00E30DEC">
              <w:rPr>
                <w:lang w:eastAsia="en-GB"/>
              </w:rPr>
              <w:t>Fixed.</w:t>
            </w:r>
          </w:p>
        </w:tc>
      </w:tr>
      <w:tr w:rsidR="002A0515" w:rsidRPr="00E30DEC" w:rsidTr="00A54BE4">
        <w:tc>
          <w:tcPr>
            <w:tcW w:w="2008" w:type="dxa"/>
          </w:tcPr>
          <w:p w:rsidR="002A0515" w:rsidRPr="00E30DEC" w:rsidRDefault="002A0515" w:rsidP="00A54BE4">
            <w:pPr>
              <w:spacing w:before="40" w:after="40"/>
              <w:rPr>
                <w:b/>
                <w:sz w:val="17"/>
                <w:lang w:eastAsia="en-GB"/>
              </w:rPr>
            </w:pPr>
            <w:r w:rsidRPr="00E30DEC">
              <w:rPr>
                <w:rFonts w:eastAsiaTheme="minorEastAsia"/>
                <w:b/>
                <w:sz w:val="17"/>
                <w:szCs w:val="17"/>
                <w:lang w:eastAsia="en-GB"/>
              </w:rPr>
              <w:t>Accompanying narrative</w:t>
            </w:r>
            <w:r w:rsidRPr="00E30DEC">
              <w:rPr>
                <w:rFonts w:eastAsiaTheme="minorEastAsia"/>
                <w:sz w:val="17"/>
                <w:szCs w:val="17"/>
                <w:lang w:eastAsia="en-GB"/>
              </w:rPr>
              <w:t>:</w:t>
            </w:r>
          </w:p>
        </w:tc>
        <w:tc>
          <w:tcPr>
            <w:tcW w:w="7234" w:type="dxa"/>
          </w:tcPr>
          <w:p w:rsidR="002A0515" w:rsidRPr="00E30DEC" w:rsidRDefault="002A0515" w:rsidP="00A54BE4">
            <w:pPr>
              <w:pStyle w:val="TableText"/>
              <w:jc w:val="both"/>
              <w:rPr>
                <w:noProof/>
                <w:szCs w:val="17"/>
                <w:lang w:eastAsia="en-GB"/>
              </w:rPr>
            </w:pPr>
            <w:r w:rsidRPr="00E30DEC">
              <w:rPr>
                <w:szCs w:val="17"/>
                <w:lang w:eastAsia="en-GB"/>
              </w:rPr>
              <w:t>An AI s</w:t>
            </w:r>
            <w:r w:rsidRPr="00E30DEC">
              <w:rPr>
                <w:szCs w:val="17"/>
              </w:rPr>
              <w:t>hould describe the key factors that have had a material impact on the LR at the end of the current reporting period compared to the end of the preceding reporting period.</w:t>
            </w:r>
          </w:p>
        </w:tc>
      </w:tr>
      <w:tr w:rsidR="002A0515" w:rsidRPr="00E30DEC" w:rsidTr="00A54BE4">
        <w:tc>
          <w:tcPr>
            <w:tcW w:w="2008" w:type="dxa"/>
          </w:tcPr>
          <w:p w:rsidR="002A0515" w:rsidRPr="00E30DEC" w:rsidRDefault="002A0515" w:rsidP="00A54BE4">
            <w:pPr>
              <w:spacing w:before="40" w:after="40"/>
              <w:rPr>
                <w:rFonts w:eastAsiaTheme="minorEastAsia"/>
                <w:b/>
                <w:sz w:val="17"/>
                <w:szCs w:val="17"/>
                <w:lang w:eastAsia="en-GB"/>
              </w:rPr>
            </w:pPr>
            <w:r w:rsidRPr="00E30DEC">
              <w:rPr>
                <w:rFonts w:eastAsiaTheme="minorEastAsia"/>
                <w:b/>
                <w:sz w:val="17"/>
                <w:szCs w:val="17"/>
                <w:lang w:eastAsia="en-GB"/>
              </w:rPr>
              <w:t>Corresponding BDR section:</w:t>
            </w:r>
          </w:p>
        </w:tc>
        <w:tc>
          <w:tcPr>
            <w:tcW w:w="7234" w:type="dxa"/>
          </w:tcPr>
          <w:p w:rsidR="002A0515" w:rsidRPr="00E30DEC" w:rsidRDefault="002A0515" w:rsidP="00A54BE4">
            <w:pPr>
              <w:pStyle w:val="TableText"/>
              <w:jc w:val="both"/>
              <w:rPr>
                <w:szCs w:val="17"/>
                <w:lang w:eastAsia="en-GB"/>
              </w:rPr>
            </w:pPr>
            <w:r w:rsidRPr="00E30DEC">
              <w:rPr>
                <w:szCs w:val="17"/>
                <w:lang w:eastAsia="en-GB"/>
              </w:rPr>
              <w:t>16FI</w:t>
            </w:r>
          </w:p>
        </w:tc>
      </w:tr>
    </w:tbl>
    <w:p w:rsidR="002A0515" w:rsidRDefault="002A0515" w:rsidP="002A0515">
      <w:pPr>
        <w:spacing w:before="120" w:after="120"/>
        <w:rPr>
          <w:sz w:val="22"/>
        </w:rPr>
        <w:sectPr w:rsidR="002A0515" w:rsidSect="00A54BE4">
          <w:footerReference w:type="first" r:id="rId16"/>
          <w:pgSz w:w="11906" w:h="16838"/>
          <w:pgMar w:top="1440" w:right="1800" w:bottom="1440" w:left="1800" w:header="851" w:footer="992" w:gutter="0"/>
          <w:cols w:space="425"/>
          <w:titlePg/>
          <w:docGrid w:type="lines" w:linePitch="360"/>
        </w:sectPr>
      </w:pPr>
    </w:p>
    <w:p w:rsidR="002A0515" w:rsidRDefault="002A0515" w:rsidP="002A0515"/>
    <w:p w:rsidR="002A0515" w:rsidRPr="00E30DEC" w:rsidRDefault="002A0515" w:rsidP="002A0515">
      <w:pPr>
        <w:rPr>
          <w:sz w:val="22"/>
        </w:rPr>
      </w:pPr>
    </w:p>
    <w:tbl>
      <w:tblPr>
        <w:tblW w:w="9214" w:type="dxa"/>
        <w:tblInd w:w="-567" w:type="dxa"/>
        <w:tblBorders>
          <w:top w:val="single" w:sz="8" w:space="0" w:color="BCBDBC"/>
          <w:left w:val="single" w:sz="8" w:space="0" w:color="BCBDBC"/>
          <w:bottom w:val="single" w:sz="8" w:space="0" w:color="BCBDBC"/>
          <w:right w:val="single" w:sz="8" w:space="0" w:color="BCBDBC"/>
          <w:insideH w:val="single" w:sz="6" w:space="0" w:color="BCBDBC"/>
          <w:insideV w:val="single" w:sz="6" w:space="0" w:color="BCBDBC"/>
        </w:tblBorders>
        <w:tblLayout w:type="fixed"/>
        <w:tblCellMar>
          <w:left w:w="0" w:type="dxa"/>
          <w:right w:w="0" w:type="dxa"/>
        </w:tblCellMar>
        <w:tblLook w:val="00A0" w:firstRow="1" w:lastRow="0" w:firstColumn="1" w:lastColumn="0" w:noHBand="0" w:noVBand="0"/>
      </w:tblPr>
      <w:tblGrid>
        <w:gridCol w:w="567"/>
        <w:gridCol w:w="6237"/>
        <w:gridCol w:w="1205"/>
        <w:gridCol w:w="1205"/>
      </w:tblGrid>
      <w:tr w:rsidR="002A0515" w:rsidRPr="00E30DEC" w:rsidTr="00A54BE4">
        <w:trPr>
          <w:trHeight w:val="150"/>
          <w:tblHeader/>
        </w:trPr>
        <w:tc>
          <w:tcPr>
            <w:tcW w:w="6804" w:type="dxa"/>
            <w:gridSpan w:val="2"/>
            <w:tcBorders>
              <w:top w:val="nil"/>
              <w:left w:val="nil"/>
              <w:bottom w:val="nil"/>
              <w:right w:val="single" w:sz="4" w:space="0" w:color="auto"/>
            </w:tcBorders>
            <w:shd w:val="clear" w:color="auto" w:fill="auto"/>
            <w:vAlign w:val="center"/>
          </w:tcPr>
          <w:p w:rsidR="002A0515" w:rsidRPr="00E30DEC" w:rsidRDefault="002A0515" w:rsidP="00A54BE4">
            <w:pPr>
              <w:pStyle w:val="Default"/>
              <w:rPr>
                <w:b/>
                <w:bCs/>
                <w:sz w:val="20"/>
                <w:szCs w:val="20"/>
              </w:rPr>
            </w:pPr>
          </w:p>
        </w:tc>
        <w:tc>
          <w:tcPr>
            <w:tcW w:w="1205" w:type="dxa"/>
            <w:tcBorders>
              <w:top w:val="single" w:sz="6" w:space="0" w:color="auto"/>
              <w:left w:val="single" w:sz="6" w:space="0" w:color="auto"/>
              <w:bottom w:val="single" w:sz="6" w:space="0" w:color="auto"/>
              <w:right w:val="single" w:sz="6" w:space="0" w:color="auto"/>
            </w:tcBorders>
            <w:shd w:val="clear" w:color="auto" w:fill="auto"/>
            <w:vAlign w:val="center"/>
          </w:tcPr>
          <w:p w:rsidR="002A0515" w:rsidRPr="00E30DEC" w:rsidRDefault="002A0515" w:rsidP="00A54BE4">
            <w:pPr>
              <w:pStyle w:val="TableText"/>
              <w:snapToGrid w:val="0"/>
              <w:jc w:val="center"/>
              <w:rPr>
                <w:bCs/>
                <w:lang w:eastAsia="it-IT"/>
              </w:rPr>
            </w:pPr>
            <w:r w:rsidRPr="00E30DEC">
              <w:rPr>
                <w:bCs/>
                <w:lang w:eastAsia="it-IT"/>
              </w:rPr>
              <w:t>(a)</w:t>
            </w:r>
          </w:p>
        </w:tc>
        <w:tc>
          <w:tcPr>
            <w:tcW w:w="1205" w:type="dxa"/>
            <w:tcBorders>
              <w:top w:val="single" w:sz="6" w:space="0" w:color="auto"/>
              <w:left w:val="single" w:sz="6" w:space="0" w:color="auto"/>
              <w:bottom w:val="single" w:sz="6" w:space="0" w:color="auto"/>
              <w:right w:val="single" w:sz="4" w:space="0" w:color="auto"/>
            </w:tcBorders>
            <w:shd w:val="clear" w:color="auto" w:fill="auto"/>
            <w:vAlign w:val="center"/>
          </w:tcPr>
          <w:p w:rsidR="002A0515" w:rsidRPr="00E30DEC" w:rsidRDefault="002A0515" w:rsidP="00A54BE4">
            <w:pPr>
              <w:pStyle w:val="TableText"/>
              <w:snapToGrid w:val="0"/>
              <w:jc w:val="center"/>
              <w:rPr>
                <w:bCs/>
                <w:lang w:eastAsia="it-IT"/>
              </w:rPr>
            </w:pPr>
            <w:r w:rsidRPr="00E30DEC">
              <w:rPr>
                <w:bCs/>
                <w:lang w:eastAsia="it-IT"/>
              </w:rPr>
              <w:t>(b)</w:t>
            </w:r>
          </w:p>
        </w:tc>
      </w:tr>
      <w:tr w:rsidR="002A0515" w:rsidRPr="00E30DEC" w:rsidTr="00A54BE4">
        <w:trPr>
          <w:trHeight w:val="150"/>
          <w:tblHeader/>
        </w:trPr>
        <w:tc>
          <w:tcPr>
            <w:tcW w:w="6804" w:type="dxa"/>
            <w:gridSpan w:val="2"/>
            <w:tcBorders>
              <w:top w:val="nil"/>
              <w:left w:val="nil"/>
              <w:bottom w:val="nil"/>
              <w:right w:val="single" w:sz="4" w:space="0" w:color="auto"/>
            </w:tcBorders>
            <w:shd w:val="clear" w:color="auto" w:fill="auto"/>
            <w:vAlign w:val="center"/>
          </w:tcPr>
          <w:p w:rsidR="002A0515" w:rsidRPr="00E30DEC" w:rsidRDefault="002A0515" w:rsidP="00A54BE4">
            <w:pPr>
              <w:pStyle w:val="Default"/>
              <w:rPr>
                <w:b/>
                <w:bCs/>
                <w:sz w:val="20"/>
                <w:szCs w:val="20"/>
              </w:rPr>
            </w:pPr>
          </w:p>
        </w:tc>
        <w:tc>
          <w:tcPr>
            <w:tcW w:w="2410" w:type="dxa"/>
            <w:gridSpan w:val="2"/>
            <w:tcBorders>
              <w:top w:val="single" w:sz="6" w:space="0" w:color="auto"/>
              <w:left w:val="single" w:sz="6" w:space="0" w:color="auto"/>
              <w:bottom w:val="single" w:sz="6" w:space="0" w:color="auto"/>
              <w:right w:val="single" w:sz="4" w:space="0" w:color="auto"/>
            </w:tcBorders>
            <w:shd w:val="clear" w:color="auto" w:fill="auto"/>
            <w:vAlign w:val="center"/>
          </w:tcPr>
          <w:p w:rsidR="002A0515" w:rsidRPr="00E30DEC" w:rsidRDefault="002A0515" w:rsidP="00A54BE4">
            <w:pPr>
              <w:pStyle w:val="TableText"/>
              <w:snapToGrid w:val="0"/>
              <w:jc w:val="center"/>
              <w:rPr>
                <w:bCs/>
                <w:lang w:eastAsia="it-IT"/>
              </w:rPr>
            </w:pPr>
            <w:r w:rsidRPr="00E30DEC">
              <w:rPr>
                <w:bCs/>
                <w:lang w:eastAsia="it-IT"/>
              </w:rPr>
              <w:t>HK$ equivalent</w:t>
            </w:r>
          </w:p>
        </w:tc>
      </w:tr>
      <w:tr w:rsidR="002A0515" w:rsidRPr="00E30DEC" w:rsidTr="00A54BE4">
        <w:trPr>
          <w:trHeight w:val="48"/>
          <w:tblHeader/>
        </w:trPr>
        <w:tc>
          <w:tcPr>
            <w:tcW w:w="6804" w:type="dxa"/>
            <w:gridSpan w:val="2"/>
            <w:tcBorders>
              <w:top w:val="nil"/>
              <w:left w:val="nil"/>
              <w:bottom w:val="single" w:sz="6" w:space="0" w:color="auto"/>
              <w:right w:val="single" w:sz="6" w:space="0" w:color="auto"/>
            </w:tcBorders>
            <w:shd w:val="clear" w:color="auto" w:fill="auto"/>
            <w:vAlign w:val="center"/>
          </w:tcPr>
          <w:p w:rsidR="002A0515" w:rsidRPr="00E30DEC" w:rsidRDefault="002A0515" w:rsidP="00A54BE4">
            <w:pPr>
              <w:pStyle w:val="TableText"/>
              <w:snapToGrid w:val="0"/>
              <w:rPr>
                <w:lang w:val="en-US" w:eastAsia="it-IT"/>
              </w:rPr>
            </w:pPr>
          </w:p>
        </w:tc>
        <w:tc>
          <w:tcPr>
            <w:tcW w:w="1205" w:type="dxa"/>
            <w:tcBorders>
              <w:top w:val="single" w:sz="6" w:space="0" w:color="auto"/>
              <w:left w:val="single" w:sz="6" w:space="0" w:color="auto"/>
              <w:bottom w:val="single" w:sz="6" w:space="0" w:color="auto"/>
              <w:right w:val="single" w:sz="6" w:space="0" w:color="auto"/>
            </w:tcBorders>
            <w:shd w:val="clear" w:color="auto" w:fill="auto"/>
            <w:vAlign w:val="center"/>
          </w:tcPr>
          <w:p w:rsidR="002A0515" w:rsidRPr="00E30DEC" w:rsidRDefault="002A0515" w:rsidP="00A54BE4">
            <w:pPr>
              <w:pStyle w:val="TableText"/>
              <w:snapToGrid w:val="0"/>
              <w:jc w:val="center"/>
              <w:rPr>
                <w:bCs/>
                <w:lang w:eastAsia="it-IT"/>
              </w:rPr>
            </w:pPr>
            <w:r w:rsidRPr="00E30DEC">
              <w:rPr>
                <w:bCs/>
                <w:lang w:eastAsia="it-IT"/>
              </w:rPr>
              <w:t>T</w:t>
            </w:r>
          </w:p>
        </w:tc>
        <w:tc>
          <w:tcPr>
            <w:tcW w:w="1205" w:type="dxa"/>
            <w:tcBorders>
              <w:top w:val="single" w:sz="6" w:space="0" w:color="auto"/>
              <w:left w:val="single" w:sz="6" w:space="0" w:color="auto"/>
              <w:bottom w:val="single" w:sz="6" w:space="0" w:color="auto"/>
              <w:right w:val="single" w:sz="4" w:space="0" w:color="auto"/>
            </w:tcBorders>
            <w:shd w:val="clear" w:color="auto" w:fill="auto"/>
            <w:vAlign w:val="center"/>
          </w:tcPr>
          <w:p w:rsidR="002A0515" w:rsidRPr="00E30DEC" w:rsidRDefault="002A0515" w:rsidP="00A54BE4">
            <w:pPr>
              <w:pStyle w:val="TableText"/>
              <w:snapToGrid w:val="0"/>
              <w:jc w:val="center"/>
              <w:rPr>
                <w:bCs/>
                <w:lang w:eastAsia="it-IT"/>
              </w:rPr>
            </w:pPr>
            <w:r w:rsidRPr="00E30DEC">
              <w:rPr>
                <w:bCs/>
                <w:lang w:eastAsia="it-IT"/>
              </w:rPr>
              <w:t>T-1</w:t>
            </w:r>
          </w:p>
        </w:tc>
      </w:tr>
      <w:tr w:rsidR="002A0515" w:rsidRPr="00E30DEC" w:rsidTr="00A54BE4">
        <w:trPr>
          <w:cantSplit/>
          <w:trHeight w:val="285"/>
        </w:trPr>
        <w:tc>
          <w:tcPr>
            <w:tcW w:w="6804" w:type="dxa"/>
            <w:gridSpan w:val="2"/>
            <w:tcBorders>
              <w:top w:val="single" w:sz="6" w:space="0" w:color="auto"/>
              <w:left w:val="nil"/>
              <w:bottom w:val="single" w:sz="6" w:space="0" w:color="BCBDBC"/>
              <w:right w:val="nil"/>
            </w:tcBorders>
            <w:shd w:val="clear" w:color="auto" w:fill="D9D9D9" w:themeFill="background1" w:themeFillShade="D9"/>
          </w:tcPr>
          <w:p w:rsidR="002A0515" w:rsidRPr="00E30DEC" w:rsidRDefault="002A0515" w:rsidP="00A54BE4">
            <w:pPr>
              <w:pStyle w:val="Default"/>
              <w:ind w:firstLineChars="50" w:firstLine="85"/>
              <w:rPr>
                <w:rFonts w:eastAsia="Times New Roman" w:cs="Times New Roman"/>
                <w:b/>
                <w:color w:val="auto"/>
                <w:sz w:val="17"/>
                <w:szCs w:val="20"/>
                <w:lang w:val="en-GB" w:eastAsia="it-IT"/>
              </w:rPr>
            </w:pPr>
            <w:r w:rsidRPr="00E30DEC">
              <w:rPr>
                <w:rFonts w:eastAsia="Times New Roman" w:cs="Times New Roman"/>
                <w:b/>
                <w:color w:val="auto"/>
                <w:sz w:val="17"/>
                <w:szCs w:val="20"/>
                <w:lang w:val="en-GB" w:eastAsia="it-IT"/>
              </w:rPr>
              <w:t>On-balance sheet exposures</w:t>
            </w:r>
          </w:p>
        </w:tc>
        <w:tc>
          <w:tcPr>
            <w:tcW w:w="1205" w:type="dxa"/>
            <w:tcBorders>
              <w:top w:val="single" w:sz="6" w:space="0" w:color="auto"/>
              <w:left w:val="nil"/>
              <w:bottom w:val="single" w:sz="6" w:space="0" w:color="BCBDBC"/>
              <w:right w:val="nil"/>
            </w:tcBorders>
            <w:shd w:val="clear" w:color="auto" w:fill="D9D9D9" w:themeFill="background1" w:themeFillShade="D9"/>
          </w:tcPr>
          <w:p w:rsidR="002A0515" w:rsidRPr="00E30DEC" w:rsidRDefault="002A0515" w:rsidP="00A54BE4">
            <w:pPr>
              <w:pStyle w:val="TableText"/>
              <w:snapToGrid w:val="0"/>
              <w:rPr>
                <w:lang w:eastAsia="it-IT"/>
              </w:rPr>
            </w:pPr>
          </w:p>
        </w:tc>
        <w:tc>
          <w:tcPr>
            <w:tcW w:w="1205" w:type="dxa"/>
            <w:tcBorders>
              <w:top w:val="single" w:sz="6" w:space="0" w:color="auto"/>
              <w:left w:val="nil"/>
              <w:bottom w:val="single" w:sz="6" w:space="0" w:color="BCBDBC"/>
              <w:right w:val="single" w:sz="4" w:space="0" w:color="auto"/>
            </w:tcBorders>
            <w:shd w:val="clear" w:color="auto" w:fill="D9D9D9" w:themeFill="background1" w:themeFillShade="D9"/>
          </w:tcPr>
          <w:p w:rsidR="002A0515" w:rsidRPr="00E30DEC" w:rsidRDefault="002A0515" w:rsidP="00A54BE4">
            <w:pPr>
              <w:pStyle w:val="TableText"/>
              <w:snapToGrid w:val="0"/>
              <w:rPr>
                <w:lang w:eastAsia="it-IT"/>
              </w:rPr>
            </w:pPr>
          </w:p>
        </w:tc>
      </w:tr>
      <w:tr w:rsidR="002A0515" w:rsidRPr="00E30DEC" w:rsidTr="00A54BE4">
        <w:trPr>
          <w:cantSplit/>
          <w:trHeight w:val="285"/>
        </w:trPr>
        <w:tc>
          <w:tcPr>
            <w:tcW w:w="567" w:type="dxa"/>
            <w:tcBorders>
              <w:top w:val="single" w:sz="6" w:space="0" w:color="auto"/>
              <w:left w:val="nil"/>
              <w:bottom w:val="single" w:sz="6" w:space="0" w:color="auto"/>
              <w:right w:val="single" w:sz="6" w:space="0" w:color="auto"/>
            </w:tcBorders>
            <w:shd w:val="clear" w:color="auto" w:fill="auto"/>
          </w:tcPr>
          <w:p w:rsidR="002A0515" w:rsidRPr="00E30DEC" w:rsidRDefault="002A0515" w:rsidP="002A0515">
            <w:pPr>
              <w:pStyle w:val="TableText"/>
              <w:numPr>
                <w:ilvl w:val="0"/>
                <w:numId w:val="91"/>
              </w:numPr>
              <w:snapToGrid w:val="0"/>
              <w:ind w:left="286" w:hanging="282"/>
              <w:rPr>
                <w:szCs w:val="17"/>
                <w:lang w:eastAsia="en-GB"/>
              </w:rPr>
            </w:pPr>
          </w:p>
        </w:tc>
        <w:tc>
          <w:tcPr>
            <w:tcW w:w="6237" w:type="dxa"/>
            <w:tcBorders>
              <w:top w:val="single" w:sz="6" w:space="0" w:color="auto"/>
              <w:left w:val="single" w:sz="6" w:space="0" w:color="auto"/>
              <w:bottom w:val="single" w:sz="6" w:space="0" w:color="auto"/>
              <w:right w:val="single" w:sz="6" w:space="0" w:color="auto"/>
            </w:tcBorders>
            <w:shd w:val="clear" w:color="auto" w:fill="auto"/>
          </w:tcPr>
          <w:p w:rsidR="002A0515" w:rsidRPr="00E30DEC" w:rsidRDefault="002A0515" w:rsidP="00A54BE4">
            <w:pPr>
              <w:pStyle w:val="TableText"/>
              <w:snapToGrid w:val="0"/>
              <w:ind w:left="57" w:rightChars="71" w:right="142"/>
              <w:rPr>
                <w:lang w:eastAsia="it-IT"/>
              </w:rPr>
            </w:pPr>
            <w:r w:rsidRPr="00E30DEC">
              <w:rPr>
                <w:lang w:eastAsia="it-IT"/>
              </w:rPr>
              <w:t>On-balance sheet exposures (excluding those arising from derivative contracts and SFTs, but including collateral)</w:t>
            </w:r>
          </w:p>
        </w:tc>
        <w:tc>
          <w:tcPr>
            <w:tcW w:w="1205" w:type="dxa"/>
            <w:tcBorders>
              <w:top w:val="single" w:sz="6" w:space="0" w:color="auto"/>
              <w:left w:val="single" w:sz="6" w:space="0" w:color="auto"/>
              <w:bottom w:val="single" w:sz="6" w:space="0" w:color="auto"/>
              <w:right w:val="single" w:sz="6" w:space="0" w:color="auto"/>
            </w:tcBorders>
            <w:shd w:val="clear" w:color="auto" w:fill="auto"/>
          </w:tcPr>
          <w:p w:rsidR="002A0515" w:rsidRPr="00E30DEC" w:rsidRDefault="002A0515" w:rsidP="00A54BE4">
            <w:pPr>
              <w:pStyle w:val="TableText"/>
              <w:snapToGrid w:val="0"/>
              <w:rPr>
                <w:lang w:eastAsia="it-IT"/>
              </w:rPr>
            </w:pPr>
          </w:p>
        </w:tc>
        <w:tc>
          <w:tcPr>
            <w:tcW w:w="1205" w:type="dxa"/>
            <w:tcBorders>
              <w:top w:val="single" w:sz="6" w:space="0" w:color="auto"/>
              <w:left w:val="single" w:sz="6" w:space="0" w:color="auto"/>
              <w:bottom w:val="single" w:sz="6" w:space="0" w:color="auto"/>
              <w:right w:val="single" w:sz="4" w:space="0" w:color="auto"/>
            </w:tcBorders>
            <w:shd w:val="clear" w:color="auto" w:fill="auto"/>
          </w:tcPr>
          <w:p w:rsidR="002A0515" w:rsidRPr="00E30DEC" w:rsidRDefault="002A0515" w:rsidP="00A54BE4">
            <w:pPr>
              <w:pStyle w:val="TableText"/>
              <w:snapToGrid w:val="0"/>
              <w:rPr>
                <w:lang w:eastAsia="it-IT"/>
              </w:rPr>
            </w:pPr>
          </w:p>
        </w:tc>
      </w:tr>
      <w:tr w:rsidR="002A0515" w:rsidRPr="00E30DEC" w:rsidTr="00A54BE4">
        <w:trPr>
          <w:cantSplit/>
          <w:trHeight w:val="285"/>
        </w:trPr>
        <w:tc>
          <w:tcPr>
            <w:tcW w:w="567" w:type="dxa"/>
            <w:tcBorders>
              <w:top w:val="single" w:sz="6" w:space="0" w:color="auto"/>
              <w:left w:val="nil"/>
              <w:bottom w:val="single" w:sz="6" w:space="0" w:color="auto"/>
              <w:right w:val="single" w:sz="6" w:space="0" w:color="auto"/>
            </w:tcBorders>
            <w:shd w:val="clear" w:color="auto" w:fill="auto"/>
          </w:tcPr>
          <w:p w:rsidR="002A0515" w:rsidRPr="00E30DEC" w:rsidRDefault="002A0515" w:rsidP="002A0515">
            <w:pPr>
              <w:pStyle w:val="TableText"/>
              <w:numPr>
                <w:ilvl w:val="0"/>
                <w:numId w:val="91"/>
              </w:numPr>
              <w:snapToGrid w:val="0"/>
              <w:rPr>
                <w:szCs w:val="17"/>
                <w:lang w:eastAsia="en-GB"/>
              </w:rPr>
            </w:pPr>
          </w:p>
        </w:tc>
        <w:tc>
          <w:tcPr>
            <w:tcW w:w="6237" w:type="dxa"/>
            <w:tcBorders>
              <w:top w:val="single" w:sz="6" w:space="0" w:color="auto"/>
              <w:left w:val="single" w:sz="6" w:space="0" w:color="auto"/>
              <w:bottom w:val="single" w:sz="6" w:space="0" w:color="auto"/>
              <w:right w:val="single" w:sz="6" w:space="0" w:color="auto"/>
            </w:tcBorders>
            <w:shd w:val="clear" w:color="auto" w:fill="auto"/>
          </w:tcPr>
          <w:p w:rsidR="002A0515" w:rsidRPr="00E30DEC" w:rsidRDefault="002A0515" w:rsidP="00A54BE4">
            <w:pPr>
              <w:pStyle w:val="TableText"/>
              <w:snapToGrid w:val="0"/>
              <w:ind w:left="57" w:rightChars="71" w:right="142"/>
              <w:rPr>
                <w:lang w:eastAsia="it-IT"/>
              </w:rPr>
            </w:pPr>
            <w:r w:rsidRPr="00E30DEC">
              <w:rPr>
                <w:lang w:eastAsia="it-IT"/>
              </w:rPr>
              <w:t>Less: Asset amounts deducted in determining Tier 1 capital</w:t>
            </w:r>
          </w:p>
        </w:tc>
        <w:tc>
          <w:tcPr>
            <w:tcW w:w="1205" w:type="dxa"/>
            <w:tcBorders>
              <w:top w:val="single" w:sz="6" w:space="0" w:color="auto"/>
              <w:left w:val="single" w:sz="6" w:space="0" w:color="auto"/>
              <w:bottom w:val="single" w:sz="6" w:space="0" w:color="auto"/>
              <w:right w:val="single" w:sz="6" w:space="0" w:color="auto"/>
            </w:tcBorders>
            <w:shd w:val="clear" w:color="auto" w:fill="auto"/>
          </w:tcPr>
          <w:p w:rsidR="002A0515" w:rsidRPr="00E30DEC" w:rsidRDefault="002A0515" w:rsidP="00A54BE4">
            <w:pPr>
              <w:pStyle w:val="TableText"/>
              <w:snapToGrid w:val="0"/>
              <w:rPr>
                <w:lang w:eastAsia="it-IT"/>
              </w:rPr>
            </w:pPr>
          </w:p>
        </w:tc>
        <w:tc>
          <w:tcPr>
            <w:tcW w:w="1205" w:type="dxa"/>
            <w:tcBorders>
              <w:top w:val="single" w:sz="6" w:space="0" w:color="auto"/>
              <w:left w:val="single" w:sz="6" w:space="0" w:color="auto"/>
              <w:bottom w:val="single" w:sz="6" w:space="0" w:color="auto"/>
              <w:right w:val="single" w:sz="4" w:space="0" w:color="auto"/>
            </w:tcBorders>
            <w:shd w:val="clear" w:color="auto" w:fill="auto"/>
          </w:tcPr>
          <w:p w:rsidR="002A0515" w:rsidRPr="00E30DEC" w:rsidRDefault="002A0515" w:rsidP="00A54BE4">
            <w:pPr>
              <w:pStyle w:val="TableText"/>
              <w:snapToGrid w:val="0"/>
              <w:rPr>
                <w:lang w:eastAsia="it-IT"/>
              </w:rPr>
            </w:pPr>
          </w:p>
        </w:tc>
      </w:tr>
      <w:tr w:rsidR="002A0515" w:rsidRPr="00E30DEC" w:rsidTr="00A54BE4">
        <w:trPr>
          <w:cantSplit/>
          <w:trHeight w:val="285"/>
        </w:trPr>
        <w:tc>
          <w:tcPr>
            <w:tcW w:w="567" w:type="dxa"/>
            <w:tcBorders>
              <w:top w:val="single" w:sz="6" w:space="0" w:color="auto"/>
              <w:left w:val="nil"/>
              <w:bottom w:val="single" w:sz="6" w:space="0" w:color="auto"/>
              <w:right w:val="single" w:sz="6" w:space="0" w:color="auto"/>
            </w:tcBorders>
            <w:shd w:val="clear" w:color="auto" w:fill="auto"/>
          </w:tcPr>
          <w:p w:rsidR="002A0515" w:rsidRPr="00E30DEC" w:rsidRDefault="002A0515" w:rsidP="002A0515">
            <w:pPr>
              <w:pStyle w:val="TableText"/>
              <w:numPr>
                <w:ilvl w:val="0"/>
                <w:numId w:val="91"/>
              </w:numPr>
              <w:snapToGrid w:val="0"/>
              <w:rPr>
                <w:szCs w:val="17"/>
                <w:lang w:eastAsia="en-GB"/>
              </w:rPr>
            </w:pPr>
          </w:p>
        </w:tc>
        <w:tc>
          <w:tcPr>
            <w:tcW w:w="6237"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2A0515" w:rsidRPr="00E30DEC" w:rsidRDefault="002A0515" w:rsidP="00A54BE4">
            <w:pPr>
              <w:pStyle w:val="TableText"/>
              <w:snapToGrid w:val="0"/>
              <w:ind w:left="57" w:rightChars="71" w:right="142"/>
              <w:rPr>
                <w:b/>
                <w:lang w:eastAsia="it-IT"/>
              </w:rPr>
            </w:pPr>
            <w:r w:rsidRPr="00E30DEC">
              <w:rPr>
                <w:b/>
                <w:lang w:eastAsia="it-IT"/>
              </w:rPr>
              <w:t>Total on-balance sheet exposures (excluding derivative contracts and SFTs)</w:t>
            </w:r>
          </w:p>
        </w:tc>
        <w:tc>
          <w:tcPr>
            <w:tcW w:w="1205"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2A0515" w:rsidRPr="00E30DEC" w:rsidRDefault="002A0515" w:rsidP="00A54BE4">
            <w:pPr>
              <w:pStyle w:val="TableText"/>
              <w:snapToGrid w:val="0"/>
              <w:rPr>
                <w:lang w:eastAsia="it-IT"/>
              </w:rPr>
            </w:pPr>
          </w:p>
        </w:tc>
        <w:tc>
          <w:tcPr>
            <w:tcW w:w="1205" w:type="dxa"/>
            <w:tcBorders>
              <w:top w:val="single" w:sz="6" w:space="0" w:color="auto"/>
              <w:left w:val="single" w:sz="6" w:space="0" w:color="auto"/>
              <w:bottom w:val="single" w:sz="6" w:space="0" w:color="auto"/>
              <w:right w:val="single" w:sz="4" w:space="0" w:color="auto"/>
            </w:tcBorders>
            <w:shd w:val="clear" w:color="auto" w:fill="F2F2F2" w:themeFill="background1" w:themeFillShade="F2"/>
          </w:tcPr>
          <w:p w:rsidR="002A0515" w:rsidRPr="00E30DEC" w:rsidRDefault="002A0515" w:rsidP="00A54BE4">
            <w:pPr>
              <w:pStyle w:val="TableText"/>
              <w:snapToGrid w:val="0"/>
              <w:rPr>
                <w:lang w:eastAsia="it-IT"/>
              </w:rPr>
            </w:pPr>
          </w:p>
        </w:tc>
      </w:tr>
      <w:tr w:rsidR="002A0515" w:rsidRPr="00E30DEC" w:rsidTr="00A54BE4">
        <w:trPr>
          <w:cantSplit/>
          <w:trHeight w:val="285"/>
        </w:trPr>
        <w:tc>
          <w:tcPr>
            <w:tcW w:w="6804" w:type="dxa"/>
            <w:gridSpan w:val="2"/>
            <w:tcBorders>
              <w:top w:val="single" w:sz="6" w:space="0" w:color="auto"/>
              <w:left w:val="nil"/>
              <w:bottom w:val="single" w:sz="4" w:space="0" w:color="auto"/>
              <w:right w:val="nil"/>
            </w:tcBorders>
            <w:shd w:val="clear" w:color="auto" w:fill="D9D9D9" w:themeFill="background1" w:themeFillShade="D9"/>
          </w:tcPr>
          <w:p w:rsidR="002A0515" w:rsidRPr="00E30DEC" w:rsidRDefault="002A0515" w:rsidP="00A54BE4">
            <w:pPr>
              <w:pStyle w:val="Default"/>
              <w:ind w:firstLineChars="50" w:firstLine="85"/>
              <w:rPr>
                <w:b/>
                <w:sz w:val="17"/>
                <w:szCs w:val="17"/>
                <w:lang w:eastAsia="it-IT"/>
              </w:rPr>
            </w:pPr>
            <w:r w:rsidRPr="00E30DEC">
              <w:rPr>
                <w:b/>
                <w:sz w:val="17"/>
                <w:szCs w:val="17"/>
                <w:lang w:eastAsia="it-IT"/>
              </w:rPr>
              <w:t>Exposures arising from derivative contracts</w:t>
            </w:r>
          </w:p>
        </w:tc>
        <w:tc>
          <w:tcPr>
            <w:tcW w:w="1205" w:type="dxa"/>
            <w:tcBorders>
              <w:top w:val="single" w:sz="6" w:space="0" w:color="auto"/>
              <w:left w:val="nil"/>
              <w:bottom w:val="single" w:sz="4" w:space="0" w:color="auto"/>
              <w:right w:val="nil"/>
            </w:tcBorders>
            <w:shd w:val="clear" w:color="auto" w:fill="D9D9D9" w:themeFill="background1" w:themeFillShade="D9"/>
          </w:tcPr>
          <w:p w:rsidR="002A0515" w:rsidRPr="00E30DEC" w:rsidRDefault="002A0515" w:rsidP="00A54BE4">
            <w:pPr>
              <w:pStyle w:val="TableText"/>
              <w:snapToGrid w:val="0"/>
              <w:rPr>
                <w:lang w:eastAsia="it-IT"/>
              </w:rPr>
            </w:pPr>
          </w:p>
        </w:tc>
        <w:tc>
          <w:tcPr>
            <w:tcW w:w="1205" w:type="dxa"/>
            <w:tcBorders>
              <w:top w:val="single" w:sz="6" w:space="0" w:color="auto"/>
              <w:left w:val="nil"/>
              <w:bottom w:val="single" w:sz="4" w:space="0" w:color="auto"/>
              <w:right w:val="single" w:sz="4" w:space="0" w:color="auto"/>
            </w:tcBorders>
            <w:shd w:val="clear" w:color="auto" w:fill="D9D9D9" w:themeFill="background1" w:themeFillShade="D9"/>
          </w:tcPr>
          <w:p w:rsidR="002A0515" w:rsidRPr="00E30DEC" w:rsidRDefault="002A0515" w:rsidP="00A54BE4">
            <w:pPr>
              <w:pStyle w:val="TableText"/>
              <w:snapToGrid w:val="0"/>
              <w:rPr>
                <w:lang w:eastAsia="it-IT"/>
              </w:rPr>
            </w:pPr>
          </w:p>
        </w:tc>
      </w:tr>
      <w:tr w:rsidR="002A0515" w:rsidRPr="00E30DEC" w:rsidTr="00A54BE4">
        <w:trPr>
          <w:cantSplit/>
          <w:trHeight w:val="270"/>
        </w:trPr>
        <w:tc>
          <w:tcPr>
            <w:tcW w:w="567" w:type="dxa"/>
            <w:tcBorders>
              <w:top w:val="single" w:sz="4" w:space="0" w:color="auto"/>
              <w:left w:val="nil"/>
              <w:bottom w:val="single" w:sz="4" w:space="0" w:color="auto"/>
              <w:right w:val="single" w:sz="4" w:space="0" w:color="auto"/>
            </w:tcBorders>
            <w:shd w:val="clear" w:color="auto" w:fill="auto"/>
          </w:tcPr>
          <w:p w:rsidR="002A0515" w:rsidRPr="00E30DEC" w:rsidRDefault="002A0515" w:rsidP="002A0515">
            <w:pPr>
              <w:pStyle w:val="TableText"/>
              <w:numPr>
                <w:ilvl w:val="0"/>
                <w:numId w:val="91"/>
              </w:numPr>
              <w:snapToGrid w:val="0"/>
              <w:rPr>
                <w:szCs w:val="17"/>
                <w:lang w:eastAsia="en-GB"/>
              </w:rPr>
            </w:pPr>
          </w:p>
        </w:tc>
        <w:tc>
          <w:tcPr>
            <w:tcW w:w="6237" w:type="dxa"/>
            <w:tcBorders>
              <w:top w:val="single" w:sz="4" w:space="0" w:color="auto"/>
              <w:left w:val="single" w:sz="4" w:space="0" w:color="auto"/>
              <w:bottom w:val="single" w:sz="4" w:space="0" w:color="auto"/>
              <w:right w:val="single" w:sz="4" w:space="0" w:color="auto"/>
            </w:tcBorders>
            <w:shd w:val="clear" w:color="auto" w:fill="auto"/>
          </w:tcPr>
          <w:p w:rsidR="002A0515" w:rsidRPr="00E30DEC" w:rsidRDefault="002A0515" w:rsidP="00A54BE4">
            <w:pPr>
              <w:pStyle w:val="TableText"/>
              <w:snapToGrid w:val="0"/>
              <w:ind w:left="57" w:rightChars="71" w:right="142"/>
              <w:rPr>
                <w:szCs w:val="17"/>
                <w:lang w:eastAsia="it-IT"/>
              </w:rPr>
            </w:pPr>
            <w:r w:rsidRPr="00E30DEC">
              <w:rPr>
                <w:szCs w:val="17"/>
                <w:lang w:eastAsia="it-IT"/>
              </w:rPr>
              <w:t>Replacement cost associated with all derivative contracts (where applicable net of eligible cash variation margin and/or with bilateral netting)</w:t>
            </w:r>
          </w:p>
        </w:tc>
        <w:tc>
          <w:tcPr>
            <w:tcW w:w="1205" w:type="dxa"/>
            <w:tcBorders>
              <w:top w:val="single" w:sz="4" w:space="0" w:color="auto"/>
              <w:left w:val="single" w:sz="4" w:space="0" w:color="auto"/>
              <w:bottom w:val="single" w:sz="4" w:space="0" w:color="auto"/>
              <w:right w:val="single" w:sz="4" w:space="0" w:color="auto"/>
            </w:tcBorders>
            <w:shd w:val="clear" w:color="auto" w:fill="auto"/>
          </w:tcPr>
          <w:p w:rsidR="002A0515" w:rsidRPr="00E30DEC" w:rsidRDefault="002A0515" w:rsidP="00A54BE4">
            <w:pPr>
              <w:pStyle w:val="TableText"/>
              <w:snapToGrid w:val="0"/>
              <w:rPr>
                <w:szCs w:val="17"/>
                <w:lang w:eastAsia="it-IT"/>
              </w:rPr>
            </w:pPr>
          </w:p>
        </w:tc>
        <w:tc>
          <w:tcPr>
            <w:tcW w:w="1205" w:type="dxa"/>
            <w:tcBorders>
              <w:top w:val="single" w:sz="4" w:space="0" w:color="auto"/>
              <w:left w:val="single" w:sz="4" w:space="0" w:color="auto"/>
              <w:bottom w:val="single" w:sz="4" w:space="0" w:color="auto"/>
              <w:right w:val="single" w:sz="4" w:space="0" w:color="auto"/>
            </w:tcBorders>
            <w:shd w:val="clear" w:color="auto" w:fill="auto"/>
          </w:tcPr>
          <w:p w:rsidR="002A0515" w:rsidRPr="00E30DEC" w:rsidRDefault="002A0515" w:rsidP="00A54BE4">
            <w:pPr>
              <w:pStyle w:val="TableText"/>
              <w:snapToGrid w:val="0"/>
              <w:rPr>
                <w:szCs w:val="17"/>
                <w:lang w:eastAsia="it-IT"/>
              </w:rPr>
            </w:pPr>
          </w:p>
        </w:tc>
      </w:tr>
      <w:tr w:rsidR="002A0515" w:rsidRPr="00E30DEC" w:rsidTr="00A54BE4">
        <w:trPr>
          <w:cantSplit/>
          <w:trHeight w:val="270"/>
        </w:trPr>
        <w:tc>
          <w:tcPr>
            <w:tcW w:w="567" w:type="dxa"/>
            <w:tcBorders>
              <w:top w:val="single" w:sz="4" w:space="0" w:color="auto"/>
              <w:left w:val="nil"/>
              <w:bottom w:val="single" w:sz="4" w:space="0" w:color="auto"/>
              <w:right w:val="single" w:sz="4" w:space="0" w:color="auto"/>
            </w:tcBorders>
            <w:shd w:val="clear" w:color="auto" w:fill="auto"/>
          </w:tcPr>
          <w:p w:rsidR="002A0515" w:rsidRPr="00E30DEC" w:rsidRDefault="002A0515" w:rsidP="002A0515">
            <w:pPr>
              <w:pStyle w:val="TableText"/>
              <w:numPr>
                <w:ilvl w:val="0"/>
                <w:numId w:val="91"/>
              </w:numPr>
              <w:snapToGrid w:val="0"/>
              <w:rPr>
                <w:szCs w:val="17"/>
                <w:lang w:eastAsia="en-GB"/>
              </w:rPr>
            </w:pPr>
          </w:p>
        </w:tc>
        <w:tc>
          <w:tcPr>
            <w:tcW w:w="6237" w:type="dxa"/>
            <w:tcBorders>
              <w:top w:val="single" w:sz="4" w:space="0" w:color="auto"/>
              <w:left w:val="single" w:sz="4" w:space="0" w:color="auto"/>
              <w:bottom w:val="single" w:sz="4" w:space="0" w:color="auto"/>
              <w:right w:val="single" w:sz="4" w:space="0" w:color="auto"/>
            </w:tcBorders>
            <w:shd w:val="clear" w:color="auto" w:fill="auto"/>
          </w:tcPr>
          <w:p w:rsidR="002A0515" w:rsidRPr="00E30DEC" w:rsidRDefault="002A0515" w:rsidP="00A54BE4">
            <w:pPr>
              <w:pStyle w:val="TableText"/>
              <w:snapToGrid w:val="0"/>
              <w:ind w:left="57" w:rightChars="71" w:right="142"/>
              <w:rPr>
                <w:szCs w:val="17"/>
                <w:lang w:eastAsia="it-IT"/>
              </w:rPr>
            </w:pPr>
            <w:r w:rsidRPr="00E30DEC">
              <w:rPr>
                <w:szCs w:val="17"/>
                <w:lang w:eastAsia="it-IT"/>
              </w:rPr>
              <w:t>Add-on amounts for PFE associated with all derivative contracts</w:t>
            </w:r>
          </w:p>
        </w:tc>
        <w:tc>
          <w:tcPr>
            <w:tcW w:w="1205" w:type="dxa"/>
            <w:tcBorders>
              <w:top w:val="single" w:sz="4" w:space="0" w:color="auto"/>
              <w:left w:val="single" w:sz="4" w:space="0" w:color="auto"/>
              <w:bottom w:val="single" w:sz="4" w:space="0" w:color="auto"/>
              <w:right w:val="single" w:sz="4" w:space="0" w:color="auto"/>
            </w:tcBorders>
            <w:shd w:val="clear" w:color="auto" w:fill="auto"/>
          </w:tcPr>
          <w:p w:rsidR="002A0515" w:rsidRPr="00E30DEC" w:rsidRDefault="002A0515" w:rsidP="00A54BE4">
            <w:pPr>
              <w:pStyle w:val="TableText"/>
              <w:snapToGrid w:val="0"/>
              <w:rPr>
                <w:szCs w:val="17"/>
                <w:lang w:eastAsia="it-IT"/>
              </w:rPr>
            </w:pPr>
          </w:p>
        </w:tc>
        <w:tc>
          <w:tcPr>
            <w:tcW w:w="1205" w:type="dxa"/>
            <w:tcBorders>
              <w:top w:val="single" w:sz="4" w:space="0" w:color="auto"/>
              <w:left w:val="single" w:sz="4" w:space="0" w:color="auto"/>
              <w:bottom w:val="single" w:sz="4" w:space="0" w:color="auto"/>
              <w:right w:val="single" w:sz="4" w:space="0" w:color="auto"/>
            </w:tcBorders>
            <w:shd w:val="clear" w:color="auto" w:fill="auto"/>
          </w:tcPr>
          <w:p w:rsidR="002A0515" w:rsidRPr="00E30DEC" w:rsidRDefault="002A0515" w:rsidP="00A54BE4">
            <w:pPr>
              <w:pStyle w:val="TableText"/>
              <w:snapToGrid w:val="0"/>
              <w:rPr>
                <w:szCs w:val="17"/>
                <w:lang w:eastAsia="it-IT"/>
              </w:rPr>
            </w:pPr>
          </w:p>
        </w:tc>
      </w:tr>
      <w:tr w:rsidR="002A0515" w:rsidRPr="00E30DEC" w:rsidTr="00A54BE4">
        <w:trPr>
          <w:cantSplit/>
          <w:trHeight w:val="270"/>
        </w:trPr>
        <w:tc>
          <w:tcPr>
            <w:tcW w:w="567" w:type="dxa"/>
            <w:tcBorders>
              <w:top w:val="single" w:sz="4" w:space="0" w:color="auto"/>
              <w:left w:val="nil"/>
              <w:bottom w:val="single" w:sz="4" w:space="0" w:color="auto"/>
              <w:right w:val="single" w:sz="4" w:space="0" w:color="auto"/>
            </w:tcBorders>
            <w:shd w:val="clear" w:color="auto" w:fill="auto"/>
          </w:tcPr>
          <w:p w:rsidR="002A0515" w:rsidRPr="00E30DEC" w:rsidRDefault="002A0515" w:rsidP="002A0515">
            <w:pPr>
              <w:pStyle w:val="TableText"/>
              <w:numPr>
                <w:ilvl w:val="0"/>
                <w:numId w:val="91"/>
              </w:numPr>
              <w:snapToGrid w:val="0"/>
              <w:rPr>
                <w:szCs w:val="17"/>
                <w:lang w:eastAsia="en-GB"/>
              </w:rPr>
            </w:pPr>
          </w:p>
        </w:tc>
        <w:tc>
          <w:tcPr>
            <w:tcW w:w="6237" w:type="dxa"/>
            <w:tcBorders>
              <w:top w:val="single" w:sz="4" w:space="0" w:color="auto"/>
              <w:left w:val="single" w:sz="4" w:space="0" w:color="auto"/>
              <w:bottom w:val="single" w:sz="4" w:space="0" w:color="auto"/>
              <w:right w:val="single" w:sz="4" w:space="0" w:color="auto"/>
            </w:tcBorders>
            <w:shd w:val="clear" w:color="auto" w:fill="auto"/>
          </w:tcPr>
          <w:p w:rsidR="002A0515" w:rsidRPr="00E30DEC" w:rsidRDefault="002A0515" w:rsidP="00A54BE4">
            <w:pPr>
              <w:pStyle w:val="TableText"/>
              <w:snapToGrid w:val="0"/>
              <w:ind w:left="57" w:rightChars="71" w:right="142"/>
              <w:rPr>
                <w:szCs w:val="17"/>
                <w:lang w:eastAsia="it-IT"/>
              </w:rPr>
            </w:pPr>
            <w:r w:rsidRPr="00E30DEC">
              <w:rPr>
                <w:szCs w:val="17"/>
                <w:lang w:eastAsia="it-IT"/>
              </w:rPr>
              <w:t xml:space="preserve">Gross-up for </w:t>
            </w:r>
            <w:r w:rsidRPr="00F63E51">
              <w:rPr>
                <w:szCs w:val="17"/>
                <w:lang w:eastAsia="it-IT"/>
              </w:rPr>
              <w:t xml:space="preserve">collateral provided </w:t>
            </w:r>
            <w:r w:rsidRPr="00AC6DA4">
              <w:rPr>
                <w:szCs w:val="17"/>
                <w:lang w:eastAsia="it-IT"/>
              </w:rPr>
              <w:t>in respect of derivative contracts</w:t>
            </w:r>
            <w:r w:rsidRPr="00F63E51">
              <w:rPr>
                <w:szCs w:val="17"/>
                <w:lang w:eastAsia="it-IT"/>
              </w:rPr>
              <w:t xml:space="preserve"> where deducted from the balance sheet assets pursuant to the applicable accounting framework</w:t>
            </w:r>
          </w:p>
        </w:tc>
        <w:tc>
          <w:tcPr>
            <w:tcW w:w="1205" w:type="dxa"/>
            <w:tcBorders>
              <w:top w:val="single" w:sz="4" w:space="0" w:color="auto"/>
              <w:left w:val="single" w:sz="4" w:space="0" w:color="auto"/>
              <w:bottom w:val="single" w:sz="4" w:space="0" w:color="auto"/>
              <w:right w:val="single" w:sz="4" w:space="0" w:color="auto"/>
            </w:tcBorders>
            <w:shd w:val="clear" w:color="auto" w:fill="auto"/>
          </w:tcPr>
          <w:p w:rsidR="002A0515" w:rsidRPr="00B01815" w:rsidRDefault="002A0515" w:rsidP="00A54BE4">
            <w:pPr>
              <w:pStyle w:val="TableText"/>
              <w:snapToGrid w:val="0"/>
              <w:rPr>
                <w:strike/>
                <w:color w:val="FF0000"/>
              </w:rPr>
            </w:pPr>
          </w:p>
        </w:tc>
        <w:tc>
          <w:tcPr>
            <w:tcW w:w="1205" w:type="dxa"/>
            <w:tcBorders>
              <w:top w:val="single" w:sz="4" w:space="0" w:color="auto"/>
              <w:left w:val="single" w:sz="4" w:space="0" w:color="auto"/>
              <w:bottom w:val="single" w:sz="4" w:space="0" w:color="auto"/>
              <w:right w:val="single" w:sz="4" w:space="0" w:color="auto"/>
            </w:tcBorders>
            <w:shd w:val="clear" w:color="auto" w:fill="auto"/>
          </w:tcPr>
          <w:p w:rsidR="002A0515" w:rsidRPr="00B01815" w:rsidRDefault="002A0515" w:rsidP="00A54BE4">
            <w:pPr>
              <w:pStyle w:val="TableText"/>
              <w:snapToGrid w:val="0"/>
              <w:rPr>
                <w:strike/>
                <w:color w:val="FF0000"/>
              </w:rPr>
            </w:pPr>
          </w:p>
        </w:tc>
      </w:tr>
      <w:tr w:rsidR="002A0515" w:rsidRPr="00E30DEC" w:rsidTr="00A54BE4">
        <w:trPr>
          <w:cantSplit/>
          <w:trHeight w:val="270"/>
        </w:trPr>
        <w:tc>
          <w:tcPr>
            <w:tcW w:w="567" w:type="dxa"/>
            <w:tcBorders>
              <w:top w:val="single" w:sz="4" w:space="0" w:color="auto"/>
              <w:left w:val="nil"/>
              <w:bottom w:val="single" w:sz="4" w:space="0" w:color="auto"/>
              <w:right w:val="single" w:sz="4" w:space="0" w:color="auto"/>
            </w:tcBorders>
            <w:shd w:val="clear" w:color="auto" w:fill="auto"/>
          </w:tcPr>
          <w:p w:rsidR="002A0515" w:rsidRPr="00E30DEC" w:rsidRDefault="002A0515" w:rsidP="002A0515">
            <w:pPr>
              <w:pStyle w:val="TableText"/>
              <w:numPr>
                <w:ilvl w:val="0"/>
                <w:numId w:val="91"/>
              </w:numPr>
              <w:snapToGrid w:val="0"/>
              <w:rPr>
                <w:szCs w:val="17"/>
                <w:lang w:eastAsia="en-GB"/>
              </w:rPr>
            </w:pPr>
          </w:p>
        </w:tc>
        <w:tc>
          <w:tcPr>
            <w:tcW w:w="6237" w:type="dxa"/>
            <w:tcBorders>
              <w:top w:val="single" w:sz="4" w:space="0" w:color="auto"/>
              <w:left w:val="single" w:sz="4" w:space="0" w:color="auto"/>
              <w:bottom w:val="single" w:sz="4" w:space="0" w:color="auto"/>
              <w:right w:val="single" w:sz="4" w:space="0" w:color="auto"/>
            </w:tcBorders>
            <w:shd w:val="clear" w:color="auto" w:fill="auto"/>
          </w:tcPr>
          <w:p w:rsidR="002A0515" w:rsidRPr="00E30DEC" w:rsidRDefault="002A0515" w:rsidP="00A54BE4">
            <w:pPr>
              <w:pStyle w:val="TableText"/>
              <w:snapToGrid w:val="0"/>
              <w:ind w:left="57" w:rightChars="71" w:right="142"/>
              <w:rPr>
                <w:szCs w:val="17"/>
                <w:lang w:eastAsia="it-IT"/>
              </w:rPr>
            </w:pPr>
            <w:r w:rsidRPr="00E30DEC">
              <w:rPr>
                <w:szCs w:val="17"/>
                <w:lang w:eastAsia="it-IT"/>
              </w:rPr>
              <w:t>Less: Deductions of receivables assets for cash variation margin provided under derivative contracts</w:t>
            </w:r>
          </w:p>
        </w:tc>
        <w:tc>
          <w:tcPr>
            <w:tcW w:w="1205" w:type="dxa"/>
            <w:tcBorders>
              <w:top w:val="single" w:sz="4" w:space="0" w:color="auto"/>
              <w:left w:val="single" w:sz="4" w:space="0" w:color="auto"/>
              <w:bottom w:val="single" w:sz="4" w:space="0" w:color="auto"/>
              <w:right w:val="single" w:sz="4" w:space="0" w:color="auto"/>
            </w:tcBorders>
            <w:shd w:val="clear" w:color="auto" w:fill="auto"/>
          </w:tcPr>
          <w:p w:rsidR="002A0515" w:rsidRPr="00B01815" w:rsidRDefault="002A0515" w:rsidP="00A54BE4">
            <w:pPr>
              <w:pStyle w:val="TableText"/>
              <w:snapToGrid w:val="0"/>
              <w:rPr>
                <w:strike/>
                <w:color w:val="FF0000"/>
              </w:rPr>
            </w:pPr>
          </w:p>
        </w:tc>
        <w:tc>
          <w:tcPr>
            <w:tcW w:w="1205" w:type="dxa"/>
            <w:tcBorders>
              <w:top w:val="single" w:sz="4" w:space="0" w:color="auto"/>
              <w:left w:val="single" w:sz="4" w:space="0" w:color="auto"/>
              <w:bottom w:val="single" w:sz="4" w:space="0" w:color="auto"/>
              <w:right w:val="single" w:sz="4" w:space="0" w:color="auto"/>
            </w:tcBorders>
            <w:shd w:val="clear" w:color="auto" w:fill="auto"/>
          </w:tcPr>
          <w:p w:rsidR="002A0515" w:rsidRPr="00B01815" w:rsidRDefault="002A0515" w:rsidP="00A54BE4">
            <w:pPr>
              <w:pStyle w:val="TableText"/>
              <w:snapToGrid w:val="0"/>
              <w:rPr>
                <w:strike/>
                <w:color w:val="FF0000"/>
              </w:rPr>
            </w:pPr>
          </w:p>
        </w:tc>
      </w:tr>
      <w:tr w:rsidR="002A0515" w:rsidRPr="00E30DEC" w:rsidTr="00A54BE4">
        <w:trPr>
          <w:cantSplit/>
          <w:trHeight w:val="270"/>
        </w:trPr>
        <w:tc>
          <w:tcPr>
            <w:tcW w:w="567" w:type="dxa"/>
            <w:tcBorders>
              <w:top w:val="single" w:sz="4" w:space="0" w:color="auto"/>
              <w:left w:val="nil"/>
              <w:bottom w:val="single" w:sz="4" w:space="0" w:color="auto"/>
              <w:right w:val="single" w:sz="4" w:space="0" w:color="auto"/>
            </w:tcBorders>
            <w:shd w:val="clear" w:color="auto" w:fill="auto"/>
          </w:tcPr>
          <w:p w:rsidR="002A0515" w:rsidRPr="00E30DEC" w:rsidRDefault="002A0515" w:rsidP="002A0515">
            <w:pPr>
              <w:pStyle w:val="TableText"/>
              <w:numPr>
                <w:ilvl w:val="0"/>
                <w:numId w:val="91"/>
              </w:numPr>
              <w:snapToGrid w:val="0"/>
              <w:rPr>
                <w:szCs w:val="17"/>
                <w:lang w:eastAsia="en-GB"/>
              </w:rPr>
            </w:pPr>
          </w:p>
        </w:tc>
        <w:tc>
          <w:tcPr>
            <w:tcW w:w="6237" w:type="dxa"/>
            <w:tcBorders>
              <w:top w:val="single" w:sz="4" w:space="0" w:color="auto"/>
              <w:left w:val="single" w:sz="4" w:space="0" w:color="auto"/>
              <w:bottom w:val="single" w:sz="4" w:space="0" w:color="auto"/>
              <w:right w:val="single" w:sz="4" w:space="0" w:color="auto"/>
            </w:tcBorders>
            <w:shd w:val="clear" w:color="auto" w:fill="auto"/>
          </w:tcPr>
          <w:p w:rsidR="002A0515" w:rsidRPr="00E30DEC" w:rsidRDefault="002A0515" w:rsidP="00A54BE4">
            <w:pPr>
              <w:pStyle w:val="TableText"/>
              <w:snapToGrid w:val="0"/>
              <w:ind w:left="57" w:rightChars="71" w:right="142"/>
              <w:rPr>
                <w:szCs w:val="17"/>
                <w:lang w:eastAsia="it-IT"/>
              </w:rPr>
            </w:pPr>
            <w:r w:rsidRPr="00E30DEC">
              <w:rPr>
                <w:szCs w:val="17"/>
                <w:lang w:eastAsia="it-IT"/>
              </w:rPr>
              <w:t>Less: Exempted CCP leg of client-cleared trade exposures</w:t>
            </w:r>
          </w:p>
        </w:tc>
        <w:tc>
          <w:tcPr>
            <w:tcW w:w="1205" w:type="dxa"/>
            <w:tcBorders>
              <w:top w:val="single" w:sz="4" w:space="0" w:color="auto"/>
              <w:left w:val="single" w:sz="4" w:space="0" w:color="auto"/>
              <w:bottom w:val="single" w:sz="4" w:space="0" w:color="auto"/>
              <w:right w:val="single" w:sz="4" w:space="0" w:color="auto"/>
            </w:tcBorders>
            <w:shd w:val="clear" w:color="auto" w:fill="auto"/>
          </w:tcPr>
          <w:p w:rsidR="002A0515" w:rsidRPr="00E30DEC" w:rsidRDefault="002A0515" w:rsidP="00A54BE4">
            <w:pPr>
              <w:pStyle w:val="TableText"/>
              <w:snapToGrid w:val="0"/>
              <w:rPr>
                <w:szCs w:val="17"/>
                <w:lang w:eastAsia="it-IT"/>
              </w:rPr>
            </w:pPr>
          </w:p>
        </w:tc>
        <w:tc>
          <w:tcPr>
            <w:tcW w:w="1205" w:type="dxa"/>
            <w:tcBorders>
              <w:top w:val="single" w:sz="4" w:space="0" w:color="auto"/>
              <w:left w:val="single" w:sz="4" w:space="0" w:color="auto"/>
              <w:bottom w:val="single" w:sz="4" w:space="0" w:color="auto"/>
              <w:right w:val="single" w:sz="4" w:space="0" w:color="auto"/>
            </w:tcBorders>
            <w:shd w:val="clear" w:color="auto" w:fill="auto"/>
          </w:tcPr>
          <w:p w:rsidR="002A0515" w:rsidRPr="00E30DEC" w:rsidRDefault="002A0515" w:rsidP="00A54BE4">
            <w:pPr>
              <w:pStyle w:val="TableText"/>
              <w:snapToGrid w:val="0"/>
              <w:rPr>
                <w:szCs w:val="17"/>
                <w:lang w:eastAsia="it-IT"/>
              </w:rPr>
            </w:pPr>
          </w:p>
        </w:tc>
      </w:tr>
      <w:tr w:rsidR="002A0515" w:rsidRPr="00E30DEC" w:rsidTr="00A54BE4">
        <w:trPr>
          <w:cantSplit/>
          <w:trHeight w:val="270"/>
        </w:trPr>
        <w:tc>
          <w:tcPr>
            <w:tcW w:w="567" w:type="dxa"/>
            <w:tcBorders>
              <w:top w:val="single" w:sz="4" w:space="0" w:color="auto"/>
              <w:left w:val="nil"/>
              <w:bottom w:val="single" w:sz="4" w:space="0" w:color="auto"/>
              <w:right w:val="single" w:sz="4" w:space="0" w:color="auto"/>
            </w:tcBorders>
            <w:shd w:val="clear" w:color="auto" w:fill="auto"/>
          </w:tcPr>
          <w:p w:rsidR="002A0515" w:rsidRPr="00E30DEC" w:rsidRDefault="002A0515" w:rsidP="002A0515">
            <w:pPr>
              <w:pStyle w:val="TableText"/>
              <w:numPr>
                <w:ilvl w:val="0"/>
                <w:numId w:val="91"/>
              </w:numPr>
              <w:snapToGrid w:val="0"/>
              <w:rPr>
                <w:szCs w:val="17"/>
                <w:lang w:eastAsia="en-GB"/>
              </w:rPr>
            </w:pPr>
          </w:p>
        </w:tc>
        <w:tc>
          <w:tcPr>
            <w:tcW w:w="6237" w:type="dxa"/>
            <w:tcBorders>
              <w:top w:val="single" w:sz="4" w:space="0" w:color="auto"/>
              <w:left w:val="single" w:sz="4" w:space="0" w:color="auto"/>
              <w:bottom w:val="single" w:sz="4" w:space="0" w:color="auto"/>
              <w:right w:val="single" w:sz="4" w:space="0" w:color="auto"/>
            </w:tcBorders>
            <w:shd w:val="clear" w:color="auto" w:fill="auto"/>
          </w:tcPr>
          <w:p w:rsidR="002A0515" w:rsidRPr="00E30DEC" w:rsidRDefault="002A0515" w:rsidP="00A54BE4">
            <w:pPr>
              <w:pStyle w:val="TableText"/>
              <w:snapToGrid w:val="0"/>
              <w:ind w:left="57" w:rightChars="71" w:right="142"/>
              <w:rPr>
                <w:szCs w:val="17"/>
                <w:lang w:eastAsia="it-IT"/>
              </w:rPr>
            </w:pPr>
            <w:r w:rsidRPr="00E30DEC">
              <w:rPr>
                <w:szCs w:val="17"/>
                <w:lang w:eastAsia="it-IT"/>
              </w:rPr>
              <w:t xml:space="preserve">Adjusted effective notional amount of written </w:t>
            </w:r>
            <w:r>
              <w:rPr>
                <w:szCs w:val="17"/>
                <w:lang w:eastAsia="it-IT"/>
              </w:rPr>
              <w:t>credit-related derivative</w:t>
            </w:r>
            <w:r w:rsidRPr="00E30DEC">
              <w:rPr>
                <w:szCs w:val="17"/>
                <w:lang w:eastAsia="it-IT"/>
              </w:rPr>
              <w:t xml:space="preserve"> contracts</w:t>
            </w:r>
          </w:p>
        </w:tc>
        <w:tc>
          <w:tcPr>
            <w:tcW w:w="1205" w:type="dxa"/>
            <w:tcBorders>
              <w:top w:val="single" w:sz="4" w:space="0" w:color="auto"/>
              <w:left w:val="single" w:sz="4" w:space="0" w:color="auto"/>
              <w:bottom w:val="single" w:sz="4" w:space="0" w:color="auto"/>
              <w:right w:val="single" w:sz="4" w:space="0" w:color="auto"/>
            </w:tcBorders>
            <w:shd w:val="clear" w:color="auto" w:fill="auto"/>
          </w:tcPr>
          <w:p w:rsidR="002A0515" w:rsidRPr="00E30DEC" w:rsidRDefault="002A0515" w:rsidP="00A54BE4">
            <w:pPr>
              <w:pStyle w:val="TableText"/>
              <w:snapToGrid w:val="0"/>
              <w:rPr>
                <w:szCs w:val="17"/>
                <w:lang w:eastAsia="it-IT"/>
              </w:rPr>
            </w:pPr>
          </w:p>
        </w:tc>
        <w:tc>
          <w:tcPr>
            <w:tcW w:w="1205" w:type="dxa"/>
            <w:tcBorders>
              <w:top w:val="single" w:sz="4" w:space="0" w:color="auto"/>
              <w:left w:val="single" w:sz="4" w:space="0" w:color="auto"/>
              <w:bottom w:val="single" w:sz="4" w:space="0" w:color="auto"/>
              <w:right w:val="single" w:sz="4" w:space="0" w:color="auto"/>
            </w:tcBorders>
            <w:shd w:val="clear" w:color="auto" w:fill="auto"/>
          </w:tcPr>
          <w:p w:rsidR="002A0515" w:rsidRPr="00E30DEC" w:rsidRDefault="002A0515" w:rsidP="00A54BE4">
            <w:pPr>
              <w:pStyle w:val="TableText"/>
              <w:snapToGrid w:val="0"/>
              <w:rPr>
                <w:szCs w:val="17"/>
                <w:lang w:eastAsia="it-IT"/>
              </w:rPr>
            </w:pPr>
          </w:p>
        </w:tc>
      </w:tr>
      <w:tr w:rsidR="002A0515" w:rsidRPr="00E30DEC" w:rsidTr="00A54BE4">
        <w:trPr>
          <w:cantSplit/>
          <w:trHeight w:val="270"/>
        </w:trPr>
        <w:tc>
          <w:tcPr>
            <w:tcW w:w="567" w:type="dxa"/>
            <w:tcBorders>
              <w:top w:val="single" w:sz="4" w:space="0" w:color="auto"/>
              <w:left w:val="nil"/>
              <w:bottom w:val="single" w:sz="4" w:space="0" w:color="auto"/>
              <w:right w:val="single" w:sz="4" w:space="0" w:color="auto"/>
            </w:tcBorders>
            <w:shd w:val="clear" w:color="auto" w:fill="auto"/>
          </w:tcPr>
          <w:p w:rsidR="002A0515" w:rsidRPr="00E30DEC" w:rsidRDefault="002A0515" w:rsidP="002A0515">
            <w:pPr>
              <w:pStyle w:val="TableText"/>
              <w:numPr>
                <w:ilvl w:val="0"/>
                <w:numId w:val="91"/>
              </w:numPr>
              <w:snapToGrid w:val="0"/>
              <w:rPr>
                <w:szCs w:val="17"/>
                <w:lang w:eastAsia="en-GB"/>
              </w:rPr>
            </w:pPr>
          </w:p>
        </w:tc>
        <w:tc>
          <w:tcPr>
            <w:tcW w:w="6237" w:type="dxa"/>
            <w:tcBorders>
              <w:top w:val="single" w:sz="4" w:space="0" w:color="auto"/>
              <w:left w:val="single" w:sz="4" w:space="0" w:color="auto"/>
              <w:bottom w:val="single" w:sz="4" w:space="0" w:color="auto"/>
              <w:right w:val="single" w:sz="4" w:space="0" w:color="auto"/>
            </w:tcBorders>
            <w:shd w:val="clear" w:color="auto" w:fill="auto"/>
          </w:tcPr>
          <w:p w:rsidR="002A0515" w:rsidRPr="00E30DEC" w:rsidRDefault="002A0515" w:rsidP="00A54BE4">
            <w:pPr>
              <w:pStyle w:val="TableText"/>
              <w:snapToGrid w:val="0"/>
              <w:ind w:left="57" w:rightChars="71" w:right="142"/>
              <w:rPr>
                <w:szCs w:val="17"/>
                <w:lang w:eastAsia="it-IT"/>
              </w:rPr>
            </w:pPr>
            <w:r w:rsidRPr="00E30DEC">
              <w:rPr>
                <w:szCs w:val="17"/>
                <w:lang w:eastAsia="it-IT"/>
              </w:rPr>
              <w:t xml:space="preserve">Less: Adjusted effective notional offsets and add-on deductions for written </w:t>
            </w:r>
            <w:r>
              <w:rPr>
                <w:szCs w:val="17"/>
                <w:lang w:eastAsia="it-IT"/>
              </w:rPr>
              <w:t>credit-related derivative</w:t>
            </w:r>
            <w:r w:rsidRPr="00E30DEC">
              <w:rPr>
                <w:szCs w:val="17"/>
                <w:lang w:eastAsia="it-IT"/>
              </w:rPr>
              <w:t xml:space="preserve"> contracts</w:t>
            </w:r>
          </w:p>
        </w:tc>
        <w:tc>
          <w:tcPr>
            <w:tcW w:w="1205" w:type="dxa"/>
            <w:tcBorders>
              <w:top w:val="single" w:sz="4" w:space="0" w:color="auto"/>
              <w:left w:val="single" w:sz="4" w:space="0" w:color="auto"/>
              <w:bottom w:val="single" w:sz="4" w:space="0" w:color="auto"/>
              <w:right w:val="single" w:sz="4" w:space="0" w:color="auto"/>
            </w:tcBorders>
            <w:shd w:val="clear" w:color="auto" w:fill="auto"/>
          </w:tcPr>
          <w:p w:rsidR="002A0515" w:rsidRPr="00E30DEC" w:rsidRDefault="002A0515" w:rsidP="00A54BE4">
            <w:pPr>
              <w:pStyle w:val="TableText"/>
              <w:snapToGrid w:val="0"/>
              <w:rPr>
                <w:szCs w:val="17"/>
                <w:lang w:eastAsia="it-IT"/>
              </w:rPr>
            </w:pPr>
          </w:p>
        </w:tc>
        <w:tc>
          <w:tcPr>
            <w:tcW w:w="1205" w:type="dxa"/>
            <w:tcBorders>
              <w:top w:val="single" w:sz="4" w:space="0" w:color="auto"/>
              <w:left w:val="single" w:sz="4" w:space="0" w:color="auto"/>
              <w:bottom w:val="single" w:sz="4" w:space="0" w:color="auto"/>
              <w:right w:val="single" w:sz="4" w:space="0" w:color="auto"/>
            </w:tcBorders>
            <w:shd w:val="clear" w:color="auto" w:fill="auto"/>
          </w:tcPr>
          <w:p w:rsidR="002A0515" w:rsidRPr="00E30DEC" w:rsidRDefault="002A0515" w:rsidP="00A54BE4">
            <w:pPr>
              <w:pStyle w:val="TableText"/>
              <w:snapToGrid w:val="0"/>
              <w:rPr>
                <w:szCs w:val="17"/>
                <w:lang w:eastAsia="it-IT"/>
              </w:rPr>
            </w:pPr>
          </w:p>
        </w:tc>
      </w:tr>
      <w:tr w:rsidR="002A0515" w:rsidRPr="00E30DEC" w:rsidTr="00A54BE4">
        <w:trPr>
          <w:cantSplit/>
          <w:trHeight w:val="270"/>
        </w:trPr>
        <w:tc>
          <w:tcPr>
            <w:tcW w:w="567" w:type="dxa"/>
            <w:tcBorders>
              <w:top w:val="single" w:sz="4" w:space="0" w:color="auto"/>
              <w:left w:val="nil"/>
              <w:bottom w:val="single" w:sz="4" w:space="0" w:color="auto"/>
              <w:right w:val="single" w:sz="4" w:space="0" w:color="auto"/>
            </w:tcBorders>
            <w:shd w:val="clear" w:color="auto" w:fill="auto"/>
          </w:tcPr>
          <w:p w:rsidR="002A0515" w:rsidRPr="00E30DEC" w:rsidRDefault="002A0515" w:rsidP="002A0515">
            <w:pPr>
              <w:pStyle w:val="TableText"/>
              <w:numPr>
                <w:ilvl w:val="0"/>
                <w:numId w:val="91"/>
              </w:numPr>
              <w:snapToGrid w:val="0"/>
              <w:rPr>
                <w:szCs w:val="17"/>
                <w:lang w:eastAsia="en-GB"/>
              </w:rPr>
            </w:pP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E30DEC" w:rsidRDefault="002A0515" w:rsidP="00A54BE4">
            <w:pPr>
              <w:pStyle w:val="TableText"/>
              <w:snapToGrid w:val="0"/>
              <w:ind w:left="57" w:rightChars="71" w:right="142"/>
              <w:rPr>
                <w:b/>
                <w:szCs w:val="17"/>
                <w:lang w:eastAsia="it-IT"/>
              </w:rPr>
            </w:pPr>
            <w:r w:rsidRPr="00E30DEC">
              <w:rPr>
                <w:b/>
                <w:szCs w:val="17"/>
                <w:lang w:eastAsia="it-IT"/>
              </w:rPr>
              <w:t>Total exposures arising from derivative contracts</w:t>
            </w:r>
          </w:p>
        </w:tc>
        <w:tc>
          <w:tcPr>
            <w:tcW w:w="120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E30DEC" w:rsidRDefault="002A0515" w:rsidP="00A54BE4">
            <w:pPr>
              <w:pStyle w:val="TableText"/>
              <w:snapToGrid w:val="0"/>
              <w:rPr>
                <w:szCs w:val="17"/>
                <w:lang w:eastAsia="it-IT"/>
              </w:rPr>
            </w:pPr>
          </w:p>
        </w:tc>
        <w:tc>
          <w:tcPr>
            <w:tcW w:w="120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E30DEC" w:rsidRDefault="002A0515" w:rsidP="00A54BE4">
            <w:pPr>
              <w:pStyle w:val="TableText"/>
              <w:snapToGrid w:val="0"/>
              <w:rPr>
                <w:szCs w:val="17"/>
                <w:lang w:eastAsia="it-IT"/>
              </w:rPr>
            </w:pPr>
          </w:p>
        </w:tc>
      </w:tr>
      <w:tr w:rsidR="002A0515" w:rsidRPr="00E30DEC" w:rsidTr="00A54BE4">
        <w:trPr>
          <w:cantSplit/>
          <w:trHeight w:val="270"/>
        </w:trPr>
        <w:tc>
          <w:tcPr>
            <w:tcW w:w="6804" w:type="dxa"/>
            <w:gridSpan w:val="2"/>
            <w:tcBorders>
              <w:top w:val="single" w:sz="6" w:space="0" w:color="auto"/>
              <w:left w:val="nil"/>
              <w:bottom w:val="single" w:sz="6" w:space="0" w:color="auto"/>
              <w:right w:val="nil"/>
            </w:tcBorders>
            <w:shd w:val="clear" w:color="auto" w:fill="D9D9D9" w:themeFill="background1" w:themeFillShade="D9"/>
          </w:tcPr>
          <w:p w:rsidR="002A0515" w:rsidRPr="00E30DEC" w:rsidRDefault="002A0515" w:rsidP="00A54BE4">
            <w:pPr>
              <w:pStyle w:val="Default"/>
              <w:ind w:firstLineChars="50" w:firstLine="85"/>
              <w:rPr>
                <w:b/>
                <w:bCs/>
                <w:sz w:val="17"/>
                <w:szCs w:val="17"/>
              </w:rPr>
            </w:pPr>
            <w:r w:rsidRPr="00E30DEC">
              <w:rPr>
                <w:b/>
                <w:sz w:val="17"/>
                <w:szCs w:val="17"/>
                <w:lang w:eastAsia="it-IT"/>
              </w:rPr>
              <w:t>Exposures arising from SFTs</w:t>
            </w:r>
          </w:p>
        </w:tc>
        <w:tc>
          <w:tcPr>
            <w:tcW w:w="1205" w:type="dxa"/>
            <w:tcBorders>
              <w:top w:val="single" w:sz="6" w:space="0" w:color="auto"/>
              <w:left w:val="nil"/>
              <w:bottom w:val="single" w:sz="6" w:space="0" w:color="auto"/>
              <w:right w:val="nil"/>
            </w:tcBorders>
            <w:shd w:val="clear" w:color="auto" w:fill="D9D9D9" w:themeFill="background1" w:themeFillShade="D9"/>
          </w:tcPr>
          <w:p w:rsidR="002A0515" w:rsidRPr="00E30DEC" w:rsidRDefault="002A0515" w:rsidP="00A54BE4">
            <w:pPr>
              <w:pStyle w:val="TableText"/>
              <w:snapToGrid w:val="0"/>
              <w:rPr>
                <w:lang w:eastAsia="it-IT"/>
              </w:rPr>
            </w:pPr>
          </w:p>
        </w:tc>
        <w:tc>
          <w:tcPr>
            <w:tcW w:w="1205" w:type="dxa"/>
            <w:tcBorders>
              <w:top w:val="single" w:sz="6" w:space="0" w:color="auto"/>
              <w:left w:val="nil"/>
              <w:bottom w:val="single" w:sz="6" w:space="0" w:color="auto"/>
              <w:right w:val="single" w:sz="4" w:space="0" w:color="auto"/>
            </w:tcBorders>
            <w:shd w:val="clear" w:color="auto" w:fill="D9D9D9" w:themeFill="background1" w:themeFillShade="D9"/>
          </w:tcPr>
          <w:p w:rsidR="002A0515" w:rsidRPr="00E30DEC" w:rsidRDefault="002A0515" w:rsidP="00A54BE4">
            <w:pPr>
              <w:pStyle w:val="TableText"/>
              <w:snapToGrid w:val="0"/>
              <w:rPr>
                <w:lang w:eastAsia="it-IT"/>
              </w:rPr>
            </w:pPr>
          </w:p>
        </w:tc>
      </w:tr>
      <w:tr w:rsidR="002A0515" w:rsidRPr="00E30DEC" w:rsidTr="00A54BE4">
        <w:trPr>
          <w:cantSplit/>
          <w:trHeight w:val="270"/>
        </w:trPr>
        <w:tc>
          <w:tcPr>
            <w:tcW w:w="567" w:type="dxa"/>
            <w:tcBorders>
              <w:top w:val="single" w:sz="6" w:space="0" w:color="auto"/>
              <w:left w:val="nil"/>
              <w:bottom w:val="single" w:sz="4" w:space="0" w:color="auto"/>
              <w:right w:val="single" w:sz="6" w:space="0" w:color="auto"/>
            </w:tcBorders>
            <w:shd w:val="clear" w:color="auto" w:fill="auto"/>
          </w:tcPr>
          <w:p w:rsidR="002A0515" w:rsidRPr="00E30DEC" w:rsidRDefault="002A0515" w:rsidP="002A0515">
            <w:pPr>
              <w:pStyle w:val="TableText"/>
              <w:numPr>
                <w:ilvl w:val="0"/>
                <w:numId w:val="91"/>
              </w:numPr>
              <w:snapToGrid w:val="0"/>
              <w:rPr>
                <w:szCs w:val="17"/>
                <w:lang w:eastAsia="en-GB"/>
              </w:rPr>
            </w:pPr>
          </w:p>
        </w:tc>
        <w:tc>
          <w:tcPr>
            <w:tcW w:w="6237" w:type="dxa"/>
            <w:tcBorders>
              <w:top w:val="single" w:sz="6" w:space="0" w:color="auto"/>
              <w:left w:val="single" w:sz="6" w:space="0" w:color="auto"/>
              <w:bottom w:val="single" w:sz="4" w:space="0" w:color="auto"/>
              <w:right w:val="single" w:sz="6" w:space="0" w:color="auto"/>
            </w:tcBorders>
            <w:shd w:val="clear" w:color="auto" w:fill="auto"/>
          </w:tcPr>
          <w:p w:rsidR="002A0515" w:rsidRPr="00E30DEC" w:rsidRDefault="002A0515" w:rsidP="00A54BE4">
            <w:pPr>
              <w:pStyle w:val="TableText"/>
              <w:snapToGrid w:val="0"/>
              <w:ind w:left="57" w:rightChars="71" w:right="142"/>
              <w:rPr>
                <w:szCs w:val="17"/>
                <w:lang w:eastAsia="it-IT"/>
              </w:rPr>
            </w:pPr>
            <w:r w:rsidRPr="00E30DEC">
              <w:rPr>
                <w:szCs w:val="17"/>
                <w:lang w:eastAsia="it-IT"/>
              </w:rPr>
              <w:t>Gross SFT assets (with no recognition of netting), after adjusting for sale accounting transactions</w:t>
            </w:r>
          </w:p>
        </w:tc>
        <w:tc>
          <w:tcPr>
            <w:tcW w:w="1205" w:type="dxa"/>
            <w:tcBorders>
              <w:top w:val="single" w:sz="6" w:space="0" w:color="auto"/>
              <w:left w:val="single" w:sz="6" w:space="0" w:color="auto"/>
              <w:bottom w:val="single" w:sz="4" w:space="0" w:color="auto"/>
              <w:right w:val="single" w:sz="6" w:space="0" w:color="auto"/>
            </w:tcBorders>
            <w:shd w:val="clear" w:color="auto" w:fill="auto"/>
          </w:tcPr>
          <w:p w:rsidR="002A0515" w:rsidRPr="00E30DEC" w:rsidRDefault="002A0515" w:rsidP="00A54BE4">
            <w:pPr>
              <w:pStyle w:val="TableText"/>
              <w:snapToGrid w:val="0"/>
              <w:rPr>
                <w:lang w:eastAsia="it-IT"/>
              </w:rPr>
            </w:pPr>
          </w:p>
        </w:tc>
        <w:tc>
          <w:tcPr>
            <w:tcW w:w="1205" w:type="dxa"/>
            <w:tcBorders>
              <w:top w:val="single" w:sz="6" w:space="0" w:color="auto"/>
              <w:left w:val="single" w:sz="6" w:space="0" w:color="auto"/>
              <w:bottom w:val="single" w:sz="4" w:space="0" w:color="auto"/>
              <w:right w:val="single" w:sz="4" w:space="0" w:color="auto"/>
            </w:tcBorders>
            <w:shd w:val="clear" w:color="auto" w:fill="auto"/>
          </w:tcPr>
          <w:p w:rsidR="002A0515" w:rsidRPr="00E30DEC" w:rsidRDefault="002A0515" w:rsidP="00A54BE4">
            <w:pPr>
              <w:pStyle w:val="TableText"/>
              <w:snapToGrid w:val="0"/>
              <w:rPr>
                <w:lang w:eastAsia="it-IT"/>
              </w:rPr>
            </w:pPr>
          </w:p>
        </w:tc>
      </w:tr>
      <w:tr w:rsidR="002A0515" w:rsidRPr="00E30DEC" w:rsidTr="00A54BE4">
        <w:trPr>
          <w:cantSplit/>
          <w:trHeight w:val="354"/>
        </w:trPr>
        <w:tc>
          <w:tcPr>
            <w:tcW w:w="567" w:type="dxa"/>
            <w:tcBorders>
              <w:top w:val="single" w:sz="4" w:space="0" w:color="auto"/>
              <w:left w:val="nil"/>
              <w:bottom w:val="single" w:sz="4" w:space="0" w:color="auto"/>
              <w:right w:val="single" w:sz="6" w:space="0" w:color="auto"/>
            </w:tcBorders>
            <w:shd w:val="clear" w:color="auto" w:fill="auto"/>
          </w:tcPr>
          <w:p w:rsidR="002A0515" w:rsidRPr="00E30DEC" w:rsidRDefault="002A0515" w:rsidP="002A0515">
            <w:pPr>
              <w:pStyle w:val="TableText"/>
              <w:numPr>
                <w:ilvl w:val="0"/>
                <w:numId w:val="91"/>
              </w:numPr>
              <w:snapToGrid w:val="0"/>
              <w:rPr>
                <w:szCs w:val="17"/>
                <w:lang w:eastAsia="en-GB"/>
              </w:rPr>
            </w:pPr>
          </w:p>
        </w:tc>
        <w:tc>
          <w:tcPr>
            <w:tcW w:w="6237" w:type="dxa"/>
            <w:tcBorders>
              <w:top w:val="single" w:sz="4" w:space="0" w:color="auto"/>
              <w:left w:val="single" w:sz="6" w:space="0" w:color="auto"/>
              <w:bottom w:val="single" w:sz="4" w:space="0" w:color="auto"/>
              <w:right w:val="single" w:sz="6" w:space="0" w:color="auto"/>
            </w:tcBorders>
            <w:shd w:val="clear" w:color="auto" w:fill="auto"/>
          </w:tcPr>
          <w:p w:rsidR="002A0515" w:rsidRPr="00E30DEC" w:rsidRDefault="002A0515" w:rsidP="00A54BE4">
            <w:pPr>
              <w:pStyle w:val="TableText"/>
              <w:snapToGrid w:val="0"/>
              <w:ind w:left="57" w:rightChars="71" w:right="142"/>
              <w:rPr>
                <w:szCs w:val="17"/>
                <w:lang w:eastAsia="it-IT"/>
              </w:rPr>
            </w:pPr>
            <w:r w:rsidRPr="00E30DEC">
              <w:rPr>
                <w:szCs w:val="17"/>
                <w:lang w:eastAsia="it-IT"/>
              </w:rPr>
              <w:t>Less: Netted amounts of cash payables and cash receivables of gross SFT assets</w:t>
            </w:r>
          </w:p>
        </w:tc>
        <w:tc>
          <w:tcPr>
            <w:tcW w:w="1205" w:type="dxa"/>
            <w:tcBorders>
              <w:top w:val="single" w:sz="4" w:space="0" w:color="auto"/>
              <w:left w:val="single" w:sz="6" w:space="0" w:color="auto"/>
              <w:bottom w:val="single" w:sz="4" w:space="0" w:color="auto"/>
              <w:right w:val="single" w:sz="6" w:space="0" w:color="auto"/>
            </w:tcBorders>
            <w:shd w:val="clear" w:color="auto" w:fill="auto"/>
          </w:tcPr>
          <w:p w:rsidR="002A0515" w:rsidRPr="00E30DEC" w:rsidRDefault="002A0515" w:rsidP="00A54BE4">
            <w:pPr>
              <w:pStyle w:val="TableText"/>
              <w:snapToGrid w:val="0"/>
              <w:rPr>
                <w:lang w:eastAsia="it-IT"/>
              </w:rPr>
            </w:pPr>
          </w:p>
        </w:tc>
        <w:tc>
          <w:tcPr>
            <w:tcW w:w="1205" w:type="dxa"/>
            <w:tcBorders>
              <w:top w:val="single" w:sz="4" w:space="0" w:color="auto"/>
              <w:left w:val="single" w:sz="6" w:space="0" w:color="auto"/>
              <w:bottom w:val="single" w:sz="4" w:space="0" w:color="auto"/>
              <w:right w:val="single" w:sz="4" w:space="0" w:color="auto"/>
            </w:tcBorders>
            <w:shd w:val="clear" w:color="auto" w:fill="auto"/>
          </w:tcPr>
          <w:p w:rsidR="002A0515" w:rsidRPr="00E30DEC" w:rsidRDefault="002A0515" w:rsidP="00A54BE4">
            <w:pPr>
              <w:pStyle w:val="TableText"/>
              <w:snapToGrid w:val="0"/>
              <w:rPr>
                <w:lang w:eastAsia="it-IT"/>
              </w:rPr>
            </w:pPr>
          </w:p>
        </w:tc>
      </w:tr>
      <w:tr w:rsidR="002A0515" w:rsidRPr="00E30DEC" w:rsidTr="00A54BE4">
        <w:trPr>
          <w:cantSplit/>
        </w:trPr>
        <w:tc>
          <w:tcPr>
            <w:tcW w:w="567" w:type="dxa"/>
            <w:tcBorders>
              <w:top w:val="single" w:sz="4" w:space="0" w:color="auto"/>
              <w:left w:val="nil"/>
              <w:bottom w:val="single" w:sz="6" w:space="0" w:color="BCBDBC"/>
              <w:right w:val="single" w:sz="6" w:space="0" w:color="auto"/>
            </w:tcBorders>
            <w:shd w:val="clear" w:color="auto" w:fill="auto"/>
          </w:tcPr>
          <w:p w:rsidR="002A0515" w:rsidRPr="00E30DEC" w:rsidRDefault="002A0515" w:rsidP="002A0515">
            <w:pPr>
              <w:pStyle w:val="TableText"/>
              <w:numPr>
                <w:ilvl w:val="0"/>
                <w:numId w:val="91"/>
              </w:numPr>
              <w:snapToGrid w:val="0"/>
              <w:rPr>
                <w:szCs w:val="17"/>
                <w:lang w:eastAsia="en-GB"/>
              </w:rPr>
            </w:pPr>
          </w:p>
        </w:tc>
        <w:tc>
          <w:tcPr>
            <w:tcW w:w="6237" w:type="dxa"/>
            <w:tcBorders>
              <w:top w:val="single" w:sz="4" w:space="0" w:color="auto"/>
              <w:left w:val="single" w:sz="6" w:space="0" w:color="auto"/>
              <w:bottom w:val="single" w:sz="6" w:space="0" w:color="auto"/>
              <w:right w:val="single" w:sz="6" w:space="0" w:color="auto"/>
            </w:tcBorders>
            <w:shd w:val="clear" w:color="auto" w:fill="auto"/>
          </w:tcPr>
          <w:p w:rsidR="002A0515" w:rsidRPr="00E30DEC" w:rsidRDefault="002A0515" w:rsidP="00A54BE4">
            <w:pPr>
              <w:pStyle w:val="TableText"/>
              <w:snapToGrid w:val="0"/>
              <w:ind w:left="57" w:rightChars="71" w:right="142"/>
              <w:rPr>
                <w:szCs w:val="17"/>
                <w:lang w:eastAsia="it-IT"/>
              </w:rPr>
            </w:pPr>
            <w:r w:rsidRPr="00E30DEC">
              <w:rPr>
                <w:szCs w:val="17"/>
                <w:lang w:eastAsia="it-IT"/>
              </w:rPr>
              <w:t>CCR exposure for SFT assets</w:t>
            </w:r>
          </w:p>
        </w:tc>
        <w:tc>
          <w:tcPr>
            <w:tcW w:w="1205" w:type="dxa"/>
            <w:tcBorders>
              <w:top w:val="single" w:sz="4" w:space="0" w:color="auto"/>
              <w:left w:val="single" w:sz="6" w:space="0" w:color="auto"/>
              <w:bottom w:val="single" w:sz="6" w:space="0" w:color="auto"/>
              <w:right w:val="single" w:sz="6" w:space="0" w:color="auto"/>
            </w:tcBorders>
            <w:shd w:val="clear" w:color="auto" w:fill="auto"/>
          </w:tcPr>
          <w:p w:rsidR="002A0515" w:rsidRPr="00E30DEC" w:rsidRDefault="002A0515" w:rsidP="00A54BE4">
            <w:pPr>
              <w:pStyle w:val="TableText"/>
              <w:snapToGrid w:val="0"/>
              <w:rPr>
                <w:lang w:eastAsia="it-IT"/>
              </w:rPr>
            </w:pPr>
          </w:p>
        </w:tc>
        <w:tc>
          <w:tcPr>
            <w:tcW w:w="1205" w:type="dxa"/>
            <w:tcBorders>
              <w:top w:val="single" w:sz="4" w:space="0" w:color="auto"/>
              <w:left w:val="single" w:sz="6" w:space="0" w:color="auto"/>
              <w:bottom w:val="single" w:sz="6" w:space="0" w:color="auto"/>
              <w:right w:val="single" w:sz="4" w:space="0" w:color="auto"/>
            </w:tcBorders>
            <w:shd w:val="clear" w:color="auto" w:fill="auto"/>
          </w:tcPr>
          <w:p w:rsidR="002A0515" w:rsidRPr="00E30DEC" w:rsidRDefault="002A0515" w:rsidP="00A54BE4">
            <w:pPr>
              <w:pStyle w:val="TableText"/>
              <w:snapToGrid w:val="0"/>
              <w:rPr>
                <w:lang w:eastAsia="it-IT"/>
              </w:rPr>
            </w:pPr>
          </w:p>
        </w:tc>
      </w:tr>
      <w:tr w:rsidR="002A0515" w:rsidRPr="00E30DEC" w:rsidTr="00A54BE4">
        <w:trPr>
          <w:cantSplit/>
          <w:trHeight w:val="270"/>
        </w:trPr>
        <w:tc>
          <w:tcPr>
            <w:tcW w:w="567" w:type="dxa"/>
            <w:tcBorders>
              <w:top w:val="single" w:sz="6" w:space="0" w:color="auto"/>
              <w:left w:val="nil"/>
              <w:bottom w:val="single" w:sz="4" w:space="0" w:color="auto"/>
              <w:right w:val="single" w:sz="6" w:space="0" w:color="auto"/>
            </w:tcBorders>
            <w:shd w:val="clear" w:color="auto" w:fill="auto"/>
          </w:tcPr>
          <w:p w:rsidR="002A0515" w:rsidRPr="00E30DEC" w:rsidRDefault="002A0515" w:rsidP="002A0515">
            <w:pPr>
              <w:pStyle w:val="TableText"/>
              <w:numPr>
                <w:ilvl w:val="0"/>
                <w:numId w:val="91"/>
              </w:numPr>
              <w:snapToGrid w:val="0"/>
              <w:rPr>
                <w:szCs w:val="17"/>
                <w:lang w:eastAsia="en-GB"/>
              </w:rPr>
            </w:pPr>
          </w:p>
        </w:tc>
        <w:tc>
          <w:tcPr>
            <w:tcW w:w="6237" w:type="dxa"/>
            <w:tcBorders>
              <w:top w:val="single" w:sz="6" w:space="0" w:color="auto"/>
              <w:left w:val="single" w:sz="6" w:space="0" w:color="auto"/>
              <w:bottom w:val="single" w:sz="6" w:space="0" w:color="auto"/>
              <w:right w:val="single" w:sz="6" w:space="0" w:color="auto"/>
            </w:tcBorders>
            <w:shd w:val="clear" w:color="auto" w:fill="auto"/>
          </w:tcPr>
          <w:p w:rsidR="002A0515" w:rsidRPr="00E30DEC" w:rsidRDefault="002A0515" w:rsidP="00A54BE4">
            <w:pPr>
              <w:pStyle w:val="TableText"/>
              <w:snapToGrid w:val="0"/>
              <w:ind w:left="57" w:rightChars="71" w:right="142"/>
              <w:rPr>
                <w:szCs w:val="17"/>
                <w:lang w:eastAsia="it-IT"/>
              </w:rPr>
            </w:pPr>
            <w:r w:rsidRPr="00E30DEC">
              <w:rPr>
                <w:szCs w:val="17"/>
                <w:lang w:eastAsia="it-IT"/>
              </w:rPr>
              <w:t>Agent transaction exposures</w:t>
            </w:r>
          </w:p>
        </w:tc>
        <w:tc>
          <w:tcPr>
            <w:tcW w:w="1205" w:type="dxa"/>
            <w:tcBorders>
              <w:top w:val="single" w:sz="6" w:space="0" w:color="auto"/>
              <w:left w:val="single" w:sz="6" w:space="0" w:color="auto"/>
              <w:bottom w:val="single" w:sz="6" w:space="0" w:color="auto"/>
              <w:right w:val="single" w:sz="6" w:space="0" w:color="auto"/>
            </w:tcBorders>
            <w:shd w:val="clear" w:color="auto" w:fill="auto"/>
          </w:tcPr>
          <w:p w:rsidR="002A0515" w:rsidRPr="00E30DEC" w:rsidRDefault="002A0515" w:rsidP="00A54BE4">
            <w:pPr>
              <w:pStyle w:val="TableText"/>
              <w:snapToGrid w:val="0"/>
              <w:rPr>
                <w:lang w:eastAsia="it-IT"/>
              </w:rPr>
            </w:pPr>
          </w:p>
        </w:tc>
        <w:tc>
          <w:tcPr>
            <w:tcW w:w="1205" w:type="dxa"/>
            <w:tcBorders>
              <w:top w:val="single" w:sz="6" w:space="0" w:color="auto"/>
              <w:left w:val="single" w:sz="6" w:space="0" w:color="auto"/>
              <w:bottom w:val="single" w:sz="6" w:space="0" w:color="auto"/>
              <w:right w:val="single" w:sz="4" w:space="0" w:color="auto"/>
            </w:tcBorders>
            <w:shd w:val="clear" w:color="auto" w:fill="auto"/>
          </w:tcPr>
          <w:p w:rsidR="002A0515" w:rsidRPr="00E30DEC" w:rsidRDefault="002A0515" w:rsidP="00A54BE4">
            <w:pPr>
              <w:pStyle w:val="TableText"/>
              <w:snapToGrid w:val="0"/>
              <w:rPr>
                <w:lang w:eastAsia="it-IT"/>
              </w:rPr>
            </w:pPr>
          </w:p>
        </w:tc>
      </w:tr>
      <w:tr w:rsidR="002A0515" w:rsidRPr="00E30DEC" w:rsidTr="00A54BE4">
        <w:trPr>
          <w:cantSplit/>
          <w:trHeight w:val="270"/>
        </w:trPr>
        <w:tc>
          <w:tcPr>
            <w:tcW w:w="567" w:type="dxa"/>
            <w:tcBorders>
              <w:top w:val="single" w:sz="4" w:space="0" w:color="auto"/>
              <w:left w:val="nil"/>
              <w:bottom w:val="single" w:sz="4" w:space="0" w:color="auto"/>
              <w:right w:val="single" w:sz="6" w:space="0" w:color="auto"/>
            </w:tcBorders>
            <w:shd w:val="clear" w:color="auto" w:fill="auto"/>
          </w:tcPr>
          <w:p w:rsidR="002A0515" w:rsidRPr="00E30DEC" w:rsidRDefault="002A0515" w:rsidP="002A0515">
            <w:pPr>
              <w:pStyle w:val="TableText"/>
              <w:numPr>
                <w:ilvl w:val="0"/>
                <w:numId w:val="91"/>
              </w:numPr>
              <w:snapToGrid w:val="0"/>
              <w:rPr>
                <w:szCs w:val="17"/>
                <w:lang w:eastAsia="en-GB"/>
              </w:rPr>
            </w:pPr>
          </w:p>
        </w:tc>
        <w:tc>
          <w:tcPr>
            <w:tcW w:w="6237"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2A0515" w:rsidRPr="00E30DEC" w:rsidRDefault="002A0515" w:rsidP="00A54BE4">
            <w:pPr>
              <w:pStyle w:val="TableText"/>
              <w:snapToGrid w:val="0"/>
              <w:ind w:left="57" w:rightChars="71" w:right="142"/>
              <w:rPr>
                <w:b/>
                <w:szCs w:val="17"/>
                <w:lang w:eastAsia="it-IT"/>
              </w:rPr>
            </w:pPr>
            <w:r w:rsidRPr="00E30DEC">
              <w:rPr>
                <w:b/>
                <w:szCs w:val="17"/>
                <w:lang w:eastAsia="it-IT"/>
              </w:rPr>
              <w:t>Total exposures arising from SFTs</w:t>
            </w:r>
          </w:p>
        </w:tc>
        <w:tc>
          <w:tcPr>
            <w:tcW w:w="1205"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2A0515" w:rsidRPr="00E30DEC" w:rsidRDefault="002A0515" w:rsidP="00A54BE4">
            <w:pPr>
              <w:pStyle w:val="TableText"/>
              <w:snapToGrid w:val="0"/>
              <w:ind w:left="57"/>
              <w:rPr>
                <w:lang w:eastAsia="it-IT"/>
              </w:rPr>
            </w:pPr>
          </w:p>
        </w:tc>
        <w:tc>
          <w:tcPr>
            <w:tcW w:w="1205" w:type="dxa"/>
            <w:tcBorders>
              <w:top w:val="single" w:sz="6" w:space="0" w:color="auto"/>
              <w:left w:val="single" w:sz="6" w:space="0" w:color="auto"/>
              <w:bottom w:val="single" w:sz="6" w:space="0" w:color="auto"/>
              <w:right w:val="single" w:sz="4" w:space="0" w:color="auto"/>
            </w:tcBorders>
            <w:shd w:val="clear" w:color="auto" w:fill="F2F2F2" w:themeFill="background1" w:themeFillShade="F2"/>
          </w:tcPr>
          <w:p w:rsidR="002A0515" w:rsidRPr="00E30DEC" w:rsidRDefault="002A0515" w:rsidP="00A54BE4">
            <w:pPr>
              <w:pStyle w:val="TableText"/>
              <w:snapToGrid w:val="0"/>
              <w:rPr>
                <w:lang w:eastAsia="it-IT"/>
              </w:rPr>
            </w:pPr>
          </w:p>
        </w:tc>
      </w:tr>
      <w:tr w:rsidR="002A0515" w:rsidRPr="00E30DEC" w:rsidTr="00A54BE4">
        <w:trPr>
          <w:cantSplit/>
          <w:trHeight w:val="270"/>
        </w:trPr>
        <w:tc>
          <w:tcPr>
            <w:tcW w:w="6804" w:type="dxa"/>
            <w:gridSpan w:val="2"/>
            <w:tcBorders>
              <w:top w:val="single" w:sz="4" w:space="0" w:color="auto"/>
              <w:left w:val="nil"/>
              <w:bottom w:val="single" w:sz="4" w:space="0" w:color="auto"/>
              <w:right w:val="nil"/>
            </w:tcBorders>
            <w:shd w:val="clear" w:color="auto" w:fill="D9D9D9" w:themeFill="background1" w:themeFillShade="D9"/>
          </w:tcPr>
          <w:p w:rsidR="002A0515" w:rsidRPr="00E30DEC" w:rsidRDefault="002A0515" w:rsidP="00A54BE4">
            <w:pPr>
              <w:pStyle w:val="Default"/>
              <w:ind w:firstLineChars="50" w:firstLine="85"/>
              <w:rPr>
                <w:szCs w:val="17"/>
                <w:lang w:eastAsia="it-IT"/>
              </w:rPr>
            </w:pPr>
            <w:r w:rsidRPr="00E30DEC">
              <w:rPr>
                <w:rFonts w:eastAsia="Times New Roman" w:cs="Times New Roman"/>
                <w:b/>
                <w:color w:val="auto"/>
                <w:sz w:val="17"/>
                <w:szCs w:val="20"/>
                <w:lang w:val="en-GB" w:eastAsia="it-IT"/>
              </w:rPr>
              <w:t>Other off-balance sheet exposures</w:t>
            </w:r>
          </w:p>
        </w:tc>
        <w:tc>
          <w:tcPr>
            <w:tcW w:w="1205" w:type="dxa"/>
            <w:tcBorders>
              <w:top w:val="single" w:sz="6" w:space="0" w:color="auto"/>
              <w:left w:val="nil"/>
              <w:bottom w:val="single" w:sz="6" w:space="0" w:color="auto"/>
              <w:right w:val="nil"/>
            </w:tcBorders>
            <w:shd w:val="clear" w:color="auto" w:fill="D9D9D9" w:themeFill="background1" w:themeFillShade="D9"/>
          </w:tcPr>
          <w:p w:rsidR="002A0515" w:rsidRPr="00E30DEC" w:rsidRDefault="002A0515" w:rsidP="00A54BE4">
            <w:pPr>
              <w:pStyle w:val="TableText"/>
              <w:snapToGrid w:val="0"/>
              <w:ind w:left="57"/>
              <w:rPr>
                <w:lang w:eastAsia="it-IT"/>
              </w:rPr>
            </w:pPr>
          </w:p>
        </w:tc>
        <w:tc>
          <w:tcPr>
            <w:tcW w:w="1205" w:type="dxa"/>
            <w:tcBorders>
              <w:top w:val="single" w:sz="6" w:space="0" w:color="auto"/>
              <w:left w:val="nil"/>
              <w:bottom w:val="single" w:sz="6" w:space="0" w:color="auto"/>
              <w:right w:val="single" w:sz="4" w:space="0" w:color="auto"/>
            </w:tcBorders>
            <w:shd w:val="clear" w:color="auto" w:fill="D9D9D9" w:themeFill="background1" w:themeFillShade="D9"/>
          </w:tcPr>
          <w:p w:rsidR="002A0515" w:rsidRPr="00E30DEC" w:rsidRDefault="002A0515" w:rsidP="00A54BE4">
            <w:pPr>
              <w:pStyle w:val="TableText"/>
              <w:snapToGrid w:val="0"/>
              <w:rPr>
                <w:lang w:eastAsia="it-IT"/>
              </w:rPr>
            </w:pPr>
          </w:p>
        </w:tc>
      </w:tr>
      <w:tr w:rsidR="002A0515" w:rsidRPr="00E30DEC" w:rsidTr="00A54BE4">
        <w:trPr>
          <w:cantSplit/>
          <w:trHeight w:val="270"/>
        </w:trPr>
        <w:tc>
          <w:tcPr>
            <w:tcW w:w="567" w:type="dxa"/>
            <w:tcBorders>
              <w:top w:val="single" w:sz="4" w:space="0" w:color="auto"/>
              <w:left w:val="nil"/>
              <w:bottom w:val="single" w:sz="4" w:space="0" w:color="auto"/>
              <w:right w:val="single" w:sz="6" w:space="0" w:color="auto"/>
            </w:tcBorders>
            <w:shd w:val="clear" w:color="auto" w:fill="auto"/>
          </w:tcPr>
          <w:p w:rsidR="002A0515" w:rsidRPr="00B01815" w:rsidRDefault="002A0515" w:rsidP="002A0515">
            <w:pPr>
              <w:pStyle w:val="TableText"/>
              <w:numPr>
                <w:ilvl w:val="0"/>
                <w:numId w:val="91"/>
              </w:numPr>
              <w:snapToGrid w:val="0"/>
            </w:pPr>
          </w:p>
        </w:tc>
        <w:tc>
          <w:tcPr>
            <w:tcW w:w="6237" w:type="dxa"/>
            <w:tcBorders>
              <w:top w:val="single" w:sz="6" w:space="0" w:color="auto"/>
              <w:left w:val="single" w:sz="6" w:space="0" w:color="auto"/>
              <w:bottom w:val="single" w:sz="6" w:space="0" w:color="auto"/>
              <w:right w:val="single" w:sz="6" w:space="0" w:color="auto"/>
            </w:tcBorders>
            <w:shd w:val="clear" w:color="auto" w:fill="auto"/>
          </w:tcPr>
          <w:p w:rsidR="002A0515" w:rsidRPr="00E30DEC" w:rsidRDefault="002A0515" w:rsidP="00A54BE4">
            <w:pPr>
              <w:pStyle w:val="TableText"/>
              <w:snapToGrid w:val="0"/>
              <w:ind w:left="57" w:rightChars="71" w:right="142"/>
              <w:rPr>
                <w:szCs w:val="17"/>
                <w:lang w:eastAsia="it-IT"/>
              </w:rPr>
            </w:pPr>
            <w:r w:rsidRPr="00E30DEC">
              <w:rPr>
                <w:szCs w:val="17"/>
                <w:lang w:eastAsia="it-IT"/>
              </w:rPr>
              <w:t>Off-balance sheet exposure at gross notional amount</w:t>
            </w:r>
          </w:p>
        </w:tc>
        <w:tc>
          <w:tcPr>
            <w:tcW w:w="1205" w:type="dxa"/>
            <w:tcBorders>
              <w:top w:val="single" w:sz="6" w:space="0" w:color="auto"/>
              <w:left w:val="single" w:sz="6" w:space="0" w:color="auto"/>
              <w:bottom w:val="single" w:sz="6" w:space="0" w:color="auto"/>
              <w:right w:val="single" w:sz="6" w:space="0" w:color="auto"/>
            </w:tcBorders>
            <w:shd w:val="clear" w:color="auto" w:fill="auto"/>
          </w:tcPr>
          <w:p w:rsidR="002A0515" w:rsidRPr="00E30DEC" w:rsidRDefault="002A0515" w:rsidP="00A54BE4">
            <w:pPr>
              <w:pStyle w:val="TableText"/>
              <w:snapToGrid w:val="0"/>
              <w:ind w:left="57"/>
              <w:rPr>
                <w:lang w:eastAsia="it-IT"/>
              </w:rPr>
            </w:pPr>
          </w:p>
        </w:tc>
        <w:tc>
          <w:tcPr>
            <w:tcW w:w="1205" w:type="dxa"/>
            <w:tcBorders>
              <w:top w:val="single" w:sz="6" w:space="0" w:color="auto"/>
              <w:left w:val="single" w:sz="6" w:space="0" w:color="auto"/>
              <w:bottom w:val="single" w:sz="6" w:space="0" w:color="auto"/>
              <w:right w:val="single" w:sz="4" w:space="0" w:color="auto"/>
            </w:tcBorders>
            <w:shd w:val="clear" w:color="auto" w:fill="auto"/>
          </w:tcPr>
          <w:p w:rsidR="002A0515" w:rsidRPr="00E30DEC" w:rsidRDefault="002A0515" w:rsidP="00A54BE4">
            <w:pPr>
              <w:pStyle w:val="TableText"/>
              <w:snapToGrid w:val="0"/>
              <w:rPr>
                <w:lang w:eastAsia="it-IT"/>
              </w:rPr>
            </w:pPr>
          </w:p>
        </w:tc>
      </w:tr>
      <w:tr w:rsidR="002A0515" w:rsidRPr="00E30DEC" w:rsidTr="00A54BE4">
        <w:trPr>
          <w:cantSplit/>
          <w:trHeight w:val="270"/>
        </w:trPr>
        <w:tc>
          <w:tcPr>
            <w:tcW w:w="567" w:type="dxa"/>
            <w:tcBorders>
              <w:top w:val="single" w:sz="4" w:space="0" w:color="auto"/>
              <w:left w:val="nil"/>
              <w:bottom w:val="single" w:sz="4" w:space="0" w:color="auto"/>
              <w:right w:val="single" w:sz="6" w:space="0" w:color="auto"/>
            </w:tcBorders>
            <w:shd w:val="clear" w:color="auto" w:fill="auto"/>
          </w:tcPr>
          <w:p w:rsidR="002A0515" w:rsidRPr="00B01815" w:rsidRDefault="002A0515" w:rsidP="002A0515">
            <w:pPr>
              <w:pStyle w:val="TableText"/>
              <w:numPr>
                <w:ilvl w:val="0"/>
                <w:numId w:val="91"/>
              </w:numPr>
              <w:snapToGrid w:val="0"/>
            </w:pPr>
          </w:p>
        </w:tc>
        <w:tc>
          <w:tcPr>
            <w:tcW w:w="6237" w:type="dxa"/>
            <w:tcBorders>
              <w:top w:val="single" w:sz="6" w:space="0" w:color="auto"/>
              <w:left w:val="single" w:sz="6" w:space="0" w:color="auto"/>
              <w:bottom w:val="single" w:sz="6" w:space="0" w:color="auto"/>
              <w:right w:val="single" w:sz="6" w:space="0" w:color="auto"/>
            </w:tcBorders>
            <w:shd w:val="clear" w:color="auto" w:fill="auto"/>
          </w:tcPr>
          <w:p w:rsidR="002A0515" w:rsidRPr="00E30DEC" w:rsidRDefault="002A0515" w:rsidP="00A54BE4">
            <w:pPr>
              <w:pStyle w:val="TableText"/>
              <w:snapToGrid w:val="0"/>
              <w:ind w:left="57" w:rightChars="71" w:right="142"/>
              <w:rPr>
                <w:szCs w:val="17"/>
                <w:lang w:eastAsia="it-IT"/>
              </w:rPr>
            </w:pPr>
            <w:r w:rsidRPr="00E30DEC">
              <w:rPr>
                <w:szCs w:val="17"/>
                <w:lang w:eastAsia="it-IT"/>
              </w:rPr>
              <w:t>Less: Adjustments for conversion to credit equivalent amounts</w:t>
            </w:r>
          </w:p>
        </w:tc>
        <w:tc>
          <w:tcPr>
            <w:tcW w:w="1205" w:type="dxa"/>
            <w:tcBorders>
              <w:top w:val="single" w:sz="6" w:space="0" w:color="auto"/>
              <w:left w:val="single" w:sz="6" w:space="0" w:color="auto"/>
              <w:bottom w:val="single" w:sz="6" w:space="0" w:color="auto"/>
              <w:right w:val="single" w:sz="6" w:space="0" w:color="auto"/>
            </w:tcBorders>
            <w:shd w:val="clear" w:color="auto" w:fill="auto"/>
          </w:tcPr>
          <w:p w:rsidR="002A0515" w:rsidRPr="00E30DEC" w:rsidRDefault="002A0515" w:rsidP="00A54BE4">
            <w:pPr>
              <w:pStyle w:val="TableText"/>
              <w:snapToGrid w:val="0"/>
              <w:ind w:left="57"/>
              <w:rPr>
                <w:lang w:eastAsia="it-IT"/>
              </w:rPr>
            </w:pPr>
          </w:p>
        </w:tc>
        <w:tc>
          <w:tcPr>
            <w:tcW w:w="1205" w:type="dxa"/>
            <w:tcBorders>
              <w:top w:val="single" w:sz="6" w:space="0" w:color="auto"/>
              <w:left w:val="single" w:sz="6" w:space="0" w:color="auto"/>
              <w:bottom w:val="single" w:sz="6" w:space="0" w:color="auto"/>
              <w:right w:val="single" w:sz="4" w:space="0" w:color="auto"/>
            </w:tcBorders>
            <w:shd w:val="clear" w:color="auto" w:fill="auto"/>
          </w:tcPr>
          <w:p w:rsidR="002A0515" w:rsidRPr="00E30DEC" w:rsidRDefault="002A0515" w:rsidP="00A54BE4">
            <w:pPr>
              <w:pStyle w:val="TableText"/>
              <w:snapToGrid w:val="0"/>
              <w:rPr>
                <w:lang w:eastAsia="it-IT"/>
              </w:rPr>
            </w:pPr>
          </w:p>
        </w:tc>
      </w:tr>
      <w:tr w:rsidR="002A0515" w:rsidRPr="00E30DEC" w:rsidTr="00A54BE4">
        <w:trPr>
          <w:cantSplit/>
          <w:trHeight w:val="270"/>
        </w:trPr>
        <w:tc>
          <w:tcPr>
            <w:tcW w:w="567" w:type="dxa"/>
            <w:tcBorders>
              <w:top w:val="single" w:sz="4" w:space="0" w:color="auto"/>
              <w:left w:val="nil"/>
              <w:bottom w:val="single" w:sz="4" w:space="0" w:color="auto"/>
              <w:right w:val="single" w:sz="6" w:space="0" w:color="auto"/>
            </w:tcBorders>
            <w:shd w:val="clear" w:color="auto" w:fill="auto"/>
          </w:tcPr>
          <w:p w:rsidR="002A0515" w:rsidRPr="00B01815" w:rsidRDefault="002A0515" w:rsidP="002A0515">
            <w:pPr>
              <w:pStyle w:val="TableText"/>
              <w:numPr>
                <w:ilvl w:val="0"/>
                <w:numId w:val="91"/>
              </w:numPr>
              <w:snapToGrid w:val="0"/>
            </w:pPr>
          </w:p>
        </w:tc>
        <w:tc>
          <w:tcPr>
            <w:tcW w:w="6237"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2A0515" w:rsidRPr="00E30DEC" w:rsidRDefault="002A0515" w:rsidP="00A54BE4">
            <w:pPr>
              <w:pStyle w:val="TableText"/>
              <w:snapToGrid w:val="0"/>
              <w:ind w:left="57" w:rightChars="71" w:right="142"/>
              <w:rPr>
                <w:b/>
                <w:szCs w:val="17"/>
                <w:lang w:eastAsia="it-IT"/>
              </w:rPr>
            </w:pPr>
            <w:r w:rsidRPr="00E30DEC">
              <w:rPr>
                <w:b/>
                <w:szCs w:val="17"/>
                <w:lang w:eastAsia="it-IT"/>
              </w:rPr>
              <w:t>Off-balance sheet items</w:t>
            </w:r>
          </w:p>
        </w:tc>
        <w:tc>
          <w:tcPr>
            <w:tcW w:w="1205"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2A0515" w:rsidRPr="00E30DEC" w:rsidRDefault="002A0515" w:rsidP="00A54BE4">
            <w:pPr>
              <w:pStyle w:val="TableText"/>
              <w:snapToGrid w:val="0"/>
              <w:ind w:left="57"/>
              <w:rPr>
                <w:lang w:eastAsia="it-IT"/>
              </w:rPr>
            </w:pPr>
          </w:p>
        </w:tc>
        <w:tc>
          <w:tcPr>
            <w:tcW w:w="1205" w:type="dxa"/>
            <w:tcBorders>
              <w:top w:val="single" w:sz="6" w:space="0" w:color="auto"/>
              <w:left w:val="single" w:sz="6" w:space="0" w:color="auto"/>
              <w:bottom w:val="single" w:sz="6" w:space="0" w:color="auto"/>
              <w:right w:val="single" w:sz="4" w:space="0" w:color="auto"/>
            </w:tcBorders>
            <w:shd w:val="clear" w:color="auto" w:fill="F2F2F2" w:themeFill="background1" w:themeFillShade="F2"/>
          </w:tcPr>
          <w:p w:rsidR="002A0515" w:rsidRPr="00E30DEC" w:rsidRDefault="002A0515" w:rsidP="00A54BE4">
            <w:pPr>
              <w:pStyle w:val="TableText"/>
              <w:snapToGrid w:val="0"/>
              <w:rPr>
                <w:lang w:eastAsia="it-IT"/>
              </w:rPr>
            </w:pPr>
          </w:p>
        </w:tc>
      </w:tr>
      <w:tr w:rsidR="002A0515" w:rsidRPr="00E30DEC" w:rsidTr="00A54BE4">
        <w:trPr>
          <w:cantSplit/>
          <w:trHeight w:val="270"/>
        </w:trPr>
        <w:tc>
          <w:tcPr>
            <w:tcW w:w="6804" w:type="dxa"/>
            <w:gridSpan w:val="2"/>
            <w:tcBorders>
              <w:top w:val="single" w:sz="4" w:space="0" w:color="auto"/>
              <w:left w:val="nil"/>
              <w:bottom w:val="single" w:sz="4" w:space="0" w:color="auto"/>
              <w:right w:val="nil"/>
            </w:tcBorders>
            <w:shd w:val="clear" w:color="auto" w:fill="D9D9D9" w:themeFill="background1" w:themeFillShade="D9"/>
          </w:tcPr>
          <w:p w:rsidR="002A0515" w:rsidRPr="00E30DEC" w:rsidRDefault="002A0515" w:rsidP="00A54BE4">
            <w:pPr>
              <w:pStyle w:val="Default"/>
              <w:ind w:firstLineChars="50" w:firstLine="85"/>
              <w:rPr>
                <w:szCs w:val="17"/>
                <w:lang w:eastAsia="it-IT"/>
              </w:rPr>
            </w:pPr>
            <w:r w:rsidRPr="00E30DEC">
              <w:rPr>
                <w:rFonts w:eastAsia="Times New Roman" w:cs="Times New Roman"/>
                <w:b/>
                <w:color w:val="auto"/>
                <w:sz w:val="17"/>
                <w:szCs w:val="20"/>
                <w:lang w:val="en-GB" w:eastAsia="it-IT"/>
              </w:rPr>
              <w:t>Capital and total exposures</w:t>
            </w:r>
          </w:p>
        </w:tc>
        <w:tc>
          <w:tcPr>
            <w:tcW w:w="1205" w:type="dxa"/>
            <w:tcBorders>
              <w:top w:val="single" w:sz="6" w:space="0" w:color="auto"/>
              <w:left w:val="nil"/>
              <w:bottom w:val="single" w:sz="6" w:space="0" w:color="auto"/>
              <w:right w:val="nil"/>
            </w:tcBorders>
            <w:shd w:val="clear" w:color="auto" w:fill="D9D9D9" w:themeFill="background1" w:themeFillShade="D9"/>
          </w:tcPr>
          <w:p w:rsidR="002A0515" w:rsidRPr="00E30DEC" w:rsidRDefault="002A0515" w:rsidP="00A54BE4">
            <w:pPr>
              <w:pStyle w:val="TableText"/>
              <w:snapToGrid w:val="0"/>
              <w:ind w:left="57"/>
              <w:rPr>
                <w:lang w:eastAsia="it-IT"/>
              </w:rPr>
            </w:pPr>
          </w:p>
        </w:tc>
        <w:tc>
          <w:tcPr>
            <w:tcW w:w="1205" w:type="dxa"/>
            <w:tcBorders>
              <w:top w:val="single" w:sz="6" w:space="0" w:color="auto"/>
              <w:left w:val="nil"/>
              <w:bottom w:val="single" w:sz="6" w:space="0" w:color="auto"/>
              <w:right w:val="single" w:sz="4" w:space="0" w:color="auto"/>
            </w:tcBorders>
            <w:shd w:val="clear" w:color="auto" w:fill="D9D9D9" w:themeFill="background1" w:themeFillShade="D9"/>
          </w:tcPr>
          <w:p w:rsidR="002A0515" w:rsidRPr="00E30DEC" w:rsidRDefault="002A0515" w:rsidP="00A54BE4">
            <w:pPr>
              <w:pStyle w:val="TableText"/>
              <w:snapToGrid w:val="0"/>
              <w:rPr>
                <w:lang w:eastAsia="it-IT"/>
              </w:rPr>
            </w:pPr>
          </w:p>
        </w:tc>
      </w:tr>
      <w:tr w:rsidR="002A0515" w:rsidRPr="00E30DEC" w:rsidTr="00A54BE4">
        <w:trPr>
          <w:cantSplit/>
          <w:trHeight w:val="270"/>
        </w:trPr>
        <w:tc>
          <w:tcPr>
            <w:tcW w:w="567" w:type="dxa"/>
            <w:tcBorders>
              <w:top w:val="single" w:sz="4" w:space="0" w:color="auto"/>
              <w:left w:val="nil"/>
              <w:bottom w:val="single" w:sz="4" w:space="0" w:color="auto"/>
              <w:right w:val="single" w:sz="6" w:space="0" w:color="auto"/>
            </w:tcBorders>
            <w:shd w:val="clear" w:color="auto" w:fill="auto"/>
          </w:tcPr>
          <w:p w:rsidR="002A0515" w:rsidRPr="00E30DEC" w:rsidRDefault="002A0515" w:rsidP="002A0515">
            <w:pPr>
              <w:pStyle w:val="TableText"/>
              <w:numPr>
                <w:ilvl w:val="0"/>
                <w:numId w:val="91"/>
              </w:numPr>
              <w:snapToGrid w:val="0"/>
              <w:rPr>
                <w:sz w:val="16"/>
                <w:szCs w:val="16"/>
                <w:lang w:eastAsia="en-GB"/>
              </w:rPr>
            </w:pPr>
          </w:p>
        </w:tc>
        <w:tc>
          <w:tcPr>
            <w:tcW w:w="6237"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2A0515" w:rsidRPr="00E30DEC" w:rsidRDefault="002A0515" w:rsidP="00A54BE4">
            <w:pPr>
              <w:pStyle w:val="TableText"/>
              <w:snapToGrid w:val="0"/>
              <w:ind w:left="57" w:rightChars="71" w:right="142"/>
              <w:rPr>
                <w:b/>
                <w:szCs w:val="17"/>
                <w:lang w:eastAsia="it-IT"/>
              </w:rPr>
            </w:pPr>
            <w:r w:rsidRPr="00E30DEC">
              <w:rPr>
                <w:b/>
                <w:szCs w:val="17"/>
                <w:lang w:eastAsia="it-IT"/>
              </w:rPr>
              <w:t>Tier 1 capital</w:t>
            </w:r>
          </w:p>
        </w:tc>
        <w:tc>
          <w:tcPr>
            <w:tcW w:w="1205"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2A0515" w:rsidRPr="00E30DEC" w:rsidRDefault="002A0515" w:rsidP="00A54BE4">
            <w:pPr>
              <w:pStyle w:val="TableText"/>
              <w:snapToGrid w:val="0"/>
              <w:ind w:left="57"/>
              <w:rPr>
                <w:lang w:eastAsia="it-IT"/>
              </w:rPr>
            </w:pPr>
          </w:p>
        </w:tc>
        <w:tc>
          <w:tcPr>
            <w:tcW w:w="1205" w:type="dxa"/>
            <w:tcBorders>
              <w:top w:val="single" w:sz="6" w:space="0" w:color="auto"/>
              <w:left w:val="single" w:sz="6" w:space="0" w:color="auto"/>
              <w:bottom w:val="single" w:sz="6" w:space="0" w:color="auto"/>
              <w:right w:val="single" w:sz="4" w:space="0" w:color="auto"/>
            </w:tcBorders>
            <w:shd w:val="clear" w:color="auto" w:fill="F2F2F2" w:themeFill="background1" w:themeFillShade="F2"/>
          </w:tcPr>
          <w:p w:rsidR="002A0515" w:rsidRPr="00E30DEC" w:rsidRDefault="002A0515" w:rsidP="00A54BE4">
            <w:pPr>
              <w:pStyle w:val="TableText"/>
              <w:snapToGrid w:val="0"/>
              <w:rPr>
                <w:lang w:eastAsia="it-IT"/>
              </w:rPr>
            </w:pPr>
          </w:p>
        </w:tc>
      </w:tr>
      <w:tr w:rsidR="002A0515" w:rsidRPr="00E30DEC" w:rsidTr="00A54BE4">
        <w:trPr>
          <w:cantSplit/>
          <w:trHeight w:val="270"/>
        </w:trPr>
        <w:tc>
          <w:tcPr>
            <w:tcW w:w="567" w:type="dxa"/>
            <w:tcBorders>
              <w:top w:val="single" w:sz="4" w:space="0" w:color="auto"/>
              <w:left w:val="nil"/>
              <w:bottom w:val="single" w:sz="4" w:space="0" w:color="auto"/>
              <w:right w:val="single" w:sz="6" w:space="0" w:color="auto"/>
            </w:tcBorders>
            <w:shd w:val="clear" w:color="auto" w:fill="auto"/>
          </w:tcPr>
          <w:p w:rsidR="002A0515" w:rsidRPr="00E30DEC" w:rsidRDefault="002A0515" w:rsidP="00A54BE4">
            <w:pPr>
              <w:pStyle w:val="TableText"/>
              <w:snapToGrid w:val="0"/>
              <w:ind w:left="3"/>
              <w:rPr>
                <w:sz w:val="16"/>
                <w:szCs w:val="16"/>
                <w:lang w:eastAsia="en-GB"/>
              </w:rPr>
            </w:pPr>
            <w:r w:rsidRPr="00E30DEC">
              <w:rPr>
                <w:sz w:val="16"/>
                <w:szCs w:val="16"/>
                <w:lang w:eastAsia="en-GB"/>
              </w:rPr>
              <w:t>20a</w:t>
            </w:r>
          </w:p>
        </w:tc>
        <w:tc>
          <w:tcPr>
            <w:tcW w:w="6237"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2A0515" w:rsidRPr="00E30DEC" w:rsidRDefault="002A0515" w:rsidP="00A54BE4">
            <w:pPr>
              <w:pStyle w:val="TableText"/>
              <w:snapToGrid w:val="0"/>
              <w:ind w:left="57" w:rightChars="71" w:right="142"/>
              <w:rPr>
                <w:b/>
                <w:szCs w:val="17"/>
                <w:lang w:eastAsia="it-IT"/>
              </w:rPr>
            </w:pPr>
            <w:r w:rsidRPr="00E30DEC">
              <w:rPr>
                <w:b/>
                <w:szCs w:val="17"/>
                <w:lang w:eastAsia="it-IT"/>
              </w:rPr>
              <w:t>Total exposures before adjustments for specific and collective provisions</w:t>
            </w:r>
          </w:p>
        </w:tc>
        <w:tc>
          <w:tcPr>
            <w:tcW w:w="1205"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2A0515" w:rsidRPr="00E30DEC" w:rsidRDefault="002A0515" w:rsidP="00A54BE4">
            <w:pPr>
              <w:pStyle w:val="TableText"/>
              <w:snapToGrid w:val="0"/>
              <w:ind w:left="57"/>
              <w:rPr>
                <w:lang w:eastAsia="it-IT"/>
              </w:rPr>
            </w:pPr>
          </w:p>
        </w:tc>
        <w:tc>
          <w:tcPr>
            <w:tcW w:w="1205" w:type="dxa"/>
            <w:tcBorders>
              <w:top w:val="single" w:sz="6" w:space="0" w:color="auto"/>
              <w:left w:val="single" w:sz="6" w:space="0" w:color="auto"/>
              <w:bottom w:val="single" w:sz="6" w:space="0" w:color="auto"/>
              <w:right w:val="single" w:sz="4" w:space="0" w:color="auto"/>
            </w:tcBorders>
            <w:shd w:val="clear" w:color="auto" w:fill="F2F2F2" w:themeFill="background1" w:themeFillShade="F2"/>
          </w:tcPr>
          <w:p w:rsidR="002A0515" w:rsidRPr="00E30DEC" w:rsidRDefault="002A0515" w:rsidP="00A54BE4">
            <w:pPr>
              <w:pStyle w:val="TableText"/>
              <w:snapToGrid w:val="0"/>
              <w:rPr>
                <w:lang w:eastAsia="it-IT"/>
              </w:rPr>
            </w:pPr>
          </w:p>
        </w:tc>
      </w:tr>
      <w:tr w:rsidR="002A0515" w:rsidRPr="00E30DEC" w:rsidTr="00A54BE4">
        <w:trPr>
          <w:cantSplit/>
          <w:trHeight w:val="270"/>
        </w:trPr>
        <w:tc>
          <w:tcPr>
            <w:tcW w:w="567" w:type="dxa"/>
            <w:tcBorders>
              <w:top w:val="single" w:sz="4" w:space="0" w:color="auto"/>
              <w:left w:val="nil"/>
              <w:bottom w:val="single" w:sz="4" w:space="0" w:color="auto"/>
              <w:right w:val="single" w:sz="6" w:space="0" w:color="auto"/>
            </w:tcBorders>
            <w:shd w:val="clear" w:color="auto" w:fill="auto"/>
          </w:tcPr>
          <w:p w:rsidR="002A0515" w:rsidRPr="00E30DEC" w:rsidRDefault="002A0515" w:rsidP="00A54BE4">
            <w:pPr>
              <w:pStyle w:val="TableText"/>
              <w:snapToGrid w:val="0"/>
              <w:ind w:left="3"/>
              <w:rPr>
                <w:sz w:val="16"/>
                <w:szCs w:val="16"/>
                <w:lang w:eastAsia="en-GB"/>
              </w:rPr>
            </w:pPr>
            <w:r w:rsidRPr="00E30DEC">
              <w:rPr>
                <w:sz w:val="16"/>
                <w:szCs w:val="16"/>
                <w:lang w:eastAsia="en-GB"/>
              </w:rPr>
              <w:t>20b</w:t>
            </w:r>
          </w:p>
        </w:tc>
        <w:tc>
          <w:tcPr>
            <w:tcW w:w="6237"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2A0515" w:rsidRPr="00E30DEC" w:rsidRDefault="002A0515" w:rsidP="00A54BE4">
            <w:pPr>
              <w:pStyle w:val="TableText"/>
              <w:snapToGrid w:val="0"/>
              <w:ind w:left="57" w:rightChars="71" w:right="142"/>
              <w:rPr>
                <w:b/>
                <w:szCs w:val="17"/>
                <w:lang w:eastAsia="it-IT"/>
              </w:rPr>
            </w:pPr>
            <w:r w:rsidRPr="00E30DEC">
              <w:rPr>
                <w:b/>
                <w:szCs w:val="17"/>
                <w:lang w:eastAsia="it-IT"/>
              </w:rPr>
              <w:t>Adjustments for specific and collective provisions</w:t>
            </w:r>
          </w:p>
        </w:tc>
        <w:tc>
          <w:tcPr>
            <w:tcW w:w="1205"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2A0515" w:rsidRPr="00E30DEC" w:rsidRDefault="002A0515" w:rsidP="00A54BE4">
            <w:pPr>
              <w:pStyle w:val="TableText"/>
              <w:snapToGrid w:val="0"/>
              <w:ind w:left="57"/>
              <w:rPr>
                <w:lang w:eastAsia="it-IT"/>
              </w:rPr>
            </w:pPr>
          </w:p>
        </w:tc>
        <w:tc>
          <w:tcPr>
            <w:tcW w:w="1205" w:type="dxa"/>
            <w:tcBorders>
              <w:top w:val="single" w:sz="6" w:space="0" w:color="auto"/>
              <w:left w:val="single" w:sz="6" w:space="0" w:color="auto"/>
              <w:bottom w:val="single" w:sz="6" w:space="0" w:color="auto"/>
              <w:right w:val="single" w:sz="4" w:space="0" w:color="auto"/>
            </w:tcBorders>
            <w:shd w:val="clear" w:color="auto" w:fill="F2F2F2" w:themeFill="background1" w:themeFillShade="F2"/>
          </w:tcPr>
          <w:p w:rsidR="002A0515" w:rsidRPr="00E30DEC" w:rsidRDefault="002A0515" w:rsidP="00A54BE4">
            <w:pPr>
              <w:pStyle w:val="TableText"/>
              <w:snapToGrid w:val="0"/>
              <w:rPr>
                <w:lang w:eastAsia="it-IT"/>
              </w:rPr>
            </w:pPr>
          </w:p>
        </w:tc>
      </w:tr>
      <w:tr w:rsidR="002A0515" w:rsidRPr="00E30DEC" w:rsidTr="00A54BE4">
        <w:trPr>
          <w:cantSplit/>
          <w:trHeight w:val="270"/>
        </w:trPr>
        <w:tc>
          <w:tcPr>
            <w:tcW w:w="567" w:type="dxa"/>
            <w:tcBorders>
              <w:top w:val="single" w:sz="4" w:space="0" w:color="auto"/>
              <w:left w:val="nil"/>
              <w:bottom w:val="single" w:sz="4" w:space="0" w:color="auto"/>
              <w:right w:val="single" w:sz="6" w:space="0" w:color="auto"/>
            </w:tcBorders>
            <w:shd w:val="clear" w:color="auto" w:fill="auto"/>
          </w:tcPr>
          <w:p w:rsidR="002A0515" w:rsidRPr="00E30DEC" w:rsidRDefault="002A0515" w:rsidP="002A0515">
            <w:pPr>
              <w:pStyle w:val="TableText"/>
              <w:numPr>
                <w:ilvl w:val="0"/>
                <w:numId w:val="91"/>
              </w:numPr>
              <w:snapToGrid w:val="0"/>
              <w:rPr>
                <w:sz w:val="16"/>
                <w:szCs w:val="16"/>
                <w:lang w:eastAsia="en-GB"/>
              </w:rPr>
            </w:pPr>
          </w:p>
        </w:tc>
        <w:tc>
          <w:tcPr>
            <w:tcW w:w="6237"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2A0515" w:rsidRPr="00E30DEC" w:rsidRDefault="002A0515" w:rsidP="00A54BE4">
            <w:pPr>
              <w:pStyle w:val="TableText"/>
              <w:snapToGrid w:val="0"/>
              <w:ind w:left="57" w:rightChars="71" w:right="142"/>
              <w:rPr>
                <w:b/>
                <w:szCs w:val="17"/>
                <w:lang w:eastAsia="it-IT"/>
              </w:rPr>
            </w:pPr>
            <w:r w:rsidRPr="00E30DEC">
              <w:rPr>
                <w:b/>
                <w:szCs w:val="17"/>
                <w:lang w:eastAsia="it-IT"/>
              </w:rPr>
              <w:t>Total exposures after adjustments for specific and collective provisions</w:t>
            </w:r>
          </w:p>
        </w:tc>
        <w:tc>
          <w:tcPr>
            <w:tcW w:w="1205"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2A0515" w:rsidRPr="00E30DEC" w:rsidRDefault="002A0515" w:rsidP="00A54BE4">
            <w:pPr>
              <w:pStyle w:val="TableText"/>
              <w:snapToGrid w:val="0"/>
              <w:ind w:left="57"/>
              <w:rPr>
                <w:lang w:eastAsia="it-IT"/>
              </w:rPr>
            </w:pPr>
          </w:p>
        </w:tc>
        <w:tc>
          <w:tcPr>
            <w:tcW w:w="1205" w:type="dxa"/>
            <w:tcBorders>
              <w:top w:val="single" w:sz="6" w:space="0" w:color="auto"/>
              <w:left w:val="single" w:sz="6" w:space="0" w:color="auto"/>
              <w:bottom w:val="single" w:sz="6" w:space="0" w:color="auto"/>
              <w:right w:val="single" w:sz="4" w:space="0" w:color="auto"/>
            </w:tcBorders>
            <w:shd w:val="clear" w:color="auto" w:fill="F2F2F2" w:themeFill="background1" w:themeFillShade="F2"/>
          </w:tcPr>
          <w:p w:rsidR="002A0515" w:rsidRPr="00E30DEC" w:rsidRDefault="002A0515" w:rsidP="00A54BE4">
            <w:pPr>
              <w:pStyle w:val="TableText"/>
              <w:snapToGrid w:val="0"/>
              <w:rPr>
                <w:lang w:eastAsia="it-IT"/>
              </w:rPr>
            </w:pPr>
          </w:p>
        </w:tc>
      </w:tr>
      <w:tr w:rsidR="002A0515" w:rsidRPr="00E30DEC" w:rsidTr="00A54BE4">
        <w:trPr>
          <w:cantSplit/>
          <w:trHeight w:val="270"/>
        </w:trPr>
        <w:tc>
          <w:tcPr>
            <w:tcW w:w="6804" w:type="dxa"/>
            <w:gridSpan w:val="2"/>
            <w:tcBorders>
              <w:top w:val="single" w:sz="6" w:space="0" w:color="auto"/>
              <w:left w:val="nil"/>
              <w:bottom w:val="single" w:sz="6" w:space="0" w:color="auto"/>
              <w:right w:val="nil"/>
            </w:tcBorders>
            <w:shd w:val="clear" w:color="auto" w:fill="D9D9D9" w:themeFill="background1" w:themeFillShade="D9"/>
          </w:tcPr>
          <w:p w:rsidR="002A0515" w:rsidRPr="00E30DEC" w:rsidRDefault="002A0515" w:rsidP="00A54BE4">
            <w:pPr>
              <w:pStyle w:val="Default"/>
              <w:ind w:firstLineChars="50" w:firstLine="85"/>
              <w:rPr>
                <w:b/>
                <w:sz w:val="17"/>
                <w:szCs w:val="17"/>
                <w:lang w:eastAsia="it-IT"/>
              </w:rPr>
            </w:pPr>
            <w:r w:rsidRPr="00E30DEC">
              <w:rPr>
                <w:b/>
                <w:sz w:val="17"/>
                <w:szCs w:val="17"/>
                <w:lang w:eastAsia="it-IT"/>
              </w:rPr>
              <w:t>Leverage ratio</w:t>
            </w:r>
          </w:p>
        </w:tc>
        <w:tc>
          <w:tcPr>
            <w:tcW w:w="1205" w:type="dxa"/>
            <w:tcBorders>
              <w:top w:val="single" w:sz="6" w:space="0" w:color="auto"/>
              <w:left w:val="nil"/>
              <w:bottom w:val="single" w:sz="6" w:space="0" w:color="auto"/>
              <w:right w:val="nil"/>
            </w:tcBorders>
            <w:shd w:val="clear" w:color="auto" w:fill="D9D9D9" w:themeFill="background1" w:themeFillShade="D9"/>
          </w:tcPr>
          <w:p w:rsidR="002A0515" w:rsidRPr="00E30DEC" w:rsidRDefault="002A0515" w:rsidP="00A54BE4">
            <w:pPr>
              <w:pStyle w:val="TableText"/>
              <w:snapToGrid w:val="0"/>
              <w:ind w:left="57"/>
              <w:rPr>
                <w:lang w:eastAsia="it-IT"/>
              </w:rPr>
            </w:pPr>
          </w:p>
        </w:tc>
        <w:tc>
          <w:tcPr>
            <w:tcW w:w="1205" w:type="dxa"/>
            <w:tcBorders>
              <w:top w:val="single" w:sz="6" w:space="0" w:color="auto"/>
              <w:left w:val="nil"/>
              <w:bottom w:val="single" w:sz="6" w:space="0" w:color="auto"/>
              <w:right w:val="single" w:sz="6" w:space="0" w:color="auto"/>
            </w:tcBorders>
            <w:shd w:val="clear" w:color="auto" w:fill="D9D9D9" w:themeFill="background1" w:themeFillShade="D9"/>
          </w:tcPr>
          <w:p w:rsidR="002A0515" w:rsidRPr="00E30DEC" w:rsidRDefault="002A0515" w:rsidP="00A54BE4">
            <w:pPr>
              <w:pStyle w:val="TableText"/>
              <w:snapToGrid w:val="0"/>
              <w:rPr>
                <w:lang w:eastAsia="it-IT"/>
              </w:rPr>
            </w:pPr>
          </w:p>
        </w:tc>
      </w:tr>
      <w:tr w:rsidR="002A0515" w:rsidRPr="00E30DEC" w:rsidTr="00A54BE4">
        <w:trPr>
          <w:cantSplit/>
          <w:trHeight w:val="230"/>
        </w:trPr>
        <w:tc>
          <w:tcPr>
            <w:tcW w:w="567" w:type="dxa"/>
            <w:tcBorders>
              <w:top w:val="single" w:sz="6" w:space="0" w:color="auto"/>
              <w:left w:val="nil"/>
              <w:bottom w:val="single" w:sz="6" w:space="0" w:color="auto"/>
              <w:right w:val="single" w:sz="6" w:space="0" w:color="auto"/>
            </w:tcBorders>
            <w:shd w:val="clear" w:color="auto" w:fill="auto"/>
          </w:tcPr>
          <w:p w:rsidR="002A0515" w:rsidRPr="00E30DEC" w:rsidRDefault="002A0515" w:rsidP="002A0515">
            <w:pPr>
              <w:pStyle w:val="TableText"/>
              <w:numPr>
                <w:ilvl w:val="0"/>
                <w:numId w:val="91"/>
              </w:numPr>
              <w:snapToGrid w:val="0"/>
              <w:rPr>
                <w:sz w:val="16"/>
                <w:szCs w:val="16"/>
                <w:lang w:eastAsia="en-GB"/>
              </w:rPr>
            </w:pPr>
          </w:p>
        </w:tc>
        <w:tc>
          <w:tcPr>
            <w:tcW w:w="6237"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2A0515" w:rsidRPr="00E30DEC" w:rsidRDefault="002A0515" w:rsidP="00A54BE4">
            <w:pPr>
              <w:pStyle w:val="TableText"/>
              <w:snapToGrid w:val="0"/>
              <w:ind w:left="57" w:rightChars="71" w:right="142"/>
              <w:rPr>
                <w:b/>
                <w:szCs w:val="17"/>
                <w:lang w:eastAsia="it-IT"/>
              </w:rPr>
            </w:pPr>
            <w:r w:rsidRPr="00E30DEC">
              <w:rPr>
                <w:b/>
                <w:szCs w:val="17"/>
                <w:lang w:eastAsia="it-IT"/>
              </w:rPr>
              <w:t>Leverage ratio</w:t>
            </w:r>
          </w:p>
        </w:tc>
        <w:tc>
          <w:tcPr>
            <w:tcW w:w="1205"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2A0515" w:rsidRPr="00E30DEC" w:rsidRDefault="002A0515" w:rsidP="00A54BE4">
            <w:pPr>
              <w:pStyle w:val="TableText"/>
              <w:snapToGrid w:val="0"/>
              <w:ind w:left="57"/>
              <w:rPr>
                <w:lang w:eastAsia="it-IT"/>
              </w:rPr>
            </w:pPr>
          </w:p>
        </w:tc>
        <w:tc>
          <w:tcPr>
            <w:tcW w:w="1205"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2A0515" w:rsidRPr="00E30DEC" w:rsidRDefault="002A0515" w:rsidP="00A54BE4">
            <w:pPr>
              <w:pStyle w:val="TableText"/>
              <w:snapToGrid w:val="0"/>
              <w:rPr>
                <w:lang w:eastAsia="it-IT"/>
              </w:rPr>
            </w:pPr>
          </w:p>
        </w:tc>
      </w:tr>
    </w:tbl>
    <w:p w:rsidR="002A0515" w:rsidRPr="00E30DEC" w:rsidRDefault="002A0515" w:rsidP="002A0515">
      <w:pPr>
        <w:spacing w:before="120" w:after="120"/>
        <w:ind w:leftChars="-283" w:left="-566"/>
        <w:rPr>
          <w:sz w:val="22"/>
        </w:rPr>
      </w:pPr>
    </w:p>
    <w:tbl>
      <w:tblPr>
        <w:tblStyle w:val="TableGrid"/>
        <w:tblW w:w="8840" w:type="dxa"/>
        <w:tblInd w:w="-459" w:type="dxa"/>
        <w:tblLayout w:type="fixed"/>
        <w:tblLook w:val="04A0" w:firstRow="1" w:lastRow="0" w:firstColumn="1" w:lastColumn="0" w:noHBand="0" w:noVBand="1"/>
      </w:tblPr>
      <w:tblGrid>
        <w:gridCol w:w="709"/>
        <w:gridCol w:w="8118"/>
        <w:gridCol w:w="13"/>
      </w:tblGrid>
      <w:tr w:rsidR="002A0515" w:rsidRPr="00E30DEC" w:rsidTr="00A54BE4">
        <w:trPr>
          <w:tblHeader/>
        </w:trPr>
        <w:tc>
          <w:tcPr>
            <w:tcW w:w="8840" w:type="dxa"/>
            <w:gridSpan w:val="3"/>
            <w:shd w:val="clear" w:color="auto" w:fill="BFBFBF" w:themeFill="background1" w:themeFillShade="BF"/>
          </w:tcPr>
          <w:p w:rsidR="002A0515" w:rsidRPr="00E30DEC" w:rsidRDefault="002A0515" w:rsidP="00A54BE4">
            <w:pPr>
              <w:spacing w:before="40" w:after="40"/>
              <w:jc w:val="both"/>
              <w:rPr>
                <w:rFonts w:eastAsiaTheme="minorEastAsia"/>
                <w:b/>
                <w:sz w:val="17"/>
                <w:szCs w:val="17"/>
                <w:lang w:eastAsia="en-GB"/>
              </w:rPr>
            </w:pPr>
            <w:r w:rsidRPr="00E30DEC">
              <w:rPr>
                <w:rFonts w:eastAsiaTheme="minorEastAsia"/>
                <w:b/>
                <w:sz w:val="17"/>
                <w:szCs w:val="17"/>
                <w:lang w:eastAsia="en-GB"/>
              </w:rPr>
              <w:t>Explanatory Note</w:t>
            </w:r>
          </w:p>
        </w:tc>
      </w:tr>
      <w:tr w:rsidR="002A0515" w:rsidRPr="00E30DEC" w:rsidTr="00A54BE4">
        <w:trPr>
          <w:trHeight w:val="373"/>
        </w:trPr>
        <w:tc>
          <w:tcPr>
            <w:tcW w:w="8840" w:type="dxa"/>
            <w:gridSpan w:val="3"/>
            <w:shd w:val="clear" w:color="auto" w:fill="F2F2F2" w:themeFill="background1" w:themeFillShade="F2"/>
          </w:tcPr>
          <w:p w:rsidR="002A0515" w:rsidRPr="00E30DEC" w:rsidRDefault="002A0515" w:rsidP="00A54BE4">
            <w:pPr>
              <w:pStyle w:val="TableNote"/>
              <w:spacing w:before="40" w:after="40"/>
              <w:rPr>
                <w:i/>
                <w:sz w:val="17"/>
                <w:szCs w:val="17"/>
              </w:rPr>
            </w:pPr>
            <w:r w:rsidRPr="00E30DEC">
              <w:rPr>
                <w:rFonts w:eastAsiaTheme="minorEastAsia"/>
                <w:b/>
                <w:sz w:val="17"/>
                <w:szCs w:val="17"/>
                <w:lang w:eastAsia="en-GB"/>
              </w:rPr>
              <w:t>Rows</w:t>
            </w:r>
          </w:p>
        </w:tc>
      </w:tr>
      <w:tr w:rsidR="002A0515" w:rsidRPr="00E30DEC" w:rsidTr="00A54BE4">
        <w:trPr>
          <w:gridAfter w:val="1"/>
          <w:wAfter w:w="13" w:type="dxa"/>
          <w:trHeight w:val="373"/>
        </w:trPr>
        <w:tc>
          <w:tcPr>
            <w:tcW w:w="709" w:type="dxa"/>
          </w:tcPr>
          <w:p w:rsidR="002A0515" w:rsidRPr="00E30DEC" w:rsidRDefault="002A0515" w:rsidP="002A0515">
            <w:pPr>
              <w:pStyle w:val="ListParagraph"/>
              <w:keepLines/>
              <w:widowControl w:val="0"/>
              <w:numPr>
                <w:ilvl w:val="0"/>
                <w:numId w:val="90"/>
              </w:numPr>
              <w:tabs>
                <w:tab w:val="left" w:pos="150"/>
                <w:tab w:val="left" w:pos="397"/>
                <w:tab w:val="left" w:pos="794"/>
                <w:tab w:val="left" w:pos="1191"/>
              </w:tabs>
              <w:spacing w:before="40" w:after="40"/>
              <w:ind w:leftChars="0"/>
              <w:rPr>
                <w:rFonts w:cs="Segoe UI"/>
                <w:sz w:val="17"/>
                <w:szCs w:val="17"/>
                <w:lang w:eastAsia="en-GB"/>
              </w:rPr>
            </w:pPr>
          </w:p>
        </w:tc>
        <w:tc>
          <w:tcPr>
            <w:tcW w:w="8118" w:type="dxa"/>
          </w:tcPr>
          <w:p w:rsidR="002A0515" w:rsidRPr="00E30DEC" w:rsidRDefault="002A0515" w:rsidP="00A54BE4">
            <w:pPr>
              <w:pStyle w:val="TableNote"/>
              <w:spacing w:before="40" w:after="40"/>
              <w:rPr>
                <w:sz w:val="17"/>
                <w:szCs w:val="17"/>
              </w:rPr>
            </w:pPr>
            <w:r w:rsidRPr="00E30DEC">
              <w:rPr>
                <w:sz w:val="17"/>
                <w:szCs w:val="17"/>
              </w:rPr>
              <w:t>An AI should include all consolidated assets on balance sheet as per its financial statements, including collateral for on-balance sheet derivative contracts and for SFTs, with the exception of on-balance sheet derivative contracts and SFT assets that are included in rows 4 to 16.</w:t>
            </w:r>
            <w:r w:rsidRPr="00E30DEC">
              <w:t xml:space="preserve">  </w:t>
            </w:r>
            <w:r w:rsidRPr="00E30DEC">
              <w:rPr>
                <w:sz w:val="17"/>
                <w:szCs w:val="17"/>
              </w:rPr>
              <w:t>Where an AI is a note-issuing bank as defined under the Legal Tender Notes Issue Ordinance (Cap. 65), the AI’s on-balance sheet exposure should not include, for the purpose of this template, any certificates of indebtedness issued under the Exchange Fund Ordinance (Cap. 66) and held by the AI as cover for legal tender notes issued.</w:t>
            </w:r>
          </w:p>
        </w:tc>
      </w:tr>
      <w:tr w:rsidR="002A0515" w:rsidRPr="00E30DEC" w:rsidTr="00A54BE4">
        <w:trPr>
          <w:gridAfter w:val="1"/>
          <w:wAfter w:w="13" w:type="dxa"/>
          <w:trHeight w:val="373"/>
        </w:trPr>
        <w:tc>
          <w:tcPr>
            <w:tcW w:w="709" w:type="dxa"/>
          </w:tcPr>
          <w:p w:rsidR="002A0515" w:rsidRPr="00E30DEC" w:rsidRDefault="002A0515" w:rsidP="002A0515">
            <w:pPr>
              <w:pStyle w:val="ListParagraph"/>
              <w:keepLines/>
              <w:widowControl w:val="0"/>
              <w:numPr>
                <w:ilvl w:val="0"/>
                <w:numId w:val="90"/>
              </w:numPr>
              <w:tabs>
                <w:tab w:val="left" w:pos="150"/>
                <w:tab w:val="left" w:pos="397"/>
                <w:tab w:val="left" w:pos="794"/>
                <w:tab w:val="left" w:pos="1191"/>
              </w:tabs>
              <w:spacing w:before="40" w:after="40"/>
              <w:ind w:leftChars="0"/>
              <w:rPr>
                <w:rFonts w:cs="Segoe UI"/>
                <w:sz w:val="17"/>
                <w:szCs w:val="17"/>
                <w:lang w:eastAsia="en-GB"/>
              </w:rPr>
            </w:pPr>
          </w:p>
        </w:tc>
        <w:tc>
          <w:tcPr>
            <w:tcW w:w="8118" w:type="dxa"/>
          </w:tcPr>
          <w:p w:rsidR="002A0515" w:rsidRPr="00E30DEC" w:rsidRDefault="002A0515" w:rsidP="00A54BE4">
            <w:pPr>
              <w:keepLines/>
              <w:widowControl w:val="0"/>
              <w:tabs>
                <w:tab w:val="left" w:pos="150"/>
                <w:tab w:val="left" w:pos="397"/>
                <w:tab w:val="left" w:pos="794"/>
                <w:tab w:val="left" w:pos="1191"/>
              </w:tabs>
              <w:spacing w:before="40" w:after="40"/>
              <w:jc w:val="both"/>
              <w:rPr>
                <w:rFonts w:cs="Segoe UI"/>
                <w:sz w:val="17"/>
                <w:szCs w:val="17"/>
              </w:rPr>
            </w:pPr>
            <w:r w:rsidRPr="00E30DEC">
              <w:rPr>
                <w:sz w:val="17"/>
                <w:szCs w:val="17"/>
              </w:rPr>
              <w:t>Adjustments to balance sheet assets due to deductions from Tier 1 capital in accordance with BCR §3</w:t>
            </w:r>
            <w:proofErr w:type="gramStart"/>
            <w:r w:rsidRPr="00E30DEC">
              <w:rPr>
                <w:sz w:val="17"/>
                <w:szCs w:val="17"/>
              </w:rPr>
              <w:t>ZB(</w:t>
            </w:r>
            <w:proofErr w:type="gramEnd"/>
            <w:r w:rsidRPr="00E30DEC">
              <w:rPr>
                <w:sz w:val="17"/>
                <w:szCs w:val="17"/>
              </w:rPr>
              <w:t>4).  For example:</w:t>
            </w:r>
          </w:p>
          <w:p w:rsidR="002A0515" w:rsidRPr="00421F6F" w:rsidRDefault="002A0515" w:rsidP="002A0515">
            <w:pPr>
              <w:pStyle w:val="ListParagraph"/>
              <w:keepLines/>
              <w:widowControl w:val="0"/>
              <w:numPr>
                <w:ilvl w:val="0"/>
                <w:numId w:val="63"/>
              </w:numPr>
              <w:spacing w:before="40" w:after="40"/>
              <w:ind w:leftChars="0" w:left="318" w:hanging="318"/>
              <w:jc w:val="both"/>
              <w:rPr>
                <w:rFonts w:cs="Segoe UI"/>
                <w:sz w:val="17"/>
              </w:rPr>
            </w:pPr>
            <w:r w:rsidRPr="00421F6F">
              <w:rPr>
                <w:rFonts w:cs="Segoe UI"/>
                <w:sz w:val="17"/>
              </w:rPr>
              <w:t>Where a financial sector entity is not included in the regulatory scope of consolidation, the amount of any investment in the capital of that entity that is totally or partially deducted from CET1 capital or from additional Tier 1 capital of the bank following the corresponding deduction approach, may be deducted from the exposure measure.</w:t>
            </w:r>
          </w:p>
          <w:p w:rsidR="002A0515" w:rsidRPr="00421F6F" w:rsidRDefault="002A0515" w:rsidP="002A0515">
            <w:pPr>
              <w:pStyle w:val="ListParagraph"/>
              <w:keepLines/>
              <w:widowControl w:val="0"/>
              <w:numPr>
                <w:ilvl w:val="0"/>
                <w:numId w:val="63"/>
              </w:numPr>
              <w:spacing w:before="40" w:after="40"/>
              <w:ind w:leftChars="0" w:left="318" w:hanging="318"/>
              <w:jc w:val="both"/>
              <w:rPr>
                <w:rFonts w:cs="Segoe UI"/>
                <w:sz w:val="17"/>
              </w:rPr>
            </w:pPr>
            <w:r w:rsidRPr="00421F6F">
              <w:rPr>
                <w:rFonts w:cs="Segoe UI"/>
                <w:sz w:val="17"/>
              </w:rPr>
              <w:t>For an AI using the IRB approach to determining capital requirements for credit risk, it is required any excess of the total expected loss over the total eligible provisions be deducted from CET1 capital.  The same amount may be deducted from the exposure measure.</w:t>
            </w:r>
          </w:p>
          <w:p w:rsidR="002A0515" w:rsidRPr="00E30DEC" w:rsidRDefault="002A0515" w:rsidP="00A54BE4">
            <w:pPr>
              <w:keepLines/>
              <w:widowControl w:val="0"/>
              <w:tabs>
                <w:tab w:val="left" w:pos="150"/>
                <w:tab w:val="left" w:pos="397"/>
                <w:tab w:val="left" w:pos="794"/>
                <w:tab w:val="left" w:pos="1191"/>
              </w:tabs>
              <w:spacing w:before="40" w:after="40"/>
              <w:jc w:val="both"/>
              <w:rPr>
                <w:sz w:val="17"/>
                <w:szCs w:val="17"/>
              </w:rPr>
            </w:pPr>
            <w:r w:rsidRPr="00E30DEC">
              <w:rPr>
                <w:rFonts w:cs="Segoe UI"/>
                <w:sz w:val="17"/>
                <w:szCs w:val="17"/>
              </w:rPr>
              <w:t xml:space="preserve">As the adjustments in row 2 reduce </w:t>
            </w:r>
            <w:r w:rsidRPr="00E30DEC">
              <w:rPr>
                <w:sz w:val="17"/>
                <w:szCs w:val="17"/>
              </w:rPr>
              <w:t>the exposure measure, they should be reported as negative figures.</w:t>
            </w:r>
          </w:p>
        </w:tc>
      </w:tr>
      <w:tr w:rsidR="002A0515" w:rsidRPr="00E30DEC" w:rsidTr="00A54BE4">
        <w:trPr>
          <w:gridAfter w:val="1"/>
          <w:wAfter w:w="13" w:type="dxa"/>
          <w:trHeight w:val="373"/>
        </w:trPr>
        <w:tc>
          <w:tcPr>
            <w:tcW w:w="709" w:type="dxa"/>
          </w:tcPr>
          <w:p w:rsidR="002A0515" w:rsidRPr="00E30DEC" w:rsidRDefault="002A0515" w:rsidP="002A0515">
            <w:pPr>
              <w:pStyle w:val="ListParagraph"/>
              <w:keepLines/>
              <w:widowControl w:val="0"/>
              <w:numPr>
                <w:ilvl w:val="0"/>
                <w:numId w:val="90"/>
              </w:numPr>
              <w:tabs>
                <w:tab w:val="left" w:pos="150"/>
                <w:tab w:val="left" w:pos="397"/>
                <w:tab w:val="left" w:pos="794"/>
                <w:tab w:val="left" w:pos="1191"/>
              </w:tabs>
              <w:spacing w:before="40" w:after="40"/>
              <w:ind w:leftChars="0"/>
              <w:rPr>
                <w:rFonts w:cs="Segoe UI"/>
                <w:sz w:val="17"/>
                <w:szCs w:val="17"/>
                <w:lang w:eastAsia="en-GB"/>
              </w:rPr>
            </w:pPr>
          </w:p>
        </w:tc>
        <w:tc>
          <w:tcPr>
            <w:tcW w:w="8118" w:type="dxa"/>
          </w:tcPr>
          <w:p w:rsidR="002A0515" w:rsidRPr="00E30DEC" w:rsidRDefault="002A0515" w:rsidP="00A54BE4">
            <w:pPr>
              <w:keepLines/>
              <w:widowControl w:val="0"/>
              <w:tabs>
                <w:tab w:val="left" w:pos="150"/>
                <w:tab w:val="left" w:pos="397"/>
                <w:tab w:val="left" w:pos="794"/>
                <w:tab w:val="left" w:pos="1191"/>
              </w:tabs>
              <w:spacing w:before="40" w:after="40"/>
              <w:jc w:val="both"/>
              <w:rPr>
                <w:sz w:val="17"/>
                <w:szCs w:val="17"/>
              </w:rPr>
            </w:pPr>
            <w:r w:rsidRPr="00E30DEC">
              <w:rPr>
                <w:sz w:val="17"/>
                <w:szCs w:val="17"/>
              </w:rPr>
              <w:t>Sum of values in rows 1 and 2.</w:t>
            </w:r>
          </w:p>
        </w:tc>
      </w:tr>
      <w:tr w:rsidR="002A0515" w:rsidRPr="00E30DEC" w:rsidTr="00A54BE4">
        <w:trPr>
          <w:gridAfter w:val="1"/>
          <w:wAfter w:w="13" w:type="dxa"/>
          <w:trHeight w:val="373"/>
        </w:trPr>
        <w:tc>
          <w:tcPr>
            <w:tcW w:w="709" w:type="dxa"/>
          </w:tcPr>
          <w:p w:rsidR="002A0515" w:rsidRPr="00E30DEC" w:rsidRDefault="002A0515" w:rsidP="002A0515">
            <w:pPr>
              <w:pStyle w:val="ListParagraph"/>
              <w:keepLines/>
              <w:widowControl w:val="0"/>
              <w:numPr>
                <w:ilvl w:val="0"/>
                <w:numId w:val="90"/>
              </w:numPr>
              <w:tabs>
                <w:tab w:val="left" w:pos="150"/>
                <w:tab w:val="left" w:pos="397"/>
                <w:tab w:val="left" w:pos="794"/>
                <w:tab w:val="left" w:pos="1191"/>
              </w:tabs>
              <w:spacing w:before="40" w:after="40"/>
              <w:ind w:leftChars="0"/>
              <w:rPr>
                <w:rFonts w:cs="Segoe UI"/>
                <w:sz w:val="17"/>
                <w:szCs w:val="17"/>
                <w:lang w:eastAsia="en-GB"/>
              </w:rPr>
            </w:pPr>
          </w:p>
        </w:tc>
        <w:tc>
          <w:tcPr>
            <w:tcW w:w="8118" w:type="dxa"/>
          </w:tcPr>
          <w:p w:rsidR="002A0515" w:rsidRPr="00E30DEC" w:rsidRDefault="002A0515" w:rsidP="00A54BE4">
            <w:pPr>
              <w:rPr>
                <w:sz w:val="17"/>
                <w:szCs w:val="17"/>
              </w:rPr>
            </w:pPr>
            <w:r w:rsidRPr="00E30DEC">
              <w:rPr>
                <w:sz w:val="17"/>
                <w:szCs w:val="17"/>
              </w:rPr>
              <w:t xml:space="preserve">Replacement cost (“RC”) associated with all derivative contracts (including exposures resulting from direct transactions between a client and a CCP where the bank guarantees the performance of its clients’ derivative trade exposures to the CCP), net of cash variation margin received and with, where applicable, </w:t>
            </w:r>
            <w:r w:rsidRPr="00F63E51">
              <w:rPr>
                <w:sz w:val="17"/>
                <w:szCs w:val="17"/>
              </w:rPr>
              <w:t xml:space="preserve">bilateral netting under a </w:t>
            </w:r>
            <w:r>
              <w:rPr>
                <w:sz w:val="17"/>
                <w:szCs w:val="17"/>
              </w:rPr>
              <w:t xml:space="preserve">qualifying </w:t>
            </w:r>
            <w:r w:rsidRPr="00F63E51">
              <w:rPr>
                <w:sz w:val="17"/>
                <w:szCs w:val="17"/>
              </w:rPr>
              <w:t>bilateral netting agreement.</w:t>
            </w:r>
            <w:r w:rsidRPr="00E30DEC">
              <w:rPr>
                <w:sz w:val="17"/>
                <w:szCs w:val="17"/>
              </w:rPr>
              <w:t xml:space="preserve">  This amount should be reported </w:t>
            </w:r>
            <w:r>
              <w:rPr>
                <w:sz w:val="17"/>
                <w:szCs w:val="17"/>
              </w:rPr>
              <w:t xml:space="preserve">after applying the </w:t>
            </w:r>
            <w:r w:rsidRPr="00E30DEC">
              <w:rPr>
                <w:sz w:val="17"/>
                <w:szCs w:val="17"/>
              </w:rPr>
              <w:t xml:space="preserve">1.4 alpha factor. </w:t>
            </w:r>
          </w:p>
        </w:tc>
      </w:tr>
      <w:tr w:rsidR="002A0515" w:rsidRPr="00E30DEC" w:rsidTr="00A54BE4">
        <w:trPr>
          <w:gridAfter w:val="1"/>
          <w:wAfter w:w="13" w:type="dxa"/>
          <w:trHeight w:val="373"/>
        </w:trPr>
        <w:tc>
          <w:tcPr>
            <w:tcW w:w="709" w:type="dxa"/>
          </w:tcPr>
          <w:p w:rsidR="002A0515" w:rsidRPr="00E30DEC" w:rsidRDefault="002A0515" w:rsidP="002A0515">
            <w:pPr>
              <w:pStyle w:val="ListParagraph"/>
              <w:keepLines/>
              <w:widowControl w:val="0"/>
              <w:numPr>
                <w:ilvl w:val="0"/>
                <w:numId w:val="90"/>
              </w:numPr>
              <w:tabs>
                <w:tab w:val="left" w:pos="150"/>
                <w:tab w:val="left" w:pos="397"/>
                <w:tab w:val="left" w:pos="794"/>
                <w:tab w:val="left" w:pos="1191"/>
              </w:tabs>
              <w:spacing w:before="40" w:after="40"/>
              <w:ind w:leftChars="0"/>
              <w:rPr>
                <w:rFonts w:cs="Segoe UI"/>
                <w:sz w:val="17"/>
                <w:szCs w:val="17"/>
                <w:lang w:eastAsia="en-GB"/>
              </w:rPr>
            </w:pPr>
          </w:p>
        </w:tc>
        <w:tc>
          <w:tcPr>
            <w:tcW w:w="8118" w:type="dxa"/>
          </w:tcPr>
          <w:p w:rsidR="002A0515" w:rsidRPr="00E30DEC" w:rsidRDefault="002A0515" w:rsidP="00A54BE4">
            <w:pPr>
              <w:keepLines/>
              <w:widowControl w:val="0"/>
              <w:tabs>
                <w:tab w:val="left" w:pos="150"/>
                <w:tab w:val="left" w:pos="397"/>
                <w:tab w:val="left" w:pos="794"/>
                <w:tab w:val="left" w:pos="1191"/>
              </w:tabs>
              <w:spacing w:before="40" w:after="40"/>
              <w:jc w:val="both"/>
              <w:rPr>
                <w:sz w:val="17"/>
                <w:szCs w:val="17"/>
              </w:rPr>
            </w:pPr>
            <w:r w:rsidRPr="00E30DEC">
              <w:rPr>
                <w:sz w:val="17"/>
                <w:szCs w:val="17"/>
              </w:rPr>
              <w:t xml:space="preserve">Add-on amount for the potential future exposure (“PFE”) of all exposures arising from derivative contracts.  This amount should be reported </w:t>
            </w:r>
            <w:r>
              <w:rPr>
                <w:sz w:val="17"/>
                <w:szCs w:val="17"/>
              </w:rPr>
              <w:t>after applying</w:t>
            </w:r>
            <w:r w:rsidRPr="00E30DEC">
              <w:rPr>
                <w:sz w:val="17"/>
                <w:szCs w:val="17"/>
              </w:rPr>
              <w:t xml:space="preserve"> the 1.4 alpha factor. </w:t>
            </w:r>
          </w:p>
        </w:tc>
      </w:tr>
      <w:tr w:rsidR="002A0515" w:rsidRPr="00E30DEC" w:rsidTr="00A54BE4">
        <w:trPr>
          <w:gridAfter w:val="1"/>
          <w:wAfter w:w="13" w:type="dxa"/>
          <w:trHeight w:val="373"/>
        </w:trPr>
        <w:tc>
          <w:tcPr>
            <w:tcW w:w="709" w:type="dxa"/>
          </w:tcPr>
          <w:p w:rsidR="002A0515" w:rsidRPr="00E30DEC" w:rsidRDefault="002A0515" w:rsidP="002A0515">
            <w:pPr>
              <w:pStyle w:val="ListParagraph"/>
              <w:keepLines/>
              <w:widowControl w:val="0"/>
              <w:numPr>
                <w:ilvl w:val="0"/>
                <w:numId w:val="90"/>
              </w:numPr>
              <w:tabs>
                <w:tab w:val="left" w:pos="150"/>
                <w:tab w:val="left" w:pos="397"/>
                <w:tab w:val="left" w:pos="794"/>
                <w:tab w:val="left" w:pos="1191"/>
              </w:tabs>
              <w:spacing w:before="40" w:after="40"/>
              <w:ind w:leftChars="0"/>
              <w:rPr>
                <w:rFonts w:cs="Segoe UI"/>
                <w:sz w:val="17"/>
                <w:szCs w:val="17"/>
                <w:lang w:eastAsia="en-GB"/>
              </w:rPr>
            </w:pPr>
          </w:p>
        </w:tc>
        <w:tc>
          <w:tcPr>
            <w:tcW w:w="8118" w:type="dxa"/>
          </w:tcPr>
          <w:p w:rsidR="002A0515" w:rsidRPr="00E30DEC" w:rsidRDefault="002A0515" w:rsidP="00A54BE4">
            <w:pPr>
              <w:keepLines/>
              <w:widowControl w:val="0"/>
              <w:tabs>
                <w:tab w:val="left" w:pos="150"/>
                <w:tab w:val="left" w:pos="397"/>
                <w:tab w:val="left" w:pos="794"/>
                <w:tab w:val="left" w:pos="1191"/>
              </w:tabs>
              <w:spacing w:before="40" w:after="40"/>
              <w:jc w:val="both"/>
              <w:rPr>
                <w:sz w:val="17"/>
                <w:szCs w:val="17"/>
              </w:rPr>
            </w:pPr>
            <w:r w:rsidRPr="00E30DEC">
              <w:rPr>
                <w:sz w:val="17"/>
                <w:szCs w:val="17"/>
              </w:rPr>
              <w:t>Grossed-up amount of any collateral provided in relation to exposures arising from derivative contracts where the provision of that collateral has reduced the value of the balance sheet assets under the AI’s applicable accounting framework.</w:t>
            </w:r>
          </w:p>
        </w:tc>
      </w:tr>
      <w:tr w:rsidR="002A0515" w:rsidRPr="00E30DEC" w:rsidTr="00A54BE4">
        <w:trPr>
          <w:gridAfter w:val="1"/>
          <w:wAfter w:w="13" w:type="dxa"/>
          <w:trHeight w:val="373"/>
        </w:trPr>
        <w:tc>
          <w:tcPr>
            <w:tcW w:w="709" w:type="dxa"/>
          </w:tcPr>
          <w:p w:rsidR="002A0515" w:rsidRPr="00E30DEC" w:rsidRDefault="002A0515" w:rsidP="002A0515">
            <w:pPr>
              <w:pStyle w:val="ListParagraph"/>
              <w:keepLines/>
              <w:widowControl w:val="0"/>
              <w:numPr>
                <w:ilvl w:val="0"/>
                <w:numId w:val="90"/>
              </w:numPr>
              <w:tabs>
                <w:tab w:val="left" w:pos="150"/>
                <w:tab w:val="left" w:pos="397"/>
                <w:tab w:val="left" w:pos="794"/>
                <w:tab w:val="left" w:pos="1191"/>
              </w:tabs>
              <w:spacing w:before="40" w:after="40"/>
              <w:ind w:leftChars="0"/>
              <w:rPr>
                <w:rFonts w:cs="Segoe UI"/>
                <w:sz w:val="17"/>
                <w:szCs w:val="17"/>
                <w:lang w:eastAsia="en-GB"/>
              </w:rPr>
            </w:pPr>
          </w:p>
        </w:tc>
        <w:tc>
          <w:tcPr>
            <w:tcW w:w="8118" w:type="dxa"/>
          </w:tcPr>
          <w:p w:rsidR="002A0515" w:rsidRPr="00E30DEC" w:rsidRDefault="002A0515" w:rsidP="00A54BE4">
            <w:pPr>
              <w:keepLines/>
              <w:widowControl w:val="0"/>
              <w:tabs>
                <w:tab w:val="left" w:pos="150"/>
                <w:tab w:val="left" w:pos="397"/>
                <w:tab w:val="left" w:pos="794"/>
                <w:tab w:val="left" w:pos="1191"/>
              </w:tabs>
              <w:spacing w:before="40" w:after="40"/>
              <w:jc w:val="both"/>
              <w:rPr>
                <w:sz w:val="17"/>
                <w:szCs w:val="17"/>
              </w:rPr>
            </w:pPr>
            <w:r w:rsidRPr="00E30DEC">
              <w:rPr>
                <w:sz w:val="17"/>
                <w:szCs w:val="17"/>
              </w:rPr>
              <w:t>Deductions of receivable assets in respect of cash variation margin provided under derivative contracts where the posting of cash variation margin has resulted in the recognition of a receivable asset under the AI’s applicable accounting framework.  As the adjustments in row 7 reduce the exposure measure, they should be reported as negative figures.</w:t>
            </w:r>
          </w:p>
        </w:tc>
      </w:tr>
      <w:tr w:rsidR="002A0515" w:rsidRPr="00E30DEC" w:rsidTr="00A54BE4">
        <w:trPr>
          <w:gridAfter w:val="1"/>
          <w:wAfter w:w="13" w:type="dxa"/>
          <w:trHeight w:val="373"/>
        </w:trPr>
        <w:tc>
          <w:tcPr>
            <w:tcW w:w="709" w:type="dxa"/>
          </w:tcPr>
          <w:p w:rsidR="002A0515" w:rsidRPr="00E30DEC" w:rsidRDefault="002A0515" w:rsidP="002A0515">
            <w:pPr>
              <w:pStyle w:val="ListParagraph"/>
              <w:keepLines/>
              <w:widowControl w:val="0"/>
              <w:numPr>
                <w:ilvl w:val="0"/>
                <w:numId w:val="90"/>
              </w:numPr>
              <w:tabs>
                <w:tab w:val="left" w:pos="150"/>
                <w:tab w:val="left" w:pos="397"/>
                <w:tab w:val="left" w:pos="794"/>
                <w:tab w:val="left" w:pos="1191"/>
              </w:tabs>
              <w:spacing w:before="40" w:after="40"/>
              <w:ind w:leftChars="0"/>
              <w:rPr>
                <w:rFonts w:cs="Segoe UI"/>
                <w:sz w:val="17"/>
                <w:szCs w:val="17"/>
                <w:lang w:eastAsia="en-GB"/>
              </w:rPr>
            </w:pPr>
          </w:p>
        </w:tc>
        <w:tc>
          <w:tcPr>
            <w:tcW w:w="8118" w:type="dxa"/>
          </w:tcPr>
          <w:p w:rsidR="002A0515" w:rsidRPr="00E30DEC" w:rsidRDefault="002A0515" w:rsidP="00A54BE4">
            <w:pPr>
              <w:keepLines/>
              <w:widowControl w:val="0"/>
              <w:tabs>
                <w:tab w:val="left" w:pos="150"/>
                <w:tab w:val="left" w:pos="397"/>
                <w:tab w:val="left" w:pos="794"/>
                <w:tab w:val="left" w:pos="1191"/>
              </w:tabs>
              <w:spacing w:before="40" w:after="40"/>
              <w:jc w:val="both"/>
              <w:rPr>
                <w:sz w:val="17"/>
                <w:szCs w:val="17"/>
              </w:rPr>
            </w:pPr>
            <w:r w:rsidRPr="00E30DEC">
              <w:rPr>
                <w:sz w:val="17"/>
                <w:szCs w:val="17"/>
              </w:rPr>
              <w:t xml:space="preserve">Exempted trade exposures associated with the CCP leg </w:t>
            </w:r>
            <w:r w:rsidRPr="00EC6E55">
              <w:rPr>
                <w:sz w:val="17"/>
                <w:szCs w:val="17"/>
              </w:rPr>
              <w:t>of derivative</w:t>
            </w:r>
            <w:r w:rsidRPr="00E30DEC">
              <w:rPr>
                <w:sz w:val="17"/>
                <w:szCs w:val="17"/>
              </w:rPr>
              <w:t xml:space="preserve"> contracts resulting from client-cleared transactions or which the clearing member, based on the contractual arrangements with the client, is not obligated to reimburse the client for any losses suffered due to changes in the value of its transactions in the event that a QCCP defaults.  As the adjustments in row 8 reduce the exposure measure, they should be reported as negative figures.</w:t>
            </w:r>
          </w:p>
        </w:tc>
      </w:tr>
      <w:tr w:rsidR="002A0515" w:rsidRPr="00E30DEC" w:rsidTr="00A54BE4">
        <w:trPr>
          <w:gridAfter w:val="1"/>
          <w:wAfter w:w="13" w:type="dxa"/>
          <w:trHeight w:val="373"/>
        </w:trPr>
        <w:tc>
          <w:tcPr>
            <w:tcW w:w="709" w:type="dxa"/>
          </w:tcPr>
          <w:p w:rsidR="002A0515" w:rsidRPr="00E30DEC" w:rsidRDefault="002A0515" w:rsidP="002A0515">
            <w:pPr>
              <w:pStyle w:val="ListParagraph"/>
              <w:keepLines/>
              <w:widowControl w:val="0"/>
              <w:numPr>
                <w:ilvl w:val="0"/>
                <w:numId w:val="90"/>
              </w:numPr>
              <w:tabs>
                <w:tab w:val="left" w:pos="150"/>
                <w:tab w:val="left" w:pos="397"/>
                <w:tab w:val="left" w:pos="794"/>
                <w:tab w:val="left" w:pos="1191"/>
              </w:tabs>
              <w:spacing w:before="40" w:after="40"/>
              <w:ind w:leftChars="0"/>
              <w:rPr>
                <w:rFonts w:cs="Segoe UI"/>
                <w:sz w:val="17"/>
                <w:szCs w:val="17"/>
                <w:lang w:eastAsia="en-GB"/>
              </w:rPr>
            </w:pPr>
          </w:p>
        </w:tc>
        <w:tc>
          <w:tcPr>
            <w:tcW w:w="8118" w:type="dxa"/>
          </w:tcPr>
          <w:p w:rsidR="002A0515" w:rsidRPr="00E30DEC" w:rsidRDefault="002A0515" w:rsidP="00A54BE4">
            <w:pPr>
              <w:keepLines/>
              <w:widowControl w:val="0"/>
              <w:tabs>
                <w:tab w:val="left" w:pos="150"/>
                <w:tab w:val="left" w:pos="397"/>
                <w:tab w:val="left" w:pos="794"/>
                <w:tab w:val="left" w:pos="1191"/>
              </w:tabs>
              <w:spacing w:before="40" w:after="40"/>
              <w:jc w:val="both"/>
              <w:rPr>
                <w:sz w:val="17"/>
                <w:szCs w:val="17"/>
              </w:rPr>
            </w:pPr>
            <w:r w:rsidRPr="00E30DEC">
              <w:rPr>
                <w:sz w:val="17"/>
                <w:szCs w:val="17"/>
              </w:rPr>
              <w:t xml:space="preserve">Adjustments relating to the effective notional amount of written </w:t>
            </w:r>
            <w:r>
              <w:rPr>
                <w:sz w:val="17"/>
                <w:szCs w:val="17"/>
              </w:rPr>
              <w:t>credit-related derivative</w:t>
            </w:r>
            <w:r w:rsidRPr="00E30DEC">
              <w:rPr>
                <w:sz w:val="17"/>
                <w:szCs w:val="17"/>
              </w:rPr>
              <w:t xml:space="preserve"> contracts, which may be reduced by the total amount of negative changes in fair value amounts that have been incorporated into the calculation of Tier 1 capital with respect to written </w:t>
            </w:r>
            <w:r>
              <w:rPr>
                <w:sz w:val="17"/>
                <w:szCs w:val="17"/>
              </w:rPr>
              <w:t>credit-related derivative</w:t>
            </w:r>
            <w:r w:rsidRPr="00E30DEC">
              <w:rPr>
                <w:sz w:val="17"/>
                <w:szCs w:val="17"/>
              </w:rPr>
              <w:t xml:space="preserve"> contracts.</w:t>
            </w:r>
          </w:p>
        </w:tc>
      </w:tr>
      <w:tr w:rsidR="002A0515" w:rsidRPr="00E30DEC" w:rsidTr="00A54BE4">
        <w:trPr>
          <w:gridAfter w:val="1"/>
          <w:wAfter w:w="13" w:type="dxa"/>
          <w:trHeight w:val="373"/>
        </w:trPr>
        <w:tc>
          <w:tcPr>
            <w:tcW w:w="709" w:type="dxa"/>
          </w:tcPr>
          <w:p w:rsidR="002A0515" w:rsidRPr="00E30DEC" w:rsidRDefault="002A0515" w:rsidP="002A0515">
            <w:pPr>
              <w:pStyle w:val="ListParagraph"/>
              <w:keepLines/>
              <w:widowControl w:val="0"/>
              <w:numPr>
                <w:ilvl w:val="0"/>
                <w:numId w:val="90"/>
              </w:numPr>
              <w:tabs>
                <w:tab w:val="left" w:pos="150"/>
                <w:tab w:val="left" w:pos="397"/>
                <w:tab w:val="left" w:pos="794"/>
                <w:tab w:val="left" w:pos="1191"/>
              </w:tabs>
              <w:spacing w:before="40" w:after="40"/>
              <w:ind w:leftChars="0"/>
              <w:rPr>
                <w:rFonts w:cs="Segoe UI"/>
                <w:sz w:val="17"/>
                <w:szCs w:val="17"/>
                <w:lang w:eastAsia="en-GB"/>
              </w:rPr>
            </w:pPr>
          </w:p>
        </w:tc>
        <w:tc>
          <w:tcPr>
            <w:tcW w:w="8118" w:type="dxa"/>
          </w:tcPr>
          <w:p w:rsidR="002A0515" w:rsidRPr="00E30DEC" w:rsidRDefault="002A0515" w:rsidP="00A54BE4">
            <w:pPr>
              <w:keepLines/>
              <w:widowControl w:val="0"/>
              <w:tabs>
                <w:tab w:val="left" w:pos="150"/>
                <w:tab w:val="left" w:pos="397"/>
                <w:tab w:val="left" w:pos="794"/>
                <w:tab w:val="left" w:pos="1191"/>
              </w:tabs>
              <w:spacing w:before="40" w:after="40"/>
              <w:jc w:val="both"/>
              <w:rPr>
                <w:rFonts w:cs="Segoe UI"/>
                <w:sz w:val="17"/>
                <w:szCs w:val="17"/>
              </w:rPr>
            </w:pPr>
            <w:r w:rsidRPr="00E30DEC">
              <w:rPr>
                <w:sz w:val="17"/>
                <w:szCs w:val="17"/>
              </w:rPr>
              <w:t>Adjustments relatin</w:t>
            </w:r>
            <w:r w:rsidRPr="00E30DEC">
              <w:rPr>
                <w:rFonts w:cs="Segoe UI"/>
                <w:sz w:val="17"/>
                <w:szCs w:val="17"/>
              </w:rPr>
              <w:t>g to:</w:t>
            </w:r>
          </w:p>
          <w:p w:rsidR="002A0515" w:rsidRPr="00E03AFC" w:rsidRDefault="002A0515" w:rsidP="002A0515">
            <w:pPr>
              <w:pStyle w:val="ListParagraph"/>
              <w:keepLines/>
              <w:widowControl w:val="0"/>
              <w:numPr>
                <w:ilvl w:val="0"/>
                <w:numId w:val="63"/>
              </w:numPr>
              <w:spacing w:before="40" w:after="40"/>
              <w:ind w:leftChars="0" w:left="318" w:hanging="318"/>
              <w:jc w:val="both"/>
              <w:rPr>
                <w:rFonts w:cs="Segoe UI"/>
                <w:sz w:val="17"/>
              </w:rPr>
            </w:pPr>
            <w:r w:rsidRPr="00E03AFC">
              <w:rPr>
                <w:rFonts w:cs="Segoe UI"/>
                <w:sz w:val="17"/>
              </w:rPr>
              <w:t>The amount by which the notional amount of a written credit</w:t>
            </w:r>
            <w:r w:rsidRPr="00E03AFC">
              <w:rPr>
                <w:rFonts w:cs="Segoe UI"/>
                <w:sz w:val="17"/>
                <w:szCs w:val="17"/>
              </w:rPr>
              <w:t>-related</w:t>
            </w:r>
            <w:r w:rsidRPr="00E03AFC">
              <w:rPr>
                <w:rFonts w:cs="Segoe UI"/>
                <w:sz w:val="17"/>
              </w:rPr>
              <w:t xml:space="preserve"> derivative is reduced by a purchased credit</w:t>
            </w:r>
            <w:r w:rsidRPr="00E03AFC">
              <w:rPr>
                <w:rFonts w:cs="Segoe UI"/>
                <w:sz w:val="17"/>
                <w:szCs w:val="17"/>
              </w:rPr>
              <w:t>-related</w:t>
            </w:r>
            <w:r w:rsidRPr="00E03AFC">
              <w:rPr>
                <w:rFonts w:cs="Segoe UI"/>
                <w:sz w:val="17"/>
              </w:rPr>
              <w:t xml:space="preserve"> derivative contract on the same reference name; and</w:t>
            </w:r>
          </w:p>
          <w:p w:rsidR="002A0515" w:rsidRPr="00B01815" w:rsidRDefault="002A0515" w:rsidP="002A0515">
            <w:pPr>
              <w:pStyle w:val="ListParagraph"/>
              <w:keepLines/>
              <w:widowControl w:val="0"/>
              <w:numPr>
                <w:ilvl w:val="0"/>
                <w:numId w:val="63"/>
              </w:numPr>
              <w:spacing w:before="40" w:after="40"/>
              <w:ind w:leftChars="0" w:left="318" w:hanging="318"/>
              <w:jc w:val="both"/>
              <w:rPr>
                <w:sz w:val="17"/>
              </w:rPr>
            </w:pPr>
            <w:r w:rsidRPr="00E03AFC">
              <w:rPr>
                <w:rFonts w:cs="Segoe UI"/>
                <w:sz w:val="17"/>
              </w:rPr>
              <w:t>The deduction of add-on amounts for PFE in relation to written credit</w:t>
            </w:r>
            <w:r w:rsidRPr="00E03AFC">
              <w:rPr>
                <w:rFonts w:cs="Segoe UI"/>
                <w:sz w:val="17"/>
                <w:szCs w:val="17"/>
              </w:rPr>
              <w:t>-related</w:t>
            </w:r>
            <w:r w:rsidRPr="00E03AFC">
              <w:rPr>
                <w:rFonts w:cs="Segoe UI"/>
                <w:sz w:val="17"/>
              </w:rPr>
              <w:t xml:space="preserve"> derivative contracts.</w:t>
            </w:r>
          </w:p>
          <w:p w:rsidR="002A0515" w:rsidRPr="00E30DEC" w:rsidRDefault="002A0515" w:rsidP="00A54BE4">
            <w:pPr>
              <w:keepLines/>
              <w:widowControl w:val="0"/>
              <w:tabs>
                <w:tab w:val="left" w:pos="150"/>
                <w:tab w:val="left" w:pos="397"/>
                <w:tab w:val="left" w:pos="794"/>
                <w:tab w:val="left" w:pos="1191"/>
              </w:tabs>
              <w:spacing w:before="40" w:after="40"/>
              <w:jc w:val="both"/>
              <w:rPr>
                <w:sz w:val="17"/>
                <w:szCs w:val="17"/>
              </w:rPr>
            </w:pPr>
            <w:r w:rsidRPr="00E30DEC">
              <w:rPr>
                <w:rFonts w:cs="Segoe UI"/>
                <w:sz w:val="17"/>
                <w:szCs w:val="17"/>
              </w:rPr>
              <w:t>As the adjustments in row 1</w:t>
            </w:r>
            <w:r w:rsidRPr="00E30DEC">
              <w:rPr>
                <w:sz w:val="17"/>
                <w:szCs w:val="17"/>
              </w:rPr>
              <w:t>0 reduce the exposure measure, they should be reported as negative figures.</w:t>
            </w:r>
          </w:p>
        </w:tc>
      </w:tr>
      <w:tr w:rsidR="002A0515" w:rsidRPr="00E30DEC" w:rsidTr="00A54BE4">
        <w:trPr>
          <w:gridAfter w:val="1"/>
          <w:wAfter w:w="13" w:type="dxa"/>
          <w:trHeight w:val="373"/>
        </w:trPr>
        <w:tc>
          <w:tcPr>
            <w:tcW w:w="709" w:type="dxa"/>
          </w:tcPr>
          <w:p w:rsidR="002A0515" w:rsidRPr="00E30DEC" w:rsidRDefault="002A0515" w:rsidP="002A0515">
            <w:pPr>
              <w:pStyle w:val="ListParagraph"/>
              <w:keepLines/>
              <w:widowControl w:val="0"/>
              <w:numPr>
                <w:ilvl w:val="0"/>
                <w:numId w:val="90"/>
              </w:numPr>
              <w:tabs>
                <w:tab w:val="left" w:pos="150"/>
                <w:tab w:val="left" w:pos="397"/>
                <w:tab w:val="left" w:pos="794"/>
                <w:tab w:val="left" w:pos="1191"/>
              </w:tabs>
              <w:spacing w:before="40" w:after="40"/>
              <w:ind w:leftChars="0"/>
              <w:rPr>
                <w:rFonts w:cs="Segoe UI"/>
                <w:sz w:val="17"/>
                <w:szCs w:val="17"/>
                <w:lang w:eastAsia="en-GB"/>
              </w:rPr>
            </w:pPr>
          </w:p>
        </w:tc>
        <w:tc>
          <w:tcPr>
            <w:tcW w:w="8118" w:type="dxa"/>
          </w:tcPr>
          <w:p w:rsidR="002A0515" w:rsidRPr="00E30DEC" w:rsidRDefault="002A0515" w:rsidP="00A54BE4">
            <w:pPr>
              <w:keepLines/>
              <w:widowControl w:val="0"/>
              <w:tabs>
                <w:tab w:val="left" w:pos="150"/>
                <w:tab w:val="left" w:pos="397"/>
                <w:tab w:val="left" w:pos="794"/>
                <w:tab w:val="left" w:pos="1191"/>
              </w:tabs>
              <w:spacing w:before="40" w:after="40"/>
              <w:jc w:val="both"/>
              <w:rPr>
                <w:sz w:val="17"/>
                <w:szCs w:val="17"/>
              </w:rPr>
            </w:pPr>
            <w:r w:rsidRPr="00E30DEC">
              <w:rPr>
                <w:sz w:val="17"/>
                <w:szCs w:val="17"/>
              </w:rPr>
              <w:t>Sum of values in rows 4 to 10.</w:t>
            </w:r>
          </w:p>
        </w:tc>
      </w:tr>
      <w:tr w:rsidR="002A0515" w:rsidRPr="00E30DEC" w:rsidTr="00A54BE4">
        <w:trPr>
          <w:gridAfter w:val="1"/>
          <w:wAfter w:w="13" w:type="dxa"/>
          <w:trHeight w:val="373"/>
        </w:trPr>
        <w:tc>
          <w:tcPr>
            <w:tcW w:w="709" w:type="dxa"/>
          </w:tcPr>
          <w:p w:rsidR="002A0515" w:rsidRPr="00E30DEC" w:rsidRDefault="002A0515" w:rsidP="002A0515">
            <w:pPr>
              <w:pStyle w:val="ListParagraph"/>
              <w:keepLines/>
              <w:widowControl w:val="0"/>
              <w:numPr>
                <w:ilvl w:val="0"/>
                <w:numId w:val="90"/>
              </w:numPr>
              <w:tabs>
                <w:tab w:val="left" w:pos="150"/>
                <w:tab w:val="left" w:pos="397"/>
                <w:tab w:val="left" w:pos="465"/>
                <w:tab w:val="left" w:pos="1191"/>
              </w:tabs>
              <w:spacing w:before="40" w:after="40"/>
              <w:ind w:leftChars="0"/>
              <w:rPr>
                <w:rFonts w:cs="Segoe UI"/>
                <w:sz w:val="17"/>
                <w:szCs w:val="17"/>
                <w:lang w:eastAsia="en-GB"/>
              </w:rPr>
            </w:pPr>
          </w:p>
        </w:tc>
        <w:tc>
          <w:tcPr>
            <w:tcW w:w="8118" w:type="dxa"/>
          </w:tcPr>
          <w:p w:rsidR="002A0515" w:rsidRPr="00E30DEC" w:rsidRDefault="002A0515" w:rsidP="00A54BE4">
            <w:pPr>
              <w:keepLines/>
              <w:widowControl w:val="0"/>
              <w:spacing w:before="40" w:after="40"/>
              <w:jc w:val="both"/>
              <w:rPr>
                <w:sz w:val="17"/>
                <w:szCs w:val="17"/>
              </w:rPr>
            </w:pPr>
            <w:r w:rsidRPr="00E30DEC">
              <w:rPr>
                <w:sz w:val="17"/>
                <w:szCs w:val="17"/>
              </w:rPr>
              <w:t xml:space="preserve">The gross amount of SFT assets without recognition of netting, other than novation with QCCPs (in which case the final contractual exposure is to replace the gross SFT assets amount), determined in accordance with the LR framework in respect of SFT exposures (e.g. excluding any securities received under an SFT where the AI has </w:t>
            </w:r>
            <w:proofErr w:type="spellStart"/>
            <w:r w:rsidRPr="00E30DEC">
              <w:rPr>
                <w:sz w:val="17"/>
                <w:szCs w:val="17"/>
              </w:rPr>
              <w:t>recognised</w:t>
            </w:r>
            <w:proofErr w:type="spellEnd"/>
            <w:r w:rsidRPr="00E30DEC">
              <w:rPr>
                <w:sz w:val="17"/>
                <w:szCs w:val="17"/>
              </w:rPr>
              <w:t xml:space="preserve"> the securities as an asset on its balance sheet), and adjusting for any sales accounting transactions.</w:t>
            </w:r>
          </w:p>
        </w:tc>
      </w:tr>
      <w:tr w:rsidR="002A0515" w:rsidRPr="00E30DEC" w:rsidTr="00A54BE4">
        <w:trPr>
          <w:gridAfter w:val="1"/>
          <w:wAfter w:w="13" w:type="dxa"/>
          <w:trHeight w:val="373"/>
        </w:trPr>
        <w:tc>
          <w:tcPr>
            <w:tcW w:w="709" w:type="dxa"/>
          </w:tcPr>
          <w:p w:rsidR="002A0515" w:rsidRPr="00E30DEC" w:rsidRDefault="002A0515" w:rsidP="002A0515">
            <w:pPr>
              <w:pStyle w:val="ListParagraph"/>
              <w:keepLines/>
              <w:widowControl w:val="0"/>
              <w:numPr>
                <w:ilvl w:val="0"/>
                <w:numId w:val="90"/>
              </w:numPr>
              <w:tabs>
                <w:tab w:val="left" w:pos="150"/>
                <w:tab w:val="left" w:pos="397"/>
                <w:tab w:val="left" w:pos="465"/>
                <w:tab w:val="left" w:pos="1191"/>
              </w:tabs>
              <w:spacing w:before="40" w:after="40"/>
              <w:ind w:leftChars="0"/>
              <w:rPr>
                <w:rFonts w:cs="Segoe UI"/>
                <w:sz w:val="17"/>
                <w:szCs w:val="17"/>
                <w:lang w:eastAsia="en-GB"/>
              </w:rPr>
            </w:pPr>
          </w:p>
        </w:tc>
        <w:tc>
          <w:tcPr>
            <w:tcW w:w="8118" w:type="dxa"/>
          </w:tcPr>
          <w:p w:rsidR="002A0515" w:rsidRPr="00E30DEC" w:rsidRDefault="002A0515" w:rsidP="00A54BE4">
            <w:pPr>
              <w:keepLines/>
              <w:widowControl w:val="0"/>
              <w:tabs>
                <w:tab w:val="left" w:pos="150"/>
                <w:tab w:val="left" w:pos="397"/>
                <w:tab w:val="left" w:pos="794"/>
                <w:tab w:val="left" w:pos="1191"/>
              </w:tabs>
              <w:spacing w:before="40" w:after="40"/>
              <w:jc w:val="both"/>
              <w:rPr>
                <w:sz w:val="17"/>
                <w:szCs w:val="17"/>
              </w:rPr>
            </w:pPr>
            <w:r w:rsidRPr="00E30DEC">
              <w:rPr>
                <w:sz w:val="17"/>
                <w:szCs w:val="17"/>
              </w:rPr>
              <w:t>Adjustments for cash payables and cash receivables of gross SFT assets with netting determined in accordance with the LR framework in respect of SFT exposures.  As these adjustments reduce the exposure measure, they should be reported as a negative figure.</w:t>
            </w:r>
          </w:p>
        </w:tc>
      </w:tr>
      <w:tr w:rsidR="002A0515" w:rsidRPr="00E30DEC" w:rsidTr="00A54BE4">
        <w:trPr>
          <w:gridAfter w:val="1"/>
          <w:wAfter w:w="13" w:type="dxa"/>
          <w:trHeight w:val="373"/>
        </w:trPr>
        <w:tc>
          <w:tcPr>
            <w:tcW w:w="709" w:type="dxa"/>
          </w:tcPr>
          <w:p w:rsidR="002A0515" w:rsidRPr="00E30DEC" w:rsidRDefault="002A0515" w:rsidP="002A0515">
            <w:pPr>
              <w:pStyle w:val="ListParagraph"/>
              <w:keepLines/>
              <w:widowControl w:val="0"/>
              <w:numPr>
                <w:ilvl w:val="0"/>
                <w:numId w:val="90"/>
              </w:numPr>
              <w:tabs>
                <w:tab w:val="left" w:pos="150"/>
                <w:tab w:val="left" w:pos="397"/>
                <w:tab w:val="left" w:pos="465"/>
                <w:tab w:val="left" w:pos="1191"/>
              </w:tabs>
              <w:spacing w:before="40" w:after="40"/>
              <w:ind w:leftChars="0"/>
              <w:rPr>
                <w:rFonts w:cs="Segoe UI"/>
                <w:sz w:val="17"/>
                <w:szCs w:val="17"/>
                <w:lang w:eastAsia="en-GB"/>
              </w:rPr>
            </w:pPr>
          </w:p>
        </w:tc>
        <w:tc>
          <w:tcPr>
            <w:tcW w:w="8118" w:type="dxa"/>
          </w:tcPr>
          <w:p w:rsidR="002A0515" w:rsidRPr="00E30DEC" w:rsidRDefault="002A0515" w:rsidP="00A54BE4">
            <w:pPr>
              <w:keepLines/>
              <w:widowControl w:val="0"/>
              <w:tabs>
                <w:tab w:val="left" w:pos="150"/>
                <w:tab w:val="left" w:pos="397"/>
                <w:tab w:val="left" w:pos="794"/>
                <w:tab w:val="left" w:pos="1191"/>
              </w:tabs>
              <w:spacing w:before="40" w:after="40"/>
              <w:jc w:val="both"/>
              <w:rPr>
                <w:sz w:val="17"/>
                <w:szCs w:val="17"/>
              </w:rPr>
            </w:pPr>
            <w:r w:rsidRPr="00E30DEC">
              <w:rPr>
                <w:sz w:val="17"/>
                <w:szCs w:val="17"/>
              </w:rPr>
              <w:t>The amount of the counterparty credit risk add-on for SFTs determined in accordance with the LR framework in respect of SFT exposures.</w:t>
            </w:r>
          </w:p>
        </w:tc>
      </w:tr>
      <w:tr w:rsidR="002A0515" w:rsidRPr="00E30DEC" w:rsidTr="00A54BE4">
        <w:trPr>
          <w:gridAfter w:val="1"/>
          <w:wAfter w:w="13" w:type="dxa"/>
          <w:trHeight w:val="373"/>
        </w:trPr>
        <w:tc>
          <w:tcPr>
            <w:tcW w:w="709" w:type="dxa"/>
          </w:tcPr>
          <w:p w:rsidR="002A0515" w:rsidRPr="00E30DEC" w:rsidRDefault="002A0515" w:rsidP="002A0515">
            <w:pPr>
              <w:pStyle w:val="ListParagraph"/>
              <w:keepLines/>
              <w:widowControl w:val="0"/>
              <w:numPr>
                <w:ilvl w:val="0"/>
                <w:numId w:val="90"/>
              </w:numPr>
              <w:tabs>
                <w:tab w:val="left" w:pos="150"/>
                <w:tab w:val="left" w:pos="397"/>
                <w:tab w:val="left" w:pos="465"/>
                <w:tab w:val="left" w:pos="1191"/>
              </w:tabs>
              <w:spacing w:before="40" w:after="40"/>
              <w:ind w:leftChars="0"/>
              <w:rPr>
                <w:rFonts w:cs="Segoe UI"/>
                <w:sz w:val="17"/>
                <w:szCs w:val="17"/>
                <w:lang w:eastAsia="en-GB"/>
              </w:rPr>
            </w:pPr>
          </w:p>
        </w:tc>
        <w:tc>
          <w:tcPr>
            <w:tcW w:w="8118" w:type="dxa"/>
          </w:tcPr>
          <w:p w:rsidR="002A0515" w:rsidRPr="00E30DEC" w:rsidRDefault="002A0515" w:rsidP="00A54BE4">
            <w:pPr>
              <w:keepLines/>
              <w:widowControl w:val="0"/>
              <w:tabs>
                <w:tab w:val="left" w:pos="150"/>
                <w:tab w:val="left" w:pos="397"/>
                <w:tab w:val="left" w:pos="794"/>
                <w:tab w:val="left" w:pos="1191"/>
              </w:tabs>
              <w:spacing w:before="40" w:after="40"/>
              <w:jc w:val="both"/>
              <w:rPr>
                <w:sz w:val="17"/>
                <w:szCs w:val="17"/>
              </w:rPr>
            </w:pPr>
            <w:r w:rsidRPr="00E30DEC">
              <w:rPr>
                <w:sz w:val="17"/>
                <w:szCs w:val="17"/>
              </w:rPr>
              <w:t>The amount for which the AI acting as an agent in an SFT has provided an indemnity or guarantee determined in accordance with the LR framework in respect of SFT exposures.</w:t>
            </w:r>
          </w:p>
        </w:tc>
      </w:tr>
      <w:tr w:rsidR="002A0515" w:rsidRPr="00E30DEC" w:rsidTr="00A54BE4">
        <w:trPr>
          <w:gridAfter w:val="1"/>
          <w:wAfter w:w="13" w:type="dxa"/>
          <w:trHeight w:val="373"/>
        </w:trPr>
        <w:tc>
          <w:tcPr>
            <w:tcW w:w="709" w:type="dxa"/>
          </w:tcPr>
          <w:p w:rsidR="002A0515" w:rsidRPr="00E30DEC" w:rsidRDefault="002A0515" w:rsidP="002A0515">
            <w:pPr>
              <w:pStyle w:val="ListParagraph"/>
              <w:keepLines/>
              <w:widowControl w:val="0"/>
              <w:numPr>
                <w:ilvl w:val="0"/>
                <w:numId w:val="90"/>
              </w:numPr>
              <w:tabs>
                <w:tab w:val="left" w:pos="150"/>
                <w:tab w:val="left" w:pos="397"/>
                <w:tab w:val="left" w:pos="465"/>
                <w:tab w:val="left" w:pos="1191"/>
              </w:tabs>
              <w:spacing w:before="40" w:after="40"/>
              <w:ind w:leftChars="0"/>
              <w:rPr>
                <w:rFonts w:cs="Segoe UI"/>
                <w:sz w:val="17"/>
                <w:szCs w:val="17"/>
                <w:lang w:eastAsia="en-GB"/>
              </w:rPr>
            </w:pPr>
          </w:p>
        </w:tc>
        <w:tc>
          <w:tcPr>
            <w:tcW w:w="8118" w:type="dxa"/>
          </w:tcPr>
          <w:p w:rsidR="002A0515" w:rsidRPr="00E30DEC" w:rsidRDefault="002A0515" w:rsidP="00A54BE4">
            <w:pPr>
              <w:keepLines/>
              <w:widowControl w:val="0"/>
              <w:tabs>
                <w:tab w:val="left" w:pos="150"/>
                <w:tab w:val="left" w:pos="397"/>
                <w:tab w:val="left" w:pos="794"/>
                <w:tab w:val="left" w:pos="1191"/>
              </w:tabs>
              <w:spacing w:before="40" w:after="40"/>
              <w:jc w:val="both"/>
              <w:rPr>
                <w:sz w:val="17"/>
                <w:szCs w:val="17"/>
              </w:rPr>
            </w:pPr>
            <w:r w:rsidRPr="00E30DEC">
              <w:rPr>
                <w:sz w:val="17"/>
                <w:szCs w:val="17"/>
              </w:rPr>
              <w:t>Sum of values in rows 12 to 15.</w:t>
            </w:r>
          </w:p>
        </w:tc>
      </w:tr>
      <w:tr w:rsidR="002A0515" w:rsidRPr="00E30DEC" w:rsidTr="00A54BE4">
        <w:trPr>
          <w:gridAfter w:val="1"/>
          <w:wAfter w:w="13" w:type="dxa"/>
          <w:trHeight w:val="373"/>
        </w:trPr>
        <w:tc>
          <w:tcPr>
            <w:tcW w:w="709" w:type="dxa"/>
          </w:tcPr>
          <w:p w:rsidR="002A0515" w:rsidRPr="00E30DEC" w:rsidRDefault="002A0515" w:rsidP="002A0515">
            <w:pPr>
              <w:pStyle w:val="ListParagraph"/>
              <w:keepLines/>
              <w:widowControl w:val="0"/>
              <w:numPr>
                <w:ilvl w:val="0"/>
                <w:numId w:val="90"/>
              </w:numPr>
              <w:tabs>
                <w:tab w:val="left" w:pos="150"/>
                <w:tab w:val="left" w:pos="397"/>
                <w:tab w:val="left" w:pos="465"/>
                <w:tab w:val="left" w:pos="1191"/>
              </w:tabs>
              <w:spacing w:before="40" w:after="40"/>
              <w:ind w:leftChars="0"/>
              <w:rPr>
                <w:rFonts w:cs="Segoe UI"/>
                <w:sz w:val="17"/>
                <w:szCs w:val="17"/>
                <w:lang w:eastAsia="en-GB"/>
              </w:rPr>
            </w:pPr>
          </w:p>
        </w:tc>
        <w:tc>
          <w:tcPr>
            <w:tcW w:w="8118" w:type="dxa"/>
          </w:tcPr>
          <w:p w:rsidR="002A0515" w:rsidRPr="00E30DEC" w:rsidRDefault="002A0515" w:rsidP="00A54BE4">
            <w:pPr>
              <w:keepLines/>
              <w:widowControl w:val="0"/>
              <w:tabs>
                <w:tab w:val="left" w:pos="150"/>
                <w:tab w:val="left" w:pos="397"/>
                <w:tab w:val="left" w:pos="794"/>
                <w:tab w:val="left" w:pos="1191"/>
              </w:tabs>
              <w:spacing w:before="40" w:after="40"/>
              <w:jc w:val="both"/>
              <w:rPr>
                <w:sz w:val="17"/>
                <w:szCs w:val="17"/>
              </w:rPr>
            </w:pPr>
            <w:r w:rsidRPr="00E30DEC">
              <w:rPr>
                <w:sz w:val="17"/>
                <w:szCs w:val="17"/>
              </w:rPr>
              <w:t xml:space="preserve">Total off-balance sheet exposure amounts (excluding off-balance sheet exposure amounts associated with SFT and derivative </w:t>
            </w:r>
            <w:r>
              <w:rPr>
                <w:sz w:val="17"/>
                <w:szCs w:val="17"/>
              </w:rPr>
              <w:t>contracts</w:t>
            </w:r>
            <w:r w:rsidRPr="00E30DEC">
              <w:rPr>
                <w:sz w:val="17"/>
                <w:szCs w:val="17"/>
              </w:rPr>
              <w:t>) on a gross notional basis, before any adjustment for credit conversion factors (“CCFs”).</w:t>
            </w:r>
          </w:p>
        </w:tc>
      </w:tr>
      <w:tr w:rsidR="002A0515" w:rsidRPr="00E30DEC" w:rsidTr="00A54BE4">
        <w:trPr>
          <w:gridAfter w:val="1"/>
          <w:wAfter w:w="13" w:type="dxa"/>
          <w:trHeight w:val="373"/>
        </w:trPr>
        <w:tc>
          <w:tcPr>
            <w:tcW w:w="709" w:type="dxa"/>
          </w:tcPr>
          <w:p w:rsidR="002A0515" w:rsidRPr="00E30DEC" w:rsidRDefault="002A0515" w:rsidP="002A0515">
            <w:pPr>
              <w:pStyle w:val="ListParagraph"/>
              <w:keepLines/>
              <w:widowControl w:val="0"/>
              <w:numPr>
                <w:ilvl w:val="0"/>
                <w:numId w:val="90"/>
              </w:numPr>
              <w:tabs>
                <w:tab w:val="left" w:pos="150"/>
                <w:tab w:val="left" w:pos="397"/>
                <w:tab w:val="left" w:pos="465"/>
                <w:tab w:val="left" w:pos="1191"/>
              </w:tabs>
              <w:spacing w:before="40" w:after="40"/>
              <w:ind w:leftChars="0"/>
              <w:rPr>
                <w:rFonts w:cs="Segoe UI"/>
                <w:sz w:val="17"/>
                <w:szCs w:val="17"/>
                <w:lang w:eastAsia="en-GB"/>
              </w:rPr>
            </w:pPr>
          </w:p>
        </w:tc>
        <w:tc>
          <w:tcPr>
            <w:tcW w:w="8118" w:type="dxa"/>
          </w:tcPr>
          <w:p w:rsidR="002A0515" w:rsidRPr="00E30DEC" w:rsidRDefault="002A0515" w:rsidP="00A54BE4">
            <w:pPr>
              <w:keepLines/>
              <w:widowControl w:val="0"/>
              <w:tabs>
                <w:tab w:val="left" w:pos="150"/>
                <w:tab w:val="left" w:pos="397"/>
                <w:tab w:val="left" w:pos="794"/>
                <w:tab w:val="left" w:pos="1191"/>
              </w:tabs>
              <w:spacing w:before="40" w:after="40"/>
              <w:jc w:val="both"/>
              <w:rPr>
                <w:sz w:val="17"/>
                <w:szCs w:val="17"/>
              </w:rPr>
            </w:pPr>
            <w:r w:rsidRPr="00E30DEC">
              <w:rPr>
                <w:sz w:val="17"/>
                <w:szCs w:val="17"/>
              </w:rPr>
              <w:t>Reduction in gross amount of off-balance sheet exposures due to the application of CCFs.  This corresponds to the complement of CCFs of the STC approach, subject to a floor of 10%.  The floor of 10% will affect commitments that are unconditionally cancellable at any time by the AI without prior notice, or that effectively provide for automatic cancellation due to deterioration in a borrower’s creditworthiness.  As these adjustments reduce the exposure measure, they should be reported as negative figures.</w:t>
            </w:r>
          </w:p>
        </w:tc>
      </w:tr>
      <w:tr w:rsidR="002A0515" w:rsidRPr="00E30DEC" w:rsidTr="00A54BE4">
        <w:trPr>
          <w:gridAfter w:val="1"/>
          <w:wAfter w:w="13" w:type="dxa"/>
          <w:trHeight w:val="373"/>
        </w:trPr>
        <w:tc>
          <w:tcPr>
            <w:tcW w:w="709" w:type="dxa"/>
          </w:tcPr>
          <w:p w:rsidR="002A0515" w:rsidRPr="00E30DEC" w:rsidRDefault="002A0515" w:rsidP="002A0515">
            <w:pPr>
              <w:pStyle w:val="ListParagraph"/>
              <w:keepLines/>
              <w:widowControl w:val="0"/>
              <w:numPr>
                <w:ilvl w:val="0"/>
                <w:numId w:val="90"/>
              </w:numPr>
              <w:tabs>
                <w:tab w:val="left" w:pos="150"/>
                <w:tab w:val="left" w:pos="397"/>
                <w:tab w:val="left" w:pos="465"/>
                <w:tab w:val="left" w:pos="1191"/>
              </w:tabs>
              <w:spacing w:before="40" w:after="40"/>
              <w:ind w:leftChars="0"/>
              <w:rPr>
                <w:rFonts w:cs="Segoe UI"/>
                <w:sz w:val="17"/>
                <w:szCs w:val="17"/>
                <w:lang w:eastAsia="en-GB"/>
              </w:rPr>
            </w:pPr>
          </w:p>
        </w:tc>
        <w:tc>
          <w:tcPr>
            <w:tcW w:w="8118" w:type="dxa"/>
          </w:tcPr>
          <w:p w:rsidR="002A0515" w:rsidRPr="00E30DEC" w:rsidRDefault="002A0515" w:rsidP="00A54BE4">
            <w:pPr>
              <w:keepLines/>
              <w:widowControl w:val="0"/>
              <w:spacing w:before="40" w:after="40"/>
              <w:jc w:val="both"/>
              <w:rPr>
                <w:sz w:val="17"/>
                <w:szCs w:val="17"/>
              </w:rPr>
            </w:pPr>
            <w:r w:rsidRPr="00E30DEC">
              <w:rPr>
                <w:sz w:val="17"/>
                <w:szCs w:val="17"/>
              </w:rPr>
              <w:t>Sum of values in rows 17 and 18.</w:t>
            </w:r>
          </w:p>
        </w:tc>
      </w:tr>
      <w:tr w:rsidR="002A0515" w:rsidRPr="00E30DEC" w:rsidTr="00A54BE4">
        <w:trPr>
          <w:gridAfter w:val="1"/>
          <w:wAfter w:w="13" w:type="dxa"/>
          <w:trHeight w:val="373"/>
        </w:trPr>
        <w:tc>
          <w:tcPr>
            <w:tcW w:w="709" w:type="dxa"/>
          </w:tcPr>
          <w:p w:rsidR="002A0515" w:rsidRPr="00E30DEC" w:rsidRDefault="002A0515" w:rsidP="002A0515">
            <w:pPr>
              <w:pStyle w:val="ListParagraph"/>
              <w:keepLines/>
              <w:widowControl w:val="0"/>
              <w:numPr>
                <w:ilvl w:val="0"/>
                <w:numId w:val="90"/>
              </w:numPr>
              <w:tabs>
                <w:tab w:val="left" w:pos="150"/>
                <w:tab w:val="left" w:pos="397"/>
                <w:tab w:val="left" w:pos="465"/>
                <w:tab w:val="left" w:pos="1191"/>
              </w:tabs>
              <w:spacing w:before="40" w:after="40"/>
              <w:ind w:leftChars="0"/>
              <w:rPr>
                <w:rFonts w:cs="Segoe UI"/>
                <w:sz w:val="17"/>
                <w:szCs w:val="17"/>
                <w:lang w:eastAsia="en-GB"/>
              </w:rPr>
            </w:pPr>
          </w:p>
        </w:tc>
        <w:tc>
          <w:tcPr>
            <w:tcW w:w="8118" w:type="dxa"/>
          </w:tcPr>
          <w:p w:rsidR="002A0515" w:rsidRPr="00E30DEC" w:rsidRDefault="002A0515" w:rsidP="00A54BE4">
            <w:pPr>
              <w:keepLines/>
              <w:widowControl w:val="0"/>
              <w:tabs>
                <w:tab w:val="left" w:pos="150"/>
                <w:tab w:val="left" w:pos="397"/>
                <w:tab w:val="left" w:pos="794"/>
                <w:tab w:val="left" w:pos="1191"/>
              </w:tabs>
              <w:spacing w:before="40" w:after="40"/>
              <w:jc w:val="both"/>
              <w:rPr>
                <w:sz w:val="17"/>
                <w:szCs w:val="17"/>
              </w:rPr>
            </w:pPr>
            <w:r w:rsidRPr="00E30DEC">
              <w:rPr>
                <w:sz w:val="17"/>
                <w:szCs w:val="17"/>
              </w:rPr>
              <w:t>The amount of Tier 1 capital as determined under the BCR, taking into account of the transitional arrangements.  The value in [LR2:20/a] is equal to the value in [KM1:2/a].</w:t>
            </w:r>
          </w:p>
        </w:tc>
      </w:tr>
      <w:tr w:rsidR="002A0515" w:rsidRPr="00A500AF" w:rsidTr="00A54BE4">
        <w:trPr>
          <w:gridAfter w:val="1"/>
          <w:wAfter w:w="13" w:type="dxa"/>
          <w:trHeight w:val="373"/>
        </w:trPr>
        <w:tc>
          <w:tcPr>
            <w:tcW w:w="709" w:type="dxa"/>
          </w:tcPr>
          <w:p w:rsidR="002A0515" w:rsidRPr="00A500AF" w:rsidRDefault="002A0515" w:rsidP="00A54BE4">
            <w:pPr>
              <w:keepLines/>
              <w:tabs>
                <w:tab w:val="left" w:pos="150"/>
                <w:tab w:val="left" w:pos="397"/>
                <w:tab w:val="left" w:pos="480"/>
                <w:tab w:val="left" w:pos="1191"/>
              </w:tabs>
              <w:spacing w:before="40" w:after="40"/>
              <w:rPr>
                <w:rFonts w:asciiTheme="minorHAnsi" w:hAnsiTheme="minorHAnsi" w:cstheme="minorHAnsi"/>
                <w:sz w:val="17"/>
                <w:szCs w:val="17"/>
                <w:lang w:eastAsia="en-GB"/>
              </w:rPr>
            </w:pPr>
            <w:r>
              <w:rPr>
                <w:rFonts w:cs="Segoe UI"/>
                <w:sz w:val="17"/>
                <w:szCs w:val="17"/>
                <w:lang w:eastAsia="en-GB"/>
              </w:rPr>
              <w:t xml:space="preserve"> </w:t>
            </w:r>
            <w:r>
              <w:rPr>
                <w:rFonts w:asciiTheme="minorHAnsi" w:hAnsiTheme="minorHAnsi" w:cstheme="minorHAnsi"/>
                <w:sz w:val="17"/>
                <w:szCs w:val="17"/>
                <w:lang w:eastAsia="en-GB"/>
              </w:rPr>
              <w:t>20a</w:t>
            </w:r>
          </w:p>
        </w:tc>
        <w:tc>
          <w:tcPr>
            <w:tcW w:w="8118" w:type="dxa"/>
          </w:tcPr>
          <w:p w:rsidR="002A0515" w:rsidRPr="00A500AF" w:rsidRDefault="002A0515" w:rsidP="00A54BE4">
            <w:pPr>
              <w:keepLines/>
              <w:tabs>
                <w:tab w:val="left" w:pos="150"/>
                <w:tab w:val="left" w:pos="397"/>
                <w:tab w:val="left" w:pos="465"/>
                <w:tab w:val="left" w:pos="1191"/>
              </w:tabs>
              <w:spacing w:before="40" w:after="40"/>
              <w:rPr>
                <w:rFonts w:cs="Segoe UI"/>
                <w:sz w:val="17"/>
                <w:szCs w:val="17"/>
                <w:lang w:eastAsia="en-GB"/>
              </w:rPr>
            </w:pPr>
            <w:r w:rsidRPr="00A500AF">
              <w:rPr>
                <w:rFonts w:cs="Segoe UI"/>
                <w:sz w:val="17"/>
                <w:szCs w:val="17"/>
                <w:lang w:eastAsia="en-GB"/>
              </w:rPr>
              <w:t>Sum of values in rows 3, 11, 16 and 19.</w:t>
            </w:r>
          </w:p>
        </w:tc>
      </w:tr>
      <w:tr w:rsidR="002A0515" w:rsidRPr="00E30DEC" w:rsidTr="00A54BE4">
        <w:trPr>
          <w:gridAfter w:val="1"/>
          <w:wAfter w:w="13" w:type="dxa"/>
          <w:trHeight w:val="373"/>
        </w:trPr>
        <w:tc>
          <w:tcPr>
            <w:tcW w:w="709" w:type="dxa"/>
          </w:tcPr>
          <w:p w:rsidR="002A0515" w:rsidRPr="00A500AF" w:rsidRDefault="002A0515" w:rsidP="00A54BE4">
            <w:pPr>
              <w:keepLines/>
              <w:tabs>
                <w:tab w:val="left" w:pos="150"/>
                <w:tab w:val="left" w:pos="480"/>
                <w:tab w:val="left" w:pos="1191"/>
              </w:tabs>
              <w:spacing w:before="40" w:after="40"/>
              <w:rPr>
                <w:rFonts w:asciiTheme="minorHAnsi" w:hAnsiTheme="minorHAnsi" w:cstheme="minorHAnsi"/>
                <w:sz w:val="17"/>
                <w:szCs w:val="17"/>
                <w:lang w:eastAsia="en-GB"/>
              </w:rPr>
            </w:pPr>
            <w:r>
              <w:rPr>
                <w:rFonts w:asciiTheme="minorHAnsi" w:hAnsiTheme="minorHAnsi" w:cstheme="minorHAnsi"/>
                <w:sz w:val="17"/>
                <w:szCs w:val="17"/>
                <w:lang w:eastAsia="en-GB"/>
              </w:rPr>
              <w:t xml:space="preserve"> </w:t>
            </w:r>
            <w:r w:rsidRPr="00A500AF">
              <w:rPr>
                <w:rFonts w:asciiTheme="minorHAnsi" w:hAnsiTheme="minorHAnsi" w:cstheme="minorHAnsi"/>
                <w:sz w:val="17"/>
                <w:szCs w:val="17"/>
                <w:lang w:eastAsia="en-GB"/>
              </w:rPr>
              <w:t>20b</w:t>
            </w:r>
            <w:r w:rsidRPr="00A500AF" w:rsidDel="00251608">
              <w:rPr>
                <w:rFonts w:asciiTheme="minorHAnsi" w:hAnsiTheme="minorHAnsi" w:cstheme="minorHAnsi"/>
                <w:sz w:val="17"/>
                <w:szCs w:val="17"/>
                <w:lang w:eastAsia="en-GB"/>
              </w:rPr>
              <w:t xml:space="preserve"> </w:t>
            </w:r>
          </w:p>
        </w:tc>
        <w:tc>
          <w:tcPr>
            <w:tcW w:w="8118" w:type="dxa"/>
          </w:tcPr>
          <w:p w:rsidR="002A0515" w:rsidRPr="00B01815" w:rsidRDefault="002A0515" w:rsidP="00A54BE4">
            <w:pPr>
              <w:keepLines/>
              <w:widowControl w:val="0"/>
              <w:tabs>
                <w:tab w:val="left" w:pos="150"/>
                <w:tab w:val="left" w:pos="397"/>
                <w:tab w:val="left" w:pos="794"/>
                <w:tab w:val="left" w:pos="1191"/>
              </w:tabs>
              <w:spacing w:before="40" w:after="40"/>
              <w:jc w:val="both"/>
              <w:rPr>
                <w:rFonts w:eastAsiaTheme="minorEastAsia"/>
                <w:i/>
              </w:rPr>
            </w:pPr>
            <w:r w:rsidRPr="00E30DEC">
              <w:rPr>
                <w:sz w:val="17"/>
                <w:szCs w:val="17"/>
              </w:rPr>
              <w:t>Specific and collective provisions, if any, that reduce the on- and off-balance sheet exposure measures may be presented in this row, provided that such reductions from exposure measures are allowable under Part 1C of the BCR.  As these adjustments reduce the exposure measure, they should be reported as negative figures.</w:t>
            </w:r>
          </w:p>
        </w:tc>
      </w:tr>
      <w:tr w:rsidR="002A0515" w:rsidRPr="00E30DEC" w:rsidTr="00A54BE4">
        <w:trPr>
          <w:gridAfter w:val="1"/>
          <w:wAfter w:w="13" w:type="dxa"/>
          <w:trHeight w:val="373"/>
        </w:trPr>
        <w:tc>
          <w:tcPr>
            <w:tcW w:w="709" w:type="dxa"/>
          </w:tcPr>
          <w:p w:rsidR="002A0515" w:rsidRPr="00E30DEC" w:rsidRDefault="002A0515" w:rsidP="002A0515">
            <w:pPr>
              <w:pStyle w:val="ListParagraph"/>
              <w:keepLines/>
              <w:widowControl w:val="0"/>
              <w:numPr>
                <w:ilvl w:val="0"/>
                <w:numId w:val="90"/>
              </w:numPr>
              <w:tabs>
                <w:tab w:val="left" w:pos="150"/>
                <w:tab w:val="left" w:pos="397"/>
                <w:tab w:val="left" w:pos="465"/>
                <w:tab w:val="left" w:pos="1191"/>
              </w:tabs>
              <w:spacing w:before="40" w:after="40"/>
              <w:ind w:leftChars="0"/>
              <w:rPr>
                <w:rFonts w:cs="Segoe UI"/>
                <w:sz w:val="17"/>
                <w:szCs w:val="17"/>
                <w:lang w:eastAsia="en-GB"/>
              </w:rPr>
            </w:pPr>
          </w:p>
        </w:tc>
        <w:tc>
          <w:tcPr>
            <w:tcW w:w="8118" w:type="dxa"/>
          </w:tcPr>
          <w:p w:rsidR="002A0515" w:rsidRPr="00E30DEC" w:rsidRDefault="002A0515" w:rsidP="00A54BE4">
            <w:pPr>
              <w:pStyle w:val="TableNote"/>
              <w:spacing w:before="40" w:after="40"/>
              <w:rPr>
                <w:sz w:val="17"/>
                <w:szCs w:val="17"/>
              </w:rPr>
            </w:pPr>
            <w:r w:rsidRPr="00E30DEC">
              <w:rPr>
                <w:sz w:val="17"/>
                <w:szCs w:val="17"/>
              </w:rPr>
              <w:t xml:space="preserve">Sum of values in rows 20a and 20b.  The value in [LR2:21/a] is equal to the value in [KM1:13/a] and in [LR1: </w:t>
            </w:r>
            <w:r>
              <w:rPr>
                <w:sz w:val="17"/>
                <w:szCs w:val="17"/>
              </w:rPr>
              <w:t>8</w:t>
            </w:r>
            <w:r w:rsidRPr="0031236D">
              <w:rPr>
                <w:sz w:val="17"/>
                <w:szCs w:val="17"/>
              </w:rPr>
              <w:t>/a</w:t>
            </w:r>
            <w:r w:rsidRPr="00E30DEC">
              <w:rPr>
                <w:sz w:val="17"/>
                <w:szCs w:val="17"/>
              </w:rPr>
              <w:t>].</w:t>
            </w:r>
          </w:p>
        </w:tc>
      </w:tr>
      <w:tr w:rsidR="002A0515" w:rsidRPr="00280717" w:rsidTr="00A54BE4">
        <w:trPr>
          <w:gridAfter w:val="1"/>
          <w:wAfter w:w="13" w:type="dxa"/>
          <w:trHeight w:val="373"/>
        </w:trPr>
        <w:tc>
          <w:tcPr>
            <w:tcW w:w="709" w:type="dxa"/>
          </w:tcPr>
          <w:p w:rsidR="002A0515" w:rsidRPr="00E30DEC" w:rsidRDefault="002A0515" w:rsidP="002A0515">
            <w:pPr>
              <w:pStyle w:val="ListParagraph"/>
              <w:keepLines/>
              <w:widowControl w:val="0"/>
              <w:numPr>
                <w:ilvl w:val="0"/>
                <w:numId w:val="90"/>
              </w:numPr>
              <w:tabs>
                <w:tab w:val="left" w:pos="150"/>
                <w:tab w:val="left" w:pos="397"/>
                <w:tab w:val="left" w:pos="465"/>
                <w:tab w:val="left" w:pos="1191"/>
              </w:tabs>
              <w:spacing w:before="40" w:after="40"/>
              <w:ind w:leftChars="0"/>
              <w:rPr>
                <w:rFonts w:cs="Segoe UI"/>
                <w:sz w:val="17"/>
                <w:szCs w:val="17"/>
                <w:lang w:eastAsia="en-GB"/>
              </w:rPr>
            </w:pPr>
          </w:p>
        </w:tc>
        <w:tc>
          <w:tcPr>
            <w:tcW w:w="8118" w:type="dxa"/>
          </w:tcPr>
          <w:p w:rsidR="002A0515" w:rsidRPr="002E0D1C" w:rsidRDefault="002A0515" w:rsidP="00A54BE4">
            <w:pPr>
              <w:pStyle w:val="TableNote"/>
              <w:spacing w:before="40" w:after="40"/>
              <w:rPr>
                <w:sz w:val="17"/>
                <w:szCs w:val="17"/>
              </w:rPr>
            </w:pPr>
            <w:r w:rsidRPr="00E30DEC">
              <w:rPr>
                <w:sz w:val="17"/>
                <w:szCs w:val="17"/>
              </w:rPr>
              <w:t>Leverage ratio is defined as the Tier 1 capital measure of row 20 (the numerator) divided by the exposure measure of row 21 (the denominator), where the resultant quotient be expressed as a percentage.  The value in [LR2:22/a] is equal to the value in [KM1:14/a].</w:t>
            </w:r>
          </w:p>
        </w:tc>
      </w:tr>
    </w:tbl>
    <w:p w:rsidR="002A0515" w:rsidRPr="00BE581F" w:rsidRDefault="002A0515" w:rsidP="002A0515"/>
    <w:p w:rsidR="002A0515" w:rsidRDefault="002A0515" w:rsidP="002A0515">
      <w:pPr>
        <w:keepNext/>
        <w:keepLines/>
        <w:tabs>
          <w:tab w:val="left" w:pos="426"/>
        </w:tabs>
        <w:spacing w:after="360"/>
        <w:ind w:rightChars="-142" w:right="-284"/>
        <w:outlineLvl w:val="0"/>
        <w:sectPr w:rsidR="002A0515" w:rsidSect="00A54BE4">
          <w:footerReference w:type="default" r:id="rId17"/>
          <w:type w:val="continuous"/>
          <w:pgSz w:w="11906" w:h="16838"/>
          <w:pgMar w:top="1440" w:right="1800" w:bottom="993" w:left="1800" w:header="851" w:footer="1260" w:gutter="0"/>
          <w:cols w:space="425"/>
          <w:docGrid w:type="lines" w:linePitch="360"/>
        </w:sectPr>
      </w:pPr>
    </w:p>
    <w:p w:rsidR="002A0515" w:rsidRPr="001449B5" w:rsidRDefault="002A0515" w:rsidP="002A0515">
      <w:pPr>
        <w:keepNext/>
        <w:keepLines/>
        <w:tabs>
          <w:tab w:val="left" w:pos="567"/>
        </w:tabs>
        <w:spacing w:after="360"/>
        <w:ind w:leftChars="-283" w:left="-566" w:rightChars="-142" w:right="-284"/>
        <w:outlineLvl w:val="0"/>
        <w:rPr>
          <w:color w:val="C00000"/>
          <w:sz w:val="28"/>
          <w:szCs w:val="28"/>
        </w:rPr>
      </w:pPr>
      <w:r w:rsidRPr="001449B5">
        <w:rPr>
          <w:color w:val="C00000"/>
          <w:sz w:val="28"/>
          <w:szCs w:val="28"/>
        </w:rPr>
        <w:t>Part IID:</w:t>
      </w:r>
      <w:r w:rsidRPr="001449B5">
        <w:rPr>
          <w:color w:val="C00000"/>
          <w:sz w:val="28"/>
          <w:szCs w:val="28"/>
        </w:rPr>
        <w:tab/>
        <w:t>Liquidity</w:t>
      </w:r>
    </w:p>
    <w:tbl>
      <w:tblPr>
        <w:tblW w:w="9101" w:type="dxa"/>
        <w:tblInd w:w="-318"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1986"/>
        <w:gridCol w:w="7115"/>
      </w:tblGrid>
      <w:tr w:rsidR="002A0515" w:rsidRPr="0023654F" w:rsidTr="00A54BE4">
        <w:tc>
          <w:tcPr>
            <w:tcW w:w="9101" w:type="dxa"/>
            <w:gridSpan w:val="2"/>
            <w:tcBorders>
              <w:top w:val="nil"/>
            </w:tcBorders>
          </w:tcPr>
          <w:p w:rsidR="002A0515" w:rsidRPr="0023654F" w:rsidRDefault="002A0515" w:rsidP="00A54BE4">
            <w:pPr>
              <w:spacing w:before="40" w:after="40"/>
              <w:jc w:val="both"/>
              <w:rPr>
                <w:noProof/>
                <w:sz w:val="17"/>
                <w:lang w:eastAsia="en-GB"/>
              </w:rPr>
            </w:pPr>
            <w:r w:rsidRPr="0023654F">
              <w:rPr>
                <w:sz w:val="22"/>
              </w:rPr>
              <w:t xml:space="preserve">Template </w:t>
            </w:r>
            <w:r>
              <w:rPr>
                <w:sz w:val="22"/>
              </w:rPr>
              <w:t>LIQ2</w:t>
            </w:r>
            <w:r w:rsidRPr="0023654F">
              <w:rPr>
                <w:sz w:val="22"/>
              </w:rPr>
              <w:t xml:space="preserve">: </w:t>
            </w:r>
            <w:r>
              <w:rPr>
                <w:sz w:val="22"/>
              </w:rPr>
              <w:t>Net Stable Funding Ratio – for category 1 institution</w:t>
            </w:r>
          </w:p>
        </w:tc>
      </w:tr>
      <w:tr w:rsidR="002A0515" w:rsidRPr="0046600C" w:rsidTr="00A54BE4">
        <w:tc>
          <w:tcPr>
            <w:tcW w:w="1986" w:type="dxa"/>
          </w:tcPr>
          <w:p w:rsidR="002A0515" w:rsidRPr="0023654F" w:rsidRDefault="002A0515" w:rsidP="00A54BE4">
            <w:pPr>
              <w:spacing w:before="40" w:after="40"/>
              <w:rPr>
                <w:noProof/>
                <w:sz w:val="17"/>
                <w:lang w:eastAsia="en-GB"/>
              </w:rPr>
            </w:pPr>
            <w:r w:rsidRPr="0023654F">
              <w:rPr>
                <w:b/>
                <w:sz w:val="17"/>
                <w:lang w:eastAsia="en-GB"/>
              </w:rPr>
              <w:t>Purpose:</w:t>
            </w:r>
            <w:r w:rsidRPr="0023654F">
              <w:rPr>
                <w:sz w:val="17"/>
                <w:lang w:eastAsia="en-GB"/>
              </w:rPr>
              <w:t xml:space="preserve"> </w:t>
            </w:r>
          </w:p>
        </w:tc>
        <w:tc>
          <w:tcPr>
            <w:tcW w:w="7115" w:type="dxa"/>
          </w:tcPr>
          <w:p w:rsidR="002A0515" w:rsidRPr="00F0052E" w:rsidRDefault="002A0515" w:rsidP="00A54BE4">
            <w:pPr>
              <w:pStyle w:val="TableText"/>
              <w:jc w:val="both"/>
              <w:rPr>
                <w:lang w:val="en-US" w:eastAsia="en-GB"/>
              </w:rPr>
            </w:pPr>
            <w:r w:rsidRPr="0023654F">
              <w:rPr>
                <w:lang w:eastAsia="en-GB"/>
              </w:rPr>
              <w:t>T</w:t>
            </w:r>
            <w:r>
              <w:rPr>
                <w:lang w:eastAsia="en-GB"/>
              </w:rPr>
              <w:t>o</w:t>
            </w:r>
            <w:r w:rsidRPr="0023654F">
              <w:rPr>
                <w:lang w:eastAsia="en-GB"/>
              </w:rPr>
              <w:t xml:space="preserve"> </w:t>
            </w:r>
            <w:r w:rsidRPr="00F0052E">
              <w:rPr>
                <w:lang w:eastAsia="en-GB"/>
              </w:rPr>
              <w:t xml:space="preserve">provide details of NSFR and details of </w:t>
            </w:r>
            <w:r>
              <w:rPr>
                <w:lang w:eastAsia="en-GB"/>
              </w:rPr>
              <w:t>ASF and RSF</w:t>
            </w:r>
            <w:r w:rsidRPr="00F0052E">
              <w:rPr>
                <w:lang w:eastAsia="en-GB"/>
              </w:rPr>
              <w:t xml:space="preserve"> components.</w:t>
            </w:r>
          </w:p>
        </w:tc>
      </w:tr>
      <w:tr w:rsidR="002A0515" w:rsidRPr="005B71C7" w:rsidTr="00A54BE4">
        <w:tc>
          <w:tcPr>
            <w:tcW w:w="1986" w:type="dxa"/>
          </w:tcPr>
          <w:p w:rsidR="002A0515" w:rsidRPr="0023654F" w:rsidRDefault="002A0515" w:rsidP="00A54BE4">
            <w:pPr>
              <w:spacing w:before="40" w:after="40"/>
              <w:rPr>
                <w:b/>
                <w:sz w:val="17"/>
                <w:lang w:eastAsia="en-GB"/>
              </w:rPr>
            </w:pPr>
            <w:r w:rsidRPr="0023654F">
              <w:rPr>
                <w:b/>
                <w:sz w:val="17"/>
                <w:lang w:eastAsia="en-GB"/>
              </w:rPr>
              <w:t xml:space="preserve">Scope of application: </w:t>
            </w:r>
          </w:p>
        </w:tc>
        <w:tc>
          <w:tcPr>
            <w:tcW w:w="7115" w:type="dxa"/>
          </w:tcPr>
          <w:p w:rsidR="002A0515" w:rsidRPr="001F60AE" w:rsidRDefault="002A0515" w:rsidP="00A54BE4">
            <w:pPr>
              <w:pStyle w:val="TableText"/>
              <w:jc w:val="both"/>
              <w:rPr>
                <w:szCs w:val="17"/>
              </w:rPr>
            </w:pPr>
            <w:r>
              <w:rPr>
                <w:szCs w:val="17"/>
              </w:rPr>
              <w:t xml:space="preserve">The template is mandatory for locally incorporated and overseas incorporated AIs that are designated as category 1 institution.  </w:t>
            </w:r>
            <w:r w:rsidRPr="001F60AE">
              <w:rPr>
                <w:szCs w:val="17"/>
              </w:rPr>
              <w:t xml:space="preserve">A category 1 institution </w:t>
            </w:r>
            <w:r>
              <w:rPr>
                <w:szCs w:val="17"/>
              </w:rPr>
              <w:t>should</w:t>
            </w:r>
            <w:r w:rsidRPr="001F60AE">
              <w:rPr>
                <w:szCs w:val="17"/>
              </w:rPr>
              <w:t xml:space="preserve"> disclose the required items in th</w:t>
            </w:r>
            <w:r>
              <w:rPr>
                <w:szCs w:val="17"/>
              </w:rPr>
              <w:t>is</w:t>
            </w:r>
            <w:r w:rsidRPr="001F60AE">
              <w:rPr>
                <w:szCs w:val="17"/>
              </w:rPr>
              <w:t xml:space="preserve"> </w:t>
            </w:r>
            <w:r>
              <w:rPr>
                <w:szCs w:val="17"/>
              </w:rPr>
              <w:t>t</w:t>
            </w:r>
            <w:r w:rsidRPr="001F60AE">
              <w:rPr>
                <w:szCs w:val="17"/>
              </w:rPr>
              <w:t xml:space="preserve">emplate </w:t>
            </w:r>
            <w:proofErr w:type="gramStart"/>
            <w:r w:rsidRPr="001F60AE">
              <w:rPr>
                <w:szCs w:val="17"/>
              </w:rPr>
              <w:t>on</w:t>
            </w:r>
            <w:r>
              <w:rPr>
                <w:szCs w:val="17"/>
              </w:rPr>
              <w:t>:</w:t>
            </w:r>
            <w:r w:rsidRPr="001F60AE">
              <w:rPr>
                <w:szCs w:val="17"/>
              </w:rPr>
              <w:t>-</w:t>
            </w:r>
            <w:proofErr w:type="gramEnd"/>
          </w:p>
          <w:p w:rsidR="002A0515" w:rsidRPr="000B03B8" w:rsidRDefault="002A0515" w:rsidP="002A0515">
            <w:pPr>
              <w:pStyle w:val="TableText"/>
              <w:numPr>
                <w:ilvl w:val="0"/>
                <w:numId w:val="83"/>
              </w:numPr>
              <w:tabs>
                <w:tab w:val="left" w:pos="436"/>
              </w:tabs>
              <w:ind w:left="459" w:hanging="459"/>
              <w:jc w:val="both"/>
              <w:rPr>
                <w:szCs w:val="17"/>
              </w:rPr>
            </w:pPr>
            <w:r w:rsidRPr="000B03B8">
              <w:rPr>
                <w:szCs w:val="17"/>
              </w:rPr>
              <w:t xml:space="preserve">a consolidated basis – applicable to a category 1 institution incorporated in Hong Kong that is subject to BLR rule </w:t>
            </w:r>
            <w:r w:rsidRPr="00F0762B">
              <w:rPr>
                <w:szCs w:val="17"/>
              </w:rPr>
              <w:t>11(1)</w:t>
            </w:r>
            <w:r w:rsidRPr="000B03B8">
              <w:rPr>
                <w:szCs w:val="17"/>
              </w:rPr>
              <w:t>;</w:t>
            </w:r>
          </w:p>
          <w:p w:rsidR="002A0515" w:rsidRPr="000B03B8" w:rsidRDefault="002A0515" w:rsidP="002A0515">
            <w:pPr>
              <w:pStyle w:val="TableText"/>
              <w:numPr>
                <w:ilvl w:val="0"/>
                <w:numId w:val="83"/>
              </w:numPr>
              <w:tabs>
                <w:tab w:val="left" w:pos="436"/>
              </w:tabs>
              <w:ind w:left="459" w:hanging="459"/>
              <w:jc w:val="both"/>
              <w:rPr>
                <w:szCs w:val="17"/>
              </w:rPr>
            </w:pPr>
            <w:r w:rsidRPr="000B03B8">
              <w:rPr>
                <w:szCs w:val="17"/>
              </w:rPr>
              <w:t xml:space="preserve">an unconsolidated basis – applicable to a category 1 institution incorporated in Hong Kong that is </w:t>
            </w:r>
            <w:r>
              <w:rPr>
                <w:szCs w:val="17"/>
              </w:rPr>
              <w:t xml:space="preserve">not subject to BLR rule 11(1) but </w:t>
            </w:r>
            <w:r w:rsidRPr="000B03B8">
              <w:rPr>
                <w:szCs w:val="17"/>
              </w:rPr>
              <w:t xml:space="preserve">subject to BLR rule </w:t>
            </w:r>
            <w:r w:rsidRPr="00F0762B">
              <w:rPr>
                <w:szCs w:val="17"/>
              </w:rPr>
              <w:t>10(1)(b)</w:t>
            </w:r>
            <w:r w:rsidRPr="000B03B8">
              <w:rPr>
                <w:szCs w:val="17"/>
              </w:rPr>
              <w:t>; or</w:t>
            </w:r>
          </w:p>
          <w:p w:rsidR="002A0515" w:rsidRDefault="002A0515" w:rsidP="002A0515">
            <w:pPr>
              <w:pStyle w:val="TableText"/>
              <w:numPr>
                <w:ilvl w:val="0"/>
                <w:numId w:val="83"/>
              </w:numPr>
              <w:tabs>
                <w:tab w:val="left" w:pos="436"/>
              </w:tabs>
              <w:ind w:left="459" w:hanging="459"/>
              <w:jc w:val="both"/>
              <w:rPr>
                <w:szCs w:val="17"/>
              </w:rPr>
            </w:pPr>
            <w:r w:rsidRPr="000B03B8">
              <w:rPr>
                <w:szCs w:val="17"/>
              </w:rPr>
              <w:t xml:space="preserve">a Hong Kong office basis – applicable to a category 1 </w:t>
            </w:r>
            <w:proofErr w:type="gramStart"/>
            <w:r w:rsidRPr="000B03B8">
              <w:rPr>
                <w:szCs w:val="17"/>
              </w:rPr>
              <w:t>institution</w:t>
            </w:r>
            <w:r>
              <w:rPr>
                <w:szCs w:val="17"/>
              </w:rPr>
              <w:t>:-</w:t>
            </w:r>
            <w:proofErr w:type="gramEnd"/>
          </w:p>
          <w:p w:rsidR="002A0515" w:rsidRDefault="002A0515" w:rsidP="002A0515">
            <w:pPr>
              <w:pStyle w:val="TableText"/>
              <w:numPr>
                <w:ilvl w:val="1"/>
                <w:numId w:val="68"/>
              </w:numPr>
              <w:tabs>
                <w:tab w:val="left" w:pos="436"/>
              </w:tabs>
              <w:ind w:left="884" w:hanging="425"/>
              <w:jc w:val="both"/>
              <w:rPr>
                <w:szCs w:val="17"/>
              </w:rPr>
            </w:pPr>
            <w:r w:rsidRPr="000B03B8">
              <w:rPr>
                <w:szCs w:val="17"/>
              </w:rPr>
              <w:t>incorporated in Hong Kong that</w:t>
            </w:r>
            <w:r w:rsidRPr="001F60AE">
              <w:rPr>
                <w:szCs w:val="17"/>
              </w:rPr>
              <w:t xml:space="preserve"> </w:t>
            </w:r>
            <w:r>
              <w:rPr>
                <w:szCs w:val="17"/>
              </w:rPr>
              <w:t>is not subject to BLR rule 10(1)(b) or 11 but subject to BLR rule 10(1)(a)</w:t>
            </w:r>
            <w:r w:rsidRPr="000B03B8">
              <w:rPr>
                <w:szCs w:val="17"/>
              </w:rPr>
              <w:t>; and</w:t>
            </w:r>
          </w:p>
          <w:p w:rsidR="002A0515" w:rsidRPr="000B03B8" w:rsidRDefault="002A0515" w:rsidP="002A0515">
            <w:pPr>
              <w:pStyle w:val="TableText"/>
              <w:numPr>
                <w:ilvl w:val="1"/>
                <w:numId w:val="68"/>
              </w:numPr>
              <w:tabs>
                <w:tab w:val="left" w:pos="436"/>
              </w:tabs>
              <w:ind w:left="884" w:hanging="425"/>
              <w:jc w:val="both"/>
              <w:rPr>
                <w:szCs w:val="17"/>
              </w:rPr>
            </w:pPr>
            <w:r>
              <w:rPr>
                <w:szCs w:val="17"/>
              </w:rPr>
              <w:t xml:space="preserve">incorporated </w:t>
            </w:r>
            <w:r w:rsidRPr="000B03B8">
              <w:rPr>
                <w:szCs w:val="17"/>
              </w:rPr>
              <w:t>outside Hong Kong</w:t>
            </w:r>
            <w:r>
              <w:rPr>
                <w:szCs w:val="17"/>
              </w:rPr>
              <w:t xml:space="preserve"> that is subject to BLR rule 10(1)(a)</w:t>
            </w:r>
            <w:r w:rsidRPr="000B03B8">
              <w:rPr>
                <w:szCs w:val="17"/>
              </w:rPr>
              <w:t>.</w:t>
            </w:r>
          </w:p>
          <w:p w:rsidR="002A0515" w:rsidRPr="0046600C" w:rsidRDefault="002A0515" w:rsidP="00A54BE4">
            <w:pPr>
              <w:pStyle w:val="TableText"/>
              <w:jc w:val="both"/>
              <w:rPr>
                <w:rFonts w:eastAsiaTheme="minorEastAsia"/>
                <w:b/>
                <w:lang w:val="en-US" w:eastAsia="en-GB"/>
              </w:rPr>
            </w:pPr>
            <w:r w:rsidRPr="001F60AE">
              <w:rPr>
                <w:szCs w:val="17"/>
              </w:rPr>
              <w:t xml:space="preserve">A category 1 institution </w:t>
            </w:r>
            <w:r>
              <w:rPr>
                <w:szCs w:val="17"/>
              </w:rPr>
              <w:t>should</w:t>
            </w:r>
            <w:r w:rsidRPr="001F60AE">
              <w:rPr>
                <w:szCs w:val="17"/>
              </w:rPr>
              <w:t xml:space="preserve"> indicate the basis on which the required disclosure items in th</w:t>
            </w:r>
            <w:r>
              <w:rPr>
                <w:szCs w:val="17"/>
              </w:rPr>
              <w:t>is</w:t>
            </w:r>
            <w:r w:rsidRPr="001F60AE">
              <w:rPr>
                <w:szCs w:val="17"/>
              </w:rPr>
              <w:t xml:space="preserve"> </w:t>
            </w:r>
            <w:r>
              <w:rPr>
                <w:szCs w:val="17"/>
              </w:rPr>
              <w:t>t</w:t>
            </w:r>
            <w:r w:rsidRPr="001F60AE">
              <w:rPr>
                <w:szCs w:val="17"/>
              </w:rPr>
              <w:t>emplate are disclosed.</w:t>
            </w:r>
          </w:p>
        </w:tc>
      </w:tr>
      <w:tr w:rsidR="002A0515" w:rsidRPr="004B58B9" w:rsidTr="00A54BE4">
        <w:tc>
          <w:tcPr>
            <w:tcW w:w="1986" w:type="dxa"/>
          </w:tcPr>
          <w:p w:rsidR="002A0515" w:rsidRPr="0023654F" w:rsidRDefault="002A0515" w:rsidP="00A54BE4">
            <w:pPr>
              <w:spacing w:before="40" w:after="40"/>
              <w:rPr>
                <w:b/>
                <w:sz w:val="17"/>
                <w:lang w:eastAsia="en-GB"/>
              </w:rPr>
            </w:pPr>
            <w:r w:rsidRPr="0023654F">
              <w:rPr>
                <w:b/>
                <w:sz w:val="17"/>
                <w:lang w:eastAsia="en-GB"/>
              </w:rPr>
              <w:t xml:space="preserve">Content: </w:t>
            </w:r>
          </w:p>
        </w:tc>
        <w:tc>
          <w:tcPr>
            <w:tcW w:w="7115" w:type="dxa"/>
          </w:tcPr>
          <w:p w:rsidR="002A0515" w:rsidRPr="0046600C" w:rsidRDefault="002A0515" w:rsidP="00A54BE4">
            <w:pPr>
              <w:pStyle w:val="TableText"/>
              <w:jc w:val="both"/>
              <w:rPr>
                <w:rFonts w:eastAsiaTheme="minorEastAsia"/>
                <w:b/>
                <w:lang w:val="en-US" w:eastAsia="en-GB"/>
              </w:rPr>
            </w:pPr>
            <w:r>
              <w:rPr>
                <w:szCs w:val="17"/>
              </w:rPr>
              <w:t>Items disclosed should be measured and defined according to the methodology and instructions set out in the Stable Funding Position Return (MA(BS)26).  Data should be presented as quarter-end observations and in Hong Kong dollars or the equivalent amount of Hong Kong dollars.</w:t>
            </w:r>
          </w:p>
        </w:tc>
      </w:tr>
      <w:tr w:rsidR="002A0515" w:rsidRPr="0023654F" w:rsidTr="00A54BE4">
        <w:tc>
          <w:tcPr>
            <w:tcW w:w="1986" w:type="dxa"/>
          </w:tcPr>
          <w:p w:rsidR="002A0515" w:rsidRPr="0023654F" w:rsidRDefault="002A0515" w:rsidP="00A54BE4">
            <w:pPr>
              <w:spacing w:before="40" w:after="40"/>
              <w:rPr>
                <w:sz w:val="17"/>
                <w:lang w:eastAsia="en-GB"/>
              </w:rPr>
            </w:pPr>
            <w:r w:rsidRPr="0023654F">
              <w:rPr>
                <w:b/>
                <w:sz w:val="17"/>
                <w:lang w:eastAsia="en-GB"/>
              </w:rPr>
              <w:t>Frequency:</w:t>
            </w:r>
            <w:r w:rsidRPr="0023654F">
              <w:rPr>
                <w:sz w:val="17"/>
                <w:lang w:eastAsia="en-GB"/>
              </w:rPr>
              <w:t xml:space="preserve"> </w:t>
            </w:r>
          </w:p>
        </w:tc>
        <w:tc>
          <w:tcPr>
            <w:tcW w:w="7115" w:type="dxa"/>
          </w:tcPr>
          <w:p w:rsidR="002A0515" w:rsidRPr="0023654F" w:rsidRDefault="002A0515" w:rsidP="00A54BE4">
            <w:pPr>
              <w:pStyle w:val="TableText"/>
              <w:jc w:val="both"/>
              <w:rPr>
                <w:lang w:eastAsia="en-GB"/>
              </w:rPr>
            </w:pPr>
            <w:r>
              <w:rPr>
                <w:lang w:eastAsia="en-GB"/>
              </w:rPr>
              <w:t>Semi-annual (</w:t>
            </w:r>
            <w:r w:rsidRPr="0024355C">
              <w:rPr>
                <w:lang w:eastAsia="en-GB"/>
              </w:rPr>
              <w:t>including two data sets covering the latest and the pre</w:t>
            </w:r>
            <w:r>
              <w:rPr>
                <w:lang w:eastAsia="en-GB"/>
              </w:rPr>
              <w:t>ceding</w:t>
            </w:r>
            <w:r w:rsidRPr="0024355C">
              <w:rPr>
                <w:lang w:eastAsia="en-GB"/>
              </w:rPr>
              <w:t xml:space="preserve"> quarter-ends</w:t>
            </w:r>
            <w:r>
              <w:rPr>
                <w:lang w:eastAsia="en-GB"/>
              </w:rPr>
              <w:t>).</w:t>
            </w:r>
          </w:p>
        </w:tc>
      </w:tr>
      <w:tr w:rsidR="002A0515" w:rsidRPr="0023654F" w:rsidTr="00A54BE4">
        <w:tc>
          <w:tcPr>
            <w:tcW w:w="1986" w:type="dxa"/>
          </w:tcPr>
          <w:p w:rsidR="002A0515" w:rsidRPr="0023654F" w:rsidRDefault="002A0515" w:rsidP="00A54BE4">
            <w:pPr>
              <w:spacing w:before="40" w:after="40"/>
              <w:rPr>
                <w:sz w:val="17"/>
                <w:lang w:eastAsia="en-GB"/>
              </w:rPr>
            </w:pPr>
            <w:r w:rsidRPr="0023654F">
              <w:rPr>
                <w:b/>
                <w:sz w:val="17"/>
                <w:lang w:eastAsia="en-GB"/>
              </w:rPr>
              <w:t>Format:</w:t>
            </w:r>
            <w:r w:rsidRPr="0023654F">
              <w:rPr>
                <w:sz w:val="17"/>
                <w:lang w:eastAsia="en-GB"/>
              </w:rPr>
              <w:t xml:space="preserve"> </w:t>
            </w:r>
          </w:p>
        </w:tc>
        <w:tc>
          <w:tcPr>
            <w:tcW w:w="7115" w:type="dxa"/>
          </w:tcPr>
          <w:p w:rsidR="002A0515" w:rsidRPr="0023654F" w:rsidRDefault="002A0515" w:rsidP="00A54BE4">
            <w:pPr>
              <w:pStyle w:val="TableText"/>
              <w:jc w:val="both"/>
              <w:rPr>
                <w:lang w:eastAsia="en-GB"/>
              </w:rPr>
            </w:pPr>
            <w:r w:rsidRPr="0023654F">
              <w:rPr>
                <w:lang w:eastAsia="en-GB"/>
              </w:rPr>
              <w:t>Fixed.</w:t>
            </w:r>
          </w:p>
        </w:tc>
      </w:tr>
      <w:tr w:rsidR="002A0515" w:rsidRPr="0023654F" w:rsidTr="00A54BE4">
        <w:tc>
          <w:tcPr>
            <w:tcW w:w="1986" w:type="dxa"/>
          </w:tcPr>
          <w:p w:rsidR="002A0515" w:rsidRPr="0023654F" w:rsidRDefault="002A0515" w:rsidP="00A54BE4">
            <w:pPr>
              <w:spacing w:before="40" w:after="40"/>
              <w:rPr>
                <w:b/>
                <w:sz w:val="17"/>
                <w:lang w:eastAsia="en-GB"/>
              </w:rPr>
            </w:pPr>
            <w:r w:rsidRPr="0023654F">
              <w:rPr>
                <w:rFonts w:eastAsiaTheme="minorEastAsia"/>
                <w:b/>
                <w:sz w:val="17"/>
                <w:szCs w:val="17"/>
                <w:lang w:eastAsia="en-GB"/>
              </w:rPr>
              <w:t>Accompanying narrative</w:t>
            </w:r>
            <w:r w:rsidRPr="0023654F">
              <w:rPr>
                <w:rFonts w:eastAsiaTheme="minorEastAsia"/>
                <w:sz w:val="17"/>
                <w:szCs w:val="17"/>
                <w:lang w:eastAsia="en-GB"/>
              </w:rPr>
              <w:t>:</w:t>
            </w:r>
          </w:p>
        </w:tc>
        <w:tc>
          <w:tcPr>
            <w:tcW w:w="7115" w:type="dxa"/>
          </w:tcPr>
          <w:p w:rsidR="002A0515" w:rsidRPr="0024355C" w:rsidRDefault="002A0515" w:rsidP="00A54BE4">
            <w:pPr>
              <w:pStyle w:val="TableText"/>
              <w:jc w:val="both"/>
              <w:rPr>
                <w:szCs w:val="17"/>
                <w:lang w:eastAsia="en-GB"/>
              </w:rPr>
            </w:pPr>
            <w:r>
              <w:rPr>
                <w:szCs w:val="17"/>
                <w:lang w:eastAsia="en-GB"/>
              </w:rPr>
              <w:t>An AI</w:t>
            </w:r>
            <w:r w:rsidRPr="0024355C">
              <w:rPr>
                <w:szCs w:val="17"/>
                <w:lang w:eastAsia="en-GB"/>
              </w:rPr>
              <w:t xml:space="preserve"> should provide a sufficient qualitative discussion on the NSFR to facilitate an understanding of the results and the accompanying data. </w:t>
            </w:r>
            <w:r>
              <w:rPr>
                <w:szCs w:val="17"/>
                <w:lang w:eastAsia="en-GB"/>
              </w:rPr>
              <w:t xml:space="preserve"> </w:t>
            </w:r>
            <w:r w:rsidRPr="0024355C">
              <w:rPr>
                <w:szCs w:val="17"/>
                <w:lang w:eastAsia="en-GB"/>
              </w:rPr>
              <w:t xml:space="preserve">For example, where significant, </w:t>
            </w:r>
            <w:r>
              <w:rPr>
                <w:szCs w:val="17"/>
                <w:lang w:eastAsia="en-GB"/>
              </w:rPr>
              <w:t>the AI</w:t>
            </w:r>
            <w:r w:rsidRPr="0024355C">
              <w:rPr>
                <w:szCs w:val="17"/>
                <w:lang w:eastAsia="en-GB"/>
              </w:rPr>
              <w:t xml:space="preserve"> </w:t>
            </w:r>
            <w:r>
              <w:rPr>
                <w:szCs w:val="17"/>
                <w:lang w:eastAsia="en-GB"/>
              </w:rPr>
              <w:t>sh</w:t>
            </w:r>
            <w:r w:rsidRPr="0024355C">
              <w:rPr>
                <w:szCs w:val="17"/>
                <w:lang w:eastAsia="en-GB"/>
              </w:rPr>
              <w:t>ould discuss:</w:t>
            </w:r>
          </w:p>
          <w:p w:rsidR="002A0515" w:rsidRPr="00965ADD" w:rsidRDefault="002A0515" w:rsidP="002A0515">
            <w:pPr>
              <w:pStyle w:val="Default"/>
              <w:numPr>
                <w:ilvl w:val="0"/>
                <w:numId w:val="46"/>
              </w:numPr>
              <w:tabs>
                <w:tab w:val="left" w:pos="294"/>
              </w:tabs>
              <w:ind w:left="294" w:hanging="294"/>
              <w:jc w:val="both"/>
              <w:rPr>
                <w:sz w:val="17"/>
                <w:szCs w:val="17"/>
              </w:rPr>
            </w:pPr>
            <w:r w:rsidRPr="00965ADD">
              <w:rPr>
                <w:sz w:val="17"/>
                <w:szCs w:val="17"/>
              </w:rPr>
              <w:t xml:space="preserve">the drivers of </w:t>
            </w:r>
            <w:r>
              <w:rPr>
                <w:sz w:val="17"/>
                <w:szCs w:val="17"/>
              </w:rPr>
              <w:t>i</w:t>
            </w:r>
            <w:r w:rsidRPr="00965ADD">
              <w:rPr>
                <w:sz w:val="17"/>
                <w:szCs w:val="17"/>
              </w:rPr>
              <w:t>t</w:t>
            </w:r>
            <w:r>
              <w:rPr>
                <w:sz w:val="17"/>
                <w:szCs w:val="17"/>
              </w:rPr>
              <w:t>s</w:t>
            </w:r>
            <w:r w:rsidRPr="00965ADD">
              <w:rPr>
                <w:sz w:val="17"/>
                <w:szCs w:val="17"/>
              </w:rPr>
              <w:t xml:space="preserve"> NSFR results</w:t>
            </w:r>
            <w:r>
              <w:rPr>
                <w:sz w:val="17"/>
                <w:szCs w:val="17"/>
              </w:rPr>
              <w:t>,</w:t>
            </w:r>
            <w:r w:rsidRPr="00965ADD">
              <w:rPr>
                <w:sz w:val="17"/>
                <w:szCs w:val="17"/>
              </w:rPr>
              <w:t xml:space="preserve"> the reasons for intra-period changes </w:t>
            </w:r>
            <w:r>
              <w:rPr>
                <w:sz w:val="17"/>
                <w:szCs w:val="17"/>
              </w:rPr>
              <w:t>and</w:t>
            </w:r>
            <w:r w:rsidRPr="00965ADD">
              <w:rPr>
                <w:sz w:val="17"/>
                <w:szCs w:val="17"/>
              </w:rPr>
              <w:t xml:space="preserve"> the changes over time (e.g. changes in strategies, funding structure, circumstances); and</w:t>
            </w:r>
          </w:p>
          <w:p w:rsidR="002A0515" w:rsidRPr="00965ADD" w:rsidRDefault="002A0515" w:rsidP="002A0515">
            <w:pPr>
              <w:pStyle w:val="Default"/>
              <w:numPr>
                <w:ilvl w:val="0"/>
                <w:numId w:val="46"/>
              </w:numPr>
              <w:tabs>
                <w:tab w:val="left" w:pos="294"/>
              </w:tabs>
              <w:ind w:left="317" w:hanging="317"/>
              <w:jc w:val="both"/>
              <w:rPr>
                <w:sz w:val="17"/>
                <w:szCs w:val="17"/>
                <w:lang w:eastAsia="en-GB"/>
              </w:rPr>
            </w:pPr>
            <w:r w:rsidRPr="00965ADD">
              <w:rPr>
                <w:sz w:val="17"/>
                <w:szCs w:val="17"/>
              </w:rPr>
              <w:t>the</w:t>
            </w:r>
            <w:r w:rsidRPr="00965ADD">
              <w:rPr>
                <w:sz w:val="17"/>
                <w:szCs w:val="17"/>
                <w:lang w:eastAsia="en-GB"/>
              </w:rPr>
              <w:t xml:space="preserve"> composition of the AI’s interdependent assets and liabilities (as defined </w:t>
            </w:r>
            <w:r>
              <w:rPr>
                <w:sz w:val="17"/>
                <w:szCs w:val="17"/>
                <w:lang w:eastAsia="en-GB"/>
              </w:rPr>
              <w:t xml:space="preserve">under Division 2 of </w:t>
            </w:r>
            <w:r w:rsidRPr="00ED2632">
              <w:rPr>
                <w:sz w:val="17"/>
                <w:szCs w:val="17"/>
              </w:rPr>
              <w:t>Part 9 of the BLR</w:t>
            </w:r>
            <w:r w:rsidRPr="00ED2632">
              <w:rPr>
                <w:sz w:val="17"/>
                <w:szCs w:val="17"/>
                <w:lang w:eastAsia="en-GB"/>
              </w:rPr>
              <w:t>) an</w:t>
            </w:r>
            <w:r w:rsidRPr="00965ADD">
              <w:rPr>
                <w:sz w:val="17"/>
                <w:szCs w:val="17"/>
                <w:lang w:eastAsia="en-GB"/>
              </w:rPr>
              <w:t>d to what extent these transactions are interrelated.</w:t>
            </w:r>
          </w:p>
        </w:tc>
      </w:tr>
      <w:tr w:rsidR="002A0515" w:rsidRPr="0023654F" w:rsidTr="00A54BE4">
        <w:tc>
          <w:tcPr>
            <w:tcW w:w="1986" w:type="dxa"/>
          </w:tcPr>
          <w:p w:rsidR="002A0515" w:rsidRPr="0023654F" w:rsidRDefault="002A0515" w:rsidP="00A54BE4">
            <w:pPr>
              <w:spacing w:before="40" w:after="40"/>
              <w:rPr>
                <w:rFonts w:eastAsiaTheme="minorEastAsia"/>
                <w:b/>
                <w:sz w:val="17"/>
                <w:szCs w:val="17"/>
                <w:lang w:eastAsia="en-GB"/>
              </w:rPr>
            </w:pPr>
            <w:r>
              <w:rPr>
                <w:rFonts w:eastAsiaTheme="minorEastAsia"/>
                <w:b/>
                <w:sz w:val="17"/>
                <w:szCs w:val="17"/>
                <w:lang w:eastAsia="en-GB"/>
              </w:rPr>
              <w:t>Corresponding BDR section:</w:t>
            </w:r>
          </w:p>
        </w:tc>
        <w:tc>
          <w:tcPr>
            <w:tcW w:w="7115" w:type="dxa"/>
          </w:tcPr>
          <w:p w:rsidR="002A0515" w:rsidRPr="00AC37F2" w:rsidRDefault="002A0515" w:rsidP="00A54BE4">
            <w:pPr>
              <w:pStyle w:val="TableText"/>
              <w:jc w:val="both"/>
              <w:rPr>
                <w:szCs w:val="17"/>
                <w:lang w:eastAsia="en-GB"/>
              </w:rPr>
            </w:pPr>
            <w:r w:rsidRPr="001B530B">
              <w:rPr>
                <w:szCs w:val="17"/>
                <w:lang w:eastAsia="en-GB"/>
              </w:rPr>
              <w:t>16FL and 103AB</w:t>
            </w:r>
          </w:p>
        </w:tc>
      </w:tr>
    </w:tbl>
    <w:p w:rsidR="002A0515" w:rsidRDefault="002A0515" w:rsidP="002A0515">
      <w:pPr>
        <w:rPr>
          <w:sz w:val="22"/>
        </w:rPr>
      </w:pPr>
    </w:p>
    <w:p w:rsidR="002A0515" w:rsidRDefault="002A0515" w:rsidP="002A0515">
      <w:pPr>
        <w:rPr>
          <w:sz w:val="22"/>
        </w:rPr>
      </w:pPr>
    </w:p>
    <w:tbl>
      <w:tblPr>
        <w:tblW w:w="9073" w:type="dxa"/>
        <w:tblInd w:w="-426" w:type="dxa"/>
        <w:tblBorders>
          <w:top w:val="single" w:sz="8" w:space="0" w:color="BCBDBC"/>
          <w:left w:val="single" w:sz="8" w:space="0" w:color="BCBDBC"/>
          <w:bottom w:val="single" w:sz="8" w:space="0" w:color="BCBDBC"/>
          <w:right w:val="single" w:sz="8" w:space="0" w:color="BCBDBC"/>
          <w:insideH w:val="single" w:sz="6" w:space="0" w:color="BCBDBC"/>
          <w:insideV w:val="single" w:sz="6" w:space="0" w:color="BCBDBC"/>
        </w:tblBorders>
        <w:tblLayout w:type="fixed"/>
        <w:tblCellMar>
          <w:left w:w="0" w:type="dxa"/>
          <w:right w:w="0" w:type="dxa"/>
        </w:tblCellMar>
        <w:tblLook w:val="00A0" w:firstRow="1" w:lastRow="0" w:firstColumn="1" w:lastColumn="0" w:noHBand="0" w:noVBand="0"/>
      </w:tblPr>
      <w:tblGrid>
        <w:gridCol w:w="466"/>
        <w:gridCol w:w="3642"/>
        <w:gridCol w:w="994"/>
        <w:gridCol w:w="985"/>
        <w:gridCol w:w="992"/>
        <w:gridCol w:w="993"/>
        <w:gridCol w:w="1001"/>
      </w:tblGrid>
      <w:tr w:rsidR="002A0515" w:rsidRPr="0023654F" w:rsidTr="00A54BE4">
        <w:trPr>
          <w:trHeight w:val="324"/>
          <w:tblHeader/>
        </w:trPr>
        <w:tc>
          <w:tcPr>
            <w:tcW w:w="4110" w:type="dxa"/>
            <w:gridSpan w:val="2"/>
            <w:tcBorders>
              <w:top w:val="nil"/>
              <w:left w:val="nil"/>
              <w:bottom w:val="single" w:sz="4" w:space="0" w:color="auto"/>
              <w:right w:val="single" w:sz="4" w:space="0" w:color="auto"/>
            </w:tcBorders>
            <w:vAlign w:val="center"/>
          </w:tcPr>
          <w:p w:rsidR="002A0515" w:rsidRDefault="002A0515" w:rsidP="00A54BE4">
            <w:pPr>
              <w:pStyle w:val="Default"/>
              <w:rPr>
                <w:b/>
                <w:bCs/>
                <w:sz w:val="20"/>
                <w:szCs w:val="20"/>
              </w:rPr>
            </w:pPr>
          </w:p>
        </w:tc>
        <w:tc>
          <w:tcPr>
            <w:tcW w:w="992" w:type="dxa"/>
            <w:tcBorders>
              <w:top w:val="single" w:sz="6" w:space="0" w:color="auto"/>
              <w:left w:val="single" w:sz="6" w:space="0" w:color="auto"/>
              <w:bottom w:val="single" w:sz="6" w:space="0" w:color="auto"/>
              <w:right w:val="single" w:sz="4" w:space="0" w:color="auto"/>
            </w:tcBorders>
            <w:vAlign w:val="center"/>
          </w:tcPr>
          <w:p w:rsidR="002A0515" w:rsidRPr="00790743" w:rsidRDefault="002A0515" w:rsidP="00A54BE4">
            <w:pPr>
              <w:pStyle w:val="TableText"/>
              <w:spacing w:before="0" w:after="0"/>
              <w:jc w:val="center"/>
              <w:rPr>
                <w:bCs/>
                <w:szCs w:val="17"/>
                <w:lang w:eastAsia="it-IT"/>
              </w:rPr>
            </w:pPr>
            <w:r w:rsidRPr="00790743">
              <w:rPr>
                <w:bCs/>
                <w:szCs w:val="17"/>
                <w:lang w:eastAsia="it-IT"/>
              </w:rPr>
              <w:t>(a)</w:t>
            </w:r>
          </w:p>
        </w:tc>
        <w:tc>
          <w:tcPr>
            <w:tcW w:w="985" w:type="dxa"/>
            <w:tcBorders>
              <w:top w:val="single" w:sz="6" w:space="0" w:color="auto"/>
              <w:left w:val="single" w:sz="4" w:space="0" w:color="auto"/>
              <w:bottom w:val="single" w:sz="6" w:space="0" w:color="auto"/>
              <w:right w:val="single" w:sz="4" w:space="0" w:color="auto"/>
            </w:tcBorders>
            <w:vAlign w:val="center"/>
          </w:tcPr>
          <w:p w:rsidR="002A0515" w:rsidRPr="00790743" w:rsidRDefault="002A0515" w:rsidP="00A54BE4">
            <w:pPr>
              <w:pStyle w:val="TableText"/>
              <w:spacing w:before="0" w:after="0"/>
              <w:jc w:val="center"/>
              <w:rPr>
                <w:bCs/>
                <w:szCs w:val="17"/>
                <w:lang w:eastAsia="it-IT"/>
              </w:rPr>
            </w:pPr>
            <w:r w:rsidRPr="00790743">
              <w:rPr>
                <w:bCs/>
                <w:szCs w:val="17"/>
                <w:lang w:eastAsia="it-IT"/>
              </w:rPr>
              <w:t>(b)</w:t>
            </w:r>
          </w:p>
        </w:tc>
        <w:tc>
          <w:tcPr>
            <w:tcW w:w="992" w:type="dxa"/>
            <w:tcBorders>
              <w:top w:val="single" w:sz="6" w:space="0" w:color="auto"/>
              <w:left w:val="single" w:sz="4" w:space="0" w:color="auto"/>
              <w:bottom w:val="single" w:sz="6" w:space="0" w:color="auto"/>
              <w:right w:val="single" w:sz="4" w:space="0" w:color="auto"/>
            </w:tcBorders>
          </w:tcPr>
          <w:p w:rsidR="002A0515" w:rsidRPr="00790743" w:rsidRDefault="002A0515" w:rsidP="00A54BE4">
            <w:pPr>
              <w:jc w:val="center"/>
              <w:rPr>
                <w:sz w:val="17"/>
                <w:szCs w:val="17"/>
              </w:rPr>
            </w:pPr>
            <w:r w:rsidRPr="00790743">
              <w:rPr>
                <w:bCs/>
                <w:sz w:val="17"/>
                <w:szCs w:val="17"/>
                <w:lang w:eastAsia="it-IT"/>
              </w:rPr>
              <w:t>(c)</w:t>
            </w:r>
          </w:p>
        </w:tc>
        <w:tc>
          <w:tcPr>
            <w:tcW w:w="993" w:type="dxa"/>
            <w:tcBorders>
              <w:top w:val="single" w:sz="6" w:space="0" w:color="auto"/>
              <w:left w:val="single" w:sz="4" w:space="0" w:color="auto"/>
              <w:bottom w:val="single" w:sz="6" w:space="0" w:color="auto"/>
              <w:right w:val="single" w:sz="6" w:space="0" w:color="auto"/>
            </w:tcBorders>
          </w:tcPr>
          <w:p w:rsidR="002A0515" w:rsidRPr="00790743" w:rsidRDefault="002A0515" w:rsidP="00A54BE4">
            <w:pPr>
              <w:jc w:val="center"/>
              <w:rPr>
                <w:sz w:val="17"/>
                <w:szCs w:val="17"/>
              </w:rPr>
            </w:pPr>
            <w:r w:rsidRPr="00790743">
              <w:rPr>
                <w:bCs/>
                <w:sz w:val="17"/>
                <w:szCs w:val="17"/>
                <w:lang w:eastAsia="it-IT"/>
              </w:rPr>
              <w:t>(d)</w:t>
            </w:r>
          </w:p>
        </w:tc>
        <w:tc>
          <w:tcPr>
            <w:tcW w:w="1001" w:type="dxa"/>
            <w:tcBorders>
              <w:top w:val="single" w:sz="6" w:space="0" w:color="auto"/>
              <w:left w:val="single" w:sz="6" w:space="0" w:color="auto"/>
              <w:bottom w:val="single" w:sz="6" w:space="0" w:color="auto"/>
              <w:right w:val="single" w:sz="4" w:space="0" w:color="auto"/>
            </w:tcBorders>
          </w:tcPr>
          <w:p w:rsidR="002A0515" w:rsidRPr="00790743" w:rsidRDefault="002A0515" w:rsidP="00A54BE4">
            <w:pPr>
              <w:jc w:val="center"/>
              <w:rPr>
                <w:sz w:val="17"/>
                <w:szCs w:val="17"/>
              </w:rPr>
            </w:pPr>
            <w:r w:rsidRPr="00790743">
              <w:rPr>
                <w:bCs/>
                <w:sz w:val="17"/>
                <w:szCs w:val="17"/>
                <w:lang w:eastAsia="it-IT"/>
              </w:rPr>
              <w:t>(e)</w:t>
            </w:r>
          </w:p>
        </w:tc>
      </w:tr>
      <w:tr w:rsidR="002A0515" w:rsidRPr="0023654F" w:rsidTr="00A54BE4">
        <w:trPr>
          <w:trHeight w:val="241"/>
          <w:tblHeader/>
        </w:trPr>
        <w:tc>
          <w:tcPr>
            <w:tcW w:w="4110" w:type="dxa"/>
            <w:gridSpan w:val="2"/>
            <w:vMerge w:val="restart"/>
            <w:tcBorders>
              <w:top w:val="single" w:sz="4" w:space="0" w:color="auto"/>
              <w:left w:val="nil"/>
              <w:right w:val="single" w:sz="6" w:space="0" w:color="auto"/>
            </w:tcBorders>
            <w:vAlign w:val="center"/>
          </w:tcPr>
          <w:p w:rsidR="002A0515" w:rsidRPr="000B6342" w:rsidRDefault="002A0515" w:rsidP="00A54BE4">
            <w:pPr>
              <w:pStyle w:val="TableText"/>
              <w:snapToGrid w:val="0"/>
              <w:ind w:rightChars="71" w:right="142"/>
              <w:rPr>
                <w:lang w:eastAsia="it-IT"/>
              </w:rPr>
            </w:pPr>
            <w:r w:rsidRPr="00E960C4">
              <w:rPr>
                <w:lang w:eastAsia="it-IT"/>
              </w:rPr>
              <w:t>Basis of disclosure: consolidated / unconsolidated / Hong Kong office (delete as appropriate)</w:t>
            </w:r>
          </w:p>
        </w:tc>
        <w:tc>
          <w:tcPr>
            <w:tcW w:w="3962" w:type="dxa"/>
            <w:gridSpan w:val="4"/>
            <w:tcBorders>
              <w:top w:val="single" w:sz="6" w:space="0" w:color="auto"/>
              <w:left w:val="single" w:sz="6" w:space="0" w:color="auto"/>
              <w:bottom w:val="single" w:sz="4" w:space="0" w:color="auto"/>
              <w:right w:val="single" w:sz="6" w:space="0" w:color="auto"/>
            </w:tcBorders>
            <w:vAlign w:val="center"/>
          </w:tcPr>
          <w:p w:rsidR="002A0515" w:rsidRPr="00350593" w:rsidRDefault="002A0515" w:rsidP="00A54BE4">
            <w:pPr>
              <w:pStyle w:val="TableText"/>
              <w:snapToGrid w:val="0"/>
              <w:jc w:val="center"/>
              <w:rPr>
                <w:b/>
                <w:lang w:eastAsia="it-IT"/>
              </w:rPr>
            </w:pPr>
            <w:r w:rsidRPr="00350593">
              <w:rPr>
                <w:b/>
                <w:lang w:eastAsia="it-IT"/>
              </w:rPr>
              <w:t>Unweighted value by residual maturity</w:t>
            </w:r>
          </w:p>
        </w:tc>
        <w:tc>
          <w:tcPr>
            <w:tcW w:w="1001" w:type="dxa"/>
            <w:vMerge w:val="restart"/>
            <w:tcBorders>
              <w:top w:val="single" w:sz="6" w:space="0" w:color="auto"/>
              <w:left w:val="single" w:sz="6" w:space="0" w:color="auto"/>
              <w:right w:val="single" w:sz="4" w:space="0" w:color="auto"/>
            </w:tcBorders>
            <w:vAlign w:val="center"/>
          </w:tcPr>
          <w:p w:rsidR="002A0515" w:rsidRPr="00350593" w:rsidRDefault="002A0515" w:rsidP="00A54BE4">
            <w:pPr>
              <w:pStyle w:val="TableText"/>
              <w:snapToGrid w:val="0"/>
              <w:jc w:val="center"/>
              <w:rPr>
                <w:b/>
                <w:lang w:eastAsia="it-IT"/>
              </w:rPr>
            </w:pPr>
            <w:r>
              <w:rPr>
                <w:b/>
                <w:lang w:eastAsia="it-IT"/>
              </w:rPr>
              <w:t>W</w:t>
            </w:r>
            <w:r w:rsidRPr="00445B4A">
              <w:rPr>
                <w:b/>
                <w:lang w:eastAsia="it-IT"/>
              </w:rPr>
              <w:t xml:space="preserve">eighted </w:t>
            </w:r>
            <w:r>
              <w:rPr>
                <w:b/>
                <w:lang w:eastAsia="it-IT"/>
              </w:rPr>
              <w:t>amount</w:t>
            </w:r>
          </w:p>
        </w:tc>
      </w:tr>
      <w:tr w:rsidR="002A0515" w:rsidRPr="0023654F" w:rsidTr="00A54BE4">
        <w:trPr>
          <w:trHeight w:val="553"/>
          <w:tblHeader/>
        </w:trPr>
        <w:tc>
          <w:tcPr>
            <w:tcW w:w="4110" w:type="dxa"/>
            <w:gridSpan w:val="2"/>
            <w:vMerge/>
            <w:tcBorders>
              <w:left w:val="nil"/>
              <w:bottom w:val="single" w:sz="4" w:space="0" w:color="auto"/>
              <w:right w:val="single" w:sz="6" w:space="0" w:color="auto"/>
            </w:tcBorders>
            <w:vAlign w:val="center"/>
          </w:tcPr>
          <w:p w:rsidR="002A0515" w:rsidRPr="00E960C4" w:rsidRDefault="002A0515" w:rsidP="00A54BE4">
            <w:pPr>
              <w:pStyle w:val="TableText"/>
              <w:snapToGrid w:val="0"/>
              <w:ind w:rightChars="71" w:right="142"/>
              <w:rPr>
                <w:lang w:eastAsia="it-IT"/>
              </w:rPr>
            </w:pPr>
          </w:p>
        </w:tc>
        <w:tc>
          <w:tcPr>
            <w:tcW w:w="992" w:type="dxa"/>
            <w:tcBorders>
              <w:top w:val="single" w:sz="4" w:space="0" w:color="auto"/>
              <w:left w:val="single" w:sz="6" w:space="0" w:color="auto"/>
              <w:bottom w:val="single" w:sz="4" w:space="0" w:color="auto"/>
              <w:right w:val="single" w:sz="4" w:space="0" w:color="auto"/>
            </w:tcBorders>
            <w:vAlign w:val="center"/>
          </w:tcPr>
          <w:p w:rsidR="002A0515" w:rsidRPr="00350593" w:rsidRDefault="002A0515" w:rsidP="00A54BE4">
            <w:pPr>
              <w:pStyle w:val="TableText"/>
              <w:snapToGrid w:val="0"/>
              <w:jc w:val="center"/>
              <w:rPr>
                <w:lang w:eastAsia="it-IT"/>
              </w:rPr>
            </w:pPr>
            <w:r>
              <w:rPr>
                <w:lang w:eastAsia="it-IT"/>
              </w:rPr>
              <w:t xml:space="preserve"> </w:t>
            </w:r>
            <w:r w:rsidRPr="00350593">
              <w:rPr>
                <w:lang w:eastAsia="it-IT"/>
              </w:rPr>
              <w:t>No</w:t>
            </w:r>
            <w:r>
              <w:rPr>
                <w:lang w:eastAsia="it-IT"/>
              </w:rPr>
              <w:t xml:space="preserve"> specified term to</w:t>
            </w:r>
            <w:r w:rsidRPr="00350593">
              <w:rPr>
                <w:lang w:eastAsia="it-IT"/>
              </w:rPr>
              <w:t xml:space="preserve"> maturity</w:t>
            </w:r>
          </w:p>
        </w:tc>
        <w:tc>
          <w:tcPr>
            <w:tcW w:w="985" w:type="dxa"/>
            <w:tcBorders>
              <w:top w:val="single" w:sz="4" w:space="0" w:color="auto"/>
              <w:left w:val="single" w:sz="4" w:space="0" w:color="auto"/>
              <w:bottom w:val="single" w:sz="4" w:space="0" w:color="auto"/>
              <w:right w:val="single" w:sz="4" w:space="0" w:color="auto"/>
            </w:tcBorders>
            <w:vAlign w:val="center"/>
          </w:tcPr>
          <w:p w:rsidR="002A0515" w:rsidRPr="00350593" w:rsidRDefault="002A0515" w:rsidP="00A54BE4">
            <w:pPr>
              <w:pStyle w:val="TableText"/>
              <w:snapToGrid w:val="0"/>
              <w:jc w:val="center"/>
              <w:rPr>
                <w:lang w:eastAsia="it-IT"/>
              </w:rPr>
            </w:pPr>
            <w:r>
              <w:rPr>
                <w:lang w:eastAsia="it-IT"/>
              </w:rPr>
              <w:t>&lt;6 months or repayable on demand</w:t>
            </w:r>
          </w:p>
        </w:tc>
        <w:tc>
          <w:tcPr>
            <w:tcW w:w="992" w:type="dxa"/>
            <w:tcBorders>
              <w:top w:val="single" w:sz="4" w:space="0" w:color="auto"/>
              <w:left w:val="single" w:sz="4" w:space="0" w:color="auto"/>
              <w:bottom w:val="single" w:sz="6" w:space="0" w:color="auto"/>
              <w:right w:val="single" w:sz="4" w:space="0" w:color="auto"/>
            </w:tcBorders>
            <w:vAlign w:val="center"/>
          </w:tcPr>
          <w:p w:rsidR="002A0515" w:rsidRPr="00350593" w:rsidRDefault="002A0515" w:rsidP="00A54BE4">
            <w:pPr>
              <w:pStyle w:val="TableText"/>
              <w:snapToGrid w:val="0"/>
              <w:jc w:val="center"/>
              <w:rPr>
                <w:lang w:eastAsia="it-IT"/>
              </w:rPr>
            </w:pPr>
            <w:r>
              <w:rPr>
                <w:lang w:eastAsia="it-IT"/>
              </w:rPr>
              <w:t xml:space="preserve">6 months to &lt; 12 months </w:t>
            </w:r>
          </w:p>
        </w:tc>
        <w:tc>
          <w:tcPr>
            <w:tcW w:w="993" w:type="dxa"/>
            <w:tcBorders>
              <w:top w:val="single" w:sz="4" w:space="0" w:color="auto"/>
              <w:left w:val="single" w:sz="4" w:space="0" w:color="auto"/>
              <w:bottom w:val="single" w:sz="6" w:space="0" w:color="auto"/>
              <w:right w:val="single" w:sz="6" w:space="0" w:color="auto"/>
            </w:tcBorders>
            <w:vAlign w:val="center"/>
          </w:tcPr>
          <w:p w:rsidR="002A0515" w:rsidRPr="00350593" w:rsidRDefault="002A0515" w:rsidP="00A54BE4">
            <w:pPr>
              <w:pStyle w:val="TableText"/>
              <w:snapToGrid w:val="0"/>
              <w:jc w:val="center"/>
              <w:rPr>
                <w:lang w:eastAsia="it-IT"/>
              </w:rPr>
            </w:pPr>
            <w:r>
              <w:rPr>
                <w:lang w:eastAsia="it-IT"/>
              </w:rPr>
              <w:t xml:space="preserve">12 months or more </w:t>
            </w:r>
          </w:p>
        </w:tc>
        <w:tc>
          <w:tcPr>
            <w:tcW w:w="1001" w:type="dxa"/>
            <w:vMerge/>
            <w:tcBorders>
              <w:left w:val="single" w:sz="6" w:space="0" w:color="auto"/>
              <w:bottom w:val="single" w:sz="6" w:space="0" w:color="auto"/>
              <w:right w:val="single" w:sz="4" w:space="0" w:color="auto"/>
            </w:tcBorders>
            <w:vAlign w:val="center"/>
          </w:tcPr>
          <w:p w:rsidR="002A0515" w:rsidRDefault="002A0515" w:rsidP="00A54BE4">
            <w:pPr>
              <w:pStyle w:val="TableText"/>
              <w:snapToGrid w:val="0"/>
              <w:jc w:val="center"/>
              <w:rPr>
                <w:b/>
                <w:lang w:eastAsia="it-IT"/>
              </w:rPr>
            </w:pPr>
          </w:p>
        </w:tc>
      </w:tr>
      <w:tr w:rsidR="002A0515" w:rsidRPr="0023654F" w:rsidTr="00A54BE4">
        <w:trPr>
          <w:cantSplit/>
          <w:trHeight w:val="285"/>
        </w:trPr>
        <w:tc>
          <w:tcPr>
            <w:tcW w:w="4110" w:type="dxa"/>
            <w:gridSpan w:val="2"/>
            <w:tcBorders>
              <w:top w:val="single" w:sz="4" w:space="0" w:color="auto"/>
              <w:left w:val="nil"/>
              <w:bottom w:val="single" w:sz="4" w:space="0" w:color="auto"/>
              <w:right w:val="nil"/>
            </w:tcBorders>
            <w:shd w:val="clear" w:color="auto" w:fill="BFBFBF" w:themeFill="background1" w:themeFillShade="BF"/>
          </w:tcPr>
          <w:p w:rsidR="002A0515" w:rsidRPr="00445B4A" w:rsidRDefault="002A0515" w:rsidP="002A0515">
            <w:pPr>
              <w:pStyle w:val="TableText"/>
              <w:numPr>
                <w:ilvl w:val="0"/>
                <w:numId w:val="82"/>
              </w:numPr>
              <w:snapToGrid w:val="0"/>
              <w:ind w:rightChars="71" w:right="142"/>
              <w:rPr>
                <w:b/>
                <w:lang w:eastAsia="it-IT"/>
              </w:rPr>
            </w:pPr>
            <w:r>
              <w:rPr>
                <w:b/>
                <w:lang w:eastAsia="it-IT"/>
              </w:rPr>
              <w:t>Available stable funding (“ASF”) item</w:t>
            </w:r>
          </w:p>
        </w:tc>
        <w:tc>
          <w:tcPr>
            <w:tcW w:w="992" w:type="dxa"/>
            <w:tcBorders>
              <w:top w:val="single" w:sz="4" w:space="0" w:color="auto"/>
              <w:left w:val="nil"/>
              <w:bottom w:val="single" w:sz="4" w:space="0" w:color="auto"/>
              <w:right w:val="nil"/>
            </w:tcBorders>
            <w:shd w:val="clear" w:color="auto" w:fill="BFBFBF" w:themeFill="background1" w:themeFillShade="BF"/>
          </w:tcPr>
          <w:p w:rsidR="002A0515" w:rsidRPr="0023654F" w:rsidRDefault="002A0515" w:rsidP="00A54BE4">
            <w:pPr>
              <w:pStyle w:val="TableText"/>
              <w:snapToGrid w:val="0"/>
              <w:rPr>
                <w:lang w:eastAsia="it-IT"/>
              </w:rPr>
            </w:pPr>
          </w:p>
        </w:tc>
        <w:tc>
          <w:tcPr>
            <w:tcW w:w="985" w:type="dxa"/>
            <w:tcBorders>
              <w:top w:val="single" w:sz="4" w:space="0" w:color="auto"/>
              <w:left w:val="nil"/>
              <w:bottom w:val="single" w:sz="4" w:space="0" w:color="auto"/>
              <w:right w:val="nil"/>
            </w:tcBorders>
            <w:shd w:val="clear" w:color="auto" w:fill="BFBFBF" w:themeFill="background1" w:themeFillShade="BF"/>
          </w:tcPr>
          <w:p w:rsidR="002A0515" w:rsidRPr="0023654F" w:rsidRDefault="002A0515" w:rsidP="00A54BE4">
            <w:pPr>
              <w:pStyle w:val="TableText"/>
              <w:snapToGrid w:val="0"/>
              <w:rPr>
                <w:lang w:eastAsia="it-IT"/>
              </w:rPr>
            </w:pPr>
          </w:p>
        </w:tc>
        <w:tc>
          <w:tcPr>
            <w:tcW w:w="992" w:type="dxa"/>
            <w:tcBorders>
              <w:top w:val="single" w:sz="6" w:space="0" w:color="auto"/>
              <w:left w:val="nil"/>
              <w:bottom w:val="single" w:sz="4" w:space="0" w:color="auto"/>
              <w:right w:val="nil"/>
            </w:tcBorders>
            <w:shd w:val="clear" w:color="auto" w:fill="BFBFBF" w:themeFill="background1" w:themeFillShade="BF"/>
          </w:tcPr>
          <w:p w:rsidR="002A0515" w:rsidRPr="0023654F" w:rsidRDefault="002A0515" w:rsidP="00A54BE4">
            <w:pPr>
              <w:pStyle w:val="TableText"/>
              <w:snapToGrid w:val="0"/>
              <w:rPr>
                <w:lang w:eastAsia="it-IT"/>
              </w:rPr>
            </w:pPr>
          </w:p>
        </w:tc>
        <w:tc>
          <w:tcPr>
            <w:tcW w:w="993" w:type="dxa"/>
            <w:tcBorders>
              <w:top w:val="single" w:sz="6" w:space="0" w:color="auto"/>
              <w:left w:val="nil"/>
              <w:bottom w:val="single" w:sz="4" w:space="0" w:color="auto"/>
              <w:right w:val="nil"/>
            </w:tcBorders>
            <w:shd w:val="clear" w:color="auto" w:fill="BFBFBF" w:themeFill="background1" w:themeFillShade="BF"/>
          </w:tcPr>
          <w:p w:rsidR="002A0515" w:rsidRPr="0023654F" w:rsidRDefault="002A0515" w:rsidP="00A54BE4">
            <w:pPr>
              <w:pStyle w:val="TableText"/>
              <w:snapToGrid w:val="0"/>
              <w:rPr>
                <w:lang w:eastAsia="it-IT"/>
              </w:rPr>
            </w:pPr>
          </w:p>
        </w:tc>
        <w:tc>
          <w:tcPr>
            <w:tcW w:w="1001" w:type="dxa"/>
            <w:tcBorders>
              <w:top w:val="single" w:sz="6" w:space="0" w:color="auto"/>
              <w:left w:val="nil"/>
              <w:bottom w:val="single" w:sz="4" w:space="0" w:color="auto"/>
              <w:right w:val="single" w:sz="4" w:space="0" w:color="auto"/>
            </w:tcBorders>
            <w:shd w:val="clear" w:color="auto" w:fill="BFBFBF" w:themeFill="background1" w:themeFillShade="BF"/>
          </w:tcPr>
          <w:p w:rsidR="002A0515" w:rsidRPr="0023654F" w:rsidRDefault="002A0515" w:rsidP="00A54BE4">
            <w:pPr>
              <w:pStyle w:val="TableText"/>
              <w:snapToGrid w:val="0"/>
              <w:rPr>
                <w:lang w:eastAsia="it-IT"/>
              </w:rPr>
            </w:pPr>
          </w:p>
        </w:tc>
      </w:tr>
      <w:tr w:rsidR="002A0515" w:rsidRPr="0023654F" w:rsidTr="00A54BE4">
        <w:trPr>
          <w:cantSplit/>
          <w:trHeight w:val="285"/>
        </w:trPr>
        <w:tc>
          <w:tcPr>
            <w:tcW w:w="467" w:type="dxa"/>
            <w:tcBorders>
              <w:top w:val="single" w:sz="4" w:space="0" w:color="auto"/>
              <w:left w:val="nil"/>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ind w:left="57"/>
              <w:rPr>
                <w:sz w:val="16"/>
                <w:szCs w:val="16"/>
                <w:lang w:eastAsia="en-GB"/>
              </w:rPr>
            </w:pPr>
            <w:r>
              <w:rPr>
                <w:sz w:val="16"/>
                <w:szCs w:val="16"/>
                <w:lang w:eastAsia="en-GB"/>
              </w:rPr>
              <w:t>1</w:t>
            </w:r>
          </w:p>
        </w:tc>
        <w:tc>
          <w:tcPr>
            <w:tcW w:w="364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E960C4" w:rsidRDefault="002A0515" w:rsidP="00A54BE4">
            <w:pPr>
              <w:pStyle w:val="TableText"/>
              <w:snapToGrid w:val="0"/>
              <w:ind w:left="57" w:rightChars="71" w:right="142"/>
              <w:rPr>
                <w:lang w:val="en-US" w:eastAsia="it-IT"/>
              </w:rPr>
            </w:pPr>
            <w:r>
              <w:rPr>
                <w:lang w:eastAsia="it-IT"/>
              </w:rPr>
              <w:t>Capital:</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rPr>
                <w:lang w:eastAsia="it-IT"/>
              </w:rPr>
            </w:pPr>
          </w:p>
        </w:tc>
        <w:tc>
          <w:tcPr>
            <w:tcW w:w="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tcPr>
          <w:p w:rsidR="002A0515" w:rsidRPr="0023654F" w:rsidRDefault="002A0515" w:rsidP="00A54BE4">
            <w:pPr>
              <w:pStyle w:val="TableText"/>
              <w:snapToGrid w:val="0"/>
              <w:ind w:left="57"/>
              <w:rPr>
                <w:sz w:val="16"/>
                <w:szCs w:val="16"/>
                <w:lang w:eastAsia="en-GB"/>
              </w:rPr>
            </w:pPr>
            <w:r>
              <w:rPr>
                <w:sz w:val="16"/>
                <w:szCs w:val="16"/>
                <w:lang w:eastAsia="en-GB"/>
              </w:rPr>
              <w:t>2</w:t>
            </w:r>
          </w:p>
        </w:tc>
        <w:tc>
          <w:tcPr>
            <w:tcW w:w="3643" w:type="dxa"/>
            <w:tcBorders>
              <w:top w:val="single" w:sz="4" w:space="0" w:color="auto"/>
              <w:left w:val="single" w:sz="4" w:space="0" w:color="auto"/>
              <w:bottom w:val="single" w:sz="4" w:space="0" w:color="auto"/>
              <w:right w:val="single" w:sz="4" w:space="0" w:color="auto"/>
            </w:tcBorders>
          </w:tcPr>
          <w:p w:rsidR="002A0515" w:rsidRPr="00C940CE" w:rsidRDefault="002A0515" w:rsidP="00A54BE4">
            <w:pPr>
              <w:pStyle w:val="TableText"/>
              <w:snapToGrid w:val="0"/>
              <w:ind w:leftChars="28" w:left="382" w:rightChars="71" w:right="142" w:hangingChars="192" w:hanging="326"/>
              <w:rPr>
                <w:i/>
                <w:lang w:eastAsia="it-IT"/>
              </w:rPr>
            </w:pPr>
            <w:r>
              <w:rPr>
                <w:i/>
                <w:lang w:eastAsia="it-IT"/>
              </w:rPr>
              <w:tab/>
              <w:t>Regulatory capital</w:t>
            </w:r>
          </w:p>
        </w:tc>
        <w:tc>
          <w:tcPr>
            <w:tcW w:w="992" w:type="dxa"/>
            <w:tcBorders>
              <w:top w:val="single" w:sz="4" w:space="0" w:color="auto"/>
              <w:left w:val="single" w:sz="4" w:space="0" w:color="auto"/>
              <w:bottom w:val="single" w:sz="4" w:space="0" w:color="auto"/>
              <w:right w:val="single" w:sz="4" w:space="0" w:color="auto"/>
            </w:tcBorders>
          </w:tcPr>
          <w:p w:rsidR="002A0515" w:rsidRPr="0023654F" w:rsidRDefault="002A0515" w:rsidP="00A54BE4">
            <w:pPr>
              <w:pStyle w:val="TableText"/>
              <w:snapToGrid w:val="0"/>
              <w:rPr>
                <w:lang w:eastAsia="it-IT"/>
              </w:rPr>
            </w:pPr>
          </w:p>
        </w:tc>
        <w:tc>
          <w:tcPr>
            <w:tcW w:w="985" w:type="dxa"/>
            <w:tcBorders>
              <w:top w:val="single" w:sz="4" w:space="0" w:color="auto"/>
              <w:left w:val="single" w:sz="4" w:space="0" w:color="auto"/>
              <w:bottom w:val="single" w:sz="4" w:space="0" w:color="auto"/>
              <w:right w:val="single" w:sz="4" w:space="0" w:color="auto"/>
            </w:tcBorders>
          </w:tcPr>
          <w:p w:rsidR="002A0515" w:rsidRPr="0023654F" w:rsidRDefault="002A0515" w:rsidP="00A54BE4">
            <w:pPr>
              <w:pStyle w:val="TableText"/>
              <w:snapToGrid w:val="0"/>
              <w:rPr>
                <w:lang w:eastAsia="it-IT"/>
              </w:rPr>
            </w:pPr>
          </w:p>
        </w:tc>
        <w:tc>
          <w:tcPr>
            <w:tcW w:w="992" w:type="dxa"/>
            <w:tcBorders>
              <w:top w:val="single" w:sz="4" w:space="0" w:color="auto"/>
              <w:left w:val="single" w:sz="4" w:space="0" w:color="auto"/>
              <w:bottom w:val="single" w:sz="4" w:space="0" w:color="auto"/>
              <w:right w:val="single" w:sz="4" w:space="0" w:color="auto"/>
            </w:tcBorders>
          </w:tcPr>
          <w:p w:rsidR="002A0515" w:rsidRPr="0023654F" w:rsidRDefault="002A0515" w:rsidP="00A54BE4">
            <w:pPr>
              <w:pStyle w:val="TableText"/>
              <w:snapToGrid w:val="0"/>
              <w:rPr>
                <w:lang w:eastAsia="it-IT"/>
              </w:rPr>
            </w:pPr>
          </w:p>
        </w:tc>
        <w:tc>
          <w:tcPr>
            <w:tcW w:w="993" w:type="dxa"/>
            <w:tcBorders>
              <w:top w:val="single" w:sz="4" w:space="0" w:color="auto"/>
              <w:left w:val="single" w:sz="4" w:space="0" w:color="auto"/>
              <w:bottom w:val="single" w:sz="4" w:space="0" w:color="auto"/>
              <w:right w:val="single" w:sz="4" w:space="0" w:color="auto"/>
            </w:tcBorders>
          </w:tcPr>
          <w:p w:rsidR="002A0515" w:rsidRPr="0023654F" w:rsidRDefault="002A0515" w:rsidP="00A54BE4">
            <w:pPr>
              <w:pStyle w:val="TableText"/>
              <w:snapToGrid w:val="0"/>
              <w:rPr>
                <w:lang w:eastAsia="it-IT"/>
              </w:rPr>
            </w:pPr>
          </w:p>
        </w:tc>
        <w:tc>
          <w:tcPr>
            <w:tcW w:w="1001" w:type="dxa"/>
            <w:tcBorders>
              <w:top w:val="single" w:sz="4" w:space="0" w:color="auto"/>
              <w:left w:val="single" w:sz="4" w:space="0" w:color="auto"/>
              <w:bottom w:val="single" w:sz="4" w:space="0" w:color="auto"/>
              <w:right w:val="single" w:sz="4" w:space="0" w:color="auto"/>
            </w:tcBorders>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tcPr>
          <w:p w:rsidR="002A0515" w:rsidRDefault="002A0515" w:rsidP="00A54BE4">
            <w:pPr>
              <w:pStyle w:val="TableText"/>
              <w:snapToGrid w:val="0"/>
              <w:ind w:left="57"/>
              <w:rPr>
                <w:sz w:val="16"/>
                <w:szCs w:val="16"/>
                <w:lang w:eastAsia="en-GB"/>
              </w:rPr>
            </w:pPr>
            <w:r>
              <w:rPr>
                <w:sz w:val="16"/>
                <w:szCs w:val="16"/>
                <w:lang w:eastAsia="en-GB"/>
              </w:rPr>
              <w:t>2a</w:t>
            </w:r>
          </w:p>
        </w:tc>
        <w:tc>
          <w:tcPr>
            <w:tcW w:w="3643" w:type="dxa"/>
            <w:tcBorders>
              <w:top w:val="single" w:sz="4" w:space="0" w:color="auto"/>
              <w:left w:val="single" w:sz="4" w:space="0" w:color="auto"/>
              <w:bottom w:val="single" w:sz="4" w:space="0" w:color="auto"/>
              <w:right w:val="single" w:sz="4" w:space="0" w:color="auto"/>
            </w:tcBorders>
          </w:tcPr>
          <w:p w:rsidR="002A0515" w:rsidRDefault="002A0515" w:rsidP="00A54BE4">
            <w:pPr>
              <w:pStyle w:val="TableText"/>
              <w:snapToGrid w:val="0"/>
              <w:ind w:leftChars="28" w:left="382" w:rightChars="71" w:right="142" w:hangingChars="192" w:hanging="326"/>
              <w:rPr>
                <w:i/>
                <w:lang w:eastAsia="it-IT"/>
              </w:rPr>
            </w:pPr>
            <w:r>
              <w:rPr>
                <w:i/>
                <w:lang w:eastAsia="it-IT"/>
              </w:rPr>
              <w:tab/>
              <w:t>Minority interests not covered by row 2</w:t>
            </w:r>
          </w:p>
        </w:tc>
        <w:tc>
          <w:tcPr>
            <w:tcW w:w="992" w:type="dxa"/>
            <w:tcBorders>
              <w:top w:val="single" w:sz="4" w:space="0" w:color="auto"/>
              <w:left w:val="single" w:sz="4" w:space="0" w:color="auto"/>
              <w:bottom w:val="single" w:sz="4" w:space="0" w:color="auto"/>
              <w:right w:val="single" w:sz="4" w:space="0" w:color="auto"/>
            </w:tcBorders>
          </w:tcPr>
          <w:p w:rsidR="002A0515" w:rsidRPr="0023654F" w:rsidRDefault="002A0515" w:rsidP="00A54BE4">
            <w:pPr>
              <w:pStyle w:val="TableText"/>
              <w:snapToGrid w:val="0"/>
              <w:rPr>
                <w:lang w:eastAsia="it-IT"/>
              </w:rPr>
            </w:pPr>
          </w:p>
        </w:tc>
        <w:tc>
          <w:tcPr>
            <w:tcW w:w="985" w:type="dxa"/>
            <w:tcBorders>
              <w:top w:val="single" w:sz="4" w:space="0" w:color="auto"/>
              <w:left w:val="single" w:sz="4" w:space="0" w:color="auto"/>
              <w:bottom w:val="single" w:sz="4" w:space="0" w:color="auto"/>
              <w:right w:val="single" w:sz="4" w:space="0" w:color="auto"/>
            </w:tcBorders>
          </w:tcPr>
          <w:p w:rsidR="002A0515" w:rsidRPr="0023654F" w:rsidRDefault="002A0515" w:rsidP="00A54BE4">
            <w:pPr>
              <w:pStyle w:val="TableText"/>
              <w:snapToGrid w:val="0"/>
              <w:rPr>
                <w:lang w:eastAsia="it-IT"/>
              </w:rPr>
            </w:pPr>
          </w:p>
        </w:tc>
        <w:tc>
          <w:tcPr>
            <w:tcW w:w="992" w:type="dxa"/>
            <w:tcBorders>
              <w:top w:val="single" w:sz="4" w:space="0" w:color="auto"/>
              <w:left w:val="single" w:sz="4" w:space="0" w:color="auto"/>
              <w:bottom w:val="single" w:sz="4" w:space="0" w:color="auto"/>
              <w:right w:val="single" w:sz="4" w:space="0" w:color="auto"/>
            </w:tcBorders>
          </w:tcPr>
          <w:p w:rsidR="002A0515" w:rsidRPr="0023654F" w:rsidRDefault="002A0515" w:rsidP="00A54BE4">
            <w:pPr>
              <w:pStyle w:val="TableText"/>
              <w:snapToGrid w:val="0"/>
              <w:rPr>
                <w:lang w:eastAsia="it-IT"/>
              </w:rPr>
            </w:pPr>
          </w:p>
        </w:tc>
        <w:tc>
          <w:tcPr>
            <w:tcW w:w="993" w:type="dxa"/>
            <w:tcBorders>
              <w:top w:val="single" w:sz="4" w:space="0" w:color="auto"/>
              <w:left w:val="single" w:sz="4" w:space="0" w:color="auto"/>
              <w:bottom w:val="single" w:sz="4" w:space="0" w:color="auto"/>
              <w:right w:val="single" w:sz="4" w:space="0" w:color="auto"/>
            </w:tcBorders>
          </w:tcPr>
          <w:p w:rsidR="002A0515" w:rsidRPr="0023654F" w:rsidRDefault="002A0515" w:rsidP="00A54BE4">
            <w:pPr>
              <w:pStyle w:val="TableText"/>
              <w:snapToGrid w:val="0"/>
              <w:rPr>
                <w:lang w:eastAsia="it-IT"/>
              </w:rPr>
            </w:pPr>
          </w:p>
        </w:tc>
        <w:tc>
          <w:tcPr>
            <w:tcW w:w="1001" w:type="dxa"/>
            <w:tcBorders>
              <w:top w:val="single" w:sz="4" w:space="0" w:color="auto"/>
              <w:left w:val="single" w:sz="4" w:space="0" w:color="auto"/>
              <w:bottom w:val="single" w:sz="4" w:space="0" w:color="auto"/>
              <w:right w:val="single" w:sz="4" w:space="0" w:color="auto"/>
            </w:tcBorders>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tcPr>
          <w:p w:rsidR="002A0515" w:rsidRPr="0023654F" w:rsidRDefault="002A0515" w:rsidP="00A54BE4">
            <w:pPr>
              <w:pStyle w:val="TableText"/>
              <w:snapToGrid w:val="0"/>
              <w:ind w:left="57"/>
              <w:rPr>
                <w:sz w:val="16"/>
                <w:szCs w:val="16"/>
                <w:lang w:eastAsia="en-GB"/>
              </w:rPr>
            </w:pPr>
            <w:r>
              <w:rPr>
                <w:sz w:val="16"/>
                <w:szCs w:val="16"/>
                <w:lang w:eastAsia="en-GB"/>
              </w:rPr>
              <w:t>3</w:t>
            </w:r>
          </w:p>
        </w:tc>
        <w:tc>
          <w:tcPr>
            <w:tcW w:w="3643" w:type="dxa"/>
            <w:tcBorders>
              <w:top w:val="single" w:sz="4" w:space="0" w:color="auto"/>
              <w:left w:val="single" w:sz="4" w:space="0" w:color="auto"/>
              <w:bottom w:val="single" w:sz="4" w:space="0" w:color="auto"/>
              <w:right w:val="single" w:sz="4" w:space="0" w:color="auto"/>
            </w:tcBorders>
          </w:tcPr>
          <w:p w:rsidR="002A0515" w:rsidRPr="00475528" w:rsidRDefault="002A0515" w:rsidP="00A54BE4">
            <w:pPr>
              <w:pStyle w:val="TableText"/>
              <w:tabs>
                <w:tab w:val="left" w:pos="384"/>
              </w:tabs>
              <w:snapToGrid w:val="0"/>
              <w:ind w:left="57" w:rightChars="71" w:right="142"/>
              <w:rPr>
                <w:i/>
                <w:lang w:eastAsia="it-IT"/>
              </w:rPr>
            </w:pPr>
            <w:r>
              <w:rPr>
                <w:i/>
                <w:lang w:eastAsia="it-IT"/>
              </w:rPr>
              <w:tab/>
              <w:t>Other capital instruments</w:t>
            </w:r>
          </w:p>
        </w:tc>
        <w:tc>
          <w:tcPr>
            <w:tcW w:w="992" w:type="dxa"/>
            <w:tcBorders>
              <w:top w:val="single" w:sz="4" w:space="0" w:color="auto"/>
              <w:left w:val="single" w:sz="4" w:space="0" w:color="auto"/>
              <w:bottom w:val="single" w:sz="4" w:space="0" w:color="auto"/>
              <w:right w:val="single" w:sz="4" w:space="0" w:color="auto"/>
            </w:tcBorders>
          </w:tcPr>
          <w:p w:rsidR="002A0515" w:rsidRPr="0023654F" w:rsidRDefault="002A0515" w:rsidP="00A54BE4">
            <w:pPr>
              <w:pStyle w:val="TableText"/>
              <w:snapToGrid w:val="0"/>
              <w:rPr>
                <w:lang w:eastAsia="it-IT"/>
              </w:rPr>
            </w:pPr>
          </w:p>
        </w:tc>
        <w:tc>
          <w:tcPr>
            <w:tcW w:w="985" w:type="dxa"/>
            <w:tcBorders>
              <w:top w:val="single" w:sz="4" w:space="0" w:color="auto"/>
              <w:left w:val="single" w:sz="4" w:space="0" w:color="auto"/>
              <w:bottom w:val="single" w:sz="4" w:space="0" w:color="auto"/>
              <w:right w:val="single" w:sz="4" w:space="0" w:color="auto"/>
            </w:tcBorders>
          </w:tcPr>
          <w:p w:rsidR="002A0515" w:rsidRPr="0023654F" w:rsidRDefault="002A0515" w:rsidP="00A54BE4">
            <w:pPr>
              <w:pStyle w:val="TableText"/>
              <w:snapToGrid w:val="0"/>
              <w:rPr>
                <w:lang w:eastAsia="it-IT"/>
              </w:rPr>
            </w:pPr>
          </w:p>
        </w:tc>
        <w:tc>
          <w:tcPr>
            <w:tcW w:w="992" w:type="dxa"/>
            <w:tcBorders>
              <w:top w:val="single" w:sz="4" w:space="0" w:color="auto"/>
              <w:left w:val="single" w:sz="4" w:space="0" w:color="auto"/>
              <w:bottom w:val="single" w:sz="4" w:space="0" w:color="auto"/>
              <w:right w:val="single" w:sz="4" w:space="0" w:color="auto"/>
            </w:tcBorders>
          </w:tcPr>
          <w:p w:rsidR="002A0515" w:rsidRPr="0023654F" w:rsidRDefault="002A0515" w:rsidP="00A54BE4">
            <w:pPr>
              <w:pStyle w:val="TableText"/>
              <w:snapToGrid w:val="0"/>
              <w:rPr>
                <w:lang w:eastAsia="it-IT"/>
              </w:rPr>
            </w:pPr>
          </w:p>
        </w:tc>
        <w:tc>
          <w:tcPr>
            <w:tcW w:w="993" w:type="dxa"/>
            <w:tcBorders>
              <w:top w:val="single" w:sz="4" w:space="0" w:color="auto"/>
              <w:left w:val="single" w:sz="4" w:space="0" w:color="auto"/>
              <w:bottom w:val="single" w:sz="4" w:space="0" w:color="auto"/>
              <w:right w:val="single" w:sz="4" w:space="0" w:color="auto"/>
            </w:tcBorders>
          </w:tcPr>
          <w:p w:rsidR="002A0515" w:rsidRPr="0023654F" w:rsidRDefault="002A0515" w:rsidP="00A54BE4">
            <w:pPr>
              <w:pStyle w:val="TableText"/>
              <w:snapToGrid w:val="0"/>
              <w:rPr>
                <w:lang w:eastAsia="it-IT"/>
              </w:rPr>
            </w:pPr>
          </w:p>
        </w:tc>
        <w:tc>
          <w:tcPr>
            <w:tcW w:w="1001" w:type="dxa"/>
            <w:tcBorders>
              <w:top w:val="single" w:sz="4" w:space="0" w:color="auto"/>
              <w:left w:val="single" w:sz="4" w:space="0" w:color="auto"/>
              <w:bottom w:val="single" w:sz="4" w:space="0" w:color="auto"/>
              <w:right w:val="single" w:sz="4" w:space="0" w:color="auto"/>
            </w:tcBorders>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ind w:left="57"/>
              <w:rPr>
                <w:sz w:val="16"/>
                <w:szCs w:val="16"/>
                <w:lang w:eastAsia="en-GB"/>
              </w:rPr>
            </w:pPr>
            <w:r>
              <w:rPr>
                <w:sz w:val="16"/>
                <w:szCs w:val="16"/>
                <w:lang w:eastAsia="en-GB"/>
              </w:rPr>
              <w:t>4</w:t>
            </w:r>
          </w:p>
        </w:tc>
        <w:tc>
          <w:tcPr>
            <w:tcW w:w="364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62513D" w:rsidRDefault="002A0515" w:rsidP="00A54BE4">
            <w:pPr>
              <w:pStyle w:val="TableText"/>
              <w:snapToGrid w:val="0"/>
              <w:ind w:left="57" w:rightChars="71" w:right="142"/>
              <w:rPr>
                <w:lang w:val="en-US" w:eastAsia="it-IT"/>
              </w:rPr>
            </w:pPr>
            <w:r>
              <w:rPr>
                <w:lang w:eastAsia="it-IT"/>
              </w:rPr>
              <w:t xml:space="preserve">Retail deposits and </w:t>
            </w:r>
            <w:r w:rsidRPr="00475528">
              <w:rPr>
                <w:lang w:eastAsia="it-IT"/>
              </w:rPr>
              <w:t xml:space="preserve">small business </w:t>
            </w:r>
            <w:r>
              <w:rPr>
                <w:lang w:eastAsia="it-IT"/>
              </w:rPr>
              <w:t>funding</w:t>
            </w:r>
            <w:r w:rsidRPr="00475528">
              <w:rPr>
                <w:lang w:eastAsia="it-IT"/>
              </w:rPr>
              <w:t>:</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rPr>
                <w:lang w:eastAsia="it-IT"/>
              </w:rPr>
            </w:pPr>
          </w:p>
        </w:tc>
        <w:tc>
          <w:tcPr>
            <w:tcW w:w="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tcPr>
          <w:p w:rsidR="002A0515" w:rsidRPr="0023654F" w:rsidRDefault="002A0515" w:rsidP="00A54BE4">
            <w:pPr>
              <w:pStyle w:val="TableText"/>
              <w:snapToGrid w:val="0"/>
              <w:ind w:left="57"/>
              <w:rPr>
                <w:sz w:val="16"/>
                <w:szCs w:val="16"/>
                <w:lang w:eastAsia="en-GB"/>
              </w:rPr>
            </w:pPr>
            <w:r>
              <w:rPr>
                <w:sz w:val="16"/>
                <w:szCs w:val="16"/>
                <w:lang w:eastAsia="en-GB"/>
              </w:rPr>
              <w:t>5</w:t>
            </w:r>
          </w:p>
        </w:tc>
        <w:tc>
          <w:tcPr>
            <w:tcW w:w="3643" w:type="dxa"/>
            <w:tcBorders>
              <w:top w:val="single" w:sz="4" w:space="0" w:color="auto"/>
              <w:left w:val="single" w:sz="4" w:space="0" w:color="auto"/>
              <w:bottom w:val="single" w:sz="4" w:space="0" w:color="auto"/>
              <w:right w:val="single" w:sz="4" w:space="0" w:color="auto"/>
            </w:tcBorders>
          </w:tcPr>
          <w:p w:rsidR="002A0515" w:rsidRPr="00475528" w:rsidRDefault="002A0515" w:rsidP="00A54BE4">
            <w:pPr>
              <w:pStyle w:val="TableText"/>
              <w:tabs>
                <w:tab w:val="left" w:pos="384"/>
              </w:tabs>
              <w:snapToGrid w:val="0"/>
              <w:ind w:left="57" w:rightChars="71" w:right="142"/>
              <w:rPr>
                <w:i/>
                <w:lang w:eastAsia="it-IT"/>
              </w:rPr>
            </w:pPr>
            <w:r>
              <w:rPr>
                <w:i/>
                <w:lang w:eastAsia="it-IT"/>
              </w:rPr>
              <w:tab/>
              <w:t>Stable</w:t>
            </w:r>
            <w:r w:rsidRPr="00475528">
              <w:rPr>
                <w:i/>
                <w:lang w:eastAsia="it-IT"/>
              </w:rPr>
              <w:t xml:space="preserve"> deposits</w:t>
            </w:r>
          </w:p>
        </w:tc>
        <w:tc>
          <w:tcPr>
            <w:tcW w:w="99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A0515" w:rsidRPr="0023654F" w:rsidRDefault="002A0515" w:rsidP="00A54BE4">
            <w:pPr>
              <w:pStyle w:val="TableText"/>
              <w:snapToGrid w:val="0"/>
              <w:rPr>
                <w:lang w:eastAsia="it-IT"/>
              </w:rPr>
            </w:pPr>
          </w:p>
        </w:tc>
        <w:tc>
          <w:tcPr>
            <w:tcW w:w="985" w:type="dxa"/>
            <w:tcBorders>
              <w:top w:val="single" w:sz="4" w:space="0" w:color="auto"/>
              <w:left w:val="single" w:sz="4" w:space="0" w:color="auto"/>
              <w:bottom w:val="single" w:sz="4" w:space="0" w:color="auto"/>
              <w:right w:val="single" w:sz="4" w:space="0" w:color="auto"/>
            </w:tcBorders>
          </w:tcPr>
          <w:p w:rsidR="002A0515" w:rsidRPr="0023654F" w:rsidRDefault="002A0515" w:rsidP="00A54BE4">
            <w:pPr>
              <w:pStyle w:val="TableText"/>
              <w:snapToGrid w:val="0"/>
              <w:rPr>
                <w:lang w:eastAsia="it-IT"/>
              </w:rPr>
            </w:pPr>
          </w:p>
        </w:tc>
        <w:tc>
          <w:tcPr>
            <w:tcW w:w="992" w:type="dxa"/>
            <w:tcBorders>
              <w:top w:val="single" w:sz="4" w:space="0" w:color="auto"/>
              <w:left w:val="single" w:sz="4" w:space="0" w:color="auto"/>
              <w:bottom w:val="single" w:sz="4" w:space="0" w:color="auto"/>
              <w:right w:val="single" w:sz="4" w:space="0" w:color="auto"/>
            </w:tcBorders>
          </w:tcPr>
          <w:p w:rsidR="002A0515" w:rsidRPr="0023654F" w:rsidRDefault="002A0515" w:rsidP="00A54BE4">
            <w:pPr>
              <w:pStyle w:val="TableText"/>
              <w:snapToGrid w:val="0"/>
              <w:rPr>
                <w:lang w:eastAsia="it-IT"/>
              </w:rPr>
            </w:pPr>
          </w:p>
        </w:tc>
        <w:tc>
          <w:tcPr>
            <w:tcW w:w="993" w:type="dxa"/>
            <w:tcBorders>
              <w:top w:val="single" w:sz="4" w:space="0" w:color="auto"/>
              <w:left w:val="single" w:sz="4" w:space="0" w:color="auto"/>
              <w:bottom w:val="single" w:sz="4" w:space="0" w:color="auto"/>
              <w:right w:val="single" w:sz="4" w:space="0" w:color="auto"/>
            </w:tcBorders>
          </w:tcPr>
          <w:p w:rsidR="002A0515" w:rsidRPr="0023654F" w:rsidRDefault="002A0515" w:rsidP="00A54BE4">
            <w:pPr>
              <w:pStyle w:val="TableText"/>
              <w:snapToGrid w:val="0"/>
              <w:rPr>
                <w:lang w:eastAsia="it-IT"/>
              </w:rPr>
            </w:pPr>
          </w:p>
        </w:tc>
        <w:tc>
          <w:tcPr>
            <w:tcW w:w="1001" w:type="dxa"/>
            <w:tcBorders>
              <w:top w:val="single" w:sz="4" w:space="0" w:color="auto"/>
              <w:left w:val="single" w:sz="4" w:space="0" w:color="auto"/>
              <w:bottom w:val="single" w:sz="4" w:space="0" w:color="auto"/>
              <w:right w:val="single" w:sz="4" w:space="0" w:color="auto"/>
            </w:tcBorders>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tcPr>
          <w:p w:rsidR="002A0515" w:rsidRPr="0023654F" w:rsidRDefault="002A0515" w:rsidP="00A54BE4">
            <w:pPr>
              <w:pStyle w:val="TableText"/>
              <w:snapToGrid w:val="0"/>
              <w:ind w:left="57"/>
              <w:rPr>
                <w:sz w:val="16"/>
                <w:szCs w:val="16"/>
                <w:lang w:eastAsia="en-GB"/>
              </w:rPr>
            </w:pPr>
            <w:r>
              <w:rPr>
                <w:sz w:val="16"/>
                <w:szCs w:val="16"/>
                <w:lang w:eastAsia="en-GB"/>
              </w:rPr>
              <w:t>6</w:t>
            </w:r>
          </w:p>
        </w:tc>
        <w:tc>
          <w:tcPr>
            <w:tcW w:w="3643" w:type="dxa"/>
            <w:tcBorders>
              <w:top w:val="single" w:sz="4" w:space="0" w:color="auto"/>
              <w:left w:val="single" w:sz="4" w:space="0" w:color="auto"/>
              <w:bottom w:val="single" w:sz="4" w:space="0" w:color="auto"/>
              <w:right w:val="single" w:sz="4" w:space="0" w:color="auto"/>
            </w:tcBorders>
          </w:tcPr>
          <w:p w:rsidR="002A0515" w:rsidRPr="00475528" w:rsidRDefault="002A0515" w:rsidP="00A54BE4">
            <w:pPr>
              <w:pStyle w:val="TableText"/>
              <w:tabs>
                <w:tab w:val="left" w:pos="384"/>
              </w:tabs>
              <w:snapToGrid w:val="0"/>
              <w:ind w:left="57" w:rightChars="71" w:right="142"/>
              <w:rPr>
                <w:i/>
                <w:lang w:eastAsia="it-IT"/>
              </w:rPr>
            </w:pPr>
            <w:r>
              <w:rPr>
                <w:i/>
                <w:lang w:eastAsia="it-IT"/>
              </w:rPr>
              <w:tab/>
              <w:t>Less stable</w:t>
            </w:r>
            <w:r w:rsidRPr="00475528">
              <w:rPr>
                <w:i/>
                <w:lang w:eastAsia="it-IT"/>
              </w:rPr>
              <w:t xml:space="preserve"> deposits</w:t>
            </w:r>
          </w:p>
        </w:tc>
        <w:tc>
          <w:tcPr>
            <w:tcW w:w="99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A0515" w:rsidRPr="0023654F" w:rsidRDefault="002A0515" w:rsidP="00A54BE4">
            <w:pPr>
              <w:pStyle w:val="TableText"/>
              <w:snapToGrid w:val="0"/>
              <w:rPr>
                <w:lang w:eastAsia="it-IT"/>
              </w:rPr>
            </w:pPr>
          </w:p>
        </w:tc>
        <w:tc>
          <w:tcPr>
            <w:tcW w:w="985" w:type="dxa"/>
            <w:tcBorders>
              <w:top w:val="single" w:sz="4" w:space="0" w:color="auto"/>
              <w:left w:val="single" w:sz="4" w:space="0" w:color="auto"/>
              <w:bottom w:val="single" w:sz="4" w:space="0" w:color="auto"/>
              <w:right w:val="single" w:sz="4" w:space="0" w:color="auto"/>
            </w:tcBorders>
          </w:tcPr>
          <w:p w:rsidR="002A0515" w:rsidRPr="0023654F" w:rsidRDefault="002A0515" w:rsidP="00A54BE4">
            <w:pPr>
              <w:pStyle w:val="TableText"/>
              <w:snapToGrid w:val="0"/>
              <w:rPr>
                <w:lang w:eastAsia="it-IT"/>
              </w:rPr>
            </w:pPr>
          </w:p>
        </w:tc>
        <w:tc>
          <w:tcPr>
            <w:tcW w:w="992" w:type="dxa"/>
            <w:tcBorders>
              <w:top w:val="single" w:sz="4" w:space="0" w:color="auto"/>
              <w:left w:val="single" w:sz="4" w:space="0" w:color="auto"/>
              <w:bottom w:val="single" w:sz="4" w:space="0" w:color="auto"/>
              <w:right w:val="single" w:sz="4" w:space="0" w:color="auto"/>
            </w:tcBorders>
          </w:tcPr>
          <w:p w:rsidR="002A0515" w:rsidRPr="0023654F" w:rsidRDefault="002A0515" w:rsidP="00A54BE4">
            <w:pPr>
              <w:pStyle w:val="TableText"/>
              <w:snapToGrid w:val="0"/>
              <w:rPr>
                <w:lang w:eastAsia="it-IT"/>
              </w:rPr>
            </w:pPr>
          </w:p>
        </w:tc>
        <w:tc>
          <w:tcPr>
            <w:tcW w:w="993" w:type="dxa"/>
            <w:tcBorders>
              <w:top w:val="single" w:sz="4" w:space="0" w:color="auto"/>
              <w:left w:val="single" w:sz="4" w:space="0" w:color="auto"/>
              <w:bottom w:val="single" w:sz="4" w:space="0" w:color="auto"/>
              <w:right w:val="single" w:sz="4" w:space="0" w:color="auto"/>
            </w:tcBorders>
          </w:tcPr>
          <w:p w:rsidR="002A0515" w:rsidRPr="0023654F" w:rsidRDefault="002A0515" w:rsidP="00A54BE4">
            <w:pPr>
              <w:pStyle w:val="TableText"/>
              <w:snapToGrid w:val="0"/>
              <w:rPr>
                <w:lang w:eastAsia="it-IT"/>
              </w:rPr>
            </w:pPr>
          </w:p>
        </w:tc>
        <w:tc>
          <w:tcPr>
            <w:tcW w:w="1001" w:type="dxa"/>
            <w:tcBorders>
              <w:top w:val="single" w:sz="4" w:space="0" w:color="auto"/>
              <w:left w:val="single" w:sz="4" w:space="0" w:color="auto"/>
              <w:bottom w:val="single" w:sz="4" w:space="0" w:color="auto"/>
              <w:right w:val="single" w:sz="4" w:space="0" w:color="auto"/>
            </w:tcBorders>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ind w:left="57"/>
              <w:rPr>
                <w:sz w:val="16"/>
                <w:szCs w:val="16"/>
                <w:lang w:eastAsia="en-GB"/>
              </w:rPr>
            </w:pPr>
            <w:r>
              <w:rPr>
                <w:sz w:val="16"/>
                <w:szCs w:val="16"/>
                <w:lang w:eastAsia="en-GB"/>
              </w:rPr>
              <w:t>7</w:t>
            </w:r>
          </w:p>
        </w:tc>
        <w:tc>
          <w:tcPr>
            <w:tcW w:w="364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475528" w:rsidRDefault="002A0515" w:rsidP="00A54BE4">
            <w:pPr>
              <w:pStyle w:val="TableText"/>
              <w:snapToGrid w:val="0"/>
              <w:ind w:left="57" w:rightChars="71" w:right="142"/>
              <w:rPr>
                <w:lang w:eastAsia="it-IT"/>
              </w:rPr>
            </w:pPr>
            <w:r>
              <w:rPr>
                <w:lang w:eastAsia="it-IT"/>
              </w:rPr>
              <w:t>Wholesale funding:</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rPr>
                <w:lang w:eastAsia="it-IT"/>
              </w:rPr>
            </w:pPr>
          </w:p>
        </w:tc>
        <w:tc>
          <w:tcPr>
            <w:tcW w:w="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shd w:val="clear" w:color="auto" w:fill="FFFFFF" w:themeFill="background1"/>
          </w:tcPr>
          <w:p w:rsidR="002A0515" w:rsidRPr="0023654F" w:rsidRDefault="002A0515" w:rsidP="00A54BE4">
            <w:pPr>
              <w:pStyle w:val="TableText"/>
              <w:snapToGrid w:val="0"/>
              <w:ind w:left="57"/>
              <w:rPr>
                <w:sz w:val="16"/>
                <w:szCs w:val="16"/>
                <w:lang w:eastAsia="en-GB"/>
              </w:rPr>
            </w:pPr>
            <w:r>
              <w:rPr>
                <w:sz w:val="16"/>
                <w:szCs w:val="16"/>
                <w:lang w:eastAsia="en-GB"/>
              </w:rPr>
              <w:t>8</w:t>
            </w:r>
          </w:p>
        </w:tc>
        <w:tc>
          <w:tcPr>
            <w:tcW w:w="364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50593" w:rsidRDefault="002A0515" w:rsidP="00A54BE4">
            <w:pPr>
              <w:pStyle w:val="TableText"/>
              <w:tabs>
                <w:tab w:val="left" w:pos="384"/>
              </w:tabs>
              <w:snapToGrid w:val="0"/>
              <w:ind w:left="57" w:rightChars="71" w:right="142"/>
              <w:rPr>
                <w:i/>
                <w:lang w:eastAsia="it-IT"/>
              </w:rPr>
            </w:pPr>
            <w:r>
              <w:rPr>
                <w:i/>
                <w:lang w:eastAsia="it-IT"/>
              </w:rPr>
              <w:tab/>
            </w:r>
            <w:r w:rsidRPr="00350593">
              <w:rPr>
                <w:i/>
                <w:lang w:eastAsia="it-IT"/>
              </w:rPr>
              <w:t>Operational deposits</w:t>
            </w:r>
          </w:p>
        </w:tc>
        <w:tc>
          <w:tcPr>
            <w:tcW w:w="99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A0515" w:rsidRPr="0023654F" w:rsidRDefault="002A0515" w:rsidP="00A54BE4">
            <w:pPr>
              <w:pStyle w:val="TableText"/>
              <w:snapToGrid w:val="0"/>
              <w:rPr>
                <w:lang w:eastAsia="it-IT"/>
              </w:rPr>
            </w:pPr>
          </w:p>
        </w:t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23654F" w:rsidRDefault="002A0515" w:rsidP="00A54BE4">
            <w:pPr>
              <w:pStyle w:val="TableText"/>
              <w:snapToGrid w:val="0"/>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23654F" w:rsidRDefault="002A0515" w:rsidP="00A54BE4">
            <w:pPr>
              <w:pStyle w:val="TableText"/>
              <w:snapToGrid w:val="0"/>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23654F" w:rsidRDefault="002A0515" w:rsidP="00A54BE4">
            <w:pPr>
              <w:pStyle w:val="TableText"/>
              <w:snapToGrid w:val="0"/>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shd w:val="clear" w:color="auto" w:fill="FFFFFF" w:themeFill="background1"/>
          </w:tcPr>
          <w:p w:rsidR="002A0515" w:rsidRPr="0023654F" w:rsidRDefault="002A0515" w:rsidP="00A54BE4">
            <w:pPr>
              <w:pStyle w:val="TableText"/>
              <w:snapToGrid w:val="0"/>
              <w:ind w:left="57"/>
              <w:rPr>
                <w:sz w:val="16"/>
                <w:szCs w:val="16"/>
                <w:lang w:eastAsia="en-GB"/>
              </w:rPr>
            </w:pPr>
            <w:r>
              <w:rPr>
                <w:sz w:val="16"/>
                <w:szCs w:val="16"/>
                <w:lang w:eastAsia="en-GB"/>
              </w:rPr>
              <w:t>9</w:t>
            </w:r>
          </w:p>
        </w:tc>
        <w:tc>
          <w:tcPr>
            <w:tcW w:w="364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50593" w:rsidRDefault="002A0515" w:rsidP="00A54BE4">
            <w:pPr>
              <w:pStyle w:val="TableText"/>
              <w:tabs>
                <w:tab w:val="left" w:pos="384"/>
              </w:tabs>
              <w:snapToGrid w:val="0"/>
              <w:ind w:left="57" w:rightChars="71" w:right="142"/>
              <w:rPr>
                <w:i/>
                <w:lang w:eastAsia="it-IT"/>
              </w:rPr>
            </w:pPr>
            <w:r>
              <w:rPr>
                <w:i/>
                <w:lang w:eastAsia="it-IT"/>
              </w:rPr>
              <w:tab/>
            </w:r>
            <w:r w:rsidRPr="00350593">
              <w:rPr>
                <w:i/>
                <w:lang w:eastAsia="it-IT"/>
              </w:rPr>
              <w:t>Other wholesale funding</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23654F" w:rsidRDefault="002A0515" w:rsidP="00A54BE4">
            <w:pPr>
              <w:pStyle w:val="TableText"/>
              <w:snapToGrid w:val="0"/>
              <w:rPr>
                <w:lang w:eastAsia="it-IT"/>
              </w:rPr>
            </w:pPr>
          </w:p>
        </w:t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23654F" w:rsidRDefault="002A0515" w:rsidP="00A54BE4">
            <w:pPr>
              <w:pStyle w:val="TableText"/>
              <w:snapToGrid w:val="0"/>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23654F" w:rsidRDefault="002A0515" w:rsidP="00A54BE4">
            <w:pPr>
              <w:pStyle w:val="TableText"/>
              <w:snapToGrid w:val="0"/>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23654F" w:rsidRDefault="002A0515" w:rsidP="00A54BE4">
            <w:pPr>
              <w:pStyle w:val="TableText"/>
              <w:snapToGrid w:val="0"/>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ind w:left="57"/>
              <w:rPr>
                <w:sz w:val="16"/>
                <w:szCs w:val="16"/>
                <w:lang w:eastAsia="en-GB"/>
              </w:rPr>
            </w:pPr>
            <w:r>
              <w:rPr>
                <w:sz w:val="16"/>
                <w:szCs w:val="16"/>
                <w:lang w:eastAsia="en-GB"/>
              </w:rPr>
              <w:t>10</w:t>
            </w:r>
          </w:p>
        </w:tc>
        <w:tc>
          <w:tcPr>
            <w:tcW w:w="364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4D2FAD" w:rsidRDefault="002A0515" w:rsidP="00A54BE4">
            <w:pPr>
              <w:pStyle w:val="TableText"/>
              <w:snapToGrid w:val="0"/>
              <w:ind w:left="57" w:rightChars="71" w:right="142"/>
              <w:rPr>
                <w:lang w:eastAsia="it-IT"/>
              </w:rPr>
            </w:pPr>
            <w:r w:rsidRPr="00350593">
              <w:rPr>
                <w:lang w:eastAsia="it-IT"/>
              </w:rPr>
              <w:t>Liabilities with</w:t>
            </w:r>
            <w:r>
              <w:rPr>
                <w:lang w:eastAsia="it-IT"/>
              </w:rPr>
              <w:t xml:space="preserve"> matching interdependent assets</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rPr>
                <w:lang w:eastAsia="it-IT"/>
              </w:rPr>
            </w:pPr>
          </w:p>
        </w:tc>
        <w:tc>
          <w:tcPr>
            <w:tcW w:w="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shd w:val="clear" w:color="auto" w:fill="F2F2F2" w:themeFill="background1" w:themeFillShade="F2"/>
          </w:tcPr>
          <w:p w:rsidR="002A0515" w:rsidRDefault="002A0515" w:rsidP="00A54BE4">
            <w:pPr>
              <w:pStyle w:val="TableText"/>
              <w:snapToGrid w:val="0"/>
              <w:ind w:left="57"/>
              <w:rPr>
                <w:sz w:val="16"/>
                <w:szCs w:val="16"/>
                <w:lang w:eastAsia="en-GB"/>
              </w:rPr>
            </w:pPr>
            <w:r>
              <w:rPr>
                <w:sz w:val="16"/>
                <w:szCs w:val="16"/>
                <w:lang w:eastAsia="en-GB"/>
              </w:rPr>
              <w:t>11</w:t>
            </w:r>
          </w:p>
        </w:tc>
        <w:tc>
          <w:tcPr>
            <w:tcW w:w="364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350593" w:rsidRDefault="002A0515" w:rsidP="00A54BE4">
            <w:pPr>
              <w:pStyle w:val="TableText"/>
              <w:snapToGrid w:val="0"/>
              <w:ind w:left="57" w:rightChars="71" w:right="142"/>
              <w:rPr>
                <w:lang w:eastAsia="it-IT"/>
              </w:rPr>
            </w:pPr>
            <w:r>
              <w:rPr>
                <w:lang w:eastAsia="it-IT"/>
              </w:rPr>
              <w:t>Other liabilities:</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rPr>
                <w:lang w:eastAsia="it-IT"/>
              </w:rPr>
            </w:pPr>
          </w:p>
        </w:tc>
        <w:tc>
          <w:tcPr>
            <w:tcW w:w="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tcPr>
          <w:p w:rsidR="002A0515" w:rsidRPr="0023654F" w:rsidRDefault="002A0515" w:rsidP="00A54BE4">
            <w:pPr>
              <w:pStyle w:val="TableText"/>
              <w:snapToGrid w:val="0"/>
              <w:ind w:left="57"/>
              <w:rPr>
                <w:sz w:val="16"/>
                <w:szCs w:val="16"/>
                <w:lang w:eastAsia="en-GB"/>
              </w:rPr>
            </w:pPr>
            <w:r>
              <w:rPr>
                <w:sz w:val="16"/>
                <w:szCs w:val="16"/>
                <w:lang w:eastAsia="en-GB"/>
              </w:rPr>
              <w:t>12</w:t>
            </w:r>
          </w:p>
        </w:tc>
        <w:tc>
          <w:tcPr>
            <w:tcW w:w="3643" w:type="dxa"/>
            <w:tcBorders>
              <w:top w:val="single" w:sz="4" w:space="0" w:color="auto"/>
              <w:left w:val="single" w:sz="4" w:space="0" w:color="auto"/>
              <w:bottom w:val="single" w:sz="4" w:space="0" w:color="auto"/>
              <w:right w:val="single" w:sz="4" w:space="0" w:color="auto"/>
            </w:tcBorders>
          </w:tcPr>
          <w:p w:rsidR="002A0515" w:rsidRPr="00475528" w:rsidRDefault="002A0515" w:rsidP="00A54BE4">
            <w:pPr>
              <w:pStyle w:val="TableText"/>
              <w:tabs>
                <w:tab w:val="left" w:pos="384"/>
              </w:tabs>
              <w:snapToGrid w:val="0"/>
              <w:ind w:left="57" w:rightChars="71" w:right="142"/>
              <w:rPr>
                <w:i/>
                <w:lang w:eastAsia="it-IT"/>
              </w:rPr>
            </w:pPr>
            <w:r>
              <w:rPr>
                <w:i/>
                <w:lang w:eastAsia="it-IT"/>
              </w:rPr>
              <w:tab/>
              <w:t xml:space="preserve">Net </w:t>
            </w:r>
            <w:r w:rsidRPr="00C940CE">
              <w:rPr>
                <w:i/>
                <w:lang w:eastAsia="it-IT"/>
              </w:rPr>
              <w:t>derivative liabilities</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A0515" w:rsidRPr="0023654F" w:rsidRDefault="002A0515" w:rsidP="00A54BE4">
            <w:pPr>
              <w:pStyle w:val="TableText"/>
              <w:snapToGrid w:val="0"/>
              <w:rPr>
                <w:lang w:eastAsia="it-IT"/>
              </w:rPr>
            </w:pPr>
          </w:p>
        </w:tc>
        <w:tc>
          <w:tcPr>
            <w:tcW w:w="98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A0515" w:rsidRPr="0023654F" w:rsidRDefault="002A0515" w:rsidP="00A54BE4">
            <w:pPr>
              <w:pStyle w:val="TableText"/>
              <w:snapToGrid w:val="0"/>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A0515" w:rsidRPr="0023654F" w:rsidRDefault="002A0515" w:rsidP="00A54BE4">
            <w:pPr>
              <w:pStyle w:val="TableText"/>
              <w:snapToGrid w:val="0"/>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A0515" w:rsidRPr="0023654F" w:rsidRDefault="002A0515" w:rsidP="00A54BE4">
            <w:pPr>
              <w:pStyle w:val="TableText"/>
              <w:snapToGrid w:val="0"/>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tcPr>
          <w:p w:rsidR="002A0515" w:rsidRPr="0023654F" w:rsidRDefault="002A0515" w:rsidP="00A54BE4">
            <w:pPr>
              <w:pStyle w:val="TableText"/>
              <w:snapToGrid w:val="0"/>
              <w:ind w:left="57"/>
              <w:rPr>
                <w:sz w:val="16"/>
                <w:szCs w:val="16"/>
                <w:lang w:eastAsia="en-GB"/>
              </w:rPr>
            </w:pPr>
            <w:r>
              <w:rPr>
                <w:sz w:val="16"/>
                <w:szCs w:val="16"/>
                <w:lang w:eastAsia="en-GB"/>
              </w:rPr>
              <w:t>13</w:t>
            </w:r>
          </w:p>
        </w:tc>
        <w:tc>
          <w:tcPr>
            <w:tcW w:w="3643" w:type="dxa"/>
            <w:tcBorders>
              <w:top w:val="single" w:sz="4" w:space="0" w:color="auto"/>
              <w:left w:val="single" w:sz="4" w:space="0" w:color="auto"/>
              <w:bottom w:val="single" w:sz="4" w:space="0" w:color="auto"/>
              <w:right w:val="single" w:sz="4" w:space="0" w:color="auto"/>
            </w:tcBorders>
          </w:tcPr>
          <w:p w:rsidR="002A0515" w:rsidRPr="00C940CE" w:rsidRDefault="002A0515" w:rsidP="00A54BE4">
            <w:pPr>
              <w:pStyle w:val="TableText"/>
              <w:snapToGrid w:val="0"/>
              <w:ind w:leftChars="28" w:left="382" w:rightChars="71" w:right="142" w:hangingChars="192" w:hanging="326"/>
              <w:rPr>
                <w:i/>
                <w:lang w:eastAsia="it-IT"/>
              </w:rPr>
            </w:pPr>
            <w:r>
              <w:rPr>
                <w:i/>
                <w:lang w:eastAsia="it-IT"/>
              </w:rPr>
              <w:tab/>
            </w:r>
            <w:r w:rsidRPr="00C940CE">
              <w:rPr>
                <w:i/>
                <w:lang w:eastAsia="it-IT"/>
              </w:rPr>
              <w:t xml:space="preserve">All other </w:t>
            </w:r>
            <w:r>
              <w:rPr>
                <w:i/>
                <w:lang w:eastAsia="it-IT"/>
              </w:rPr>
              <w:t xml:space="preserve">funding and </w:t>
            </w:r>
            <w:r w:rsidRPr="00C940CE">
              <w:rPr>
                <w:i/>
                <w:lang w:eastAsia="it-IT"/>
              </w:rPr>
              <w:t>liabilities not included i</w:t>
            </w:r>
            <w:r>
              <w:rPr>
                <w:i/>
                <w:lang w:eastAsia="it-IT"/>
              </w:rPr>
              <w:t>n the above categories</w:t>
            </w:r>
          </w:p>
        </w:tc>
        <w:tc>
          <w:tcPr>
            <w:tcW w:w="992" w:type="dxa"/>
            <w:tcBorders>
              <w:top w:val="single" w:sz="4" w:space="0" w:color="auto"/>
              <w:left w:val="single" w:sz="4" w:space="0" w:color="auto"/>
              <w:bottom w:val="single" w:sz="4" w:space="0" w:color="auto"/>
              <w:right w:val="single" w:sz="4" w:space="0" w:color="auto"/>
            </w:tcBorders>
          </w:tcPr>
          <w:p w:rsidR="002A0515" w:rsidRPr="0023654F" w:rsidRDefault="002A0515" w:rsidP="00A54BE4">
            <w:pPr>
              <w:pStyle w:val="TableText"/>
              <w:snapToGrid w:val="0"/>
              <w:rPr>
                <w:lang w:eastAsia="it-IT"/>
              </w:rPr>
            </w:pPr>
          </w:p>
        </w:tc>
        <w:tc>
          <w:tcPr>
            <w:tcW w:w="985" w:type="dxa"/>
            <w:tcBorders>
              <w:top w:val="single" w:sz="4" w:space="0" w:color="auto"/>
              <w:left w:val="single" w:sz="4" w:space="0" w:color="auto"/>
              <w:bottom w:val="single" w:sz="4" w:space="0" w:color="auto"/>
              <w:right w:val="single" w:sz="4" w:space="0" w:color="auto"/>
            </w:tcBorders>
          </w:tcPr>
          <w:p w:rsidR="002A0515" w:rsidRPr="0023654F" w:rsidRDefault="002A0515" w:rsidP="00A54BE4">
            <w:pPr>
              <w:pStyle w:val="TableText"/>
              <w:snapToGrid w:val="0"/>
              <w:rPr>
                <w:lang w:eastAsia="it-IT"/>
              </w:rPr>
            </w:pPr>
          </w:p>
        </w:tc>
        <w:tc>
          <w:tcPr>
            <w:tcW w:w="992" w:type="dxa"/>
            <w:tcBorders>
              <w:top w:val="single" w:sz="4" w:space="0" w:color="auto"/>
              <w:left w:val="single" w:sz="4" w:space="0" w:color="auto"/>
              <w:bottom w:val="single" w:sz="4" w:space="0" w:color="auto"/>
              <w:right w:val="single" w:sz="4" w:space="0" w:color="auto"/>
            </w:tcBorders>
          </w:tcPr>
          <w:p w:rsidR="002A0515" w:rsidRPr="0023654F" w:rsidRDefault="002A0515" w:rsidP="00A54BE4">
            <w:pPr>
              <w:pStyle w:val="TableText"/>
              <w:snapToGrid w:val="0"/>
              <w:rPr>
                <w:lang w:eastAsia="it-IT"/>
              </w:rPr>
            </w:pPr>
          </w:p>
        </w:tc>
        <w:tc>
          <w:tcPr>
            <w:tcW w:w="993" w:type="dxa"/>
            <w:tcBorders>
              <w:top w:val="single" w:sz="4" w:space="0" w:color="auto"/>
              <w:left w:val="single" w:sz="4" w:space="0" w:color="auto"/>
              <w:bottom w:val="single" w:sz="4" w:space="0" w:color="auto"/>
              <w:right w:val="single" w:sz="4" w:space="0" w:color="auto"/>
            </w:tcBorders>
          </w:tcPr>
          <w:p w:rsidR="002A0515" w:rsidRPr="0023654F" w:rsidRDefault="002A0515" w:rsidP="00A54BE4">
            <w:pPr>
              <w:pStyle w:val="TableText"/>
              <w:snapToGrid w:val="0"/>
              <w:rPr>
                <w:lang w:eastAsia="it-IT"/>
              </w:rPr>
            </w:pPr>
          </w:p>
        </w:tc>
        <w:tc>
          <w:tcPr>
            <w:tcW w:w="1001" w:type="dxa"/>
            <w:tcBorders>
              <w:top w:val="single" w:sz="4" w:space="0" w:color="auto"/>
              <w:left w:val="single" w:sz="4" w:space="0" w:color="auto"/>
              <w:bottom w:val="single" w:sz="4" w:space="0" w:color="auto"/>
              <w:right w:val="single" w:sz="4" w:space="0" w:color="auto"/>
            </w:tcBorders>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tcPr>
          <w:p w:rsidR="002A0515" w:rsidRPr="0023654F" w:rsidRDefault="002A0515" w:rsidP="00A54BE4">
            <w:pPr>
              <w:pStyle w:val="TableText"/>
              <w:snapToGrid w:val="0"/>
              <w:ind w:left="57"/>
              <w:rPr>
                <w:sz w:val="16"/>
                <w:szCs w:val="16"/>
                <w:lang w:eastAsia="en-GB"/>
              </w:rPr>
            </w:pPr>
            <w:r>
              <w:rPr>
                <w:sz w:val="16"/>
                <w:szCs w:val="16"/>
                <w:lang w:eastAsia="en-GB"/>
              </w:rPr>
              <w:t>14</w:t>
            </w:r>
          </w:p>
        </w:tc>
        <w:tc>
          <w:tcPr>
            <w:tcW w:w="3643" w:type="dxa"/>
            <w:tcBorders>
              <w:top w:val="single" w:sz="4" w:space="0" w:color="auto"/>
              <w:left w:val="single" w:sz="4" w:space="0" w:color="auto"/>
              <w:bottom w:val="single" w:sz="4" w:space="0" w:color="auto"/>
              <w:right w:val="single" w:sz="4" w:space="0" w:color="auto"/>
            </w:tcBorders>
          </w:tcPr>
          <w:p w:rsidR="002A0515" w:rsidRPr="00475528" w:rsidDel="001C71B9" w:rsidRDefault="002A0515" w:rsidP="00A54BE4">
            <w:pPr>
              <w:pStyle w:val="TableText"/>
              <w:snapToGrid w:val="0"/>
              <w:ind w:left="57" w:rightChars="71" w:right="142"/>
              <w:rPr>
                <w:i/>
                <w:lang w:eastAsia="it-IT"/>
              </w:rPr>
            </w:pPr>
            <w:r w:rsidRPr="00013E30">
              <w:rPr>
                <w:b/>
                <w:lang w:eastAsia="it-IT"/>
              </w:rPr>
              <w:t>Total ASF</w:t>
            </w:r>
          </w:p>
        </w:tc>
        <w:tc>
          <w:tcPr>
            <w:tcW w:w="99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A0515" w:rsidRPr="0023654F" w:rsidRDefault="002A0515" w:rsidP="00A54BE4">
            <w:pPr>
              <w:pStyle w:val="TableText"/>
              <w:snapToGrid w:val="0"/>
              <w:rPr>
                <w:lang w:eastAsia="it-IT"/>
              </w:rPr>
            </w:pPr>
          </w:p>
        </w:tc>
        <w:tc>
          <w:tcPr>
            <w:tcW w:w="98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A0515" w:rsidRPr="0023654F" w:rsidRDefault="002A0515" w:rsidP="00A54BE4">
            <w:pPr>
              <w:pStyle w:val="TableText"/>
              <w:snapToGrid w:val="0"/>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A0515" w:rsidRPr="0023654F" w:rsidRDefault="002A0515" w:rsidP="00A54BE4">
            <w:pPr>
              <w:pStyle w:val="TableText"/>
              <w:snapToGrid w:val="0"/>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A0515" w:rsidRPr="0023654F" w:rsidRDefault="002A0515" w:rsidP="00A54BE4">
            <w:pPr>
              <w:pStyle w:val="TableText"/>
              <w:snapToGrid w:val="0"/>
              <w:rPr>
                <w:lang w:eastAsia="it-IT"/>
              </w:rPr>
            </w:pPr>
          </w:p>
        </w:tc>
        <w:tc>
          <w:tcPr>
            <w:tcW w:w="1001" w:type="dxa"/>
            <w:tcBorders>
              <w:top w:val="single" w:sz="4" w:space="0" w:color="auto"/>
              <w:left w:val="single" w:sz="4" w:space="0" w:color="auto"/>
              <w:bottom w:val="single" w:sz="4" w:space="0" w:color="auto"/>
              <w:right w:val="single" w:sz="4" w:space="0" w:color="auto"/>
            </w:tcBorders>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110" w:type="dxa"/>
            <w:gridSpan w:val="2"/>
            <w:tcBorders>
              <w:top w:val="single" w:sz="4" w:space="0" w:color="auto"/>
              <w:left w:val="nil"/>
              <w:bottom w:val="single" w:sz="4" w:space="0" w:color="auto"/>
              <w:right w:val="nil"/>
            </w:tcBorders>
            <w:shd w:val="clear" w:color="auto" w:fill="BFBFBF" w:themeFill="background1" w:themeFillShade="BF"/>
          </w:tcPr>
          <w:p w:rsidR="002A0515" w:rsidRDefault="002A0515" w:rsidP="002A0515">
            <w:pPr>
              <w:pStyle w:val="TableText"/>
              <w:numPr>
                <w:ilvl w:val="0"/>
                <w:numId w:val="82"/>
              </w:numPr>
              <w:snapToGrid w:val="0"/>
              <w:ind w:rightChars="71" w:right="142"/>
              <w:rPr>
                <w:b/>
                <w:bCs/>
                <w:sz w:val="20"/>
              </w:rPr>
            </w:pPr>
            <w:r>
              <w:rPr>
                <w:b/>
                <w:lang w:eastAsia="it-IT"/>
              </w:rPr>
              <w:t>Required stable funding (“RSF”) item</w:t>
            </w:r>
          </w:p>
        </w:tc>
        <w:tc>
          <w:tcPr>
            <w:tcW w:w="992" w:type="dxa"/>
            <w:tcBorders>
              <w:top w:val="single" w:sz="4" w:space="0" w:color="auto"/>
              <w:left w:val="nil"/>
              <w:bottom w:val="single" w:sz="4" w:space="0" w:color="auto"/>
              <w:right w:val="nil"/>
            </w:tcBorders>
            <w:shd w:val="clear" w:color="auto" w:fill="BFBFBF" w:themeFill="background1" w:themeFillShade="BF"/>
          </w:tcPr>
          <w:p w:rsidR="002A0515" w:rsidRPr="0023654F" w:rsidRDefault="002A0515" w:rsidP="00A54BE4">
            <w:pPr>
              <w:pStyle w:val="TableText"/>
              <w:snapToGrid w:val="0"/>
              <w:rPr>
                <w:lang w:eastAsia="it-IT"/>
              </w:rPr>
            </w:pPr>
          </w:p>
        </w:tc>
        <w:tc>
          <w:tcPr>
            <w:tcW w:w="985" w:type="dxa"/>
            <w:tcBorders>
              <w:top w:val="single" w:sz="4" w:space="0" w:color="auto"/>
              <w:left w:val="nil"/>
              <w:bottom w:val="single" w:sz="4" w:space="0" w:color="auto"/>
              <w:right w:val="nil"/>
            </w:tcBorders>
            <w:shd w:val="clear" w:color="auto" w:fill="BFBFBF" w:themeFill="background1" w:themeFillShade="BF"/>
          </w:tcPr>
          <w:p w:rsidR="002A0515" w:rsidRPr="0023654F" w:rsidRDefault="002A0515" w:rsidP="00A54BE4">
            <w:pPr>
              <w:pStyle w:val="TableText"/>
              <w:snapToGrid w:val="0"/>
              <w:rPr>
                <w:lang w:eastAsia="it-IT"/>
              </w:rPr>
            </w:pPr>
          </w:p>
        </w:tc>
        <w:tc>
          <w:tcPr>
            <w:tcW w:w="992" w:type="dxa"/>
            <w:tcBorders>
              <w:top w:val="single" w:sz="4" w:space="0" w:color="auto"/>
              <w:left w:val="nil"/>
              <w:bottom w:val="single" w:sz="4" w:space="0" w:color="auto"/>
              <w:right w:val="nil"/>
            </w:tcBorders>
            <w:shd w:val="clear" w:color="auto" w:fill="BFBFBF" w:themeFill="background1" w:themeFillShade="BF"/>
          </w:tcPr>
          <w:p w:rsidR="002A0515" w:rsidRPr="0023654F" w:rsidRDefault="002A0515" w:rsidP="00A54BE4">
            <w:pPr>
              <w:pStyle w:val="TableText"/>
              <w:snapToGrid w:val="0"/>
              <w:rPr>
                <w:lang w:eastAsia="it-IT"/>
              </w:rPr>
            </w:pPr>
          </w:p>
        </w:tc>
        <w:tc>
          <w:tcPr>
            <w:tcW w:w="993" w:type="dxa"/>
            <w:tcBorders>
              <w:top w:val="single" w:sz="4" w:space="0" w:color="auto"/>
              <w:left w:val="nil"/>
              <w:bottom w:val="single" w:sz="4" w:space="0" w:color="auto"/>
              <w:right w:val="nil"/>
            </w:tcBorders>
            <w:shd w:val="clear" w:color="auto" w:fill="BFBFBF" w:themeFill="background1" w:themeFillShade="BF"/>
          </w:tcPr>
          <w:p w:rsidR="002A0515" w:rsidRPr="0023654F" w:rsidRDefault="002A0515" w:rsidP="00A54BE4">
            <w:pPr>
              <w:pStyle w:val="TableText"/>
              <w:snapToGrid w:val="0"/>
              <w:rPr>
                <w:lang w:eastAsia="it-IT"/>
              </w:rPr>
            </w:pPr>
          </w:p>
        </w:tc>
        <w:tc>
          <w:tcPr>
            <w:tcW w:w="1001" w:type="dxa"/>
            <w:tcBorders>
              <w:top w:val="single" w:sz="4" w:space="0" w:color="auto"/>
              <w:left w:val="nil"/>
              <w:bottom w:val="single" w:sz="4" w:space="0" w:color="auto"/>
              <w:right w:val="single" w:sz="4" w:space="0" w:color="auto"/>
            </w:tcBorders>
            <w:shd w:val="clear" w:color="auto" w:fill="BFBFBF" w:themeFill="background1" w:themeFillShade="BF"/>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ind w:left="57"/>
              <w:rPr>
                <w:sz w:val="16"/>
                <w:szCs w:val="16"/>
                <w:lang w:eastAsia="en-GB"/>
              </w:rPr>
            </w:pPr>
            <w:r>
              <w:rPr>
                <w:sz w:val="16"/>
                <w:szCs w:val="16"/>
                <w:lang w:eastAsia="en-GB"/>
              </w:rPr>
              <w:t>15</w:t>
            </w:r>
          </w:p>
        </w:tc>
        <w:tc>
          <w:tcPr>
            <w:tcW w:w="364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02A50" w:rsidRDefault="002A0515" w:rsidP="00A54BE4">
            <w:pPr>
              <w:pStyle w:val="TableText"/>
              <w:snapToGrid w:val="0"/>
              <w:ind w:left="57" w:rightChars="71" w:right="142"/>
              <w:rPr>
                <w:lang w:eastAsia="it-IT"/>
              </w:rPr>
            </w:pPr>
            <w:r w:rsidRPr="00202A50">
              <w:rPr>
                <w:lang w:eastAsia="it-IT"/>
              </w:rPr>
              <w:t xml:space="preserve">Total </w:t>
            </w:r>
            <w:r>
              <w:rPr>
                <w:lang w:eastAsia="it-IT"/>
              </w:rPr>
              <w:t>HQLA for NSFR purposes</w:t>
            </w:r>
          </w:p>
        </w:tc>
        <w:tc>
          <w:tcPr>
            <w:tcW w:w="3962"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ind w:left="57"/>
              <w:rPr>
                <w:sz w:val="16"/>
                <w:szCs w:val="16"/>
                <w:lang w:eastAsia="en-GB"/>
              </w:rPr>
            </w:pPr>
            <w:r>
              <w:rPr>
                <w:sz w:val="16"/>
                <w:szCs w:val="16"/>
                <w:lang w:eastAsia="en-GB"/>
              </w:rPr>
              <w:t>16</w:t>
            </w:r>
          </w:p>
        </w:tc>
        <w:tc>
          <w:tcPr>
            <w:tcW w:w="364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02A50" w:rsidRDefault="002A0515" w:rsidP="00A54BE4">
            <w:pPr>
              <w:pStyle w:val="TableText"/>
              <w:snapToGrid w:val="0"/>
              <w:ind w:left="57" w:rightChars="71" w:right="142"/>
              <w:rPr>
                <w:lang w:eastAsia="it-IT"/>
              </w:rPr>
            </w:pPr>
            <w:r w:rsidRPr="00202A50">
              <w:rPr>
                <w:lang w:eastAsia="it-IT"/>
              </w:rPr>
              <w:t>Deposits held at other financial institutions for operational pur</w:t>
            </w:r>
            <w:r>
              <w:rPr>
                <w:lang w:eastAsia="it-IT"/>
              </w:rPr>
              <w:t>poses</w:t>
            </w:r>
          </w:p>
        </w:tc>
        <w:tc>
          <w:tcPr>
            <w:tcW w:w="9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3B53ED" w:rsidRDefault="002A0515" w:rsidP="00A54BE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3B53ED" w:rsidRDefault="002A0515" w:rsidP="00A54BE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3B53ED" w:rsidRDefault="002A0515" w:rsidP="00A54BE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3B53ED" w:rsidRDefault="002A0515" w:rsidP="00A54BE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ind w:left="57"/>
              <w:rPr>
                <w:sz w:val="16"/>
                <w:szCs w:val="16"/>
                <w:lang w:eastAsia="en-GB"/>
              </w:rPr>
            </w:pPr>
            <w:r>
              <w:rPr>
                <w:sz w:val="16"/>
                <w:szCs w:val="16"/>
                <w:lang w:eastAsia="en-GB"/>
              </w:rPr>
              <w:t>17</w:t>
            </w:r>
          </w:p>
        </w:tc>
        <w:tc>
          <w:tcPr>
            <w:tcW w:w="364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595C1F" w:rsidRDefault="002A0515" w:rsidP="00A54BE4">
            <w:pPr>
              <w:pStyle w:val="TableText"/>
              <w:snapToGrid w:val="0"/>
              <w:ind w:left="57" w:rightChars="71" w:right="142"/>
              <w:rPr>
                <w:lang w:eastAsia="it-IT"/>
              </w:rPr>
            </w:pPr>
            <w:r w:rsidRPr="00202A50">
              <w:rPr>
                <w:lang w:eastAsia="it-IT"/>
              </w:rPr>
              <w:t>P</w:t>
            </w:r>
            <w:r>
              <w:rPr>
                <w:lang w:eastAsia="it-IT"/>
              </w:rPr>
              <w:t>erforming loans and securities:</w:t>
            </w:r>
          </w:p>
        </w:tc>
        <w:tc>
          <w:tcPr>
            <w:tcW w:w="9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3B53ED" w:rsidRDefault="002A0515" w:rsidP="00A54BE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3B53ED" w:rsidRDefault="002A0515" w:rsidP="00A54BE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3B53ED" w:rsidRDefault="002A0515" w:rsidP="00A54BE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3B53ED" w:rsidRDefault="002A0515" w:rsidP="00A54BE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shd w:val="clear" w:color="auto" w:fill="FFFFFF" w:themeFill="background1"/>
          </w:tcPr>
          <w:p w:rsidR="002A0515" w:rsidRDefault="002A0515" w:rsidP="00A54BE4">
            <w:pPr>
              <w:pStyle w:val="TableText"/>
              <w:snapToGrid w:val="0"/>
              <w:ind w:left="57"/>
              <w:rPr>
                <w:sz w:val="16"/>
                <w:szCs w:val="16"/>
                <w:lang w:eastAsia="en-GB"/>
              </w:rPr>
            </w:pPr>
            <w:r>
              <w:rPr>
                <w:sz w:val="16"/>
                <w:szCs w:val="16"/>
                <w:lang w:eastAsia="en-GB"/>
              </w:rPr>
              <w:t>18</w:t>
            </w:r>
          </w:p>
        </w:tc>
        <w:tc>
          <w:tcPr>
            <w:tcW w:w="364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D5121" w:rsidRDefault="002A0515" w:rsidP="00A54BE4">
            <w:pPr>
              <w:pStyle w:val="TableText"/>
              <w:snapToGrid w:val="0"/>
              <w:ind w:leftChars="28" w:left="382" w:rightChars="71" w:right="142" w:hangingChars="192" w:hanging="326"/>
              <w:rPr>
                <w:i/>
                <w:lang w:eastAsia="it-IT"/>
              </w:rPr>
            </w:pPr>
            <w:r>
              <w:rPr>
                <w:i/>
                <w:lang w:eastAsia="it-IT"/>
              </w:rPr>
              <w:tab/>
            </w:r>
            <w:r w:rsidRPr="003D5121">
              <w:rPr>
                <w:i/>
                <w:lang w:eastAsia="it-IT"/>
              </w:rPr>
              <w:t xml:space="preserve">Performing loans to financial institutions secured by Level 1 HQLA </w:t>
            </w:r>
          </w:p>
        </w:tc>
        <w:tc>
          <w:tcPr>
            <w:tcW w:w="994"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shd w:val="clear" w:color="auto" w:fill="FFFFFF" w:themeFill="background1"/>
          </w:tcPr>
          <w:p w:rsidR="002A0515" w:rsidRDefault="002A0515" w:rsidP="00A54BE4">
            <w:pPr>
              <w:pStyle w:val="TableText"/>
              <w:snapToGrid w:val="0"/>
              <w:ind w:left="57"/>
              <w:rPr>
                <w:sz w:val="16"/>
                <w:szCs w:val="16"/>
                <w:lang w:eastAsia="en-GB"/>
              </w:rPr>
            </w:pPr>
            <w:r>
              <w:rPr>
                <w:sz w:val="16"/>
                <w:szCs w:val="16"/>
                <w:lang w:eastAsia="en-GB"/>
              </w:rPr>
              <w:t>19</w:t>
            </w:r>
          </w:p>
        </w:tc>
        <w:tc>
          <w:tcPr>
            <w:tcW w:w="364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D5121" w:rsidRDefault="002A0515" w:rsidP="00A54BE4">
            <w:pPr>
              <w:pStyle w:val="TableText"/>
              <w:snapToGrid w:val="0"/>
              <w:ind w:leftChars="28" w:left="382" w:rightChars="71" w:right="142" w:hangingChars="192" w:hanging="326"/>
              <w:rPr>
                <w:i/>
                <w:lang w:eastAsia="it-IT"/>
              </w:rPr>
            </w:pPr>
            <w:r>
              <w:rPr>
                <w:i/>
                <w:lang w:eastAsia="it-IT"/>
              </w:rPr>
              <w:tab/>
            </w:r>
            <w:r w:rsidRPr="003D5121">
              <w:rPr>
                <w:i/>
                <w:lang w:eastAsia="it-IT"/>
              </w:rPr>
              <w:t xml:space="preserve">Performing loans to financial institutions secured by non-Level 1 HQLA and unsecured performing loans to financial institutions </w:t>
            </w:r>
          </w:p>
        </w:tc>
        <w:tc>
          <w:tcPr>
            <w:tcW w:w="994"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shd w:val="clear" w:color="auto" w:fill="FFFFFF" w:themeFill="background1"/>
          </w:tcPr>
          <w:p w:rsidR="002A0515" w:rsidRDefault="002A0515" w:rsidP="00A54BE4">
            <w:pPr>
              <w:pStyle w:val="TableText"/>
              <w:snapToGrid w:val="0"/>
              <w:ind w:left="57"/>
              <w:rPr>
                <w:sz w:val="16"/>
                <w:szCs w:val="16"/>
                <w:lang w:eastAsia="en-GB"/>
              </w:rPr>
            </w:pPr>
            <w:r>
              <w:rPr>
                <w:sz w:val="16"/>
                <w:szCs w:val="16"/>
                <w:lang w:eastAsia="en-GB"/>
              </w:rPr>
              <w:t>20</w:t>
            </w:r>
          </w:p>
        </w:tc>
        <w:tc>
          <w:tcPr>
            <w:tcW w:w="364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D5121" w:rsidRDefault="002A0515" w:rsidP="00A54BE4">
            <w:pPr>
              <w:pStyle w:val="TableText"/>
              <w:snapToGrid w:val="0"/>
              <w:ind w:leftChars="28" w:left="382" w:rightChars="71" w:right="142" w:hangingChars="192" w:hanging="326"/>
              <w:rPr>
                <w:i/>
                <w:lang w:eastAsia="it-IT"/>
              </w:rPr>
            </w:pPr>
            <w:r>
              <w:rPr>
                <w:i/>
                <w:lang w:eastAsia="it-IT"/>
              </w:rPr>
              <w:tab/>
              <w:t xml:space="preserve">Performing </w:t>
            </w:r>
            <w:r w:rsidRPr="003D5121">
              <w:rPr>
                <w:i/>
                <w:lang w:eastAsia="it-IT"/>
              </w:rPr>
              <w:t>loans</w:t>
            </w:r>
            <w:r>
              <w:rPr>
                <w:i/>
                <w:lang w:eastAsia="it-IT"/>
              </w:rPr>
              <w:t>, other than performing residential mortgage,</w:t>
            </w:r>
            <w:r w:rsidRPr="003D5121">
              <w:rPr>
                <w:i/>
                <w:lang w:eastAsia="it-IT"/>
              </w:rPr>
              <w:t xml:space="preserve"> to non-financial corporate clients, retail and small business customers, sovereigns, </w:t>
            </w:r>
            <w:r>
              <w:rPr>
                <w:i/>
                <w:lang w:eastAsia="it-IT"/>
              </w:rPr>
              <w:t xml:space="preserve">the Monetary Authority for the account of the Exchange Fund, </w:t>
            </w:r>
            <w:r w:rsidRPr="003D5121">
              <w:rPr>
                <w:i/>
                <w:lang w:eastAsia="it-IT"/>
              </w:rPr>
              <w:t>ce</w:t>
            </w:r>
            <w:r>
              <w:rPr>
                <w:i/>
                <w:lang w:eastAsia="it-IT"/>
              </w:rPr>
              <w:t>ntral banks and PSEs, of which:</w:t>
            </w:r>
          </w:p>
        </w:tc>
        <w:tc>
          <w:tcPr>
            <w:tcW w:w="994"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shd w:val="clear" w:color="auto" w:fill="FFFFFF" w:themeFill="background1"/>
          </w:tcPr>
          <w:p w:rsidR="002A0515" w:rsidRDefault="002A0515" w:rsidP="00A54BE4">
            <w:pPr>
              <w:pStyle w:val="TableText"/>
              <w:snapToGrid w:val="0"/>
              <w:ind w:left="57"/>
              <w:rPr>
                <w:sz w:val="16"/>
                <w:szCs w:val="16"/>
                <w:lang w:eastAsia="en-GB"/>
              </w:rPr>
            </w:pPr>
            <w:r>
              <w:rPr>
                <w:sz w:val="16"/>
                <w:szCs w:val="16"/>
                <w:lang w:eastAsia="en-GB"/>
              </w:rPr>
              <w:t>21</w:t>
            </w:r>
          </w:p>
        </w:tc>
        <w:tc>
          <w:tcPr>
            <w:tcW w:w="364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202A50" w:rsidRDefault="002A0515" w:rsidP="00A54BE4">
            <w:pPr>
              <w:pStyle w:val="TableText"/>
              <w:tabs>
                <w:tab w:val="left" w:pos="667"/>
              </w:tabs>
              <w:snapToGrid w:val="0"/>
              <w:ind w:leftChars="192" w:left="666" w:rightChars="71" w:right="142" w:hangingChars="166" w:hanging="282"/>
              <w:rPr>
                <w:i/>
                <w:lang w:eastAsia="it-IT"/>
              </w:rPr>
            </w:pPr>
            <w:r>
              <w:rPr>
                <w:i/>
                <w:lang w:eastAsia="it-IT"/>
              </w:rPr>
              <w:tab/>
            </w:r>
            <w:r w:rsidRPr="00202A50">
              <w:rPr>
                <w:i/>
                <w:lang w:eastAsia="it-IT"/>
              </w:rPr>
              <w:t xml:space="preserve">With a </w:t>
            </w:r>
            <w:r>
              <w:rPr>
                <w:i/>
                <w:lang w:eastAsia="it-IT"/>
              </w:rPr>
              <w:t xml:space="preserve">risk-weight </w:t>
            </w:r>
            <w:r w:rsidRPr="00202A50">
              <w:rPr>
                <w:i/>
                <w:lang w:eastAsia="it-IT"/>
              </w:rPr>
              <w:t xml:space="preserve">of less than or equal to 35% under the </w:t>
            </w:r>
            <w:r>
              <w:rPr>
                <w:i/>
                <w:lang w:eastAsia="it-IT"/>
              </w:rPr>
              <w:t>STC approach</w:t>
            </w:r>
          </w:p>
        </w:tc>
        <w:tc>
          <w:tcPr>
            <w:tcW w:w="994"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shd w:val="clear" w:color="auto" w:fill="FFFFFF" w:themeFill="background1"/>
          </w:tcPr>
          <w:p w:rsidR="002A0515" w:rsidRDefault="002A0515" w:rsidP="00A54BE4">
            <w:pPr>
              <w:pStyle w:val="TableText"/>
              <w:snapToGrid w:val="0"/>
              <w:ind w:left="57"/>
              <w:rPr>
                <w:sz w:val="16"/>
                <w:szCs w:val="16"/>
                <w:lang w:eastAsia="en-GB"/>
              </w:rPr>
            </w:pPr>
            <w:r>
              <w:rPr>
                <w:sz w:val="16"/>
                <w:szCs w:val="16"/>
                <w:lang w:eastAsia="en-GB"/>
              </w:rPr>
              <w:t>22</w:t>
            </w:r>
          </w:p>
        </w:tc>
        <w:tc>
          <w:tcPr>
            <w:tcW w:w="364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Default="002A0515" w:rsidP="00A54BE4">
            <w:pPr>
              <w:pStyle w:val="TableText"/>
              <w:tabs>
                <w:tab w:val="left" w:pos="667"/>
              </w:tabs>
              <w:snapToGrid w:val="0"/>
              <w:ind w:leftChars="192" w:left="666" w:rightChars="71" w:right="142" w:hangingChars="166" w:hanging="282"/>
              <w:rPr>
                <w:i/>
                <w:lang w:eastAsia="it-IT"/>
              </w:rPr>
            </w:pPr>
            <w:r>
              <w:rPr>
                <w:i/>
                <w:lang w:eastAsia="it-IT"/>
              </w:rPr>
              <w:t>Performing residential mortgages, of which:</w:t>
            </w:r>
          </w:p>
        </w:tc>
        <w:tc>
          <w:tcPr>
            <w:tcW w:w="994"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shd w:val="clear" w:color="auto" w:fill="FFFFFF" w:themeFill="background1"/>
          </w:tcPr>
          <w:p w:rsidR="002A0515" w:rsidRDefault="002A0515" w:rsidP="00A54BE4">
            <w:pPr>
              <w:pStyle w:val="TableText"/>
              <w:snapToGrid w:val="0"/>
              <w:ind w:left="57"/>
              <w:rPr>
                <w:sz w:val="16"/>
                <w:szCs w:val="16"/>
                <w:lang w:eastAsia="en-GB"/>
              </w:rPr>
            </w:pPr>
            <w:r>
              <w:rPr>
                <w:sz w:val="16"/>
                <w:szCs w:val="16"/>
                <w:lang w:eastAsia="en-GB"/>
              </w:rPr>
              <w:t>23</w:t>
            </w:r>
          </w:p>
        </w:tc>
        <w:tc>
          <w:tcPr>
            <w:tcW w:w="364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Default="002A0515" w:rsidP="00A54BE4">
            <w:pPr>
              <w:pStyle w:val="TableText"/>
              <w:tabs>
                <w:tab w:val="left" w:pos="667"/>
              </w:tabs>
              <w:snapToGrid w:val="0"/>
              <w:ind w:leftChars="192" w:left="666" w:rightChars="71" w:right="142" w:hangingChars="166" w:hanging="282"/>
              <w:rPr>
                <w:i/>
                <w:lang w:eastAsia="it-IT"/>
              </w:rPr>
            </w:pPr>
            <w:r>
              <w:rPr>
                <w:i/>
                <w:lang w:eastAsia="it-IT"/>
              </w:rPr>
              <w:tab/>
            </w:r>
            <w:r w:rsidRPr="00F9513B">
              <w:rPr>
                <w:i/>
                <w:lang w:eastAsia="it-IT"/>
              </w:rPr>
              <w:t xml:space="preserve">With a risk-weight of less than or equal to 35% under the </w:t>
            </w:r>
            <w:r>
              <w:rPr>
                <w:i/>
                <w:lang w:eastAsia="it-IT"/>
              </w:rPr>
              <w:t>STC</w:t>
            </w:r>
            <w:r w:rsidRPr="00F9513B">
              <w:rPr>
                <w:i/>
                <w:lang w:eastAsia="it-IT"/>
              </w:rPr>
              <w:t xml:space="preserve"> approach</w:t>
            </w:r>
          </w:p>
        </w:tc>
        <w:tc>
          <w:tcPr>
            <w:tcW w:w="994"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shd w:val="clear" w:color="auto" w:fill="FFFFFF" w:themeFill="background1"/>
          </w:tcPr>
          <w:p w:rsidR="002A0515" w:rsidRDefault="002A0515" w:rsidP="00A54BE4">
            <w:pPr>
              <w:pStyle w:val="TableText"/>
              <w:snapToGrid w:val="0"/>
              <w:ind w:left="57"/>
              <w:rPr>
                <w:sz w:val="16"/>
                <w:szCs w:val="16"/>
                <w:lang w:eastAsia="en-GB"/>
              </w:rPr>
            </w:pPr>
            <w:r>
              <w:rPr>
                <w:sz w:val="16"/>
                <w:szCs w:val="16"/>
                <w:lang w:eastAsia="en-GB"/>
              </w:rPr>
              <w:t>24</w:t>
            </w:r>
          </w:p>
        </w:tc>
        <w:tc>
          <w:tcPr>
            <w:tcW w:w="364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D5121" w:rsidRDefault="002A0515" w:rsidP="00A54BE4">
            <w:pPr>
              <w:pStyle w:val="TableText"/>
              <w:snapToGrid w:val="0"/>
              <w:ind w:leftChars="28" w:left="382" w:rightChars="71" w:right="142" w:hangingChars="192" w:hanging="326"/>
              <w:rPr>
                <w:lang w:val="en-US" w:eastAsia="it-IT"/>
              </w:rPr>
            </w:pPr>
            <w:r>
              <w:rPr>
                <w:i/>
                <w:lang w:eastAsia="it-IT"/>
              </w:rPr>
              <w:tab/>
            </w:r>
            <w:r w:rsidRPr="00202A50">
              <w:rPr>
                <w:i/>
                <w:lang w:eastAsia="it-IT"/>
              </w:rPr>
              <w:t>Securities that are not in default and do not qualify as HQLA, inc</w:t>
            </w:r>
            <w:r>
              <w:rPr>
                <w:i/>
                <w:lang w:eastAsia="it-IT"/>
              </w:rPr>
              <w:t>luding exchange-traded equities</w:t>
            </w:r>
          </w:p>
        </w:tc>
        <w:tc>
          <w:tcPr>
            <w:tcW w:w="994"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23654F" w:rsidRDefault="002A0515" w:rsidP="00A54BE4">
            <w:pPr>
              <w:pStyle w:val="TableText"/>
              <w:snapToGrid w:val="0"/>
              <w:rPr>
                <w:lang w:eastAsia="it-IT"/>
              </w:rPr>
            </w:pPr>
            <w:bookmarkStart w:id="5" w:name="_GoBack"/>
            <w:bookmarkEnd w:id="5"/>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shd w:val="clear" w:color="auto" w:fill="F2F2F2" w:themeFill="background1" w:themeFillShade="F2"/>
          </w:tcPr>
          <w:p w:rsidR="002A0515" w:rsidRDefault="002A0515" w:rsidP="00A54BE4">
            <w:pPr>
              <w:pStyle w:val="TableText"/>
              <w:snapToGrid w:val="0"/>
              <w:ind w:left="57"/>
              <w:rPr>
                <w:sz w:val="16"/>
                <w:szCs w:val="16"/>
                <w:lang w:eastAsia="en-GB"/>
              </w:rPr>
            </w:pPr>
            <w:r>
              <w:rPr>
                <w:sz w:val="16"/>
                <w:szCs w:val="16"/>
                <w:lang w:eastAsia="en-GB"/>
              </w:rPr>
              <w:t>25</w:t>
            </w:r>
          </w:p>
        </w:tc>
        <w:tc>
          <w:tcPr>
            <w:tcW w:w="364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595C1F" w:rsidRDefault="002A0515" w:rsidP="00A54BE4">
            <w:pPr>
              <w:pStyle w:val="TableText"/>
              <w:snapToGrid w:val="0"/>
              <w:ind w:left="57" w:rightChars="71" w:right="142"/>
              <w:rPr>
                <w:lang w:eastAsia="it-IT"/>
              </w:rPr>
            </w:pPr>
            <w:r w:rsidRPr="00202A50">
              <w:rPr>
                <w:lang w:eastAsia="it-IT"/>
              </w:rPr>
              <w:t>Assets with matc</w:t>
            </w:r>
            <w:r>
              <w:rPr>
                <w:lang w:eastAsia="it-IT"/>
              </w:rPr>
              <w:t>hing interdependent liabilities</w:t>
            </w:r>
          </w:p>
        </w:tc>
        <w:tc>
          <w:tcPr>
            <w:tcW w:w="9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3B53ED" w:rsidRDefault="002A0515" w:rsidP="00A54BE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3B53ED" w:rsidRDefault="002A0515" w:rsidP="00A54BE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3B53ED" w:rsidRDefault="002A0515" w:rsidP="00A54BE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3B53ED" w:rsidRDefault="002A0515" w:rsidP="00A54BE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shd w:val="clear" w:color="auto" w:fill="F2F2F2" w:themeFill="background1" w:themeFillShade="F2"/>
          </w:tcPr>
          <w:p w:rsidR="002A0515" w:rsidRDefault="002A0515" w:rsidP="00A54BE4">
            <w:pPr>
              <w:pStyle w:val="TableText"/>
              <w:snapToGrid w:val="0"/>
              <w:ind w:left="57"/>
              <w:rPr>
                <w:sz w:val="16"/>
                <w:szCs w:val="16"/>
                <w:lang w:eastAsia="en-GB"/>
              </w:rPr>
            </w:pPr>
            <w:r>
              <w:rPr>
                <w:sz w:val="16"/>
                <w:szCs w:val="16"/>
                <w:lang w:eastAsia="en-GB"/>
              </w:rPr>
              <w:t>26</w:t>
            </w:r>
          </w:p>
        </w:tc>
        <w:tc>
          <w:tcPr>
            <w:tcW w:w="364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595C1F" w:rsidRDefault="002A0515" w:rsidP="00A54BE4">
            <w:pPr>
              <w:pStyle w:val="TableText"/>
              <w:snapToGrid w:val="0"/>
              <w:ind w:left="57" w:rightChars="71" w:right="142"/>
              <w:rPr>
                <w:lang w:eastAsia="it-IT"/>
              </w:rPr>
            </w:pPr>
            <w:r>
              <w:rPr>
                <w:lang w:eastAsia="it-IT"/>
              </w:rPr>
              <w:t>Other assets:</w:t>
            </w:r>
          </w:p>
        </w:tc>
        <w:tc>
          <w:tcPr>
            <w:tcW w:w="9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3B53ED" w:rsidRDefault="002A0515" w:rsidP="00A54BE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3B53ED" w:rsidRDefault="002A0515" w:rsidP="00A54BE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3B53ED" w:rsidRDefault="002A0515" w:rsidP="00A54BE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3B53ED" w:rsidRDefault="002A0515" w:rsidP="00A54BE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shd w:val="clear" w:color="auto" w:fill="FFFFFF" w:themeFill="background1"/>
          </w:tcPr>
          <w:p w:rsidR="002A0515" w:rsidRDefault="002A0515" w:rsidP="00A54BE4">
            <w:pPr>
              <w:pStyle w:val="TableText"/>
              <w:snapToGrid w:val="0"/>
              <w:ind w:left="57"/>
              <w:rPr>
                <w:sz w:val="16"/>
                <w:szCs w:val="16"/>
                <w:lang w:eastAsia="en-GB"/>
              </w:rPr>
            </w:pPr>
            <w:r>
              <w:rPr>
                <w:sz w:val="16"/>
                <w:szCs w:val="16"/>
                <w:lang w:eastAsia="en-GB"/>
              </w:rPr>
              <w:t>27</w:t>
            </w:r>
          </w:p>
        </w:tc>
        <w:tc>
          <w:tcPr>
            <w:tcW w:w="364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202A50" w:rsidRDefault="002A0515" w:rsidP="00A54BE4">
            <w:pPr>
              <w:pStyle w:val="TableText"/>
              <w:snapToGrid w:val="0"/>
              <w:ind w:leftChars="28" w:left="382" w:rightChars="71" w:right="142" w:hangingChars="192" w:hanging="326"/>
              <w:rPr>
                <w:i/>
                <w:lang w:eastAsia="it-IT"/>
              </w:rPr>
            </w:pPr>
            <w:r>
              <w:rPr>
                <w:i/>
                <w:lang w:eastAsia="it-IT"/>
              </w:rPr>
              <w:tab/>
            </w:r>
            <w:r w:rsidRPr="00202A50">
              <w:rPr>
                <w:i/>
                <w:lang w:eastAsia="it-IT"/>
              </w:rPr>
              <w:t>Physical traded commoditie</w:t>
            </w:r>
            <w:r>
              <w:rPr>
                <w:i/>
                <w:lang w:eastAsia="it-IT"/>
              </w:rPr>
              <w:t>s, including gold</w:t>
            </w:r>
          </w:p>
        </w:tc>
        <w:tc>
          <w:tcPr>
            <w:tcW w:w="994"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A0515" w:rsidRPr="003B53ED" w:rsidRDefault="002A0515" w:rsidP="00A54BE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A0515" w:rsidRPr="003B53ED" w:rsidRDefault="002A0515" w:rsidP="00A54BE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A0515" w:rsidRPr="003B53ED" w:rsidRDefault="002A0515" w:rsidP="00A54BE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shd w:val="clear" w:color="auto" w:fill="FFFFFF" w:themeFill="background1"/>
          </w:tcPr>
          <w:p w:rsidR="002A0515" w:rsidRDefault="002A0515" w:rsidP="00A54BE4">
            <w:pPr>
              <w:pStyle w:val="TableText"/>
              <w:snapToGrid w:val="0"/>
              <w:ind w:left="57"/>
              <w:rPr>
                <w:sz w:val="16"/>
                <w:szCs w:val="16"/>
                <w:lang w:eastAsia="en-GB"/>
              </w:rPr>
            </w:pPr>
            <w:r>
              <w:rPr>
                <w:sz w:val="16"/>
                <w:szCs w:val="16"/>
                <w:lang w:eastAsia="en-GB"/>
              </w:rPr>
              <w:t>28</w:t>
            </w:r>
          </w:p>
        </w:tc>
        <w:tc>
          <w:tcPr>
            <w:tcW w:w="364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202A50" w:rsidRDefault="002A0515" w:rsidP="00A54BE4">
            <w:pPr>
              <w:pStyle w:val="TableText"/>
              <w:snapToGrid w:val="0"/>
              <w:ind w:leftChars="28" w:left="382" w:rightChars="71" w:right="142" w:hangingChars="192" w:hanging="326"/>
              <w:rPr>
                <w:i/>
                <w:lang w:eastAsia="it-IT"/>
              </w:rPr>
            </w:pPr>
            <w:r>
              <w:rPr>
                <w:i/>
                <w:lang w:eastAsia="it-IT"/>
              </w:rPr>
              <w:tab/>
            </w:r>
            <w:r w:rsidRPr="00202A50">
              <w:rPr>
                <w:i/>
                <w:lang w:eastAsia="it-IT"/>
              </w:rPr>
              <w:t>Assets posted as initial margin for derivative contracts and contrib</w:t>
            </w:r>
            <w:r>
              <w:rPr>
                <w:i/>
                <w:lang w:eastAsia="it-IT"/>
              </w:rPr>
              <w:t>utions to default funds of CCPs</w:t>
            </w:r>
          </w:p>
        </w:tc>
        <w:tc>
          <w:tcPr>
            <w:tcW w:w="994" w:type="dxa"/>
            <w:tcBorders>
              <w:top w:val="single" w:sz="4" w:space="0" w:color="auto"/>
              <w:left w:val="single" w:sz="4" w:space="0" w:color="auto"/>
              <w:bottom w:val="single" w:sz="4" w:space="0" w:color="auto"/>
              <w:right w:val="single" w:sz="4" w:space="0" w:color="auto"/>
            </w:tcBorders>
            <w:shd w:val="clear" w:color="auto" w:fill="auto"/>
          </w:tcPr>
          <w:p w:rsidR="002A0515" w:rsidRPr="002510C1" w:rsidRDefault="002A0515" w:rsidP="00A54BE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A0515" w:rsidRDefault="002A0515" w:rsidP="00A54BE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A0515" w:rsidRPr="008D4929" w:rsidRDefault="002A0515" w:rsidP="00A54BE4">
            <w:pPr>
              <w:ind w:firstLineChars="200" w:firstLine="340"/>
              <w:rPr>
                <w:sz w:val="17"/>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A0515" w:rsidRPr="008D4929" w:rsidRDefault="002A0515" w:rsidP="00A54BE4">
            <w:pPr>
              <w:ind w:firstLineChars="200" w:firstLine="340"/>
              <w:rPr>
                <w:sz w:val="17"/>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shd w:val="clear" w:color="auto" w:fill="FFFFFF" w:themeFill="background1"/>
          </w:tcPr>
          <w:p w:rsidR="002A0515" w:rsidRDefault="002A0515" w:rsidP="00A54BE4">
            <w:pPr>
              <w:pStyle w:val="TableText"/>
              <w:snapToGrid w:val="0"/>
              <w:ind w:left="57"/>
              <w:rPr>
                <w:sz w:val="16"/>
                <w:szCs w:val="16"/>
                <w:lang w:eastAsia="en-GB"/>
              </w:rPr>
            </w:pPr>
            <w:r>
              <w:rPr>
                <w:sz w:val="16"/>
                <w:szCs w:val="16"/>
                <w:lang w:eastAsia="en-GB"/>
              </w:rPr>
              <w:t>29</w:t>
            </w:r>
          </w:p>
        </w:tc>
        <w:tc>
          <w:tcPr>
            <w:tcW w:w="364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202A50" w:rsidRDefault="002A0515" w:rsidP="00A54BE4">
            <w:pPr>
              <w:pStyle w:val="TableText"/>
              <w:snapToGrid w:val="0"/>
              <w:ind w:leftChars="28" w:left="382" w:rightChars="71" w:right="142" w:hangingChars="192" w:hanging="326"/>
              <w:rPr>
                <w:i/>
                <w:lang w:eastAsia="it-IT"/>
              </w:rPr>
            </w:pPr>
            <w:r>
              <w:rPr>
                <w:i/>
                <w:lang w:eastAsia="it-IT"/>
              </w:rPr>
              <w:tab/>
              <w:t>Net derivative assets</w:t>
            </w:r>
          </w:p>
        </w:tc>
        <w:tc>
          <w:tcPr>
            <w:tcW w:w="994" w:type="dxa"/>
            <w:tcBorders>
              <w:top w:val="single" w:sz="4" w:space="0" w:color="auto"/>
              <w:left w:val="single" w:sz="4" w:space="0" w:color="auto"/>
              <w:bottom w:val="single" w:sz="4" w:space="0" w:color="auto"/>
              <w:right w:val="single" w:sz="4" w:space="0" w:color="auto"/>
            </w:tcBorders>
            <w:shd w:val="clear" w:color="auto" w:fill="auto"/>
          </w:tcPr>
          <w:p w:rsidR="002A0515" w:rsidRPr="003B53ED" w:rsidRDefault="002A0515" w:rsidP="00A54BE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A0515" w:rsidRPr="003B53ED" w:rsidRDefault="002A0515" w:rsidP="00A54BE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A0515" w:rsidRPr="003B53ED" w:rsidRDefault="002A0515" w:rsidP="00A54BE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A0515" w:rsidRPr="003B53ED" w:rsidRDefault="002A0515" w:rsidP="00A54BE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shd w:val="clear" w:color="auto" w:fill="FFFFFF" w:themeFill="background1"/>
          </w:tcPr>
          <w:p w:rsidR="002A0515" w:rsidRDefault="002A0515" w:rsidP="00A54BE4">
            <w:pPr>
              <w:pStyle w:val="TableText"/>
              <w:snapToGrid w:val="0"/>
              <w:ind w:left="57"/>
              <w:rPr>
                <w:sz w:val="16"/>
                <w:szCs w:val="16"/>
                <w:lang w:eastAsia="en-GB"/>
              </w:rPr>
            </w:pPr>
            <w:r>
              <w:rPr>
                <w:sz w:val="16"/>
                <w:szCs w:val="16"/>
                <w:lang w:eastAsia="en-GB"/>
              </w:rPr>
              <w:t>30</w:t>
            </w:r>
          </w:p>
        </w:tc>
        <w:tc>
          <w:tcPr>
            <w:tcW w:w="364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202A50" w:rsidRDefault="002A0515" w:rsidP="00A54BE4">
            <w:pPr>
              <w:pStyle w:val="TableText"/>
              <w:snapToGrid w:val="0"/>
              <w:ind w:leftChars="28" w:left="382" w:rightChars="71" w:right="142" w:hangingChars="192" w:hanging="326"/>
              <w:rPr>
                <w:i/>
                <w:lang w:eastAsia="it-IT"/>
              </w:rPr>
            </w:pPr>
            <w:r>
              <w:rPr>
                <w:i/>
                <w:lang w:eastAsia="it-IT"/>
              </w:rPr>
              <w:tab/>
              <w:t xml:space="preserve">Total </w:t>
            </w:r>
            <w:r w:rsidRPr="00202A50">
              <w:rPr>
                <w:i/>
                <w:lang w:eastAsia="it-IT"/>
              </w:rPr>
              <w:t xml:space="preserve">derivative liabilities before </w:t>
            </w:r>
            <w:r>
              <w:rPr>
                <w:i/>
                <w:lang w:eastAsia="it-IT"/>
              </w:rPr>
              <w:t xml:space="preserve">adjustments for </w:t>
            </w:r>
            <w:r w:rsidRPr="00202A50">
              <w:rPr>
                <w:i/>
                <w:lang w:eastAsia="it-IT"/>
              </w:rPr>
              <w:t>deduc</w:t>
            </w:r>
            <w:r>
              <w:rPr>
                <w:i/>
                <w:lang w:eastAsia="it-IT"/>
              </w:rPr>
              <w:t>tion of variation margin posted</w:t>
            </w:r>
          </w:p>
        </w:tc>
        <w:tc>
          <w:tcPr>
            <w:tcW w:w="994" w:type="dxa"/>
            <w:tcBorders>
              <w:top w:val="single" w:sz="4" w:space="0" w:color="auto"/>
              <w:left w:val="single" w:sz="4" w:space="0" w:color="auto"/>
              <w:bottom w:val="single" w:sz="4" w:space="0" w:color="auto"/>
              <w:right w:val="single" w:sz="4" w:space="0" w:color="auto"/>
            </w:tcBorders>
            <w:shd w:val="clear" w:color="auto" w:fill="auto"/>
          </w:tcPr>
          <w:p w:rsidR="002A0515" w:rsidRPr="003B53ED" w:rsidRDefault="002A0515" w:rsidP="00A54BE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A0515" w:rsidRPr="003B53ED" w:rsidRDefault="002A0515" w:rsidP="00A54BE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A0515" w:rsidRPr="003B53ED" w:rsidRDefault="002A0515" w:rsidP="00A54BE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A0515" w:rsidRPr="003B53ED" w:rsidRDefault="002A0515" w:rsidP="00A54BE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shd w:val="clear" w:color="auto" w:fill="FFFFFF" w:themeFill="background1"/>
          </w:tcPr>
          <w:p w:rsidR="002A0515" w:rsidRDefault="002A0515" w:rsidP="00A54BE4">
            <w:pPr>
              <w:pStyle w:val="TableText"/>
              <w:snapToGrid w:val="0"/>
              <w:ind w:left="57"/>
              <w:rPr>
                <w:sz w:val="16"/>
                <w:szCs w:val="16"/>
                <w:lang w:eastAsia="en-GB"/>
              </w:rPr>
            </w:pPr>
            <w:r>
              <w:rPr>
                <w:sz w:val="16"/>
                <w:szCs w:val="16"/>
                <w:lang w:eastAsia="en-GB"/>
              </w:rPr>
              <w:t>31</w:t>
            </w:r>
          </w:p>
        </w:tc>
        <w:tc>
          <w:tcPr>
            <w:tcW w:w="364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202A50" w:rsidRDefault="002A0515" w:rsidP="00A54BE4">
            <w:pPr>
              <w:pStyle w:val="TableText"/>
              <w:snapToGrid w:val="0"/>
              <w:ind w:leftChars="28" w:left="382" w:rightChars="71" w:right="142" w:hangingChars="192" w:hanging="326"/>
              <w:rPr>
                <w:i/>
                <w:lang w:eastAsia="it-IT"/>
              </w:rPr>
            </w:pPr>
            <w:r>
              <w:rPr>
                <w:i/>
                <w:lang w:eastAsia="it-IT"/>
              </w:rPr>
              <w:tab/>
            </w:r>
            <w:r w:rsidRPr="00202A50">
              <w:rPr>
                <w:i/>
                <w:lang w:eastAsia="it-IT"/>
              </w:rPr>
              <w:t>All other assets not i</w:t>
            </w:r>
            <w:r>
              <w:rPr>
                <w:i/>
                <w:lang w:eastAsia="it-IT"/>
              </w:rPr>
              <w:t>ncluded in the above categories</w:t>
            </w:r>
          </w:p>
        </w:tc>
        <w:tc>
          <w:tcPr>
            <w:tcW w:w="994"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3B53ED" w:rsidRDefault="002A0515" w:rsidP="00A54BE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shd w:val="clear" w:color="auto" w:fill="F2F2F2" w:themeFill="background1" w:themeFillShade="F2"/>
          </w:tcPr>
          <w:p w:rsidR="002A0515" w:rsidRDefault="002A0515" w:rsidP="00A54BE4">
            <w:pPr>
              <w:pStyle w:val="TableText"/>
              <w:snapToGrid w:val="0"/>
              <w:ind w:left="57"/>
              <w:rPr>
                <w:sz w:val="16"/>
                <w:szCs w:val="16"/>
                <w:lang w:eastAsia="en-GB"/>
              </w:rPr>
            </w:pPr>
            <w:r>
              <w:rPr>
                <w:sz w:val="16"/>
                <w:szCs w:val="16"/>
                <w:lang w:eastAsia="en-GB"/>
              </w:rPr>
              <w:t>32</w:t>
            </w:r>
          </w:p>
        </w:tc>
        <w:tc>
          <w:tcPr>
            <w:tcW w:w="364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02A50" w:rsidRDefault="002A0515" w:rsidP="00A54BE4">
            <w:pPr>
              <w:pStyle w:val="TableText"/>
              <w:snapToGrid w:val="0"/>
              <w:ind w:left="57" w:rightChars="71" w:right="142"/>
              <w:rPr>
                <w:lang w:eastAsia="it-IT"/>
              </w:rPr>
            </w:pPr>
            <w:r>
              <w:rPr>
                <w:lang w:eastAsia="it-IT"/>
              </w:rPr>
              <w:t>Off-balance sheet items</w:t>
            </w:r>
          </w:p>
        </w:tc>
        <w:tc>
          <w:tcPr>
            <w:tcW w:w="994"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A0515" w:rsidRPr="003B53ED" w:rsidRDefault="002A0515" w:rsidP="00A54BE4">
            <w:pPr>
              <w:pStyle w:val="TableText"/>
              <w:snapToGrid w:val="0"/>
              <w:ind w:left="57"/>
              <w:rPr>
                <w:lang w:eastAsia="it-IT"/>
              </w:rPr>
            </w:pPr>
          </w:p>
        </w:tc>
        <w:tc>
          <w:tcPr>
            <w:tcW w:w="2968"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3B53ED" w:rsidRDefault="002A0515" w:rsidP="00A54BE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shd w:val="clear" w:color="auto" w:fill="FFFFFF" w:themeFill="background1"/>
          </w:tcPr>
          <w:p w:rsidR="002A0515" w:rsidRDefault="002A0515" w:rsidP="00A54BE4">
            <w:pPr>
              <w:pStyle w:val="TableText"/>
              <w:snapToGrid w:val="0"/>
              <w:ind w:left="57"/>
              <w:rPr>
                <w:sz w:val="16"/>
                <w:szCs w:val="16"/>
                <w:lang w:eastAsia="en-GB"/>
              </w:rPr>
            </w:pPr>
            <w:r>
              <w:rPr>
                <w:sz w:val="16"/>
                <w:szCs w:val="16"/>
                <w:lang w:eastAsia="en-GB"/>
              </w:rPr>
              <w:t>33</w:t>
            </w:r>
          </w:p>
        </w:tc>
        <w:tc>
          <w:tcPr>
            <w:tcW w:w="364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202A50" w:rsidRDefault="002A0515" w:rsidP="00A54BE4">
            <w:pPr>
              <w:pStyle w:val="TableText"/>
              <w:snapToGrid w:val="0"/>
              <w:ind w:left="57" w:rightChars="71" w:right="142"/>
              <w:rPr>
                <w:i/>
                <w:iCs/>
                <w:szCs w:val="17"/>
              </w:rPr>
            </w:pPr>
            <w:r>
              <w:rPr>
                <w:b/>
                <w:bCs/>
                <w:szCs w:val="17"/>
              </w:rPr>
              <w:t>Total RSF</w:t>
            </w:r>
          </w:p>
        </w:tc>
        <w:tc>
          <w:tcPr>
            <w:tcW w:w="994"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A0515" w:rsidRPr="003B53ED" w:rsidRDefault="002A0515" w:rsidP="00A54BE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A0515" w:rsidRPr="003B53ED" w:rsidRDefault="002A0515" w:rsidP="00A54BE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A0515" w:rsidRPr="003B53ED" w:rsidRDefault="002A0515" w:rsidP="00A54BE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A0515" w:rsidRPr="003B53ED" w:rsidRDefault="002A0515" w:rsidP="00A54BE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23654F" w:rsidRDefault="002A0515" w:rsidP="00A54BE4">
            <w:pPr>
              <w:pStyle w:val="TableText"/>
              <w:snapToGrid w:val="0"/>
              <w:rPr>
                <w:lang w:eastAsia="it-IT"/>
              </w:rPr>
            </w:pPr>
          </w:p>
        </w:tc>
      </w:tr>
      <w:tr w:rsidR="002A0515" w:rsidRPr="0023654F" w:rsidTr="00A54BE4">
        <w:trPr>
          <w:cantSplit/>
          <w:trHeight w:val="270"/>
        </w:trPr>
        <w:tc>
          <w:tcPr>
            <w:tcW w:w="467" w:type="dxa"/>
            <w:tcBorders>
              <w:top w:val="single" w:sz="4" w:space="0" w:color="auto"/>
              <w:left w:val="nil"/>
              <w:bottom w:val="single" w:sz="4" w:space="0" w:color="auto"/>
              <w:right w:val="single" w:sz="4" w:space="0" w:color="auto"/>
            </w:tcBorders>
            <w:shd w:val="clear" w:color="auto" w:fill="FFFFFF" w:themeFill="background1"/>
          </w:tcPr>
          <w:p w:rsidR="002A0515" w:rsidRDefault="002A0515" w:rsidP="00A54BE4">
            <w:pPr>
              <w:pStyle w:val="TableText"/>
              <w:snapToGrid w:val="0"/>
              <w:ind w:left="57"/>
              <w:rPr>
                <w:sz w:val="16"/>
                <w:szCs w:val="16"/>
                <w:lang w:eastAsia="en-GB"/>
              </w:rPr>
            </w:pPr>
            <w:r>
              <w:rPr>
                <w:sz w:val="16"/>
                <w:szCs w:val="16"/>
                <w:lang w:eastAsia="en-GB"/>
              </w:rPr>
              <w:t>34</w:t>
            </w:r>
          </w:p>
        </w:tc>
        <w:tc>
          <w:tcPr>
            <w:tcW w:w="3643"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202A50" w:rsidRDefault="002A0515" w:rsidP="00A54BE4">
            <w:pPr>
              <w:pStyle w:val="TableText"/>
              <w:snapToGrid w:val="0"/>
              <w:ind w:left="57" w:rightChars="71" w:right="142"/>
              <w:rPr>
                <w:szCs w:val="17"/>
                <w:lang w:eastAsia="it-IT"/>
              </w:rPr>
            </w:pPr>
            <w:r>
              <w:rPr>
                <w:b/>
                <w:bCs/>
                <w:szCs w:val="17"/>
              </w:rPr>
              <w:t>Net Stable Funding Ratio (%)</w:t>
            </w:r>
          </w:p>
        </w:tc>
        <w:tc>
          <w:tcPr>
            <w:tcW w:w="994"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A0515" w:rsidRPr="003B53ED" w:rsidRDefault="002A0515" w:rsidP="00A54BE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A0515" w:rsidRPr="003B53ED" w:rsidRDefault="002A0515" w:rsidP="00A54BE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A0515" w:rsidRPr="003B53ED" w:rsidRDefault="002A0515" w:rsidP="00A54BE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A0515" w:rsidRPr="003B53ED" w:rsidRDefault="002A0515" w:rsidP="00A54BE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Pr>
          <w:p w:rsidR="002A0515" w:rsidRPr="0023654F" w:rsidRDefault="002A0515" w:rsidP="00A54BE4">
            <w:pPr>
              <w:pStyle w:val="TableText"/>
              <w:snapToGrid w:val="0"/>
              <w:rPr>
                <w:lang w:eastAsia="it-IT"/>
              </w:rPr>
            </w:pPr>
          </w:p>
        </w:tc>
      </w:tr>
      <w:tr w:rsidR="002A0515" w:rsidRPr="0023654F" w:rsidTr="00A54BE4">
        <w:trPr>
          <w:cantSplit/>
          <w:trHeight w:val="230"/>
        </w:trPr>
        <w:tc>
          <w:tcPr>
            <w:tcW w:w="9073" w:type="dxa"/>
            <w:gridSpan w:val="7"/>
            <w:tcBorders>
              <w:top w:val="single" w:sz="4" w:space="0" w:color="auto"/>
              <w:left w:val="nil"/>
              <w:bottom w:val="single" w:sz="6" w:space="0" w:color="auto"/>
              <w:right w:val="single" w:sz="6" w:space="0" w:color="auto"/>
            </w:tcBorders>
            <w:shd w:val="clear" w:color="auto" w:fill="FFFFFF" w:themeFill="background1"/>
          </w:tcPr>
          <w:p w:rsidR="002A0515" w:rsidRPr="00182DB9" w:rsidRDefault="002A0515" w:rsidP="00A54BE4">
            <w:pPr>
              <w:pStyle w:val="TableText"/>
              <w:snapToGrid w:val="0"/>
              <w:spacing w:line="240" w:lineRule="exact"/>
              <w:rPr>
                <w:rFonts w:cs="Segoe UI"/>
                <w:i/>
                <w:szCs w:val="17"/>
                <w:lang w:eastAsia="it-IT"/>
              </w:rPr>
            </w:pPr>
            <w:r w:rsidRPr="00182DB9">
              <w:rPr>
                <w:rFonts w:cs="Segoe UI"/>
                <w:i/>
                <w:szCs w:val="17"/>
                <w:lang w:eastAsia="it-IT"/>
              </w:rPr>
              <w:t>Points to note:</w:t>
            </w:r>
          </w:p>
          <w:p w:rsidR="002A0515" w:rsidRPr="00182DB9" w:rsidRDefault="002A0515" w:rsidP="002A0515">
            <w:pPr>
              <w:pStyle w:val="ListParagraph"/>
              <w:widowControl w:val="0"/>
              <w:numPr>
                <w:ilvl w:val="0"/>
                <w:numId w:val="78"/>
              </w:numPr>
              <w:tabs>
                <w:tab w:val="left" w:pos="426"/>
              </w:tabs>
              <w:autoSpaceDE w:val="0"/>
              <w:autoSpaceDN w:val="0"/>
              <w:adjustRightInd w:val="0"/>
              <w:spacing w:line="240" w:lineRule="exact"/>
              <w:ind w:leftChars="0" w:left="426" w:rightChars="71" w:right="142" w:hanging="426"/>
              <w:jc w:val="both"/>
              <w:rPr>
                <w:rFonts w:cs="Segoe UI"/>
                <w:i/>
                <w:sz w:val="17"/>
                <w:szCs w:val="17"/>
                <w:lang w:eastAsia="it-IT"/>
              </w:rPr>
            </w:pPr>
            <w:r w:rsidRPr="00182DB9">
              <w:rPr>
                <w:rFonts w:cs="Segoe UI"/>
                <w:i/>
                <w:sz w:val="17"/>
                <w:szCs w:val="17"/>
                <w:lang w:eastAsia="it-IT"/>
              </w:rPr>
              <w:t>the rows without a numerical row number introduce a section of the NSFR template (i.e. ASF and RSF) and do not require any value to be input;</w:t>
            </w:r>
          </w:p>
          <w:p w:rsidR="002A0515" w:rsidRPr="00182DB9" w:rsidRDefault="002A0515" w:rsidP="002A0515">
            <w:pPr>
              <w:pStyle w:val="ListParagraph"/>
              <w:widowControl w:val="0"/>
              <w:numPr>
                <w:ilvl w:val="0"/>
                <w:numId w:val="78"/>
              </w:numPr>
              <w:tabs>
                <w:tab w:val="left" w:pos="426"/>
              </w:tabs>
              <w:autoSpaceDE w:val="0"/>
              <w:autoSpaceDN w:val="0"/>
              <w:adjustRightInd w:val="0"/>
              <w:spacing w:line="240" w:lineRule="exact"/>
              <w:ind w:leftChars="0" w:left="426" w:rightChars="71" w:right="142" w:hanging="426"/>
              <w:jc w:val="both"/>
              <w:rPr>
                <w:rFonts w:cs="Segoe UI"/>
                <w:i/>
                <w:sz w:val="17"/>
                <w:szCs w:val="17"/>
                <w:lang w:eastAsia="it-IT"/>
              </w:rPr>
            </w:pPr>
            <w:r w:rsidRPr="00182DB9">
              <w:rPr>
                <w:rFonts w:cs="Segoe UI"/>
                <w:i/>
                <w:sz w:val="17"/>
                <w:szCs w:val="17"/>
                <w:lang w:eastAsia="it-IT"/>
              </w:rPr>
              <w:t>the disclosure items shaded in light grey (e.g. rows 1, 4, 7, 10, 11) represent a broad sub-component category of the NSFR in the relevant section;</w:t>
            </w:r>
          </w:p>
          <w:p w:rsidR="002A0515" w:rsidRPr="00182DB9" w:rsidRDefault="002A0515" w:rsidP="002A0515">
            <w:pPr>
              <w:pStyle w:val="ListParagraph"/>
              <w:widowControl w:val="0"/>
              <w:numPr>
                <w:ilvl w:val="0"/>
                <w:numId w:val="78"/>
              </w:numPr>
              <w:tabs>
                <w:tab w:val="left" w:pos="426"/>
              </w:tabs>
              <w:autoSpaceDE w:val="0"/>
              <w:autoSpaceDN w:val="0"/>
              <w:adjustRightInd w:val="0"/>
              <w:spacing w:line="240" w:lineRule="exact"/>
              <w:ind w:leftChars="0" w:left="426" w:rightChars="71" w:right="142" w:hanging="426"/>
              <w:jc w:val="both"/>
              <w:rPr>
                <w:rFonts w:cs="Segoe UI"/>
                <w:i/>
                <w:sz w:val="17"/>
                <w:szCs w:val="17"/>
                <w:lang w:eastAsia="it-IT"/>
              </w:rPr>
            </w:pPr>
            <w:r w:rsidRPr="00182DB9">
              <w:rPr>
                <w:rFonts w:cs="Segoe UI"/>
                <w:i/>
                <w:sz w:val="17"/>
                <w:szCs w:val="17"/>
                <w:lang w:eastAsia="it-IT"/>
              </w:rPr>
              <w:t>the unshaded disclosure items represent a sub-component within the major categories under ASF and RSF items, except that rows 21 and 23 are sub-components of rows 20 and 22, respectively.  See explanatory note below for a more detailed explanation of the composition of such sub-components;</w:t>
            </w:r>
          </w:p>
          <w:p w:rsidR="002A0515" w:rsidRPr="00B529EF" w:rsidRDefault="002A0515" w:rsidP="002A0515">
            <w:pPr>
              <w:pStyle w:val="ListParagraph"/>
              <w:widowControl w:val="0"/>
              <w:numPr>
                <w:ilvl w:val="0"/>
                <w:numId w:val="78"/>
              </w:numPr>
              <w:tabs>
                <w:tab w:val="left" w:pos="426"/>
              </w:tabs>
              <w:autoSpaceDE w:val="0"/>
              <w:autoSpaceDN w:val="0"/>
              <w:adjustRightInd w:val="0"/>
              <w:spacing w:line="240" w:lineRule="exact"/>
              <w:ind w:leftChars="0" w:left="426" w:rightChars="71" w:right="142" w:hanging="426"/>
              <w:jc w:val="both"/>
              <w:rPr>
                <w:i/>
                <w:sz w:val="17"/>
                <w:szCs w:val="17"/>
                <w:lang w:eastAsia="it-IT"/>
              </w:rPr>
            </w:pPr>
            <w:r w:rsidRPr="00182DB9">
              <w:rPr>
                <w:rFonts w:cs="Segoe UI"/>
                <w:i/>
                <w:sz w:val="17"/>
                <w:szCs w:val="17"/>
                <w:lang w:eastAsia="it-IT"/>
              </w:rPr>
              <w:t>no disclosure is required for items shaded in dark grey (i.e. cells 5/a, 6/a, 8/a, 12/b-e, 14/a-d, 27/b-d, 28/b-d, 29/b-d, 30/b-d, 32/a, 33/a-d and 34/a-d).</w:t>
            </w:r>
          </w:p>
        </w:tc>
      </w:tr>
    </w:tbl>
    <w:p w:rsidR="002A0515" w:rsidRDefault="002A0515" w:rsidP="002A0515">
      <w:pPr>
        <w:spacing w:before="120" w:after="120"/>
        <w:ind w:leftChars="-283" w:left="-566"/>
        <w:rPr>
          <w:sz w:val="22"/>
        </w:rPr>
      </w:pPr>
    </w:p>
    <w:tbl>
      <w:tblPr>
        <w:tblStyle w:val="TableGrid"/>
        <w:tblW w:w="9073" w:type="dxa"/>
        <w:tblInd w:w="-318" w:type="dxa"/>
        <w:tblLayout w:type="fixed"/>
        <w:tblLook w:val="04A0" w:firstRow="1" w:lastRow="0" w:firstColumn="1" w:lastColumn="0" w:noHBand="0" w:noVBand="1"/>
      </w:tblPr>
      <w:tblGrid>
        <w:gridCol w:w="568"/>
        <w:gridCol w:w="8505"/>
      </w:tblGrid>
      <w:tr w:rsidR="002A0515" w:rsidRPr="00280717" w:rsidTr="00A54BE4">
        <w:trPr>
          <w:tblHeader/>
        </w:trPr>
        <w:tc>
          <w:tcPr>
            <w:tcW w:w="9073" w:type="dxa"/>
            <w:gridSpan w:val="2"/>
            <w:shd w:val="clear" w:color="auto" w:fill="BFBFBF" w:themeFill="background1" w:themeFillShade="BF"/>
          </w:tcPr>
          <w:p w:rsidR="002A0515" w:rsidRPr="00280717" w:rsidRDefault="002A0515" w:rsidP="00A54BE4">
            <w:pPr>
              <w:spacing w:before="40" w:after="40"/>
              <w:jc w:val="both"/>
              <w:rPr>
                <w:rFonts w:eastAsiaTheme="minorEastAsia"/>
                <w:b/>
                <w:sz w:val="17"/>
                <w:szCs w:val="17"/>
                <w:lang w:eastAsia="en-GB"/>
              </w:rPr>
            </w:pPr>
            <w:r w:rsidRPr="00280717">
              <w:rPr>
                <w:rFonts w:eastAsiaTheme="minorEastAsia"/>
                <w:b/>
                <w:sz w:val="17"/>
                <w:szCs w:val="17"/>
                <w:lang w:eastAsia="en-GB"/>
              </w:rPr>
              <w:t>Explanatory Note</w:t>
            </w:r>
          </w:p>
        </w:tc>
      </w:tr>
      <w:tr w:rsidR="002A0515" w:rsidRPr="00280717" w:rsidTr="00A54BE4">
        <w:trPr>
          <w:trHeight w:val="153"/>
        </w:trPr>
        <w:tc>
          <w:tcPr>
            <w:tcW w:w="9073" w:type="dxa"/>
            <w:gridSpan w:val="2"/>
            <w:shd w:val="clear" w:color="auto" w:fill="F2F2F2" w:themeFill="background1" w:themeFillShade="F2"/>
          </w:tcPr>
          <w:p w:rsidR="002A0515" w:rsidRPr="00280717" w:rsidRDefault="002A0515" w:rsidP="00A54BE4">
            <w:pPr>
              <w:spacing w:before="40" w:after="40"/>
              <w:jc w:val="both"/>
              <w:rPr>
                <w:rFonts w:eastAsiaTheme="minorEastAsia"/>
                <w:b/>
                <w:sz w:val="17"/>
                <w:szCs w:val="17"/>
                <w:lang w:eastAsia="en-GB"/>
              </w:rPr>
            </w:pPr>
            <w:r w:rsidRPr="00280717">
              <w:rPr>
                <w:rFonts w:eastAsiaTheme="minorEastAsia"/>
                <w:b/>
                <w:sz w:val="17"/>
                <w:szCs w:val="17"/>
                <w:lang w:eastAsia="en-GB"/>
              </w:rPr>
              <w:t>Columns</w:t>
            </w:r>
          </w:p>
        </w:tc>
      </w:tr>
      <w:tr w:rsidR="002A0515" w:rsidRPr="0009042A" w:rsidTr="00A54BE4">
        <w:tc>
          <w:tcPr>
            <w:tcW w:w="568" w:type="dxa"/>
          </w:tcPr>
          <w:p w:rsidR="002A0515" w:rsidRPr="000221EB" w:rsidRDefault="002A0515" w:rsidP="00A54BE4">
            <w:pPr>
              <w:keepLines/>
              <w:widowControl w:val="0"/>
              <w:tabs>
                <w:tab w:val="left" w:pos="794"/>
                <w:tab w:val="left" w:pos="1191"/>
              </w:tabs>
              <w:spacing w:before="40" w:after="40"/>
              <w:ind w:rightChars="-54" w:right="-108"/>
              <w:rPr>
                <w:rFonts w:cs="Segoe UI"/>
                <w:sz w:val="17"/>
                <w:szCs w:val="17"/>
                <w:lang w:eastAsia="en-GB"/>
              </w:rPr>
            </w:pPr>
            <w:r>
              <w:rPr>
                <w:rFonts w:cs="Segoe UI"/>
                <w:sz w:val="17"/>
                <w:szCs w:val="17"/>
                <w:lang w:eastAsia="en-GB"/>
              </w:rPr>
              <w:t xml:space="preserve">(a) </w:t>
            </w:r>
            <w:r w:rsidRPr="000221EB">
              <w:rPr>
                <w:rFonts w:cs="Segoe UI"/>
                <w:sz w:val="17"/>
                <w:szCs w:val="17"/>
                <w:lang w:eastAsia="en-GB"/>
              </w:rPr>
              <w:t>to (d)</w:t>
            </w:r>
          </w:p>
        </w:tc>
        <w:tc>
          <w:tcPr>
            <w:tcW w:w="8505" w:type="dxa"/>
          </w:tcPr>
          <w:p w:rsidR="002A0515" w:rsidRPr="00A539ED" w:rsidRDefault="002A0515" w:rsidP="00A54BE4">
            <w:pPr>
              <w:pStyle w:val="TableNote"/>
              <w:spacing w:before="40" w:after="40"/>
              <w:rPr>
                <w:szCs w:val="17"/>
              </w:rPr>
            </w:pPr>
            <w:r w:rsidRPr="000221EB">
              <w:rPr>
                <w:i/>
                <w:sz w:val="17"/>
                <w:szCs w:val="17"/>
              </w:rPr>
              <w:t>Unweighted value by residual maturity</w:t>
            </w:r>
            <w:r>
              <w:rPr>
                <w:sz w:val="17"/>
                <w:szCs w:val="17"/>
              </w:rPr>
              <w:t xml:space="preserve">: values entered in these columns </w:t>
            </w:r>
            <w:r w:rsidRPr="000221EB">
              <w:rPr>
                <w:sz w:val="17"/>
                <w:szCs w:val="17"/>
              </w:rPr>
              <w:t>should be the quarter-end observations of individual line items</w:t>
            </w:r>
            <w:r>
              <w:rPr>
                <w:sz w:val="17"/>
                <w:szCs w:val="17"/>
              </w:rPr>
              <w:t xml:space="preserve"> in accordance with the maturity bands</w:t>
            </w:r>
            <w:r w:rsidRPr="000221EB">
              <w:rPr>
                <w:sz w:val="17"/>
                <w:szCs w:val="17"/>
              </w:rPr>
              <w:t>.</w:t>
            </w:r>
            <w:r>
              <w:rPr>
                <w:sz w:val="17"/>
                <w:szCs w:val="17"/>
              </w:rPr>
              <w:t xml:space="preserve">  </w:t>
            </w:r>
            <w:r w:rsidRPr="000221EB">
              <w:rPr>
                <w:sz w:val="17"/>
                <w:szCs w:val="17"/>
              </w:rPr>
              <w:t>Items to be reported in column (a)</w:t>
            </w:r>
            <w:r>
              <w:rPr>
                <w:sz w:val="17"/>
                <w:szCs w:val="17"/>
              </w:rPr>
              <w:t>, i.e.</w:t>
            </w:r>
            <w:r w:rsidRPr="000221EB">
              <w:rPr>
                <w:sz w:val="17"/>
                <w:szCs w:val="17"/>
              </w:rPr>
              <w:t xml:space="preserve"> the “no </w:t>
            </w:r>
            <w:r>
              <w:rPr>
                <w:sz w:val="17"/>
                <w:szCs w:val="17"/>
              </w:rPr>
              <w:t xml:space="preserve">specified term to </w:t>
            </w:r>
            <w:r w:rsidRPr="000221EB">
              <w:rPr>
                <w:sz w:val="17"/>
                <w:szCs w:val="17"/>
              </w:rPr>
              <w:t>maturity” time bucket</w:t>
            </w:r>
            <w:r>
              <w:rPr>
                <w:sz w:val="17"/>
                <w:szCs w:val="17"/>
              </w:rPr>
              <w:t>,</w:t>
            </w:r>
            <w:r w:rsidRPr="000221EB">
              <w:rPr>
                <w:sz w:val="17"/>
                <w:szCs w:val="17"/>
              </w:rPr>
              <w:t xml:space="preserve"> do not have a stated maturity. </w:t>
            </w:r>
            <w:r>
              <w:rPr>
                <w:sz w:val="17"/>
                <w:szCs w:val="17"/>
              </w:rPr>
              <w:t xml:space="preserve"> </w:t>
            </w:r>
            <w:r w:rsidRPr="000221EB">
              <w:rPr>
                <w:sz w:val="17"/>
                <w:szCs w:val="17"/>
              </w:rPr>
              <w:t xml:space="preserve">These may include, but are not limited to, items such as capital with perpetual maturity, </w:t>
            </w:r>
            <w:r>
              <w:rPr>
                <w:sz w:val="17"/>
                <w:szCs w:val="17"/>
              </w:rPr>
              <w:t xml:space="preserve">collective provisions, net derivative liabilities, currency notes and coins, equities, </w:t>
            </w:r>
            <w:r w:rsidRPr="000221EB">
              <w:rPr>
                <w:sz w:val="17"/>
                <w:szCs w:val="17"/>
              </w:rPr>
              <w:t>physical traded commodities</w:t>
            </w:r>
            <w:r>
              <w:rPr>
                <w:sz w:val="17"/>
                <w:szCs w:val="17"/>
              </w:rPr>
              <w:t>, a</w:t>
            </w:r>
            <w:r w:rsidRPr="00B5481A">
              <w:rPr>
                <w:sz w:val="17"/>
                <w:szCs w:val="17"/>
              </w:rPr>
              <w:t>ssets posted as initial margin for derivative contracts and contributions to default funds of CCPs</w:t>
            </w:r>
            <w:r>
              <w:rPr>
                <w:sz w:val="17"/>
                <w:szCs w:val="17"/>
              </w:rPr>
              <w:t>, net derivative assets and t</w:t>
            </w:r>
            <w:r w:rsidRPr="0009042A">
              <w:rPr>
                <w:sz w:val="17"/>
                <w:szCs w:val="17"/>
              </w:rPr>
              <w:t>otal derivative liabilities before deduction of variation margin posted</w:t>
            </w:r>
            <w:r w:rsidRPr="000221EB">
              <w:rPr>
                <w:sz w:val="17"/>
                <w:szCs w:val="17"/>
              </w:rPr>
              <w:t>.</w:t>
            </w:r>
          </w:p>
        </w:tc>
      </w:tr>
      <w:tr w:rsidR="002A0515" w:rsidRPr="00280717" w:rsidTr="00A54BE4">
        <w:tc>
          <w:tcPr>
            <w:tcW w:w="568" w:type="dxa"/>
          </w:tcPr>
          <w:p w:rsidR="002A0515" w:rsidRPr="00460313" w:rsidRDefault="002A0515" w:rsidP="00A54BE4">
            <w:pPr>
              <w:keepLines/>
              <w:widowControl w:val="0"/>
              <w:tabs>
                <w:tab w:val="left" w:pos="150"/>
                <w:tab w:val="left" w:pos="397"/>
                <w:tab w:val="left" w:pos="794"/>
                <w:tab w:val="left" w:pos="1191"/>
              </w:tabs>
              <w:spacing w:before="40" w:after="40"/>
              <w:rPr>
                <w:sz w:val="17"/>
              </w:rPr>
            </w:pPr>
            <w:r w:rsidRPr="00280717">
              <w:rPr>
                <w:rFonts w:cs="Segoe UI"/>
                <w:sz w:val="17"/>
                <w:szCs w:val="17"/>
                <w:lang w:eastAsia="en-GB"/>
              </w:rPr>
              <w:t>(</w:t>
            </w:r>
            <w:r>
              <w:rPr>
                <w:rFonts w:cs="Segoe UI"/>
                <w:sz w:val="17"/>
                <w:szCs w:val="17"/>
                <w:lang w:eastAsia="en-GB"/>
              </w:rPr>
              <w:t>e</w:t>
            </w:r>
            <w:r w:rsidRPr="00280717">
              <w:rPr>
                <w:rFonts w:cs="Segoe UI"/>
                <w:sz w:val="17"/>
                <w:szCs w:val="17"/>
                <w:lang w:eastAsia="en-GB"/>
              </w:rPr>
              <w:t>)</w:t>
            </w:r>
          </w:p>
        </w:tc>
        <w:tc>
          <w:tcPr>
            <w:tcW w:w="8505" w:type="dxa"/>
          </w:tcPr>
          <w:p w:rsidR="002A0515" w:rsidRPr="00A539ED" w:rsidRDefault="002A0515" w:rsidP="00A54BE4">
            <w:pPr>
              <w:pStyle w:val="TableNote"/>
              <w:spacing w:before="40" w:after="40"/>
              <w:rPr>
                <w:sz w:val="17"/>
                <w:szCs w:val="17"/>
              </w:rPr>
            </w:pPr>
            <w:r>
              <w:rPr>
                <w:i/>
                <w:sz w:val="17"/>
                <w:szCs w:val="17"/>
              </w:rPr>
              <w:t>Weighted amount</w:t>
            </w:r>
            <w:r>
              <w:rPr>
                <w:sz w:val="17"/>
                <w:szCs w:val="17"/>
              </w:rPr>
              <w:t>: values</w:t>
            </w:r>
            <w:r w:rsidRPr="00FD63DB">
              <w:rPr>
                <w:sz w:val="17"/>
                <w:szCs w:val="17"/>
              </w:rPr>
              <w:t xml:space="preserve"> entered in </w:t>
            </w:r>
            <w:r>
              <w:rPr>
                <w:sz w:val="17"/>
                <w:szCs w:val="17"/>
              </w:rPr>
              <w:t>this</w:t>
            </w:r>
            <w:r w:rsidRPr="00FD63DB">
              <w:rPr>
                <w:sz w:val="17"/>
                <w:szCs w:val="17"/>
              </w:rPr>
              <w:t xml:space="preserve"> column are </w:t>
            </w:r>
            <w:r>
              <w:rPr>
                <w:sz w:val="17"/>
                <w:szCs w:val="17"/>
              </w:rPr>
              <w:t>calculated</w:t>
            </w:r>
            <w:r w:rsidRPr="00FD63DB">
              <w:rPr>
                <w:sz w:val="17"/>
                <w:szCs w:val="17"/>
              </w:rPr>
              <w:t xml:space="preserve"> in accordance with </w:t>
            </w:r>
            <w:r>
              <w:rPr>
                <w:sz w:val="17"/>
                <w:szCs w:val="17"/>
              </w:rPr>
              <w:t>Part 9 of the BLR.</w:t>
            </w:r>
          </w:p>
        </w:tc>
      </w:tr>
      <w:tr w:rsidR="002A0515" w:rsidRPr="00280717" w:rsidTr="00A54BE4">
        <w:trPr>
          <w:trHeight w:val="373"/>
        </w:trPr>
        <w:tc>
          <w:tcPr>
            <w:tcW w:w="9073" w:type="dxa"/>
            <w:gridSpan w:val="2"/>
            <w:shd w:val="clear" w:color="auto" w:fill="F2F2F2" w:themeFill="background1" w:themeFillShade="F2"/>
          </w:tcPr>
          <w:p w:rsidR="002A0515" w:rsidRPr="00A539ED" w:rsidRDefault="002A0515" w:rsidP="00A54BE4">
            <w:pPr>
              <w:pStyle w:val="TableNote"/>
              <w:spacing w:before="40" w:after="40"/>
              <w:rPr>
                <w:i/>
                <w:sz w:val="17"/>
                <w:szCs w:val="17"/>
              </w:rPr>
            </w:pPr>
            <w:r>
              <w:rPr>
                <w:rFonts w:eastAsiaTheme="minorEastAsia"/>
                <w:b/>
                <w:sz w:val="17"/>
                <w:szCs w:val="17"/>
                <w:lang w:eastAsia="en-GB"/>
              </w:rPr>
              <w:t>Row</w:t>
            </w:r>
            <w:r w:rsidRPr="00280717">
              <w:rPr>
                <w:rFonts w:eastAsiaTheme="minorEastAsia"/>
                <w:b/>
                <w:sz w:val="17"/>
                <w:szCs w:val="17"/>
                <w:lang w:eastAsia="en-GB"/>
              </w:rPr>
              <w:t>s</w:t>
            </w:r>
          </w:p>
        </w:tc>
      </w:tr>
      <w:tr w:rsidR="002A0515" w:rsidRPr="00280717" w:rsidTr="00A54BE4">
        <w:trPr>
          <w:trHeight w:val="373"/>
        </w:trPr>
        <w:tc>
          <w:tcPr>
            <w:tcW w:w="568" w:type="dxa"/>
          </w:tcPr>
          <w:p w:rsidR="002A0515" w:rsidRPr="00280717"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w:t>
            </w:r>
          </w:p>
        </w:tc>
        <w:tc>
          <w:tcPr>
            <w:tcW w:w="8505" w:type="dxa"/>
          </w:tcPr>
          <w:p w:rsidR="002A0515" w:rsidRPr="00E636CC" w:rsidRDefault="002A0515" w:rsidP="00A54BE4">
            <w:pPr>
              <w:pStyle w:val="TableNote"/>
              <w:spacing w:before="40" w:after="40"/>
              <w:rPr>
                <w:sz w:val="17"/>
                <w:szCs w:val="17"/>
              </w:rPr>
            </w:pPr>
            <w:r w:rsidRPr="000B03B8">
              <w:rPr>
                <w:i/>
                <w:sz w:val="17"/>
                <w:szCs w:val="17"/>
              </w:rPr>
              <w:t>Capital</w:t>
            </w:r>
            <w:r>
              <w:rPr>
                <w:sz w:val="17"/>
                <w:szCs w:val="17"/>
              </w:rPr>
              <w:t>:</w:t>
            </w:r>
            <w:r w:rsidRPr="00E636CC">
              <w:rPr>
                <w:sz w:val="17"/>
                <w:szCs w:val="17"/>
              </w:rPr>
              <w:t xml:space="preserve"> the sum of </w:t>
            </w:r>
            <w:r>
              <w:rPr>
                <w:sz w:val="17"/>
                <w:szCs w:val="17"/>
              </w:rPr>
              <w:t xml:space="preserve">values in </w:t>
            </w:r>
            <w:r w:rsidRPr="00E636CC">
              <w:rPr>
                <w:sz w:val="17"/>
                <w:szCs w:val="17"/>
              </w:rPr>
              <w:t>rows 2</w:t>
            </w:r>
            <w:r>
              <w:rPr>
                <w:sz w:val="17"/>
                <w:szCs w:val="17"/>
              </w:rPr>
              <w:t xml:space="preserve"> to 3.</w:t>
            </w:r>
          </w:p>
        </w:tc>
      </w:tr>
      <w:tr w:rsidR="002A0515" w:rsidRPr="00280717" w:rsidTr="00A54BE4">
        <w:trPr>
          <w:trHeight w:val="373"/>
        </w:trPr>
        <w:tc>
          <w:tcPr>
            <w:tcW w:w="568"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w:t>
            </w:r>
          </w:p>
        </w:tc>
        <w:tc>
          <w:tcPr>
            <w:tcW w:w="8505" w:type="dxa"/>
          </w:tcPr>
          <w:p w:rsidR="002A0515" w:rsidRPr="00E636CC" w:rsidRDefault="002A0515" w:rsidP="00A54BE4">
            <w:pPr>
              <w:keepLines/>
              <w:widowControl w:val="0"/>
              <w:tabs>
                <w:tab w:val="left" w:pos="150"/>
                <w:tab w:val="left" w:pos="397"/>
                <w:tab w:val="left" w:pos="794"/>
                <w:tab w:val="left" w:pos="1191"/>
              </w:tabs>
              <w:spacing w:before="40" w:after="40"/>
              <w:jc w:val="both"/>
              <w:rPr>
                <w:sz w:val="17"/>
                <w:szCs w:val="17"/>
              </w:rPr>
            </w:pPr>
            <w:r w:rsidRPr="000B03B8">
              <w:rPr>
                <w:i/>
                <w:sz w:val="17"/>
                <w:szCs w:val="17"/>
              </w:rPr>
              <w:t>Regulatory capital</w:t>
            </w:r>
            <w:r>
              <w:rPr>
                <w:sz w:val="17"/>
                <w:szCs w:val="17"/>
              </w:rPr>
              <w:t>:</w:t>
            </w:r>
            <w:r w:rsidRPr="00E636CC">
              <w:rPr>
                <w:sz w:val="17"/>
                <w:szCs w:val="17"/>
              </w:rPr>
              <w:t xml:space="preserve"> </w:t>
            </w:r>
            <w:r>
              <w:rPr>
                <w:sz w:val="17"/>
                <w:szCs w:val="17"/>
              </w:rPr>
              <w:t xml:space="preserve">CET1 capital, Additional Tier 1 capital and Tier 2 capital as defined by Part 3 of the BCR </w:t>
            </w:r>
            <w:r w:rsidRPr="00E636CC">
              <w:rPr>
                <w:sz w:val="17"/>
                <w:szCs w:val="17"/>
              </w:rPr>
              <w:t xml:space="preserve">before the application of </w:t>
            </w:r>
            <w:r>
              <w:rPr>
                <w:sz w:val="17"/>
                <w:szCs w:val="17"/>
              </w:rPr>
              <w:t xml:space="preserve">any regulatory adjustments required by the BCR.  Capital instruments that will be phased out for regulatory capital purposes after completion of the transitional arrangements as referred to in section 5, Schedule 4H to the BCR should not be included in this row.  However, these capital instruments may be reported under row 2a or 3 where appropriate.  To avoid doubt, the aggregated amount of total Tier 1 capital can be reported under the time bucket of “No specified term to maturity” (i.e. column (a)). </w:t>
            </w:r>
          </w:p>
        </w:tc>
      </w:tr>
      <w:tr w:rsidR="002A0515" w:rsidRPr="00280717" w:rsidTr="00A54BE4">
        <w:trPr>
          <w:trHeight w:val="373"/>
        </w:trPr>
        <w:tc>
          <w:tcPr>
            <w:tcW w:w="568" w:type="dxa"/>
            <w:shd w:val="clear" w:color="auto" w:fill="auto"/>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2a</w:t>
            </w:r>
          </w:p>
        </w:tc>
        <w:tc>
          <w:tcPr>
            <w:tcW w:w="8505" w:type="dxa"/>
          </w:tcPr>
          <w:p w:rsidR="002A0515" w:rsidRPr="000B03B8" w:rsidRDefault="002A0515" w:rsidP="00A54BE4">
            <w:pPr>
              <w:keepLines/>
              <w:widowControl w:val="0"/>
              <w:tabs>
                <w:tab w:val="left" w:pos="150"/>
                <w:tab w:val="left" w:pos="397"/>
                <w:tab w:val="left" w:pos="794"/>
                <w:tab w:val="left" w:pos="1191"/>
              </w:tabs>
              <w:spacing w:before="40" w:after="40"/>
              <w:jc w:val="both"/>
              <w:rPr>
                <w:i/>
                <w:sz w:val="17"/>
                <w:szCs w:val="17"/>
              </w:rPr>
            </w:pPr>
            <w:r w:rsidRPr="00C30CB6">
              <w:rPr>
                <w:i/>
                <w:sz w:val="17"/>
                <w:szCs w:val="17"/>
              </w:rPr>
              <w:t xml:space="preserve">Minority interests not covered by </w:t>
            </w:r>
            <w:r>
              <w:rPr>
                <w:i/>
                <w:sz w:val="17"/>
                <w:szCs w:val="17"/>
              </w:rPr>
              <w:t>row</w:t>
            </w:r>
            <w:r w:rsidRPr="00C30CB6">
              <w:rPr>
                <w:i/>
                <w:sz w:val="17"/>
                <w:szCs w:val="17"/>
              </w:rPr>
              <w:t xml:space="preserve"> 2</w:t>
            </w:r>
            <w:r>
              <w:rPr>
                <w:i/>
                <w:sz w:val="17"/>
                <w:szCs w:val="17"/>
              </w:rPr>
              <w:t xml:space="preserve">: </w:t>
            </w:r>
            <w:r>
              <w:rPr>
                <w:sz w:val="17"/>
                <w:szCs w:val="17"/>
              </w:rPr>
              <w:t>if there is any minority interest that has a specified term to maturity, report it under the relevant column.  Otherwise, report under the time bucket of “No specified term to maturity” (i.e. column (a)).</w:t>
            </w:r>
          </w:p>
        </w:tc>
      </w:tr>
      <w:tr w:rsidR="002A0515" w:rsidRPr="00280717" w:rsidTr="00A54BE4">
        <w:trPr>
          <w:trHeight w:val="373"/>
        </w:trPr>
        <w:tc>
          <w:tcPr>
            <w:tcW w:w="568" w:type="dxa"/>
            <w:shd w:val="clear" w:color="auto" w:fill="auto"/>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3</w:t>
            </w:r>
          </w:p>
        </w:tc>
        <w:tc>
          <w:tcPr>
            <w:tcW w:w="8505" w:type="dxa"/>
          </w:tcPr>
          <w:p w:rsidR="002A0515" w:rsidRPr="00BE7677" w:rsidRDefault="002A0515" w:rsidP="00A54BE4">
            <w:pPr>
              <w:keepLines/>
              <w:widowControl w:val="0"/>
              <w:tabs>
                <w:tab w:val="left" w:pos="150"/>
                <w:tab w:val="left" w:pos="397"/>
                <w:tab w:val="left" w:pos="794"/>
                <w:tab w:val="left" w:pos="1191"/>
              </w:tabs>
              <w:spacing w:before="40" w:after="40"/>
              <w:jc w:val="both"/>
              <w:rPr>
                <w:sz w:val="17"/>
                <w:szCs w:val="17"/>
              </w:rPr>
            </w:pPr>
            <w:r w:rsidRPr="000B03B8">
              <w:rPr>
                <w:i/>
                <w:sz w:val="17"/>
                <w:szCs w:val="17"/>
              </w:rPr>
              <w:t>Other capital instruments</w:t>
            </w:r>
            <w:r>
              <w:rPr>
                <w:sz w:val="17"/>
                <w:szCs w:val="17"/>
              </w:rPr>
              <w:t>: t</w:t>
            </w:r>
            <w:r w:rsidRPr="00CA2D12">
              <w:rPr>
                <w:sz w:val="17"/>
                <w:szCs w:val="17"/>
              </w:rPr>
              <w:t>otal amount of any capital instruments not included in row 2</w:t>
            </w:r>
            <w:r>
              <w:rPr>
                <w:sz w:val="17"/>
                <w:szCs w:val="17"/>
              </w:rPr>
              <w:t xml:space="preserve"> or 2a</w:t>
            </w:r>
            <w:r w:rsidRPr="00CA2D12">
              <w:rPr>
                <w:sz w:val="17"/>
                <w:szCs w:val="17"/>
              </w:rPr>
              <w:t>.</w:t>
            </w:r>
            <w:r>
              <w:rPr>
                <w:sz w:val="17"/>
                <w:szCs w:val="17"/>
              </w:rPr>
              <w:t xml:space="preserve"> </w:t>
            </w:r>
          </w:p>
        </w:tc>
      </w:tr>
      <w:tr w:rsidR="002A0515" w:rsidRPr="00280717" w:rsidTr="00A54BE4">
        <w:trPr>
          <w:trHeight w:val="373"/>
        </w:trPr>
        <w:tc>
          <w:tcPr>
            <w:tcW w:w="568"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4</w:t>
            </w:r>
          </w:p>
        </w:tc>
        <w:tc>
          <w:tcPr>
            <w:tcW w:w="8505" w:type="dxa"/>
          </w:tcPr>
          <w:p w:rsidR="002A0515" w:rsidRPr="003E1934" w:rsidRDefault="002A0515" w:rsidP="00A54BE4">
            <w:pPr>
              <w:keepLines/>
              <w:widowControl w:val="0"/>
              <w:tabs>
                <w:tab w:val="left" w:pos="150"/>
                <w:tab w:val="left" w:pos="397"/>
                <w:tab w:val="left" w:pos="794"/>
                <w:tab w:val="left" w:pos="1191"/>
              </w:tabs>
              <w:spacing w:before="40" w:after="40"/>
              <w:jc w:val="both"/>
              <w:rPr>
                <w:sz w:val="17"/>
                <w:szCs w:val="17"/>
              </w:rPr>
            </w:pPr>
            <w:r w:rsidRPr="000B03B8">
              <w:rPr>
                <w:i/>
                <w:sz w:val="17"/>
                <w:szCs w:val="17"/>
              </w:rPr>
              <w:t>Retail deposits and small business funding</w:t>
            </w:r>
            <w:r>
              <w:rPr>
                <w:sz w:val="17"/>
                <w:szCs w:val="17"/>
              </w:rPr>
              <w:t>:</w:t>
            </w:r>
            <w:r w:rsidRPr="00CA2D12">
              <w:rPr>
                <w:sz w:val="17"/>
                <w:szCs w:val="17"/>
              </w:rPr>
              <w:t xml:space="preserve"> as defined in </w:t>
            </w:r>
            <w:r>
              <w:rPr>
                <w:sz w:val="17"/>
                <w:szCs w:val="17"/>
              </w:rPr>
              <w:t>BLR rule 39,</w:t>
            </w:r>
            <w:r w:rsidRPr="00CA2D12">
              <w:rPr>
                <w:sz w:val="17"/>
                <w:szCs w:val="17"/>
              </w:rPr>
              <w:t xml:space="preserve"> </w:t>
            </w:r>
            <w:r>
              <w:rPr>
                <w:sz w:val="17"/>
                <w:szCs w:val="17"/>
              </w:rPr>
              <w:t xml:space="preserve">which </w:t>
            </w:r>
            <w:r w:rsidRPr="00CA2D12">
              <w:rPr>
                <w:sz w:val="17"/>
                <w:szCs w:val="17"/>
              </w:rPr>
              <w:t xml:space="preserve">are </w:t>
            </w:r>
            <w:r>
              <w:rPr>
                <w:sz w:val="17"/>
                <w:szCs w:val="17"/>
              </w:rPr>
              <w:t xml:space="preserve">equal to </w:t>
            </w:r>
            <w:r w:rsidRPr="00CA2D12">
              <w:rPr>
                <w:sz w:val="17"/>
                <w:szCs w:val="17"/>
              </w:rPr>
              <w:t xml:space="preserve">the sum of </w:t>
            </w:r>
            <w:r>
              <w:rPr>
                <w:sz w:val="17"/>
                <w:szCs w:val="17"/>
              </w:rPr>
              <w:t xml:space="preserve">values in </w:t>
            </w:r>
            <w:r w:rsidRPr="00CA2D12">
              <w:rPr>
                <w:sz w:val="17"/>
                <w:szCs w:val="17"/>
              </w:rPr>
              <w:t>row</w:t>
            </w:r>
            <w:r>
              <w:rPr>
                <w:sz w:val="17"/>
                <w:szCs w:val="17"/>
              </w:rPr>
              <w:t>s</w:t>
            </w:r>
            <w:r w:rsidRPr="00CA2D12">
              <w:rPr>
                <w:sz w:val="17"/>
                <w:szCs w:val="17"/>
              </w:rPr>
              <w:t xml:space="preserve"> 5 and 6.</w:t>
            </w:r>
          </w:p>
        </w:tc>
      </w:tr>
      <w:tr w:rsidR="002A0515" w:rsidRPr="00280717" w:rsidTr="00A54BE4">
        <w:trPr>
          <w:trHeight w:val="373"/>
        </w:trPr>
        <w:tc>
          <w:tcPr>
            <w:tcW w:w="568"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5</w:t>
            </w:r>
          </w:p>
        </w:tc>
        <w:tc>
          <w:tcPr>
            <w:tcW w:w="8505" w:type="dxa"/>
          </w:tcPr>
          <w:p w:rsidR="002A0515" w:rsidRPr="00BE7677" w:rsidRDefault="002A0515" w:rsidP="00A54BE4">
            <w:pPr>
              <w:keepLines/>
              <w:widowControl w:val="0"/>
              <w:tabs>
                <w:tab w:val="left" w:pos="150"/>
                <w:tab w:val="left" w:pos="397"/>
                <w:tab w:val="left" w:pos="794"/>
                <w:tab w:val="left" w:pos="1191"/>
              </w:tabs>
              <w:spacing w:before="40" w:after="40"/>
              <w:jc w:val="both"/>
              <w:rPr>
                <w:sz w:val="17"/>
                <w:szCs w:val="17"/>
              </w:rPr>
            </w:pPr>
            <w:r w:rsidRPr="000B03B8">
              <w:rPr>
                <w:i/>
                <w:sz w:val="17"/>
                <w:szCs w:val="17"/>
              </w:rPr>
              <w:t>Stable deposits</w:t>
            </w:r>
            <w:r>
              <w:rPr>
                <w:sz w:val="17"/>
                <w:szCs w:val="17"/>
              </w:rPr>
              <w:t>: they</w:t>
            </w:r>
            <w:r w:rsidRPr="004F6511">
              <w:rPr>
                <w:sz w:val="17"/>
                <w:szCs w:val="17"/>
              </w:rPr>
              <w:t xml:space="preserve"> comprise </w:t>
            </w:r>
            <w:r>
              <w:rPr>
                <w:sz w:val="17"/>
                <w:szCs w:val="17"/>
              </w:rPr>
              <w:t xml:space="preserve">stable retail deposits and stable small business funding, </w:t>
            </w:r>
            <w:r w:rsidRPr="004F6511">
              <w:rPr>
                <w:sz w:val="17"/>
                <w:szCs w:val="17"/>
              </w:rPr>
              <w:t xml:space="preserve">as defined in the </w:t>
            </w:r>
            <w:r>
              <w:rPr>
                <w:sz w:val="17"/>
                <w:szCs w:val="17"/>
              </w:rPr>
              <w:t>BLR</w:t>
            </w:r>
            <w:r w:rsidRPr="004F6511">
              <w:rPr>
                <w:sz w:val="17"/>
                <w:szCs w:val="17"/>
              </w:rPr>
              <w:t>.</w:t>
            </w:r>
          </w:p>
        </w:tc>
      </w:tr>
      <w:tr w:rsidR="002A0515" w:rsidRPr="00280717" w:rsidTr="00A54BE4">
        <w:trPr>
          <w:trHeight w:val="373"/>
        </w:trPr>
        <w:tc>
          <w:tcPr>
            <w:tcW w:w="568"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6</w:t>
            </w:r>
          </w:p>
        </w:tc>
        <w:tc>
          <w:tcPr>
            <w:tcW w:w="8505" w:type="dxa"/>
          </w:tcPr>
          <w:p w:rsidR="002A0515" w:rsidRPr="00986D2D" w:rsidRDefault="002A0515" w:rsidP="00A54BE4">
            <w:pPr>
              <w:keepLines/>
              <w:widowControl w:val="0"/>
              <w:tabs>
                <w:tab w:val="left" w:pos="150"/>
                <w:tab w:val="left" w:pos="397"/>
                <w:tab w:val="left" w:pos="794"/>
                <w:tab w:val="left" w:pos="1191"/>
              </w:tabs>
              <w:spacing w:before="40" w:after="40"/>
              <w:jc w:val="both"/>
              <w:rPr>
                <w:sz w:val="17"/>
                <w:szCs w:val="17"/>
              </w:rPr>
            </w:pPr>
            <w:r w:rsidRPr="000B03B8">
              <w:rPr>
                <w:i/>
                <w:sz w:val="17"/>
                <w:szCs w:val="17"/>
              </w:rPr>
              <w:t>Less stable deposits</w:t>
            </w:r>
            <w:r>
              <w:rPr>
                <w:sz w:val="17"/>
                <w:szCs w:val="17"/>
              </w:rPr>
              <w:t>: they</w:t>
            </w:r>
            <w:r w:rsidRPr="00986D2D">
              <w:rPr>
                <w:sz w:val="17"/>
                <w:szCs w:val="17"/>
              </w:rPr>
              <w:t xml:space="preserve"> comprise </w:t>
            </w:r>
            <w:r>
              <w:rPr>
                <w:sz w:val="17"/>
                <w:szCs w:val="17"/>
              </w:rPr>
              <w:t xml:space="preserve">retail deposits and small business funding </w:t>
            </w:r>
            <w:r w:rsidRPr="00986D2D">
              <w:rPr>
                <w:sz w:val="17"/>
                <w:szCs w:val="17"/>
              </w:rPr>
              <w:t xml:space="preserve">as defined in the </w:t>
            </w:r>
            <w:r>
              <w:rPr>
                <w:sz w:val="17"/>
                <w:szCs w:val="17"/>
              </w:rPr>
              <w:t>BLR but not already covered by row 5 above</w:t>
            </w:r>
            <w:r w:rsidRPr="00986D2D">
              <w:rPr>
                <w:sz w:val="17"/>
                <w:szCs w:val="17"/>
              </w:rPr>
              <w:t>.</w:t>
            </w:r>
          </w:p>
        </w:tc>
      </w:tr>
      <w:tr w:rsidR="002A0515" w:rsidRPr="00280717" w:rsidTr="00A54BE4">
        <w:trPr>
          <w:trHeight w:val="373"/>
        </w:trPr>
        <w:tc>
          <w:tcPr>
            <w:tcW w:w="568"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7</w:t>
            </w:r>
          </w:p>
        </w:tc>
        <w:tc>
          <w:tcPr>
            <w:tcW w:w="8505" w:type="dxa"/>
          </w:tcPr>
          <w:p w:rsidR="002A0515" w:rsidRPr="001B4B35" w:rsidRDefault="002A0515" w:rsidP="00A54BE4">
            <w:pPr>
              <w:keepLines/>
              <w:widowControl w:val="0"/>
              <w:tabs>
                <w:tab w:val="left" w:pos="150"/>
                <w:tab w:val="left" w:pos="397"/>
                <w:tab w:val="left" w:pos="794"/>
                <w:tab w:val="left" w:pos="1191"/>
              </w:tabs>
              <w:spacing w:before="40" w:after="40"/>
              <w:jc w:val="both"/>
              <w:rPr>
                <w:sz w:val="17"/>
                <w:szCs w:val="17"/>
              </w:rPr>
            </w:pPr>
            <w:r w:rsidRPr="000B03B8">
              <w:rPr>
                <w:i/>
                <w:sz w:val="17"/>
                <w:szCs w:val="17"/>
              </w:rPr>
              <w:t>Wholesale funding</w:t>
            </w:r>
            <w:r>
              <w:rPr>
                <w:sz w:val="17"/>
                <w:szCs w:val="17"/>
              </w:rPr>
              <w:t>:</w:t>
            </w:r>
            <w:r w:rsidRPr="00986D2D">
              <w:rPr>
                <w:sz w:val="17"/>
                <w:szCs w:val="17"/>
              </w:rPr>
              <w:t xml:space="preserve"> the sum of </w:t>
            </w:r>
            <w:r>
              <w:rPr>
                <w:sz w:val="17"/>
                <w:szCs w:val="17"/>
              </w:rPr>
              <w:t xml:space="preserve">values in </w:t>
            </w:r>
            <w:r w:rsidRPr="00986D2D">
              <w:rPr>
                <w:sz w:val="17"/>
                <w:szCs w:val="17"/>
              </w:rPr>
              <w:t>rows 8 and 9.</w:t>
            </w:r>
          </w:p>
        </w:tc>
      </w:tr>
      <w:tr w:rsidR="002A0515" w:rsidRPr="00280717" w:rsidTr="00A54BE4">
        <w:trPr>
          <w:trHeight w:val="373"/>
        </w:trPr>
        <w:tc>
          <w:tcPr>
            <w:tcW w:w="568"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8</w:t>
            </w:r>
          </w:p>
        </w:tc>
        <w:tc>
          <w:tcPr>
            <w:tcW w:w="8505" w:type="dxa"/>
          </w:tcPr>
          <w:p w:rsidR="002A0515" w:rsidRPr="00BE7677" w:rsidRDefault="002A0515" w:rsidP="00A54BE4">
            <w:pPr>
              <w:keepLines/>
              <w:widowControl w:val="0"/>
              <w:tabs>
                <w:tab w:val="left" w:pos="150"/>
                <w:tab w:val="left" w:pos="397"/>
                <w:tab w:val="left" w:pos="794"/>
                <w:tab w:val="left" w:pos="1191"/>
              </w:tabs>
              <w:spacing w:before="40" w:after="40"/>
              <w:jc w:val="both"/>
              <w:rPr>
                <w:sz w:val="17"/>
                <w:szCs w:val="17"/>
              </w:rPr>
            </w:pPr>
            <w:r w:rsidRPr="000B03B8">
              <w:rPr>
                <w:i/>
                <w:sz w:val="17"/>
                <w:szCs w:val="17"/>
              </w:rPr>
              <w:t>Operational deposits</w:t>
            </w:r>
            <w:r>
              <w:rPr>
                <w:sz w:val="17"/>
                <w:szCs w:val="17"/>
              </w:rPr>
              <w:t>:</w:t>
            </w:r>
            <w:r w:rsidRPr="00986D2D">
              <w:rPr>
                <w:sz w:val="17"/>
                <w:szCs w:val="17"/>
              </w:rPr>
              <w:t xml:space="preserve"> as defined in </w:t>
            </w:r>
            <w:r>
              <w:rPr>
                <w:sz w:val="17"/>
                <w:szCs w:val="17"/>
              </w:rPr>
              <w:t xml:space="preserve">BLR </w:t>
            </w:r>
            <w:r w:rsidRPr="000E3B3D">
              <w:rPr>
                <w:sz w:val="17"/>
                <w:szCs w:val="17"/>
              </w:rPr>
              <w:t>rule 39</w:t>
            </w:r>
            <w:r>
              <w:rPr>
                <w:sz w:val="17"/>
                <w:szCs w:val="17"/>
              </w:rPr>
              <w:t>.</w:t>
            </w:r>
          </w:p>
        </w:tc>
      </w:tr>
      <w:tr w:rsidR="002A0515" w:rsidRPr="00280717" w:rsidTr="00A54BE4">
        <w:trPr>
          <w:trHeight w:val="373"/>
        </w:trPr>
        <w:tc>
          <w:tcPr>
            <w:tcW w:w="568"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9</w:t>
            </w:r>
          </w:p>
        </w:tc>
        <w:tc>
          <w:tcPr>
            <w:tcW w:w="8505" w:type="dxa"/>
          </w:tcPr>
          <w:p w:rsidR="002A0515" w:rsidRPr="00BE7677" w:rsidRDefault="002A0515" w:rsidP="00A54BE4">
            <w:pPr>
              <w:keepLines/>
              <w:widowControl w:val="0"/>
              <w:tabs>
                <w:tab w:val="left" w:pos="150"/>
                <w:tab w:val="left" w:pos="397"/>
                <w:tab w:val="left" w:pos="794"/>
                <w:tab w:val="left" w:pos="1191"/>
              </w:tabs>
              <w:spacing w:before="40" w:after="40"/>
              <w:jc w:val="both"/>
              <w:rPr>
                <w:sz w:val="17"/>
                <w:szCs w:val="17"/>
              </w:rPr>
            </w:pPr>
            <w:r w:rsidRPr="000B03B8">
              <w:rPr>
                <w:i/>
                <w:sz w:val="17"/>
                <w:szCs w:val="17"/>
              </w:rPr>
              <w:t>Other wholesale funding</w:t>
            </w:r>
            <w:r>
              <w:rPr>
                <w:sz w:val="17"/>
                <w:szCs w:val="17"/>
              </w:rPr>
              <w:t>:</w:t>
            </w:r>
            <w:r w:rsidRPr="00986D2D">
              <w:rPr>
                <w:sz w:val="17"/>
                <w:szCs w:val="17"/>
              </w:rPr>
              <w:t xml:space="preserve"> </w:t>
            </w:r>
            <w:r>
              <w:rPr>
                <w:sz w:val="17"/>
                <w:szCs w:val="17"/>
              </w:rPr>
              <w:t>it is</w:t>
            </w:r>
            <w:r w:rsidRPr="00986D2D">
              <w:rPr>
                <w:sz w:val="17"/>
                <w:szCs w:val="17"/>
              </w:rPr>
              <w:t xml:space="preserve"> funding (</w:t>
            </w:r>
            <w:r>
              <w:rPr>
                <w:sz w:val="17"/>
                <w:szCs w:val="17"/>
              </w:rPr>
              <w:t>other than operational deposits</w:t>
            </w:r>
            <w:r w:rsidRPr="00986D2D">
              <w:rPr>
                <w:sz w:val="17"/>
                <w:szCs w:val="17"/>
              </w:rPr>
              <w:t xml:space="preserve">) provided </w:t>
            </w:r>
            <w:r>
              <w:rPr>
                <w:sz w:val="17"/>
                <w:szCs w:val="17"/>
              </w:rPr>
              <w:t xml:space="preserve">to the AI </w:t>
            </w:r>
            <w:r w:rsidRPr="00986D2D">
              <w:rPr>
                <w:sz w:val="17"/>
                <w:szCs w:val="17"/>
              </w:rPr>
              <w:t>by non-financial corporate</w:t>
            </w:r>
            <w:r>
              <w:rPr>
                <w:sz w:val="17"/>
                <w:szCs w:val="17"/>
              </w:rPr>
              <w:t>s</w:t>
            </w:r>
            <w:r w:rsidRPr="00986D2D">
              <w:rPr>
                <w:sz w:val="17"/>
                <w:szCs w:val="17"/>
              </w:rPr>
              <w:t xml:space="preserve"> </w:t>
            </w:r>
            <w:r>
              <w:rPr>
                <w:sz w:val="17"/>
                <w:szCs w:val="17"/>
              </w:rPr>
              <w:t>(other than small business customers)</w:t>
            </w:r>
            <w:r w:rsidRPr="00986D2D">
              <w:rPr>
                <w:sz w:val="17"/>
                <w:szCs w:val="17"/>
              </w:rPr>
              <w:t>, sovereigns, public sector entities (</w:t>
            </w:r>
            <w:r>
              <w:rPr>
                <w:sz w:val="17"/>
                <w:szCs w:val="17"/>
              </w:rPr>
              <w:t>“</w:t>
            </w:r>
            <w:r w:rsidRPr="00986D2D">
              <w:rPr>
                <w:sz w:val="17"/>
                <w:szCs w:val="17"/>
              </w:rPr>
              <w:t>PSEs</w:t>
            </w:r>
            <w:r>
              <w:rPr>
                <w:sz w:val="17"/>
                <w:szCs w:val="17"/>
              </w:rPr>
              <w:t>”</w:t>
            </w:r>
            <w:r w:rsidRPr="00986D2D">
              <w:rPr>
                <w:sz w:val="17"/>
                <w:szCs w:val="17"/>
              </w:rPr>
              <w:t xml:space="preserve">), multilateral </w:t>
            </w:r>
            <w:r>
              <w:rPr>
                <w:sz w:val="17"/>
                <w:szCs w:val="17"/>
              </w:rPr>
              <w:t>development banks,</w:t>
            </w:r>
            <w:r w:rsidRPr="00986D2D">
              <w:rPr>
                <w:sz w:val="17"/>
                <w:szCs w:val="17"/>
              </w:rPr>
              <w:t xml:space="preserve"> national development banks, </w:t>
            </w:r>
            <w:r>
              <w:rPr>
                <w:sz w:val="17"/>
                <w:szCs w:val="17"/>
              </w:rPr>
              <w:t>the Monetary Authority (“MA”) for the account of the Exchange Fund</w:t>
            </w:r>
            <w:r w:rsidRPr="000B03B8">
              <w:rPr>
                <w:sz w:val="17"/>
                <w:szCs w:val="17"/>
              </w:rPr>
              <w:t xml:space="preserve"> </w:t>
            </w:r>
            <w:r>
              <w:rPr>
                <w:sz w:val="17"/>
                <w:szCs w:val="17"/>
              </w:rPr>
              <w:t xml:space="preserve">(“EF”), </w:t>
            </w:r>
            <w:r w:rsidRPr="00986D2D">
              <w:rPr>
                <w:sz w:val="17"/>
                <w:szCs w:val="17"/>
              </w:rPr>
              <w:t>central banks</w:t>
            </w:r>
            <w:r>
              <w:rPr>
                <w:sz w:val="17"/>
                <w:szCs w:val="17"/>
              </w:rPr>
              <w:t>,</w:t>
            </w:r>
            <w:r w:rsidRPr="00986D2D">
              <w:rPr>
                <w:sz w:val="17"/>
                <w:szCs w:val="17"/>
              </w:rPr>
              <w:t xml:space="preserve"> financial institutions</w:t>
            </w:r>
            <w:r>
              <w:rPr>
                <w:sz w:val="17"/>
                <w:szCs w:val="17"/>
              </w:rPr>
              <w:t xml:space="preserve"> and other entities</w:t>
            </w:r>
            <w:r w:rsidRPr="00986D2D">
              <w:rPr>
                <w:sz w:val="17"/>
                <w:szCs w:val="17"/>
              </w:rPr>
              <w:t>.</w:t>
            </w:r>
          </w:p>
        </w:tc>
      </w:tr>
      <w:tr w:rsidR="002A0515" w:rsidRPr="00280717" w:rsidTr="00A54BE4">
        <w:trPr>
          <w:trHeight w:val="373"/>
        </w:trPr>
        <w:tc>
          <w:tcPr>
            <w:tcW w:w="568"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10</w:t>
            </w:r>
          </w:p>
        </w:tc>
        <w:tc>
          <w:tcPr>
            <w:tcW w:w="8505" w:type="dxa"/>
          </w:tcPr>
          <w:p w:rsidR="002A0515" w:rsidRDefault="002A0515" w:rsidP="00A54BE4">
            <w:pPr>
              <w:keepLines/>
              <w:widowControl w:val="0"/>
              <w:tabs>
                <w:tab w:val="left" w:pos="150"/>
                <w:tab w:val="left" w:pos="397"/>
                <w:tab w:val="left" w:pos="794"/>
                <w:tab w:val="left" w:pos="1191"/>
              </w:tabs>
              <w:spacing w:before="40" w:after="40"/>
              <w:jc w:val="both"/>
              <w:rPr>
                <w:sz w:val="17"/>
                <w:szCs w:val="17"/>
              </w:rPr>
            </w:pPr>
            <w:r w:rsidRPr="000B03B8">
              <w:rPr>
                <w:i/>
                <w:sz w:val="17"/>
                <w:szCs w:val="17"/>
              </w:rPr>
              <w:t>Liabilities with matching interdependent assets</w:t>
            </w:r>
            <w:r>
              <w:rPr>
                <w:sz w:val="17"/>
                <w:szCs w:val="17"/>
              </w:rPr>
              <w:t>: any liabilities that meet the descriptions in BLR rule 70 and match with interdependent assets should be included in this row and excluded from all other ASF items</w:t>
            </w:r>
            <w:r w:rsidRPr="00986D2D">
              <w:rPr>
                <w:sz w:val="17"/>
                <w:szCs w:val="17"/>
              </w:rPr>
              <w:t>.</w:t>
            </w:r>
            <w:r>
              <w:rPr>
                <w:sz w:val="17"/>
                <w:szCs w:val="17"/>
              </w:rPr>
              <w:t xml:space="preserve">  For note-issuing banks, this row also includes the amount of legal tender notes in circulation issued by them, as follows:</w:t>
            </w:r>
          </w:p>
          <w:p w:rsidR="002A0515" w:rsidRPr="0089465D" w:rsidRDefault="002A0515" w:rsidP="002A0515">
            <w:pPr>
              <w:pStyle w:val="ListParagraph"/>
              <w:keepLines/>
              <w:widowControl w:val="0"/>
              <w:numPr>
                <w:ilvl w:val="0"/>
                <w:numId w:val="80"/>
              </w:numPr>
              <w:tabs>
                <w:tab w:val="left" w:pos="459"/>
              </w:tabs>
              <w:spacing w:before="40" w:after="40"/>
              <w:ind w:leftChars="0" w:left="459" w:hanging="459"/>
              <w:jc w:val="both"/>
              <w:rPr>
                <w:rFonts w:cs="Times New Roman"/>
                <w:kern w:val="0"/>
                <w:sz w:val="17"/>
                <w:szCs w:val="17"/>
                <w:lang w:val="en-GB"/>
              </w:rPr>
            </w:pPr>
            <w:r>
              <w:rPr>
                <w:rFonts w:cs="Times New Roman"/>
                <w:kern w:val="0"/>
                <w:sz w:val="17"/>
                <w:szCs w:val="17"/>
                <w:lang w:val="en-GB"/>
              </w:rPr>
              <w:t>f</w:t>
            </w:r>
            <w:r w:rsidRPr="0089465D">
              <w:rPr>
                <w:rFonts w:cs="Times New Roman"/>
                <w:kern w:val="0"/>
                <w:sz w:val="17"/>
                <w:szCs w:val="17"/>
                <w:lang w:val="en-GB"/>
              </w:rPr>
              <w:t xml:space="preserve">or unweighted value, </w:t>
            </w:r>
            <w:r>
              <w:rPr>
                <w:rFonts w:cs="Times New Roman"/>
                <w:kern w:val="0"/>
                <w:sz w:val="17"/>
                <w:szCs w:val="17"/>
                <w:lang w:val="en-GB"/>
              </w:rPr>
              <w:t xml:space="preserve">the </w:t>
            </w:r>
            <w:r w:rsidRPr="0089465D">
              <w:rPr>
                <w:rFonts w:cs="Times New Roman"/>
                <w:kern w:val="0"/>
                <w:sz w:val="17"/>
                <w:szCs w:val="17"/>
                <w:lang w:val="en-GB"/>
              </w:rPr>
              <w:t>legal tender notes in circulation should be included in column (a) for ‘no specified term to maturity’;</w:t>
            </w:r>
          </w:p>
          <w:p w:rsidR="002A0515" w:rsidRPr="0089465D" w:rsidRDefault="002A0515" w:rsidP="002A0515">
            <w:pPr>
              <w:pStyle w:val="ListParagraph"/>
              <w:keepLines/>
              <w:widowControl w:val="0"/>
              <w:numPr>
                <w:ilvl w:val="0"/>
                <w:numId w:val="80"/>
              </w:numPr>
              <w:tabs>
                <w:tab w:val="left" w:pos="459"/>
              </w:tabs>
              <w:spacing w:before="40" w:after="40"/>
              <w:ind w:leftChars="0" w:left="459" w:hanging="459"/>
              <w:jc w:val="both"/>
              <w:rPr>
                <w:sz w:val="17"/>
                <w:szCs w:val="17"/>
              </w:rPr>
            </w:pPr>
            <w:r>
              <w:rPr>
                <w:rFonts w:cs="Times New Roman"/>
                <w:kern w:val="0"/>
                <w:sz w:val="17"/>
                <w:szCs w:val="17"/>
                <w:lang w:val="en-GB"/>
              </w:rPr>
              <w:t>f</w:t>
            </w:r>
            <w:r w:rsidRPr="0089465D">
              <w:rPr>
                <w:rFonts w:cs="Times New Roman"/>
                <w:kern w:val="0"/>
                <w:sz w:val="17"/>
                <w:szCs w:val="17"/>
                <w:lang w:val="en-GB"/>
              </w:rPr>
              <w:t xml:space="preserve">or weighted value, a note-issuing bank may choose either to (a) treat the amount for legal tender notes as $0; or (b) apply </w:t>
            </w:r>
            <w:r>
              <w:rPr>
                <w:rFonts w:cs="Times New Roman"/>
                <w:kern w:val="0"/>
                <w:sz w:val="17"/>
                <w:szCs w:val="17"/>
                <w:lang w:val="en-GB"/>
              </w:rPr>
              <w:t xml:space="preserve">BLR </w:t>
            </w:r>
            <w:r w:rsidRPr="0089465D">
              <w:rPr>
                <w:rFonts w:cs="Times New Roman"/>
                <w:kern w:val="0"/>
                <w:sz w:val="17"/>
                <w:szCs w:val="17"/>
                <w:lang w:val="en-GB"/>
              </w:rPr>
              <w:t>rules 65 and 68 to determine such weighted amounts in accordance with BLR rule 69(2).</w:t>
            </w:r>
          </w:p>
        </w:tc>
      </w:tr>
      <w:tr w:rsidR="002A0515" w:rsidRPr="00280717" w:rsidTr="00A54BE4">
        <w:trPr>
          <w:trHeight w:val="373"/>
        </w:trPr>
        <w:tc>
          <w:tcPr>
            <w:tcW w:w="568"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11</w:t>
            </w:r>
          </w:p>
        </w:tc>
        <w:tc>
          <w:tcPr>
            <w:tcW w:w="8505" w:type="dxa"/>
          </w:tcPr>
          <w:p w:rsidR="002A0515" w:rsidRPr="00BE7677" w:rsidRDefault="002A0515" w:rsidP="00A54BE4">
            <w:pPr>
              <w:keepLines/>
              <w:widowControl w:val="0"/>
              <w:tabs>
                <w:tab w:val="left" w:pos="150"/>
                <w:tab w:val="left" w:pos="397"/>
                <w:tab w:val="left" w:pos="794"/>
                <w:tab w:val="left" w:pos="1191"/>
              </w:tabs>
              <w:spacing w:before="40" w:after="40"/>
              <w:jc w:val="both"/>
              <w:rPr>
                <w:sz w:val="17"/>
                <w:szCs w:val="17"/>
              </w:rPr>
            </w:pPr>
            <w:r w:rsidRPr="000B03B8">
              <w:rPr>
                <w:i/>
                <w:sz w:val="17"/>
                <w:szCs w:val="17"/>
              </w:rPr>
              <w:t>Other liabilities</w:t>
            </w:r>
            <w:r>
              <w:rPr>
                <w:sz w:val="17"/>
                <w:szCs w:val="17"/>
              </w:rPr>
              <w:t>:</w:t>
            </w:r>
            <w:r w:rsidRPr="00986D2D">
              <w:rPr>
                <w:sz w:val="17"/>
                <w:szCs w:val="17"/>
              </w:rPr>
              <w:t xml:space="preserve"> the sum of </w:t>
            </w:r>
            <w:r>
              <w:rPr>
                <w:sz w:val="17"/>
                <w:szCs w:val="17"/>
              </w:rPr>
              <w:t xml:space="preserve">values in </w:t>
            </w:r>
            <w:r w:rsidRPr="00986D2D">
              <w:rPr>
                <w:sz w:val="17"/>
                <w:szCs w:val="17"/>
              </w:rPr>
              <w:t>rows 12 and 13.</w:t>
            </w:r>
          </w:p>
        </w:tc>
      </w:tr>
      <w:tr w:rsidR="002A0515" w:rsidRPr="00280717" w:rsidTr="00A54BE4">
        <w:trPr>
          <w:trHeight w:val="373"/>
        </w:trPr>
        <w:tc>
          <w:tcPr>
            <w:tcW w:w="568"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12</w:t>
            </w:r>
          </w:p>
        </w:tc>
        <w:tc>
          <w:tcPr>
            <w:tcW w:w="8505" w:type="dxa"/>
          </w:tcPr>
          <w:p w:rsidR="002A0515" w:rsidRPr="00E876D8" w:rsidRDefault="002A0515" w:rsidP="00A54BE4">
            <w:pPr>
              <w:keepLines/>
              <w:widowControl w:val="0"/>
              <w:tabs>
                <w:tab w:val="left" w:pos="150"/>
                <w:tab w:val="left" w:pos="397"/>
                <w:tab w:val="left" w:pos="794"/>
                <w:tab w:val="left" w:pos="1191"/>
              </w:tabs>
              <w:spacing w:before="40" w:after="40"/>
              <w:jc w:val="both"/>
              <w:rPr>
                <w:sz w:val="17"/>
                <w:szCs w:val="17"/>
              </w:rPr>
            </w:pPr>
            <w:r>
              <w:rPr>
                <w:i/>
                <w:sz w:val="17"/>
                <w:szCs w:val="17"/>
              </w:rPr>
              <w:t xml:space="preserve">Net </w:t>
            </w:r>
            <w:r w:rsidRPr="000B03B8">
              <w:rPr>
                <w:i/>
                <w:sz w:val="17"/>
                <w:szCs w:val="17"/>
              </w:rPr>
              <w:t>derivative</w:t>
            </w:r>
            <w:r>
              <w:rPr>
                <w:i/>
                <w:sz w:val="17"/>
                <w:szCs w:val="17"/>
              </w:rPr>
              <w:t xml:space="preserve"> liabilitie</w:t>
            </w:r>
            <w:r w:rsidRPr="000B03B8">
              <w:rPr>
                <w:i/>
                <w:sz w:val="17"/>
                <w:szCs w:val="17"/>
              </w:rPr>
              <w:t>s</w:t>
            </w:r>
            <w:r>
              <w:rPr>
                <w:sz w:val="17"/>
                <w:szCs w:val="17"/>
              </w:rPr>
              <w:t>:</w:t>
            </w:r>
            <w:r w:rsidRPr="002B304B">
              <w:rPr>
                <w:sz w:val="17"/>
                <w:szCs w:val="17"/>
              </w:rPr>
              <w:t xml:space="preserve"> </w:t>
            </w:r>
            <w:r>
              <w:rPr>
                <w:sz w:val="17"/>
                <w:szCs w:val="17"/>
              </w:rPr>
              <w:t>i</w:t>
            </w:r>
            <w:r w:rsidRPr="002B304B">
              <w:rPr>
                <w:sz w:val="17"/>
                <w:szCs w:val="17"/>
              </w:rPr>
              <w:t xml:space="preserve">n the unweighted cell, report </w:t>
            </w:r>
            <w:r>
              <w:rPr>
                <w:sz w:val="17"/>
                <w:szCs w:val="17"/>
              </w:rPr>
              <w:t xml:space="preserve">the amount of net </w:t>
            </w:r>
            <w:r w:rsidRPr="002B304B">
              <w:rPr>
                <w:sz w:val="17"/>
                <w:szCs w:val="17"/>
              </w:rPr>
              <w:t>derivatives liabilities</w:t>
            </w:r>
            <w:r>
              <w:rPr>
                <w:sz w:val="17"/>
                <w:szCs w:val="17"/>
              </w:rPr>
              <w:t xml:space="preserve"> </w:t>
            </w:r>
            <w:r w:rsidRPr="002B304B">
              <w:rPr>
                <w:sz w:val="17"/>
                <w:szCs w:val="17"/>
              </w:rPr>
              <w:t xml:space="preserve">as calculated according to </w:t>
            </w:r>
            <w:r>
              <w:rPr>
                <w:sz w:val="17"/>
                <w:szCs w:val="17"/>
              </w:rPr>
              <w:t>Part 9 of the BLR (i.e. the net amount of total derivative liabilities (after adjustments) in excess of total derivative assets (after adjustments))</w:t>
            </w:r>
            <w:r w:rsidRPr="002B304B">
              <w:rPr>
                <w:sz w:val="17"/>
                <w:szCs w:val="17"/>
              </w:rPr>
              <w:t xml:space="preserve">. </w:t>
            </w:r>
            <w:r>
              <w:rPr>
                <w:sz w:val="17"/>
                <w:szCs w:val="17"/>
              </w:rPr>
              <w:t xml:space="preserve"> The cell for </w:t>
            </w:r>
            <w:r w:rsidRPr="002B304B">
              <w:rPr>
                <w:sz w:val="17"/>
                <w:szCs w:val="17"/>
              </w:rPr>
              <w:t xml:space="preserve">weighted </w:t>
            </w:r>
            <w:r>
              <w:rPr>
                <w:sz w:val="17"/>
                <w:szCs w:val="17"/>
              </w:rPr>
              <w:t>amount</w:t>
            </w:r>
            <w:r w:rsidRPr="002B304B">
              <w:rPr>
                <w:sz w:val="17"/>
                <w:szCs w:val="17"/>
              </w:rPr>
              <w:t xml:space="preserve"> under </w:t>
            </w:r>
            <w:r>
              <w:rPr>
                <w:sz w:val="17"/>
                <w:szCs w:val="17"/>
              </w:rPr>
              <w:t xml:space="preserve">net </w:t>
            </w:r>
            <w:r w:rsidRPr="002B304B">
              <w:rPr>
                <w:sz w:val="17"/>
                <w:szCs w:val="17"/>
              </w:rPr>
              <w:t>derivative liabilities</w:t>
            </w:r>
            <w:r>
              <w:rPr>
                <w:sz w:val="17"/>
                <w:szCs w:val="17"/>
              </w:rPr>
              <w:t xml:space="preserve"> </w:t>
            </w:r>
            <w:r w:rsidRPr="002B304B">
              <w:rPr>
                <w:sz w:val="17"/>
                <w:szCs w:val="17"/>
              </w:rPr>
              <w:t xml:space="preserve">is </w:t>
            </w:r>
            <w:r>
              <w:rPr>
                <w:sz w:val="17"/>
                <w:szCs w:val="17"/>
              </w:rPr>
              <w:t>darken</w:t>
            </w:r>
            <w:r w:rsidRPr="002B304B">
              <w:rPr>
                <w:sz w:val="17"/>
                <w:szCs w:val="17"/>
              </w:rPr>
              <w:t xml:space="preserve">ed given that </w:t>
            </w:r>
            <w:r>
              <w:rPr>
                <w:sz w:val="17"/>
                <w:szCs w:val="17"/>
              </w:rPr>
              <w:t>the value</w:t>
            </w:r>
            <w:r w:rsidRPr="002B304B">
              <w:rPr>
                <w:sz w:val="17"/>
                <w:szCs w:val="17"/>
              </w:rPr>
              <w:t xml:space="preserve"> will be zero after the 0% ASF is applied.</w:t>
            </w:r>
          </w:p>
        </w:tc>
      </w:tr>
      <w:tr w:rsidR="002A0515" w:rsidRPr="00280717" w:rsidTr="00A54BE4">
        <w:trPr>
          <w:trHeight w:val="373"/>
        </w:trPr>
        <w:tc>
          <w:tcPr>
            <w:tcW w:w="568"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13</w:t>
            </w:r>
          </w:p>
        </w:tc>
        <w:tc>
          <w:tcPr>
            <w:tcW w:w="8505" w:type="dxa"/>
          </w:tcPr>
          <w:p w:rsidR="002A0515" w:rsidRPr="006C0223" w:rsidRDefault="002A0515" w:rsidP="00A54BE4">
            <w:pPr>
              <w:keepLines/>
              <w:widowControl w:val="0"/>
              <w:spacing w:before="40" w:after="40"/>
              <w:jc w:val="both"/>
              <w:rPr>
                <w:sz w:val="17"/>
                <w:szCs w:val="17"/>
              </w:rPr>
            </w:pPr>
            <w:r w:rsidRPr="000B03B8">
              <w:rPr>
                <w:i/>
                <w:sz w:val="17"/>
                <w:szCs w:val="17"/>
                <w:lang w:eastAsia="it-IT"/>
              </w:rPr>
              <w:t xml:space="preserve">All other </w:t>
            </w:r>
            <w:r>
              <w:rPr>
                <w:i/>
                <w:sz w:val="17"/>
                <w:szCs w:val="17"/>
                <w:lang w:eastAsia="it-IT"/>
              </w:rPr>
              <w:t xml:space="preserve">funding and </w:t>
            </w:r>
            <w:r w:rsidRPr="000B03B8">
              <w:rPr>
                <w:i/>
                <w:sz w:val="17"/>
                <w:szCs w:val="17"/>
                <w:lang w:eastAsia="it-IT"/>
              </w:rPr>
              <w:t>liabilities</w:t>
            </w:r>
            <w:r>
              <w:rPr>
                <w:i/>
                <w:sz w:val="17"/>
                <w:szCs w:val="17"/>
                <w:lang w:eastAsia="it-IT"/>
              </w:rPr>
              <w:t xml:space="preserve"> </w:t>
            </w:r>
            <w:r w:rsidRPr="000B03B8">
              <w:rPr>
                <w:i/>
                <w:sz w:val="17"/>
                <w:szCs w:val="17"/>
                <w:lang w:eastAsia="it-IT"/>
              </w:rPr>
              <w:t>not included in the above categories</w:t>
            </w:r>
            <w:r w:rsidRPr="006C0223">
              <w:rPr>
                <w:sz w:val="17"/>
                <w:szCs w:val="17"/>
              </w:rPr>
              <w:t xml:space="preserve">: </w:t>
            </w:r>
            <w:r>
              <w:rPr>
                <w:sz w:val="17"/>
                <w:szCs w:val="17"/>
              </w:rPr>
              <w:t>report in this row a</w:t>
            </w:r>
            <w:r w:rsidRPr="006C0223">
              <w:rPr>
                <w:sz w:val="17"/>
                <w:szCs w:val="17"/>
              </w:rPr>
              <w:t xml:space="preserve">ll other </w:t>
            </w:r>
            <w:r>
              <w:rPr>
                <w:sz w:val="17"/>
                <w:szCs w:val="17"/>
              </w:rPr>
              <w:t xml:space="preserve">funding and </w:t>
            </w:r>
            <w:r w:rsidRPr="006C0223">
              <w:rPr>
                <w:sz w:val="17"/>
                <w:szCs w:val="17"/>
              </w:rPr>
              <w:t xml:space="preserve">liabilities </w:t>
            </w:r>
            <w:r>
              <w:rPr>
                <w:sz w:val="17"/>
                <w:szCs w:val="17"/>
              </w:rPr>
              <w:t xml:space="preserve">that are counted towards ASF under the BLR but </w:t>
            </w:r>
            <w:r w:rsidRPr="006C0223">
              <w:rPr>
                <w:sz w:val="17"/>
                <w:szCs w:val="17"/>
              </w:rPr>
              <w:t xml:space="preserve">not included in </w:t>
            </w:r>
            <w:r>
              <w:rPr>
                <w:sz w:val="17"/>
                <w:szCs w:val="17"/>
              </w:rPr>
              <w:t xml:space="preserve">rows 1 to 12 </w:t>
            </w:r>
            <w:r w:rsidRPr="006C0223">
              <w:rPr>
                <w:sz w:val="17"/>
                <w:szCs w:val="17"/>
              </w:rPr>
              <w:t>above</w:t>
            </w:r>
            <w:r>
              <w:rPr>
                <w:sz w:val="17"/>
                <w:szCs w:val="17"/>
              </w:rPr>
              <w:t xml:space="preserve"> (e.g. debt securities or prescribed instruments issued, deferred tax liabilities, trade-date payables, </w:t>
            </w:r>
            <w:proofErr w:type="spellStart"/>
            <w:r>
              <w:rPr>
                <w:sz w:val="17"/>
                <w:szCs w:val="17"/>
              </w:rPr>
              <w:t>etc</w:t>
            </w:r>
            <w:proofErr w:type="spellEnd"/>
            <w:r>
              <w:rPr>
                <w:sz w:val="17"/>
                <w:szCs w:val="17"/>
              </w:rPr>
              <w:t>)</w:t>
            </w:r>
            <w:r w:rsidRPr="006C0223">
              <w:rPr>
                <w:sz w:val="17"/>
                <w:szCs w:val="17"/>
              </w:rPr>
              <w:t>.</w:t>
            </w:r>
          </w:p>
        </w:tc>
      </w:tr>
      <w:tr w:rsidR="002A0515" w:rsidRPr="00280717" w:rsidTr="00A54BE4">
        <w:trPr>
          <w:trHeight w:val="373"/>
        </w:trPr>
        <w:tc>
          <w:tcPr>
            <w:tcW w:w="568"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14</w:t>
            </w:r>
          </w:p>
        </w:tc>
        <w:tc>
          <w:tcPr>
            <w:tcW w:w="8505" w:type="dxa"/>
          </w:tcPr>
          <w:p w:rsidR="002A0515" w:rsidRPr="00BE7677" w:rsidRDefault="002A0515" w:rsidP="00A54BE4">
            <w:pPr>
              <w:keepLines/>
              <w:widowControl w:val="0"/>
              <w:tabs>
                <w:tab w:val="left" w:pos="150"/>
                <w:tab w:val="left" w:pos="397"/>
                <w:tab w:val="left" w:pos="794"/>
                <w:tab w:val="left" w:pos="1191"/>
              </w:tabs>
              <w:spacing w:before="40" w:after="40"/>
              <w:jc w:val="both"/>
              <w:rPr>
                <w:sz w:val="17"/>
                <w:szCs w:val="17"/>
              </w:rPr>
            </w:pPr>
            <w:r w:rsidRPr="000B03B8">
              <w:rPr>
                <w:i/>
                <w:sz w:val="17"/>
                <w:szCs w:val="17"/>
              </w:rPr>
              <w:t>Total ASF</w:t>
            </w:r>
            <w:r>
              <w:rPr>
                <w:sz w:val="17"/>
                <w:szCs w:val="17"/>
              </w:rPr>
              <w:t>:</w:t>
            </w:r>
            <w:r w:rsidRPr="00500B89">
              <w:rPr>
                <w:sz w:val="17"/>
                <w:szCs w:val="17"/>
              </w:rPr>
              <w:t xml:space="preserve"> the sum of all weighted </w:t>
            </w:r>
            <w:r>
              <w:rPr>
                <w:sz w:val="17"/>
                <w:szCs w:val="17"/>
              </w:rPr>
              <w:t>amount</w:t>
            </w:r>
            <w:r w:rsidRPr="00500B89">
              <w:rPr>
                <w:sz w:val="17"/>
                <w:szCs w:val="17"/>
              </w:rPr>
              <w:t>s in rows 1, 4, 7, 10 and 11.</w:t>
            </w:r>
          </w:p>
        </w:tc>
      </w:tr>
      <w:tr w:rsidR="002A0515" w:rsidRPr="00280717" w:rsidTr="00A54BE4">
        <w:trPr>
          <w:trHeight w:val="373"/>
        </w:trPr>
        <w:tc>
          <w:tcPr>
            <w:tcW w:w="568" w:type="dxa"/>
          </w:tcPr>
          <w:p w:rsidR="002A0515" w:rsidRDefault="002A0515" w:rsidP="00A54BE4">
            <w:pPr>
              <w:keepLines/>
              <w:widowControl w:val="0"/>
              <w:tabs>
                <w:tab w:val="left" w:pos="150"/>
                <w:tab w:val="left" w:pos="794"/>
                <w:tab w:val="left" w:pos="1191"/>
              </w:tabs>
              <w:spacing w:before="40" w:after="40"/>
              <w:ind w:rightChars="-54" w:right="-108"/>
              <w:rPr>
                <w:rFonts w:cs="Segoe UI"/>
                <w:sz w:val="17"/>
                <w:szCs w:val="17"/>
                <w:lang w:eastAsia="en-GB"/>
              </w:rPr>
            </w:pPr>
            <w:r>
              <w:rPr>
                <w:rFonts w:cs="Segoe UI"/>
                <w:sz w:val="17"/>
                <w:szCs w:val="17"/>
                <w:lang w:eastAsia="en-GB"/>
              </w:rPr>
              <w:t>15 to 31</w:t>
            </w:r>
          </w:p>
        </w:tc>
        <w:tc>
          <w:tcPr>
            <w:tcW w:w="8505" w:type="dxa"/>
          </w:tcPr>
          <w:p w:rsidR="002A0515" w:rsidRPr="00462F5B" w:rsidRDefault="002A0515" w:rsidP="00A54BE4">
            <w:pPr>
              <w:keepLines/>
              <w:widowControl w:val="0"/>
              <w:tabs>
                <w:tab w:val="left" w:pos="150"/>
                <w:tab w:val="left" w:pos="397"/>
                <w:tab w:val="left" w:pos="794"/>
                <w:tab w:val="left" w:pos="1191"/>
              </w:tabs>
              <w:spacing w:before="40" w:after="40"/>
              <w:jc w:val="both"/>
              <w:rPr>
                <w:i/>
                <w:sz w:val="17"/>
                <w:szCs w:val="17"/>
              </w:rPr>
            </w:pPr>
            <w:r w:rsidRPr="000B03B8">
              <w:rPr>
                <w:sz w:val="17"/>
                <w:szCs w:val="17"/>
              </w:rPr>
              <w:t>For any assets that are not free from encumbrances</w:t>
            </w:r>
            <w:r>
              <w:rPr>
                <w:sz w:val="17"/>
                <w:szCs w:val="17"/>
              </w:rPr>
              <w:t xml:space="preserve"> (as defined in Part 9 of the BLR)</w:t>
            </w:r>
            <w:r w:rsidRPr="000B03B8">
              <w:rPr>
                <w:sz w:val="17"/>
                <w:szCs w:val="17"/>
              </w:rPr>
              <w:t xml:space="preserve">, report the unweighted </w:t>
            </w:r>
            <w:r>
              <w:rPr>
                <w:sz w:val="17"/>
                <w:szCs w:val="17"/>
              </w:rPr>
              <w:t>value</w:t>
            </w:r>
            <w:r w:rsidRPr="000B03B8">
              <w:rPr>
                <w:sz w:val="17"/>
                <w:szCs w:val="17"/>
              </w:rPr>
              <w:t xml:space="preserve"> in columns (a) to (d) </w:t>
            </w:r>
            <w:r>
              <w:rPr>
                <w:sz w:val="17"/>
                <w:szCs w:val="17"/>
              </w:rPr>
              <w:t xml:space="preserve">taking into account their remaining terms to maturity and periods of encumbrance (whichever is subject to a higher RSF factor), </w:t>
            </w:r>
            <w:r w:rsidRPr="000B03B8">
              <w:rPr>
                <w:sz w:val="17"/>
                <w:szCs w:val="17"/>
              </w:rPr>
              <w:t>and the weighted amount (i.e. after the applicable RSF factor for encumbered assets) in column (e).</w:t>
            </w:r>
          </w:p>
        </w:tc>
      </w:tr>
      <w:tr w:rsidR="002A0515" w:rsidRPr="00280717" w:rsidTr="00A54BE4">
        <w:trPr>
          <w:trHeight w:val="373"/>
        </w:trPr>
        <w:tc>
          <w:tcPr>
            <w:tcW w:w="568"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15</w:t>
            </w:r>
          </w:p>
        </w:tc>
        <w:tc>
          <w:tcPr>
            <w:tcW w:w="8505" w:type="dxa"/>
          </w:tcPr>
          <w:p w:rsidR="002A0515" w:rsidRPr="000C23D4" w:rsidRDefault="002A0515" w:rsidP="00A54BE4">
            <w:pPr>
              <w:keepLines/>
              <w:widowControl w:val="0"/>
              <w:tabs>
                <w:tab w:val="left" w:pos="150"/>
                <w:tab w:val="left" w:pos="397"/>
                <w:tab w:val="left" w:pos="794"/>
                <w:tab w:val="left" w:pos="1191"/>
              </w:tabs>
              <w:spacing w:before="40" w:after="40"/>
              <w:jc w:val="both"/>
              <w:rPr>
                <w:rFonts w:cs="Segoe UI"/>
                <w:sz w:val="17"/>
                <w:szCs w:val="17"/>
              </w:rPr>
            </w:pPr>
            <w:r w:rsidRPr="000C23D4">
              <w:rPr>
                <w:rFonts w:cs="Segoe UI"/>
                <w:i/>
                <w:sz w:val="17"/>
                <w:szCs w:val="17"/>
              </w:rPr>
              <w:t>Total HQLA for NSFR purposes</w:t>
            </w:r>
            <w:r w:rsidRPr="000C23D4">
              <w:rPr>
                <w:rFonts w:cs="Segoe UI"/>
                <w:sz w:val="17"/>
                <w:szCs w:val="17"/>
              </w:rPr>
              <w:t>: being unencumbered high quality liquid assets without regard to LCR operational requirements and caps on Level 2 and Level 2B assets that might otherwise limit the ability of some HQLA to be included as eligible in calculation of the LCR.  Under the BLR, these items include:</w:t>
            </w:r>
          </w:p>
          <w:p w:rsidR="002A0515" w:rsidRPr="000C23D4" w:rsidRDefault="002A0515" w:rsidP="002A0515">
            <w:pPr>
              <w:pStyle w:val="ListParagraph"/>
              <w:keepLines/>
              <w:widowControl w:val="0"/>
              <w:numPr>
                <w:ilvl w:val="0"/>
                <w:numId w:val="67"/>
              </w:numPr>
              <w:tabs>
                <w:tab w:val="left" w:pos="150"/>
                <w:tab w:val="left" w:pos="459"/>
                <w:tab w:val="left" w:pos="1191"/>
              </w:tabs>
              <w:spacing w:before="40" w:after="40"/>
              <w:ind w:leftChars="0" w:left="459" w:hanging="459"/>
              <w:jc w:val="both"/>
              <w:rPr>
                <w:rFonts w:cs="Segoe UI"/>
                <w:sz w:val="17"/>
                <w:szCs w:val="17"/>
              </w:rPr>
            </w:pPr>
            <w:r w:rsidRPr="000C23D4">
              <w:rPr>
                <w:rFonts w:cs="Segoe UI"/>
                <w:sz w:val="17"/>
                <w:szCs w:val="17"/>
              </w:rPr>
              <w:tab/>
              <w:t xml:space="preserve">currency notes and coins; </w:t>
            </w:r>
          </w:p>
          <w:p w:rsidR="002A0515" w:rsidRPr="000C23D4" w:rsidRDefault="002A0515" w:rsidP="002A0515">
            <w:pPr>
              <w:pStyle w:val="ListParagraph"/>
              <w:keepLines/>
              <w:widowControl w:val="0"/>
              <w:numPr>
                <w:ilvl w:val="0"/>
                <w:numId w:val="67"/>
              </w:numPr>
              <w:tabs>
                <w:tab w:val="left" w:pos="150"/>
                <w:tab w:val="left" w:pos="459"/>
                <w:tab w:val="left" w:pos="1191"/>
              </w:tabs>
              <w:spacing w:before="40" w:after="40"/>
              <w:ind w:leftChars="0" w:left="459" w:hanging="459"/>
              <w:jc w:val="both"/>
              <w:rPr>
                <w:rFonts w:cs="Segoe UI"/>
                <w:sz w:val="17"/>
                <w:szCs w:val="17"/>
              </w:rPr>
            </w:pPr>
            <w:r w:rsidRPr="000C23D4">
              <w:rPr>
                <w:rFonts w:cs="Segoe UI"/>
                <w:sz w:val="17"/>
                <w:szCs w:val="17"/>
              </w:rPr>
              <w:t xml:space="preserve">claims on the MA for the account of the EF or central banks that are repayable on demand or readily </w:t>
            </w:r>
            <w:proofErr w:type="spellStart"/>
            <w:r w:rsidRPr="000C23D4">
              <w:rPr>
                <w:rFonts w:cs="Segoe UI"/>
                <w:sz w:val="17"/>
                <w:szCs w:val="17"/>
              </w:rPr>
              <w:t>monetizable</w:t>
            </w:r>
            <w:proofErr w:type="spellEnd"/>
            <w:r w:rsidRPr="000C23D4">
              <w:rPr>
                <w:rFonts w:cs="Segoe UI"/>
                <w:sz w:val="17"/>
                <w:szCs w:val="17"/>
              </w:rPr>
              <w:t xml:space="preserve"> (including funds placed with the AI's HKD CHATS Account, or with central banks to meet reserve requirements, EF debt securities and central bank debt securities that qualify for HQLA); and</w:t>
            </w:r>
          </w:p>
          <w:p w:rsidR="002A0515" w:rsidRPr="000C23D4" w:rsidRDefault="002A0515" w:rsidP="002A0515">
            <w:pPr>
              <w:pStyle w:val="ListParagraph"/>
              <w:keepLines/>
              <w:widowControl w:val="0"/>
              <w:numPr>
                <w:ilvl w:val="0"/>
                <w:numId w:val="67"/>
              </w:numPr>
              <w:tabs>
                <w:tab w:val="left" w:pos="150"/>
                <w:tab w:val="left" w:pos="459"/>
                <w:tab w:val="left" w:pos="1191"/>
              </w:tabs>
              <w:spacing w:before="40" w:after="40"/>
              <w:ind w:leftChars="0" w:left="459" w:hanging="459"/>
              <w:jc w:val="both"/>
              <w:rPr>
                <w:rFonts w:cs="Segoe UI"/>
                <w:sz w:val="17"/>
                <w:szCs w:val="17"/>
              </w:rPr>
            </w:pPr>
            <w:r w:rsidRPr="000C23D4">
              <w:rPr>
                <w:rFonts w:cs="Segoe UI"/>
                <w:sz w:val="17"/>
                <w:szCs w:val="17"/>
              </w:rPr>
              <w:t>other level 1 assets, level 2A assets and level 2B assets held by the AI.</w:t>
            </w:r>
          </w:p>
        </w:tc>
      </w:tr>
      <w:tr w:rsidR="002A0515" w:rsidRPr="00280717" w:rsidTr="00A54BE4">
        <w:trPr>
          <w:trHeight w:val="373"/>
        </w:trPr>
        <w:tc>
          <w:tcPr>
            <w:tcW w:w="568"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16</w:t>
            </w:r>
          </w:p>
        </w:tc>
        <w:tc>
          <w:tcPr>
            <w:tcW w:w="8505" w:type="dxa"/>
          </w:tcPr>
          <w:p w:rsidR="002A0515" w:rsidRPr="000C23D4" w:rsidRDefault="002A0515" w:rsidP="00A54BE4">
            <w:pPr>
              <w:keepLines/>
              <w:widowControl w:val="0"/>
              <w:tabs>
                <w:tab w:val="left" w:pos="150"/>
                <w:tab w:val="left" w:pos="397"/>
                <w:tab w:val="left" w:pos="794"/>
                <w:tab w:val="left" w:pos="1191"/>
              </w:tabs>
              <w:spacing w:before="40" w:after="40"/>
              <w:jc w:val="both"/>
              <w:rPr>
                <w:rFonts w:cs="Segoe UI"/>
                <w:sz w:val="17"/>
                <w:szCs w:val="17"/>
              </w:rPr>
            </w:pPr>
            <w:r w:rsidRPr="000C23D4">
              <w:rPr>
                <w:rFonts w:cs="Segoe UI"/>
                <w:i/>
                <w:sz w:val="17"/>
                <w:szCs w:val="17"/>
              </w:rPr>
              <w:t>Deposits held at other financial institutions for operational purposes</w:t>
            </w:r>
            <w:r w:rsidRPr="000C23D4">
              <w:rPr>
                <w:rFonts w:cs="Segoe UI"/>
                <w:sz w:val="17"/>
                <w:szCs w:val="17"/>
              </w:rPr>
              <w:t>: as defined in Part 7 of the BLR.</w:t>
            </w:r>
          </w:p>
        </w:tc>
      </w:tr>
      <w:tr w:rsidR="002A0515" w:rsidRPr="00280717" w:rsidTr="00A54BE4">
        <w:trPr>
          <w:trHeight w:val="373"/>
        </w:trPr>
        <w:tc>
          <w:tcPr>
            <w:tcW w:w="568"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17</w:t>
            </w:r>
          </w:p>
        </w:tc>
        <w:tc>
          <w:tcPr>
            <w:tcW w:w="8505" w:type="dxa"/>
          </w:tcPr>
          <w:p w:rsidR="002A0515" w:rsidRPr="00B10028" w:rsidRDefault="002A0515" w:rsidP="00A54BE4">
            <w:pPr>
              <w:keepLines/>
              <w:widowControl w:val="0"/>
              <w:tabs>
                <w:tab w:val="left" w:pos="150"/>
                <w:tab w:val="left" w:pos="397"/>
                <w:tab w:val="left" w:pos="794"/>
                <w:tab w:val="left" w:pos="1191"/>
              </w:tabs>
              <w:spacing w:before="40" w:after="40"/>
              <w:jc w:val="both"/>
              <w:rPr>
                <w:sz w:val="17"/>
                <w:szCs w:val="17"/>
              </w:rPr>
            </w:pPr>
            <w:r w:rsidRPr="000B03B8">
              <w:rPr>
                <w:i/>
                <w:sz w:val="17"/>
                <w:szCs w:val="17"/>
              </w:rPr>
              <w:t>Performing loans and securities</w:t>
            </w:r>
            <w:r>
              <w:rPr>
                <w:sz w:val="17"/>
                <w:szCs w:val="17"/>
              </w:rPr>
              <w:t>:</w:t>
            </w:r>
            <w:r w:rsidRPr="000B03B8">
              <w:rPr>
                <w:sz w:val="17"/>
                <w:szCs w:val="17"/>
              </w:rPr>
              <w:t xml:space="preserve"> the sum of values in rows 18, 19, 20, 22 and 24.</w:t>
            </w:r>
          </w:p>
        </w:tc>
      </w:tr>
      <w:tr w:rsidR="002A0515" w:rsidRPr="00280717" w:rsidTr="00A54BE4">
        <w:trPr>
          <w:trHeight w:val="373"/>
        </w:trPr>
        <w:tc>
          <w:tcPr>
            <w:tcW w:w="568"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18</w:t>
            </w:r>
          </w:p>
        </w:tc>
        <w:tc>
          <w:tcPr>
            <w:tcW w:w="8505" w:type="dxa"/>
          </w:tcPr>
          <w:p w:rsidR="002A0515" w:rsidRPr="00A66751" w:rsidRDefault="002A0515" w:rsidP="00A54BE4">
            <w:pPr>
              <w:keepLines/>
              <w:widowControl w:val="0"/>
              <w:tabs>
                <w:tab w:val="left" w:pos="150"/>
                <w:tab w:val="left" w:pos="397"/>
                <w:tab w:val="left" w:pos="794"/>
                <w:tab w:val="left" w:pos="1191"/>
              </w:tabs>
              <w:spacing w:before="40" w:after="40"/>
              <w:jc w:val="both"/>
              <w:rPr>
                <w:sz w:val="17"/>
                <w:szCs w:val="17"/>
              </w:rPr>
            </w:pPr>
            <w:r w:rsidRPr="000B03B8">
              <w:rPr>
                <w:i/>
                <w:sz w:val="17"/>
                <w:szCs w:val="17"/>
              </w:rPr>
              <w:t>Performing loans to financial institutions secured by Level 1 HQLA</w:t>
            </w:r>
            <w:r>
              <w:rPr>
                <w:sz w:val="17"/>
                <w:szCs w:val="17"/>
              </w:rPr>
              <w:t>:</w:t>
            </w:r>
            <w:r w:rsidRPr="00E31BC5">
              <w:rPr>
                <w:sz w:val="17"/>
                <w:szCs w:val="17"/>
              </w:rPr>
              <w:t xml:space="preserve"> </w:t>
            </w:r>
            <w:r>
              <w:rPr>
                <w:sz w:val="17"/>
                <w:szCs w:val="17"/>
              </w:rPr>
              <w:t>comprising performing l</w:t>
            </w:r>
            <w:r w:rsidRPr="005331C1">
              <w:rPr>
                <w:sz w:val="17"/>
                <w:szCs w:val="17"/>
              </w:rPr>
              <w:t xml:space="preserve">oans and funds (other than operational deposits) provided by the </w:t>
            </w:r>
            <w:r>
              <w:rPr>
                <w:sz w:val="17"/>
                <w:szCs w:val="17"/>
              </w:rPr>
              <w:t>AI</w:t>
            </w:r>
            <w:r w:rsidRPr="005331C1">
              <w:rPr>
                <w:sz w:val="17"/>
                <w:szCs w:val="17"/>
              </w:rPr>
              <w:t xml:space="preserve"> to other financial institutions </w:t>
            </w:r>
            <w:r>
              <w:rPr>
                <w:sz w:val="17"/>
                <w:szCs w:val="17"/>
              </w:rPr>
              <w:t xml:space="preserve">that are </w:t>
            </w:r>
            <w:r w:rsidRPr="005331C1">
              <w:rPr>
                <w:sz w:val="17"/>
                <w:szCs w:val="17"/>
              </w:rPr>
              <w:t>secured by level 1 assets</w:t>
            </w:r>
            <w:r w:rsidRPr="00E31BC5">
              <w:rPr>
                <w:sz w:val="17"/>
                <w:szCs w:val="17"/>
              </w:rPr>
              <w:t>.</w:t>
            </w:r>
          </w:p>
        </w:tc>
      </w:tr>
      <w:tr w:rsidR="002A0515" w:rsidRPr="00280717" w:rsidTr="00A54BE4">
        <w:trPr>
          <w:trHeight w:val="373"/>
        </w:trPr>
        <w:tc>
          <w:tcPr>
            <w:tcW w:w="568"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19</w:t>
            </w:r>
          </w:p>
        </w:tc>
        <w:tc>
          <w:tcPr>
            <w:tcW w:w="8505" w:type="dxa"/>
          </w:tcPr>
          <w:p w:rsidR="002A0515" w:rsidRPr="00A66751" w:rsidRDefault="002A0515" w:rsidP="00A54BE4">
            <w:pPr>
              <w:keepLines/>
              <w:widowControl w:val="0"/>
              <w:tabs>
                <w:tab w:val="left" w:pos="150"/>
                <w:tab w:val="left" w:pos="397"/>
                <w:tab w:val="left" w:pos="794"/>
                <w:tab w:val="left" w:pos="1191"/>
              </w:tabs>
              <w:spacing w:before="40" w:after="40"/>
              <w:jc w:val="both"/>
              <w:rPr>
                <w:sz w:val="17"/>
                <w:szCs w:val="17"/>
              </w:rPr>
            </w:pPr>
            <w:r w:rsidRPr="000B03B8">
              <w:rPr>
                <w:i/>
                <w:sz w:val="17"/>
                <w:szCs w:val="17"/>
              </w:rPr>
              <w:t>Performing loans to financial institutions secured by non-Level 1 HQLA and unsecured performing loans to financial institutions</w:t>
            </w:r>
            <w:r>
              <w:rPr>
                <w:sz w:val="17"/>
                <w:szCs w:val="17"/>
              </w:rPr>
              <w:t>: comprising performing l</w:t>
            </w:r>
            <w:r w:rsidRPr="005331C1">
              <w:rPr>
                <w:sz w:val="17"/>
                <w:szCs w:val="17"/>
              </w:rPr>
              <w:t xml:space="preserve">oans and funds (other than operational deposits) provided by the </w:t>
            </w:r>
            <w:r>
              <w:rPr>
                <w:sz w:val="17"/>
                <w:szCs w:val="17"/>
              </w:rPr>
              <w:t>AI</w:t>
            </w:r>
            <w:r w:rsidRPr="005331C1">
              <w:rPr>
                <w:sz w:val="17"/>
                <w:szCs w:val="17"/>
              </w:rPr>
              <w:t xml:space="preserve"> to other financial institutions not </w:t>
            </w:r>
            <w:r>
              <w:rPr>
                <w:sz w:val="17"/>
                <w:szCs w:val="17"/>
              </w:rPr>
              <w:t xml:space="preserve">already </w:t>
            </w:r>
            <w:r w:rsidRPr="005331C1">
              <w:rPr>
                <w:sz w:val="17"/>
                <w:szCs w:val="17"/>
              </w:rPr>
              <w:t xml:space="preserve">covered by </w:t>
            </w:r>
            <w:r>
              <w:rPr>
                <w:sz w:val="17"/>
                <w:szCs w:val="17"/>
              </w:rPr>
              <w:t>row 18</w:t>
            </w:r>
            <w:r w:rsidRPr="0078134A">
              <w:rPr>
                <w:sz w:val="17"/>
                <w:szCs w:val="17"/>
              </w:rPr>
              <w:t>.</w:t>
            </w:r>
          </w:p>
        </w:tc>
      </w:tr>
      <w:tr w:rsidR="002A0515" w:rsidRPr="00280717" w:rsidTr="00A54BE4">
        <w:trPr>
          <w:trHeight w:val="373"/>
        </w:trPr>
        <w:tc>
          <w:tcPr>
            <w:tcW w:w="568"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20</w:t>
            </w:r>
          </w:p>
        </w:tc>
        <w:tc>
          <w:tcPr>
            <w:tcW w:w="8505" w:type="dxa"/>
          </w:tcPr>
          <w:p w:rsidR="002A0515" w:rsidRPr="000B03B8" w:rsidRDefault="002A0515" w:rsidP="00A54BE4">
            <w:pPr>
              <w:pStyle w:val="TableNote"/>
              <w:spacing w:before="40" w:after="40"/>
              <w:rPr>
                <w:i/>
                <w:sz w:val="17"/>
                <w:szCs w:val="17"/>
              </w:rPr>
            </w:pPr>
            <w:r>
              <w:rPr>
                <w:i/>
                <w:sz w:val="17"/>
                <w:szCs w:val="17"/>
              </w:rPr>
              <w:t>P</w:t>
            </w:r>
            <w:r w:rsidRPr="009C3D81">
              <w:rPr>
                <w:i/>
                <w:sz w:val="17"/>
                <w:szCs w:val="17"/>
              </w:rPr>
              <w:t>erforming loans</w:t>
            </w:r>
            <w:r>
              <w:rPr>
                <w:i/>
                <w:sz w:val="17"/>
                <w:szCs w:val="17"/>
              </w:rPr>
              <w:t>, other than performing residential mortgages,</w:t>
            </w:r>
            <w:r w:rsidRPr="009C3D81">
              <w:rPr>
                <w:i/>
                <w:sz w:val="17"/>
                <w:szCs w:val="17"/>
              </w:rPr>
              <w:t xml:space="preserve"> to non-financial corporate clients, retail and small business customers,</w:t>
            </w:r>
            <w:r>
              <w:rPr>
                <w:i/>
                <w:sz w:val="17"/>
                <w:szCs w:val="17"/>
              </w:rPr>
              <w:t xml:space="preserve"> </w:t>
            </w:r>
            <w:r w:rsidRPr="009C3D81">
              <w:rPr>
                <w:i/>
                <w:sz w:val="17"/>
                <w:szCs w:val="17"/>
              </w:rPr>
              <w:t>sovereigns, the M</w:t>
            </w:r>
            <w:r>
              <w:rPr>
                <w:i/>
                <w:sz w:val="17"/>
                <w:szCs w:val="17"/>
              </w:rPr>
              <w:t>A</w:t>
            </w:r>
            <w:r w:rsidRPr="009C3D81">
              <w:rPr>
                <w:i/>
                <w:sz w:val="17"/>
                <w:szCs w:val="17"/>
              </w:rPr>
              <w:t xml:space="preserve"> for the account of the E</w:t>
            </w:r>
            <w:r>
              <w:rPr>
                <w:i/>
                <w:sz w:val="17"/>
                <w:szCs w:val="17"/>
              </w:rPr>
              <w:t>F</w:t>
            </w:r>
            <w:r w:rsidRPr="009C3D81">
              <w:rPr>
                <w:i/>
                <w:sz w:val="17"/>
                <w:szCs w:val="17"/>
              </w:rPr>
              <w:t>, central banks and PSEs</w:t>
            </w:r>
            <w:r>
              <w:rPr>
                <w:i/>
                <w:sz w:val="17"/>
                <w:szCs w:val="17"/>
              </w:rPr>
              <w:t xml:space="preserve">: </w:t>
            </w:r>
            <w:r>
              <w:rPr>
                <w:sz w:val="17"/>
                <w:szCs w:val="17"/>
              </w:rPr>
              <w:t>comprising performing l</w:t>
            </w:r>
            <w:r w:rsidRPr="00D47896">
              <w:rPr>
                <w:sz w:val="17"/>
                <w:szCs w:val="17"/>
              </w:rPr>
              <w:t xml:space="preserve">oans and funds </w:t>
            </w:r>
            <w:r>
              <w:rPr>
                <w:sz w:val="17"/>
                <w:szCs w:val="17"/>
              </w:rPr>
              <w:t xml:space="preserve">(which are not residential mortgages) </w:t>
            </w:r>
            <w:r w:rsidRPr="00D47896">
              <w:rPr>
                <w:sz w:val="17"/>
                <w:szCs w:val="17"/>
              </w:rPr>
              <w:t xml:space="preserve">provided by the </w:t>
            </w:r>
            <w:r>
              <w:rPr>
                <w:sz w:val="17"/>
                <w:szCs w:val="17"/>
              </w:rPr>
              <w:t>AI</w:t>
            </w:r>
            <w:r w:rsidRPr="00D47896">
              <w:rPr>
                <w:sz w:val="17"/>
                <w:szCs w:val="17"/>
              </w:rPr>
              <w:t xml:space="preserve"> to retail customers</w:t>
            </w:r>
            <w:r>
              <w:rPr>
                <w:sz w:val="17"/>
                <w:szCs w:val="17"/>
              </w:rPr>
              <w:t xml:space="preserve"> </w:t>
            </w:r>
            <w:r w:rsidRPr="00D47896">
              <w:rPr>
                <w:sz w:val="17"/>
                <w:szCs w:val="17"/>
              </w:rPr>
              <w:t>and wholesale customers (other than financial institutions)</w:t>
            </w:r>
            <w:r>
              <w:rPr>
                <w:sz w:val="17"/>
                <w:szCs w:val="17"/>
              </w:rPr>
              <w:t xml:space="preserve"> that are not covered by rows 15 to 19 and 22 to 23.</w:t>
            </w:r>
          </w:p>
        </w:tc>
      </w:tr>
      <w:tr w:rsidR="002A0515" w:rsidRPr="00280717" w:rsidTr="00A54BE4">
        <w:trPr>
          <w:trHeight w:val="373"/>
        </w:trPr>
        <w:tc>
          <w:tcPr>
            <w:tcW w:w="568"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21</w:t>
            </w:r>
          </w:p>
        </w:tc>
        <w:tc>
          <w:tcPr>
            <w:tcW w:w="8505" w:type="dxa"/>
          </w:tcPr>
          <w:p w:rsidR="002A0515" w:rsidRPr="000B03B8" w:rsidRDefault="002A0515" w:rsidP="00A54BE4">
            <w:pPr>
              <w:keepLines/>
              <w:widowControl w:val="0"/>
              <w:tabs>
                <w:tab w:val="left" w:pos="150"/>
                <w:tab w:val="left" w:pos="397"/>
                <w:tab w:val="left" w:pos="794"/>
                <w:tab w:val="left" w:pos="1191"/>
              </w:tabs>
              <w:spacing w:before="40" w:after="40"/>
              <w:jc w:val="both"/>
              <w:rPr>
                <w:i/>
                <w:sz w:val="17"/>
                <w:szCs w:val="17"/>
              </w:rPr>
            </w:pPr>
            <w:r w:rsidRPr="000B03B8">
              <w:rPr>
                <w:i/>
                <w:sz w:val="17"/>
                <w:szCs w:val="17"/>
              </w:rPr>
              <w:t xml:space="preserve">With </w:t>
            </w:r>
            <w:r>
              <w:rPr>
                <w:i/>
                <w:sz w:val="17"/>
                <w:szCs w:val="17"/>
              </w:rPr>
              <w:t xml:space="preserve">a </w:t>
            </w:r>
            <w:r w:rsidRPr="000B03B8">
              <w:rPr>
                <w:i/>
                <w:sz w:val="17"/>
                <w:szCs w:val="17"/>
              </w:rPr>
              <w:t>risk</w:t>
            </w:r>
            <w:r>
              <w:rPr>
                <w:i/>
                <w:sz w:val="17"/>
                <w:szCs w:val="17"/>
              </w:rPr>
              <w:t>-</w:t>
            </w:r>
            <w:r w:rsidRPr="000B03B8">
              <w:rPr>
                <w:i/>
                <w:sz w:val="17"/>
                <w:szCs w:val="17"/>
              </w:rPr>
              <w:t>weight of less than or equal to 35% under the STC approach</w:t>
            </w:r>
            <w:r>
              <w:rPr>
                <w:sz w:val="17"/>
                <w:szCs w:val="17"/>
              </w:rPr>
              <w:t>: being the portion of</w:t>
            </w:r>
            <w:r w:rsidRPr="001D77C7">
              <w:rPr>
                <w:sz w:val="17"/>
                <w:szCs w:val="17"/>
              </w:rPr>
              <w:t xml:space="preserve"> amount reported in row </w:t>
            </w:r>
            <w:r>
              <w:rPr>
                <w:sz w:val="17"/>
                <w:szCs w:val="17"/>
              </w:rPr>
              <w:t xml:space="preserve">20 </w:t>
            </w:r>
            <w:r w:rsidRPr="001D77C7">
              <w:rPr>
                <w:sz w:val="17"/>
                <w:szCs w:val="17"/>
              </w:rPr>
              <w:t xml:space="preserve">that is subject to a </w:t>
            </w:r>
            <w:r>
              <w:rPr>
                <w:sz w:val="17"/>
                <w:szCs w:val="17"/>
              </w:rPr>
              <w:t xml:space="preserve">risk-weight </w:t>
            </w:r>
            <w:r w:rsidRPr="001D77C7">
              <w:rPr>
                <w:sz w:val="17"/>
                <w:szCs w:val="17"/>
              </w:rPr>
              <w:t xml:space="preserve">of less than or equal to 35% under </w:t>
            </w:r>
            <w:r>
              <w:rPr>
                <w:sz w:val="17"/>
                <w:szCs w:val="17"/>
              </w:rPr>
              <w:t>Division 3, Part 4 of the BCR</w:t>
            </w:r>
            <w:r w:rsidRPr="0078134A">
              <w:rPr>
                <w:sz w:val="17"/>
                <w:szCs w:val="17"/>
              </w:rPr>
              <w:t>.</w:t>
            </w:r>
          </w:p>
        </w:tc>
      </w:tr>
      <w:tr w:rsidR="002A0515" w:rsidRPr="00280717" w:rsidTr="00A54BE4">
        <w:trPr>
          <w:trHeight w:val="373"/>
        </w:trPr>
        <w:tc>
          <w:tcPr>
            <w:tcW w:w="568"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22</w:t>
            </w:r>
          </w:p>
        </w:tc>
        <w:tc>
          <w:tcPr>
            <w:tcW w:w="8505" w:type="dxa"/>
          </w:tcPr>
          <w:p w:rsidR="002A0515" w:rsidRPr="00647D6F" w:rsidRDefault="002A0515" w:rsidP="00A54BE4">
            <w:pPr>
              <w:keepLines/>
              <w:widowControl w:val="0"/>
              <w:spacing w:before="40" w:after="40"/>
              <w:jc w:val="both"/>
              <w:rPr>
                <w:sz w:val="17"/>
                <w:szCs w:val="17"/>
              </w:rPr>
            </w:pPr>
            <w:r w:rsidRPr="000B03B8">
              <w:rPr>
                <w:i/>
                <w:sz w:val="17"/>
                <w:szCs w:val="17"/>
              </w:rPr>
              <w:t>Performing residential mortgages</w:t>
            </w:r>
            <w:r>
              <w:rPr>
                <w:sz w:val="17"/>
                <w:szCs w:val="17"/>
              </w:rPr>
              <w:t xml:space="preserve">: comprising all performing residential mortgages provided by the AI.  In determining the scope of residential mortgage, </w:t>
            </w:r>
            <w:r w:rsidRPr="00AE62F6">
              <w:rPr>
                <w:sz w:val="17"/>
                <w:szCs w:val="17"/>
              </w:rPr>
              <w:t xml:space="preserve">an AI could make reference </w:t>
            </w:r>
            <w:r>
              <w:rPr>
                <w:sz w:val="17"/>
                <w:szCs w:val="17"/>
              </w:rPr>
              <w:t>to</w:t>
            </w:r>
            <w:r w:rsidRPr="00AE62F6">
              <w:rPr>
                <w:sz w:val="17"/>
                <w:szCs w:val="17"/>
              </w:rPr>
              <w:t xml:space="preserve"> BCR </w:t>
            </w:r>
            <w:r w:rsidRPr="00A8109E">
              <w:rPr>
                <w:sz w:val="17"/>
                <w:szCs w:val="17"/>
              </w:rPr>
              <w:t>§</w:t>
            </w:r>
            <w:r w:rsidRPr="00AE62F6">
              <w:rPr>
                <w:sz w:val="17"/>
                <w:szCs w:val="17"/>
              </w:rPr>
              <w:t>2(1)</w:t>
            </w:r>
            <w:r>
              <w:rPr>
                <w:sz w:val="17"/>
                <w:szCs w:val="17"/>
              </w:rPr>
              <w:t xml:space="preserve"> </w:t>
            </w:r>
            <w:r w:rsidRPr="00AE62F6">
              <w:rPr>
                <w:sz w:val="17"/>
                <w:szCs w:val="17"/>
              </w:rPr>
              <w:t xml:space="preserve">for the scope of row 22.  For clarity sake, residential mortgage loans to financial institutions, if any, should be excluded from row 22 and be included in row 18 or 19 where appropriate.  </w:t>
            </w:r>
          </w:p>
        </w:tc>
      </w:tr>
      <w:tr w:rsidR="002A0515" w:rsidRPr="00280717" w:rsidTr="00A54BE4">
        <w:trPr>
          <w:trHeight w:val="373"/>
        </w:trPr>
        <w:tc>
          <w:tcPr>
            <w:tcW w:w="568"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23</w:t>
            </w:r>
          </w:p>
        </w:tc>
        <w:tc>
          <w:tcPr>
            <w:tcW w:w="8505" w:type="dxa"/>
          </w:tcPr>
          <w:p w:rsidR="002A0515" w:rsidRPr="0078134A" w:rsidRDefault="002A0515" w:rsidP="00A54BE4">
            <w:pPr>
              <w:keepLines/>
              <w:widowControl w:val="0"/>
              <w:tabs>
                <w:tab w:val="left" w:pos="150"/>
                <w:tab w:val="left" w:pos="397"/>
                <w:tab w:val="left" w:pos="794"/>
                <w:tab w:val="left" w:pos="1191"/>
              </w:tabs>
              <w:spacing w:before="40" w:after="40"/>
              <w:jc w:val="both"/>
              <w:rPr>
                <w:sz w:val="17"/>
                <w:szCs w:val="17"/>
              </w:rPr>
            </w:pPr>
            <w:r w:rsidRPr="000B03B8">
              <w:rPr>
                <w:i/>
                <w:sz w:val="17"/>
                <w:szCs w:val="17"/>
              </w:rPr>
              <w:t xml:space="preserve">With </w:t>
            </w:r>
            <w:r>
              <w:rPr>
                <w:i/>
                <w:sz w:val="17"/>
                <w:szCs w:val="17"/>
              </w:rPr>
              <w:t xml:space="preserve">a </w:t>
            </w:r>
            <w:r w:rsidRPr="000B03B8">
              <w:rPr>
                <w:i/>
                <w:sz w:val="17"/>
                <w:szCs w:val="17"/>
              </w:rPr>
              <w:t>risk</w:t>
            </w:r>
            <w:r>
              <w:rPr>
                <w:i/>
                <w:sz w:val="17"/>
                <w:szCs w:val="17"/>
              </w:rPr>
              <w:t>-</w:t>
            </w:r>
            <w:r w:rsidRPr="000B03B8">
              <w:rPr>
                <w:i/>
                <w:sz w:val="17"/>
                <w:szCs w:val="17"/>
              </w:rPr>
              <w:t>weight of less than or equal to 35% under the STC approach</w:t>
            </w:r>
            <w:r>
              <w:rPr>
                <w:sz w:val="17"/>
                <w:szCs w:val="17"/>
              </w:rPr>
              <w:t>: being the portion of</w:t>
            </w:r>
            <w:r w:rsidRPr="00C255A0">
              <w:rPr>
                <w:sz w:val="17"/>
                <w:szCs w:val="17"/>
              </w:rPr>
              <w:t xml:space="preserve"> amount reported in row </w:t>
            </w:r>
            <w:r>
              <w:rPr>
                <w:sz w:val="17"/>
                <w:szCs w:val="17"/>
              </w:rPr>
              <w:t xml:space="preserve">22 </w:t>
            </w:r>
            <w:r w:rsidRPr="00C255A0">
              <w:rPr>
                <w:sz w:val="17"/>
                <w:szCs w:val="17"/>
              </w:rPr>
              <w:t xml:space="preserve">that is subject to a </w:t>
            </w:r>
            <w:r>
              <w:rPr>
                <w:sz w:val="17"/>
                <w:szCs w:val="17"/>
              </w:rPr>
              <w:t xml:space="preserve">risk-weight </w:t>
            </w:r>
            <w:r w:rsidRPr="00C255A0">
              <w:rPr>
                <w:sz w:val="17"/>
                <w:szCs w:val="17"/>
              </w:rPr>
              <w:t xml:space="preserve">of </w:t>
            </w:r>
            <w:r w:rsidRPr="000B03B8">
              <w:rPr>
                <w:sz w:val="17"/>
                <w:szCs w:val="17"/>
              </w:rPr>
              <w:t xml:space="preserve">less than or equal to 35% under </w:t>
            </w:r>
            <w:r>
              <w:rPr>
                <w:sz w:val="17"/>
                <w:szCs w:val="17"/>
              </w:rPr>
              <w:t>Division 3, Part 4 of the BCR</w:t>
            </w:r>
            <w:r w:rsidRPr="0078134A">
              <w:rPr>
                <w:sz w:val="17"/>
                <w:szCs w:val="17"/>
              </w:rPr>
              <w:t>.</w:t>
            </w:r>
          </w:p>
        </w:tc>
      </w:tr>
      <w:tr w:rsidR="002A0515" w:rsidRPr="00280717" w:rsidTr="00A54BE4">
        <w:trPr>
          <w:trHeight w:val="373"/>
        </w:trPr>
        <w:tc>
          <w:tcPr>
            <w:tcW w:w="568" w:type="dxa"/>
          </w:tcPr>
          <w:p w:rsidR="002A0515" w:rsidRPr="00280717"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24</w:t>
            </w:r>
          </w:p>
        </w:tc>
        <w:tc>
          <w:tcPr>
            <w:tcW w:w="8505" w:type="dxa"/>
          </w:tcPr>
          <w:p w:rsidR="002A0515" w:rsidRPr="0078134A" w:rsidRDefault="002A0515" w:rsidP="00A54BE4">
            <w:pPr>
              <w:pStyle w:val="TableNote"/>
              <w:spacing w:before="40" w:after="40"/>
              <w:rPr>
                <w:sz w:val="17"/>
                <w:szCs w:val="17"/>
              </w:rPr>
            </w:pPr>
            <w:r w:rsidRPr="00650BE1">
              <w:rPr>
                <w:i/>
                <w:sz w:val="17"/>
                <w:szCs w:val="17"/>
              </w:rPr>
              <w:t>Securities that are not in default and do not qualify as HQLA including exchange-traded equities</w:t>
            </w:r>
            <w:r>
              <w:rPr>
                <w:sz w:val="17"/>
                <w:szCs w:val="17"/>
              </w:rPr>
              <w:t>: comprising debt s</w:t>
            </w:r>
            <w:r w:rsidRPr="00A83187">
              <w:rPr>
                <w:sz w:val="17"/>
                <w:szCs w:val="17"/>
              </w:rPr>
              <w:t>ecurities</w:t>
            </w:r>
            <w:r>
              <w:rPr>
                <w:sz w:val="17"/>
                <w:szCs w:val="17"/>
              </w:rPr>
              <w:t>, prescribed instruments</w:t>
            </w:r>
            <w:r w:rsidRPr="00A83187">
              <w:rPr>
                <w:sz w:val="17"/>
                <w:szCs w:val="17"/>
              </w:rPr>
              <w:t xml:space="preserve"> </w:t>
            </w:r>
            <w:r>
              <w:rPr>
                <w:sz w:val="17"/>
                <w:szCs w:val="17"/>
              </w:rPr>
              <w:t xml:space="preserve">and listed equities </w:t>
            </w:r>
            <w:r w:rsidRPr="00A83187">
              <w:rPr>
                <w:sz w:val="17"/>
                <w:szCs w:val="17"/>
              </w:rPr>
              <w:t xml:space="preserve">held by the </w:t>
            </w:r>
            <w:r>
              <w:rPr>
                <w:sz w:val="17"/>
                <w:szCs w:val="17"/>
              </w:rPr>
              <w:t>AI</w:t>
            </w:r>
            <w:r w:rsidRPr="00A83187">
              <w:rPr>
                <w:sz w:val="17"/>
                <w:szCs w:val="17"/>
              </w:rPr>
              <w:t xml:space="preserve"> </w:t>
            </w:r>
            <w:r>
              <w:rPr>
                <w:sz w:val="17"/>
                <w:szCs w:val="17"/>
              </w:rPr>
              <w:t>that are not already included in row 15</w:t>
            </w:r>
            <w:r w:rsidRPr="000841AB">
              <w:rPr>
                <w:sz w:val="17"/>
                <w:szCs w:val="17"/>
              </w:rPr>
              <w:t>.</w:t>
            </w:r>
            <w:r>
              <w:rPr>
                <w:sz w:val="17"/>
                <w:szCs w:val="17"/>
              </w:rPr>
              <w:t xml:space="preserve">  To avoid doubt, debt securities or prescribed instruments that are not marketable should also be covered by this row, while unlisted equities should be reported under row 31.</w:t>
            </w:r>
          </w:p>
        </w:tc>
      </w:tr>
      <w:tr w:rsidR="002A0515" w:rsidRPr="00280717" w:rsidTr="00A54BE4">
        <w:trPr>
          <w:trHeight w:val="373"/>
        </w:trPr>
        <w:tc>
          <w:tcPr>
            <w:tcW w:w="568"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25</w:t>
            </w:r>
          </w:p>
        </w:tc>
        <w:tc>
          <w:tcPr>
            <w:tcW w:w="8505" w:type="dxa"/>
          </w:tcPr>
          <w:p w:rsidR="002A0515" w:rsidRDefault="002A0515" w:rsidP="00A54BE4">
            <w:pPr>
              <w:keepLines/>
              <w:widowControl w:val="0"/>
              <w:tabs>
                <w:tab w:val="left" w:pos="150"/>
                <w:tab w:val="left" w:pos="397"/>
                <w:tab w:val="left" w:pos="794"/>
                <w:tab w:val="left" w:pos="1191"/>
              </w:tabs>
              <w:spacing w:before="40" w:after="40"/>
              <w:jc w:val="both"/>
              <w:rPr>
                <w:sz w:val="17"/>
                <w:szCs w:val="17"/>
              </w:rPr>
            </w:pPr>
            <w:r w:rsidRPr="000B03B8">
              <w:rPr>
                <w:i/>
                <w:sz w:val="17"/>
                <w:szCs w:val="17"/>
              </w:rPr>
              <w:t>Assets with matching interdependent liabilities</w:t>
            </w:r>
            <w:r>
              <w:rPr>
                <w:sz w:val="17"/>
                <w:szCs w:val="17"/>
              </w:rPr>
              <w:t>: any assets which meet the descriptions in BLR rule 70 and match with interdependent liabilities should be included in this row and excluded from all other RSF items</w:t>
            </w:r>
            <w:r w:rsidRPr="00986D2D">
              <w:rPr>
                <w:sz w:val="17"/>
                <w:szCs w:val="17"/>
              </w:rPr>
              <w:t>.</w:t>
            </w:r>
            <w:r>
              <w:rPr>
                <w:sz w:val="17"/>
                <w:szCs w:val="17"/>
              </w:rPr>
              <w:t xml:space="preserve">    For note-issuing banks, this row also includes the amount of </w:t>
            </w:r>
            <w:r w:rsidRPr="00B319D7">
              <w:rPr>
                <w:sz w:val="17"/>
                <w:szCs w:val="17"/>
              </w:rPr>
              <w:t xml:space="preserve">certificate of indebtedness </w:t>
            </w:r>
            <w:r>
              <w:rPr>
                <w:sz w:val="17"/>
                <w:szCs w:val="17"/>
              </w:rPr>
              <w:t xml:space="preserve">that are </w:t>
            </w:r>
            <w:r w:rsidRPr="00B319D7">
              <w:rPr>
                <w:sz w:val="17"/>
                <w:szCs w:val="17"/>
              </w:rPr>
              <w:t xml:space="preserve">issued under </w:t>
            </w:r>
            <w:r>
              <w:rPr>
                <w:sz w:val="17"/>
                <w:szCs w:val="17"/>
              </w:rPr>
              <w:t xml:space="preserve">section </w:t>
            </w:r>
            <w:r w:rsidRPr="00B319D7">
              <w:rPr>
                <w:sz w:val="17"/>
                <w:szCs w:val="17"/>
              </w:rPr>
              <w:t>4(1)</w:t>
            </w:r>
            <w:r>
              <w:rPr>
                <w:sz w:val="17"/>
                <w:szCs w:val="17"/>
              </w:rPr>
              <w:t xml:space="preserve"> of </w:t>
            </w:r>
            <w:r w:rsidRPr="00B319D7">
              <w:rPr>
                <w:sz w:val="17"/>
                <w:szCs w:val="17"/>
              </w:rPr>
              <w:t>the Exchange Fund Ordinance (Cap. 66)</w:t>
            </w:r>
            <w:r>
              <w:rPr>
                <w:sz w:val="17"/>
                <w:szCs w:val="17"/>
              </w:rPr>
              <w:t>, as follows:</w:t>
            </w:r>
          </w:p>
          <w:p w:rsidR="002A0515" w:rsidRPr="00B5213A" w:rsidRDefault="002A0515" w:rsidP="002A0515">
            <w:pPr>
              <w:pStyle w:val="ListParagraph"/>
              <w:keepLines/>
              <w:widowControl w:val="0"/>
              <w:numPr>
                <w:ilvl w:val="0"/>
                <w:numId w:val="80"/>
              </w:numPr>
              <w:tabs>
                <w:tab w:val="left" w:pos="459"/>
              </w:tabs>
              <w:spacing w:before="40" w:after="40"/>
              <w:ind w:leftChars="0" w:left="459" w:hanging="459"/>
              <w:jc w:val="both"/>
              <w:rPr>
                <w:rFonts w:cs="Times New Roman"/>
                <w:kern w:val="0"/>
                <w:sz w:val="17"/>
                <w:szCs w:val="17"/>
                <w:lang w:val="en-GB"/>
              </w:rPr>
            </w:pPr>
            <w:r>
              <w:rPr>
                <w:rFonts w:cs="Times New Roman"/>
                <w:kern w:val="0"/>
                <w:sz w:val="17"/>
                <w:szCs w:val="17"/>
                <w:lang w:val="en-GB"/>
              </w:rPr>
              <w:t>f</w:t>
            </w:r>
            <w:r w:rsidRPr="00B5213A">
              <w:rPr>
                <w:rFonts w:cs="Times New Roman"/>
                <w:kern w:val="0"/>
                <w:sz w:val="17"/>
                <w:szCs w:val="17"/>
                <w:lang w:val="en-GB"/>
              </w:rPr>
              <w:t xml:space="preserve">or unweighted value, </w:t>
            </w:r>
            <w:r w:rsidRPr="0089465D">
              <w:rPr>
                <w:rFonts w:cs="Times New Roman"/>
                <w:kern w:val="0"/>
                <w:sz w:val="17"/>
                <w:szCs w:val="17"/>
                <w:lang w:val="en-GB"/>
              </w:rPr>
              <w:t>the certificate</w:t>
            </w:r>
            <w:r>
              <w:rPr>
                <w:rFonts w:cs="Times New Roman"/>
                <w:kern w:val="0"/>
                <w:sz w:val="17"/>
                <w:szCs w:val="17"/>
                <w:lang w:val="en-GB"/>
              </w:rPr>
              <w:t>s</w:t>
            </w:r>
            <w:r w:rsidRPr="0089465D">
              <w:rPr>
                <w:rFonts w:cs="Times New Roman"/>
                <w:kern w:val="0"/>
                <w:sz w:val="17"/>
                <w:szCs w:val="17"/>
                <w:lang w:val="en-GB"/>
              </w:rPr>
              <w:t xml:space="preserve"> of indebtedness</w:t>
            </w:r>
            <w:r w:rsidRPr="00B5213A">
              <w:rPr>
                <w:rFonts w:cs="Times New Roman"/>
                <w:kern w:val="0"/>
                <w:sz w:val="17"/>
                <w:szCs w:val="17"/>
                <w:lang w:val="en-GB"/>
              </w:rPr>
              <w:t xml:space="preserve"> </w:t>
            </w:r>
            <w:r>
              <w:rPr>
                <w:rFonts w:cs="Times New Roman"/>
                <w:kern w:val="0"/>
                <w:sz w:val="17"/>
                <w:szCs w:val="17"/>
                <w:lang w:val="en-GB"/>
              </w:rPr>
              <w:t xml:space="preserve">held </w:t>
            </w:r>
            <w:r w:rsidRPr="00B5213A">
              <w:rPr>
                <w:rFonts w:cs="Times New Roman"/>
                <w:kern w:val="0"/>
                <w:sz w:val="17"/>
                <w:szCs w:val="17"/>
                <w:lang w:val="en-GB"/>
              </w:rPr>
              <w:t>should be included in column (a) for ‘no specified term to maturity’;</w:t>
            </w:r>
          </w:p>
          <w:p w:rsidR="002A0515" w:rsidRPr="0078134A" w:rsidRDefault="002A0515" w:rsidP="002A0515">
            <w:pPr>
              <w:pStyle w:val="ListParagraph"/>
              <w:keepLines/>
              <w:widowControl w:val="0"/>
              <w:numPr>
                <w:ilvl w:val="0"/>
                <w:numId w:val="80"/>
              </w:numPr>
              <w:tabs>
                <w:tab w:val="left" w:pos="459"/>
              </w:tabs>
              <w:spacing w:before="40" w:after="40"/>
              <w:ind w:leftChars="0" w:left="459" w:hanging="459"/>
              <w:jc w:val="both"/>
              <w:rPr>
                <w:sz w:val="17"/>
                <w:szCs w:val="17"/>
              </w:rPr>
            </w:pPr>
            <w:r>
              <w:rPr>
                <w:rFonts w:cs="Times New Roman"/>
                <w:kern w:val="0"/>
                <w:sz w:val="17"/>
                <w:szCs w:val="17"/>
                <w:lang w:val="en-GB"/>
              </w:rPr>
              <w:t>f</w:t>
            </w:r>
            <w:r w:rsidRPr="00B5213A">
              <w:rPr>
                <w:rFonts w:cs="Times New Roman"/>
                <w:kern w:val="0"/>
                <w:sz w:val="17"/>
                <w:szCs w:val="17"/>
                <w:lang w:val="en-GB"/>
              </w:rPr>
              <w:t>or weighted value, a note-issuing bank may choose either to (a) treat the amount for certificate</w:t>
            </w:r>
            <w:r>
              <w:rPr>
                <w:rFonts w:cs="Times New Roman"/>
                <w:kern w:val="0"/>
                <w:sz w:val="17"/>
                <w:szCs w:val="17"/>
                <w:lang w:val="en-GB"/>
              </w:rPr>
              <w:t>s</w:t>
            </w:r>
            <w:r w:rsidRPr="00B5213A">
              <w:rPr>
                <w:rFonts w:cs="Times New Roman"/>
                <w:kern w:val="0"/>
                <w:sz w:val="17"/>
                <w:szCs w:val="17"/>
                <w:lang w:val="en-GB"/>
              </w:rPr>
              <w:t xml:space="preserve"> of indebtedness as $0; or (b) apply </w:t>
            </w:r>
            <w:r>
              <w:rPr>
                <w:rFonts w:cs="Times New Roman"/>
                <w:kern w:val="0"/>
                <w:sz w:val="17"/>
                <w:szCs w:val="17"/>
                <w:lang w:val="en-GB"/>
              </w:rPr>
              <w:t xml:space="preserve">BLR </w:t>
            </w:r>
            <w:r w:rsidRPr="00B5213A">
              <w:rPr>
                <w:rFonts w:cs="Times New Roman"/>
                <w:kern w:val="0"/>
                <w:sz w:val="17"/>
                <w:szCs w:val="17"/>
                <w:lang w:val="en-GB"/>
              </w:rPr>
              <w:t>rules 65 and 68 to determine such weighted amounts in accordance with BLR rule 69(2).</w:t>
            </w:r>
          </w:p>
        </w:tc>
      </w:tr>
      <w:tr w:rsidR="002A0515" w:rsidRPr="00280717" w:rsidTr="00A54BE4">
        <w:trPr>
          <w:trHeight w:val="373"/>
        </w:trPr>
        <w:tc>
          <w:tcPr>
            <w:tcW w:w="568"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26</w:t>
            </w:r>
          </w:p>
        </w:tc>
        <w:tc>
          <w:tcPr>
            <w:tcW w:w="8505" w:type="dxa"/>
          </w:tcPr>
          <w:p w:rsidR="002A0515" w:rsidRPr="0078134A" w:rsidRDefault="002A0515" w:rsidP="00A54BE4">
            <w:pPr>
              <w:pStyle w:val="TableNote"/>
              <w:spacing w:before="40" w:after="40"/>
              <w:rPr>
                <w:sz w:val="17"/>
                <w:szCs w:val="17"/>
              </w:rPr>
            </w:pPr>
            <w:r w:rsidRPr="000B03B8">
              <w:rPr>
                <w:i/>
                <w:sz w:val="17"/>
                <w:szCs w:val="17"/>
              </w:rPr>
              <w:t>Other assets</w:t>
            </w:r>
            <w:r>
              <w:rPr>
                <w:sz w:val="17"/>
                <w:szCs w:val="17"/>
              </w:rPr>
              <w:t>:</w:t>
            </w:r>
            <w:r w:rsidRPr="000841AB">
              <w:rPr>
                <w:sz w:val="17"/>
                <w:szCs w:val="17"/>
              </w:rPr>
              <w:t xml:space="preserve"> the sum of </w:t>
            </w:r>
            <w:r>
              <w:rPr>
                <w:sz w:val="17"/>
                <w:szCs w:val="17"/>
              </w:rPr>
              <w:t xml:space="preserve">values in </w:t>
            </w:r>
            <w:r w:rsidRPr="000841AB">
              <w:rPr>
                <w:sz w:val="17"/>
                <w:szCs w:val="17"/>
              </w:rPr>
              <w:t>rows 27</w:t>
            </w:r>
            <w:r>
              <w:rPr>
                <w:sz w:val="17"/>
                <w:szCs w:val="17"/>
              </w:rPr>
              <w:t xml:space="preserve"> to </w:t>
            </w:r>
            <w:r w:rsidRPr="000841AB">
              <w:rPr>
                <w:sz w:val="17"/>
                <w:szCs w:val="17"/>
              </w:rPr>
              <w:t>31.</w:t>
            </w:r>
          </w:p>
        </w:tc>
      </w:tr>
      <w:tr w:rsidR="002A0515" w:rsidRPr="00280717" w:rsidTr="00A54BE4">
        <w:trPr>
          <w:trHeight w:val="373"/>
        </w:trPr>
        <w:tc>
          <w:tcPr>
            <w:tcW w:w="568"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27</w:t>
            </w:r>
          </w:p>
        </w:tc>
        <w:tc>
          <w:tcPr>
            <w:tcW w:w="8505" w:type="dxa"/>
          </w:tcPr>
          <w:p w:rsidR="002A0515" w:rsidRPr="0078134A" w:rsidRDefault="002A0515" w:rsidP="00A54BE4">
            <w:pPr>
              <w:pStyle w:val="TableNote"/>
              <w:spacing w:before="40" w:after="40"/>
              <w:rPr>
                <w:sz w:val="17"/>
                <w:szCs w:val="17"/>
              </w:rPr>
            </w:pPr>
            <w:r w:rsidRPr="000B03B8">
              <w:rPr>
                <w:i/>
                <w:sz w:val="17"/>
                <w:szCs w:val="17"/>
              </w:rPr>
              <w:t>Physical traded commodities, including gold</w:t>
            </w:r>
            <w:r>
              <w:rPr>
                <w:sz w:val="17"/>
                <w:szCs w:val="17"/>
              </w:rPr>
              <w:t>: including all p</w:t>
            </w:r>
            <w:r w:rsidRPr="00131389">
              <w:rPr>
                <w:sz w:val="17"/>
                <w:szCs w:val="17"/>
              </w:rPr>
              <w:t xml:space="preserve">hysical traded commodities held by the </w:t>
            </w:r>
            <w:r>
              <w:rPr>
                <w:sz w:val="17"/>
                <w:szCs w:val="17"/>
              </w:rPr>
              <w:t>AI</w:t>
            </w:r>
            <w:r w:rsidRPr="006A0538">
              <w:rPr>
                <w:sz w:val="17"/>
                <w:szCs w:val="17"/>
              </w:rPr>
              <w:t>.</w:t>
            </w:r>
          </w:p>
        </w:tc>
      </w:tr>
      <w:tr w:rsidR="002A0515" w:rsidRPr="00280717" w:rsidTr="00A54BE4">
        <w:trPr>
          <w:trHeight w:val="373"/>
        </w:trPr>
        <w:tc>
          <w:tcPr>
            <w:tcW w:w="568"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28</w:t>
            </w:r>
          </w:p>
        </w:tc>
        <w:tc>
          <w:tcPr>
            <w:tcW w:w="8505" w:type="dxa"/>
          </w:tcPr>
          <w:p w:rsidR="002A0515" w:rsidRPr="0078134A" w:rsidRDefault="002A0515" w:rsidP="00A54BE4">
            <w:pPr>
              <w:pStyle w:val="TableNote"/>
              <w:spacing w:before="40" w:after="40"/>
              <w:rPr>
                <w:sz w:val="17"/>
                <w:szCs w:val="17"/>
              </w:rPr>
            </w:pPr>
            <w:r w:rsidRPr="000B03B8">
              <w:rPr>
                <w:i/>
                <w:sz w:val="17"/>
                <w:szCs w:val="17"/>
              </w:rPr>
              <w:t>Assets posted as initial margin for derivative contracts and contributions to default funds of CCPs</w:t>
            </w:r>
            <w:r>
              <w:rPr>
                <w:sz w:val="17"/>
                <w:szCs w:val="17"/>
              </w:rPr>
              <w:t>: including cash, securities and other a</w:t>
            </w:r>
            <w:r w:rsidRPr="006F0CA4">
              <w:rPr>
                <w:sz w:val="17"/>
                <w:szCs w:val="17"/>
              </w:rPr>
              <w:t xml:space="preserve">ssets posted by the </w:t>
            </w:r>
            <w:r>
              <w:rPr>
                <w:sz w:val="17"/>
                <w:szCs w:val="17"/>
              </w:rPr>
              <w:t>AI</w:t>
            </w:r>
            <w:r w:rsidRPr="006F0CA4">
              <w:rPr>
                <w:sz w:val="17"/>
                <w:szCs w:val="17"/>
              </w:rPr>
              <w:t xml:space="preserve"> as initial margins or default fund contributions</w:t>
            </w:r>
            <w:r>
              <w:rPr>
                <w:sz w:val="17"/>
                <w:szCs w:val="17"/>
              </w:rPr>
              <w:t xml:space="preserve"> under all derivative contracts regardless of whether the assets are maintained on the AI’s balance sheet</w:t>
            </w:r>
            <w:r w:rsidRPr="006A0538">
              <w:rPr>
                <w:sz w:val="17"/>
                <w:szCs w:val="17"/>
              </w:rPr>
              <w:t>.</w:t>
            </w:r>
          </w:p>
        </w:tc>
      </w:tr>
      <w:tr w:rsidR="002A0515" w:rsidRPr="00280717" w:rsidTr="00A54BE4">
        <w:trPr>
          <w:trHeight w:val="373"/>
        </w:trPr>
        <w:tc>
          <w:tcPr>
            <w:tcW w:w="568"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29</w:t>
            </w:r>
          </w:p>
        </w:tc>
        <w:tc>
          <w:tcPr>
            <w:tcW w:w="8505" w:type="dxa"/>
          </w:tcPr>
          <w:p w:rsidR="002A0515" w:rsidRPr="0078134A" w:rsidRDefault="002A0515" w:rsidP="00A54BE4">
            <w:pPr>
              <w:pStyle w:val="TableNote"/>
              <w:spacing w:before="40" w:after="40"/>
              <w:rPr>
                <w:sz w:val="17"/>
                <w:szCs w:val="17"/>
              </w:rPr>
            </w:pPr>
            <w:r>
              <w:rPr>
                <w:i/>
                <w:sz w:val="17"/>
                <w:szCs w:val="17"/>
              </w:rPr>
              <w:t xml:space="preserve">Net </w:t>
            </w:r>
            <w:r w:rsidRPr="001D77C7">
              <w:rPr>
                <w:i/>
                <w:sz w:val="17"/>
                <w:szCs w:val="17"/>
              </w:rPr>
              <w:t>derivative</w:t>
            </w:r>
            <w:r>
              <w:rPr>
                <w:i/>
                <w:sz w:val="17"/>
                <w:szCs w:val="17"/>
              </w:rPr>
              <w:t xml:space="preserve"> asset</w:t>
            </w:r>
            <w:r w:rsidRPr="001D77C7">
              <w:rPr>
                <w:i/>
                <w:sz w:val="17"/>
                <w:szCs w:val="17"/>
              </w:rPr>
              <w:t>s</w:t>
            </w:r>
            <w:r>
              <w:rPr>
                <w:sz w:val="17"/>
                <w:szCs w:val="17"/>
              </w:rPr>
              <w:t>: i</w:t>
            </w:r>
            <w:r w:rsidRPr="006A0538">
              <w:rPr>
                <w:sz w:val="17"/>
                <w:szCs w:val="17"/>
              </w:rPr>
              <w:t xml:space="preserve">n the unweighted cell, report </w:t>
            </w:r>
            <w:r>
              <w:rPr>
                <w:sz w:val="17"/>
                <w:szCs w:val="17"/>
              </w:rPr>
              <w:t xml:space="preserve">the amount of net </w:t>
            </w:r>
            <w:r w:rsidRPr="006A0538">
              <w:rPr>
                <w:sz w:val="17"/>
                <w:szCs w:val="17"/>
              </w:rPr>
              <w:t xml:space="preserve">derivative assets as calculated according to </w:t>
            </w:r>
            <w:r>
              <w:rPr>
                <w:sz w:val="17"/>
                <w:szCs w:val="17"/>
              </w:rPr>
              <w:t>Part 9 of the BLR (i.e. the net amount of the total derivative assets (after adjustments) in excess of total derivative liabilities (after adjustments))</w:t>
            </w:r>
            <w:r w:rsidRPr="006A0538">
              <w:rPr>
                <w:sz w:val="17"/>
                <w:szCs w:val="17"/>
              </w:rPr>
              <w:t xml:space="preserve">. </w:t>
            </w:r>
            <w:r>
              <w:rPr>
                <w:sz w:val="17"/>
                <w:szCs w:val="17"/>
              </w:rPr>
              <w:t xml:space="preserve"> Since net derivative assets are subject to an RSF factor of 100%, the amount reported in the weighted cell should be equal to the amount reported in the unweighted cell. </w:t>
            </w:r>
          </w:p>
        </w:tc>
      </w:tr>
      <w:tr w:rsidR="002A0515" w:rsidRPr="00280717" w:rsidTr="00A54BE4">
        <w:trPr>
          <w:trHeight w:val="373"/>
        </w:trPr>
        <w:tc>
          <w:tcPr>
            <w:tcW w:w="568"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30</w:t>
            </w:r>
          </w:p>
        </w:tc>
        <w:tc>
          <w:tcPr>
            <w:tcW w:w="8505" w:type="dxa"/>
          </w:tcPr>
          <w:p w:rsidR="002A0515" w:rsidRPr="0078134A" w:rsidRDefault="002A0515" w:rsidP="00A54BE4">
            <w:pPr>
              <w:pStyle w:val="TableNote"/>
              <w:spacing w:before="40" w:after="40"/>
              <w:rPr>
                <w:sz w:val="17"/>
                <w:szCs w:val="17"/>
              </w:rPr>
            </w:pPr>
            <w:r>
              <w:rPr>
                <w:i/>
                <w:sz w:val="17"/>
                <w:szCs w:val="17"/>
                <w:lang w:eastAsia="it-IT"/>
              </w:rPr>
              <w:t xml:space="preserve">Total </w:t>
            </w:r>
            <w:r w:rsidRPr="000B03B8">
              <w:rPr>
                <w:i/>
                <w:sz w:val="17"/>
                <w:szCs w:val="17"/>
                <w:lang w:eastAsia="it-IT"/>
              </w:rPr>
              <w:t xml:space="preserve">derivative liabilities before </w:t>
            </w:r>
            <w:r>
              <w:rPr>
                <w:i/>
                <w:sz w:val="17"/>
                <w:szCs w:val="17"/>
                <w:lang w:eastAsia="it-IT"/>
              </w:rPr>
              <w:t xml:space="preserve">adjustments for </w:t>
            </w:r>
            <w:r w:rsidRPr="00667E57">
              <w:rPr>
                <w:rFonts w:hint="eastAsia"/>
                <w:i/>
                <w:sz w:val="17"/>
                <w:szCs w:val="17"/>
                <w:lang w:eastAsia="it-IT"/>
              </w:rPr>
              <w:t>deduction</w:t>
            </w:r>
            <w:r w:rsidRPr="000B03B8">
              <w:rPr>
                <w:i/>
                <w:sz w:val="17"/>
                <w:szCs w:val="17"/>
                <w:lang w:eastAsia="it-IT"/>
              </w:rPr>
              <w:t xml:space="preserve"> of variation margin posted</w:t>
            </w:r>
            <w:r w:rsidRPr="00584ECF">
              <w:rPr>
                <w:sz w:val="17"/>
                <w:szCs w:val="17"/>
              </w:rPr>
              <w:t xml:space="preserve">: report </w:t>
            </w:r>
            <w:r>
              <w:rPr>
                <w:sz w:val="17"/>
                <w:szCs w:val="17"/>
              </w:rPr>
              <w:t xml:space="preserve">in this row the amount of total derivative liabilities (before adjustments) according to Part 9 of the BLR (i.e. the sum of the replacement costs of derivative contracts between the reporting AI and its counterparties, where each of those contracts has a negative replacement cost before adjustments for any variation margin posted by the reporting AI to the counterparty under the contract).  The reported value should be in an absolute term (i.e. disregard the negative sign).  </w:t>
            </w:r>
          </w:p>
        </w:tc>
      </w:tr>
      <w:tr w:rsidR="002A0515" w:rsidRPr="00280717" w:rsidTr="00A54BE4">
        <w:trPr>
          <w:trHeight w:val="373"/>
        </w:trPr>
        <w:tc>
          <w:tcPr>
            <w:tcW w:w="568"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31</w:t>
            </w:r>
          </w:p>
        </w:tc>
        <w:tc>
          <w:tcPr>
            <w:tcW w:w="8505" w:type="dxa"/>
          </w:tcPr>
          <w:p w:rsidR="002A0515" w:rsidRPr="00B22D08" w:rsidRDefault="002A0515" w:rsidP="00A54BE4">
            <w:pPr>
              <w:pStyle w:val="TableNote"/>
              <w:spacing w:before="40" w:after="40"/>
              <w:rPr>
                <w:sz w:val="17"/>
                <w:szCs w:val="17"/>
              </w:rPr>
            </w:pPr>
            <w:r w:rsidRPr="000B03B8">
              <w:rPr>
                <w:i/>
                <w:sz w:val="17"/>
                <w:szCs w:val="17"/>
              </w:rPr>
              <w:t>All other assets not included in the above categories</w:t>
            </w:r>
            <w:r>
              <w:rPr>
                <w:sz w:val="17"/>
                <w:szCs w:val="17"/>
              </w:rPr>
              <w:t>: report in this row a</w:t>
            </w:r>
            <w:r w:rsidRPr="006C0223">
              <w:rPr>
                <w:sz w:val="17"/>
                <w:szCs w:val="17"/>
              </w:rPr>
              <w:t xml:space="preserve">ll other </w:t>
            </w:r>
            <w:r>
              <w:rPr>
                <w:sz w:val="17"/>
                <w:szCs w:val="17"/>
              </w:rPr>
              <w:t>on-balance sheet assets</w:t>
            </w:r>
            <w:r w:rsidRPr="006C0223">
              <w:rPr>
                <w:sz w:val="17"/>
                <w:szCs w:val="17"/>
              </w:rPr>
              <w:t xml:space="preserve"> </w:t>
            </w:r>
            <w:r>
              <w:rPr>
                <w:sz w:val="17"/>
                <w:szCs w:val="17"/>
              </w:rPr>
              <w:t xml:space="preserve">that are counted towards RSF under the BLR but </w:t>
            </w:r>
            <w:r w:rsidRPr="006C0223">
              <w:rPr>
                <w:sz w:val="17"/>
                <w:szCs w:val="17"/>
              </w:rPr>
              <w:t xml:space="preserve">not included in </w:t>
            </w:r>
            <w:r>
              <w:rPr>
                <w:sz w:val="17"/>
                <w:szCs w:val="17"/>
              </w:rPr>
              <w:t xml:space="preserve">rows 15 to 29 </w:t>
            </w:r>
            <w:r w:rsidRPr="006C0223">
              <w:rPr>
                <w:sz w:val="17"/>
                <w:szCs w:val="17"/>
              </w:rPr>
              <w:t>above</w:t>
            </w:r>
            <w:r>
              <w:rPr>
                <w:sz w:val="17"/>
                <w:szCs w:val="17"/>
              </w:rPr>
              <w:t xml:space="preserve"> (e.g. trade-date receivables, fixed assets, goodwill, investments in associated entities, unlisted equities, non-performing assets, </w:t>
            </w:r>
            <w:proofErr w:type="spellStart"/>
            <w:r>
              <w:rPr>
                <w:sz w:val="17"/>
                <w:szCs w:val="17"/>
              </w:rPr>
              <w:t>etc</w:t>
            </w:r>
            <w:proofErr w:type="spellEnd"/>
            <w:r>
              <w:rPr>
                <w:sz w:val="17"/>
                <w:szCs w:val="17"/>
              </w:rPr>
              <w:t>)</w:t>
            </w:r>
            <w:r w:rsidRPr="00B22D08">
              <w:rPr>
                <w:sz w:val="17"/>
                <w:szCs w:val="17"/>
              </w:rPr>
              <w:t>.</w:t>
            </w:r>
          </w:p>
        </w:tc>
      </w:tr>
      <w:tr w:rsidR="002A0515" w:rsidRPr="00280717" w:rsidTr="00A54BE4">
        <w:trPr>
          <w:trHeight w:val="373"/>
        </w:trPr>
        <w:tc>
          <w:tcPr>
            <w:tcW w:w="568"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32</w:t>
            </w:r>
          </w:p>
        </w:tc>
        <w:tc>
          <w:tcPr>
            <w:tcW w:w="8505" w:type="dxa"/>
          </w:tcPr>
          <w:p w:rsidR="002A0515" w:rsidRPr="00B22D08" w:rsidRDefault="002A0515" w:rsidP="00A54BE4">
            <w:pPr>
              <w:pStyle w:val="TableNote"/>
              <w:spacing w:before="40" w:after="40"/>
              <w:rPr>
                <w:sz w:val="17"/>
                <w:szCs w:val="17"/>
              </w:rPr>
            </w:pPr>
            <w:r w:rsidRPr="000B03B8">
              <w:rPr>
                <w:i/>
                <w:sz w:val="17"/>
                <w:szCs w:val="17"/>
              </w:rPr>
              <w:t>Off-balance sheet items</w:t>
            </w:r>
            <w:r>
              <w:rPr>
                <w:sz w:val="17"/>
                <w:szCs w:val="17"/>
              </w:rPr>
              <w:t>: the sum of all o</w:t>
            </w:r>
            <w:r w:rsidRPr="00EA0348">
              <w:rPr>
                <w:sz w:val="17"/>
                <w:szCs w:val="17"/>
              </w:rPr>
              <w:t>ff-balance sheet obligations listed in Table 2</w:t>
            </w:r>
            <w:r>
              <w:rPr>
                <w:sz w:val="17"/>
                <w:szCs w:val="17"/>
              </w:rPr>
              <w:t xml:space="preserve">, </w:t>
            </w:r>
            <w:r w:rsidRPr="00EA0348">
              <w:rPr>
                <w:sz w:val="17"/>
                <w:szCs w:val="17"/>
              </w:rPr>
              <w:t>Schedule 6</w:t>
            </w:r>
            <w:r>
              <w:rPr>
                <w:sz w:val="17"/>
                <w:szCs w:val="17"/>
              </w:rPr>
              <w:t xml:space="preserve"> to the BLR</w:t>
            </w:r>
            <w:r w:rsidRPr="00B22D08">
              <w:rPr>
                <w:sz w:val="17"/>
                <w:szCs w:val="17"/>
              </w:rPr>
              <w:t>.</w:t>
            </w:r>
          </w:p>
        </w:tc>
      </w:tr>
      <w:tr w:rsidR="002A0515" w:rsidRPr="00280717" w:rsidTr="00A54BE4">
        <w:trPr>
          <w:trHeight w:val="373"/>
        </w:trPr>
        <w:tc>
          <w:tcPr>
            <w:tcW w:w="568"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33</w:t>
            </w:r>
          </w:p>
        </w:tc>
        <w:tc>
          <w:tcPr>
            <w:tcW w:w="8505" w:type="dxa"/>
          </w:tcPr>
          <w:p w:rsidR="002A0515" w:rsidRPr="00B22D08" w:rsidRDefault="002A0515" w:rsidP="00A54BE4">
            <w:pPr>
              <w:pStyle w:val="TableNote"/>
              <w:spacing w:before="40" w:after="40"/>
              <w:rPr>
                <w:sz w:val="17"/>
                <w:szCs w:val="17"/>
              </w:rPr>
            </w:pPr>
            <w:r w:rsidRPr="000B03B8">
              <w:rPr>
                <w:i/>
                <w:sz w:val="17"/>
                <w:szCs w:val="17"/>
              </w:rPr>
              <w:t>Total RSF</w:t>
            </w:r>
            <w:r>
              <w:rPr>
                <w:sz w:val="17"/>
                <w:szCs w:val="17"/>
              </w:rPr>
              <w:t>:</w:t>
            </w:r>
            <w:r w:rsidRPr="00B22D08">
              <w:rPr>
                <w:sz w:val="17"/>
                <w:szCs w:val="17"/>
              </w:rPr>
              <w:t xml:space="preserve"> the sum of all weighted </w:t>
            </w:r>
            <w:r>
              <w:rPr>
                <w:sz w:val="17"/>
                <w:szCs w:val="17"/>
              </w:rPr>
              <w:t>amount</w:t>
            </w:r>
            <w:r w:rsidRPr="00B22D08">
              <w:rPr>
                <w:sz w:val="17"/>
                <w:szCs w:val="17"/>
              </w:rPr>
              <w:t>s in rows 15, 16, 17, 25, 26 and 32.</w:t>
            </w:r>
          </w:p>
        </w:tc>
      </w:tr>
      <w:tr w:rsidR="002A0515" w:rsidRPr="00280717" w:rsidTr="00A54BE4">
        <w:trPr>
          <w:trHeight w:val="373"/>
        </w:trPr>
        <w:tc>
          <w:tcPr>
            <w:tcW w:w="568"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34</w:t>
            </w:r>
          </w:p>
        </w:tc>
        <w:tc>
          <w:tcPr>
            <w:tcW w:w="8505" w:type="dxa"/>
          </w:tcPr>
          <w:p w:rsidR="002A0515" w:rsidRPr="00B22D08" w:rsidRDefault="002A0515" w:rsidP="00A54BE4">
            <w:pPr>
              <w:pStyle w:val="TableNote"/>
              <w:spacing w:before="40" w:after="40"/>
              <w:rPr>
                <w:sz w:val="17"/>
                <w:szCs w:val="17"/>
              </w:rPr>
            </w:pPr>
            <w:r w:rsidRPr="000B03B8">
              <w:rPr>
                <w:i/>
                <w:sz w:val="17"/>
                <w:szCs w:val="17"/>
              </w:rPr>
              <w:t>Net Stable Funding Ratio (%)</w:t>
            </w:r>
            <w:r>
              <w:rPr>
                <w:sz w:val="17"/>
                <w:szCs w:val="17"/>
              </w:rPr>
              <w:t>:</w:t>
            </w:r>
            <w:r w:rsidRPr="00B22D08">
              <w:rPr>
                <w:sz w:val="17"/>
                <w:szCs w:val="17"/>
              </w:rPr>
              <w:t xml:space="preserve"> presen</w:t>
            </w:r>
            <w:r>
              <w:rPr>
                <w:sz w:val="17"/>
                <w:szCs w:val="17"/>
              </w:rPr>
              <w:t>ted as quarter-end observations</w:t>
            </w:r>
            <w:r w:rsidRPr="00B22D08">
              <w:rPr>
                <w:sz w:val="17"/>
                <w:szCs w:val="17"/>
              </w:rPr>
              <w:t>.</w:t>
            </w:r>
          </w:p>
        </w:tc>
      </w:tr>
    </w:tbl>
    <w:p w:rsidR="002A0515" w:rsidRDefault="002A0515" w:rsidP="002A0515">
      <w:pPr>
        <w:spacing w:before="120" w:after="120"/>
        <w:rPr>
          <w:sz w:val="22"/>
        </w:rPr>
      </w:pPr>
    </w:p>
    <w:p w:rsidR="002A0515" w:rsidRDefault="002A0515" w:rsidP="002A0515"/>
    <w:p w:rsidR="002A0515" w:rsidRDefault="002A0515" w:rsidP="002A0515">
      <w:pPr>
        <w:keepNext/>
        <w:keepLines/>
        <w:tabs>
          <w:tab w:val="left" w:pos="426"/>
        </w:tabs>
        <w:spacing w:after="360"/>
        <w:ind w:rightChars="-142" w:right="-284"/>
        <w:outlineLvl w:val="0"/>
        <w:sectPr w:rsidR="002A0515" w:rsidSect="00A54BE4">
          <w:footerReference w:type="default" r:id="rId18"/>
          <w:pgSz w:w="11906" w:h="16838"/>
          <w:pgMar w:top="1440" w:right="1800" w:bottom="1440" w:left="1800" w:header="851" w:footer="992" w:gutter="0"/>
          <w:cols w:space="425"/>
          <w:docGrid w:type="lines" w:linePitch="360"/>
        </w:sectPr>
      </w:pPr>
    </w:p>
    <w:p w:rsidR="002A0515" w:rsidRPr="00476CF1" w:rsidRDefault="002A0515" w:rsidP="001449B5">
      <w:pPr>
        <w:keepNext/>
        <w:keepLines/>
        <w:tabs>
          <w:tab w:val="left" w:pos="567"/>
        </w:tabs>
        <w:spacing w:after="360"/>
        <w:ind w:leftChars="-283" w:left="-566" w:rightChars="-142" w:right="-284"/>
        <w:outlineLvl w:val="0"/>
        <w:rPr>
          <w:color w:val="AA322F"/>
          <w:sz w:val="28"/>
        </w:rPr>
      </w:pPr>
      <w:r w:rsidRPr="00476CF1">
        <w:rPr>
          <w:color w:val="AA322F"/>
          <w:sz w:val="28"/>
        </w:rPr>
        <w:t>Part IV: Counterparty Credit risk</w:t>
      </w:r>
    </w:p>
    <w:tbl>
      <w:tblPr>
        <w:tblW w:w="9242"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008"/>
        <w:gridCol w:w="7234"/>
      </w:tblGrid>
      <w:tr w:rsidR="002A0515" w:rsidTr="00A54BE4">
        <w:tc>
          <w:tcPr>
            <w:tcW w:w="9242" w:type="dxa"/>
            <w:gridSpan w:val="2"/>
            <w:tcBorders>
              <w:top w:val="nil"/>
            </w:tcBorders>
          </w:tcPr>
          <w:p w:rsidR="002A0515" w:rsidRDefault="002A0515" w:rsidP="00A54BE4">
            <w:pPr>
              <w:spacing w:before="40" w:after="40"/>
              <w:jc w:val="both"/>
              <w:rPr>
                <w:noProof/>
                <w:sz w:val="17"/>
                <w:lang w:eastAsia="en-GB"/>
              </w:rPr>
            </w:pPr>
            <w:r>
              <w:rPr>
                <w:sz w:val="22"/>
              </w:rPr>
              <w:t>Template CCR1: Analysis of counterparty default risk exposures (other than those to CCPs) by approaches</w:t>
            </w:r>
          </w:p>
        </w:tc>
      </w:tr>
      <w:tr w:rsidR="002A0515" w:rsidTr="00A54BE4">
        <w:tc>
          <w:tcPr>
            <w:tcW w:w="2008" w:type="dxa"/>
          </w:tcPr>
          <w:p w:rsidR="002A0515" w:rsidRDefault="002A0515" w:rsidP="00A54BE4">
            <w:pPr>
              <w:spacing w:before="40" w:after="40"/>
              <w:rPr>
                <w:noProof/>
                <w:sz w:val="17"/>
                <w:lang w:eastAsia="en-GB"/>
              </w:rPr>
            </w:pPr>
            <w:r>
              <w:rPr>
                <w:b/>
                <w:sz w:val="17"/>
                <w:lang w:eastAsia="en-GB"/>
              </w:rPr>
              <w:t>Purpose:</w:t>
            </w:r>
            <w:r>
              <w:rPr>
                <w:sz w:val="17"/>
                <w:lang w:eastAsia="en-GB"/>
              </w:rPr>
              <w:t xml:space="preserve"> </w:t>
            </w:r>
          </w:p>
        </w:tc>
        <w:tc>
          <w:tcPr>
            <w:tcW w:w="7234" w:type="dxa"/>
          </w:tcPr>
          <w:p w:rsidR="002A0515" w:rsidRDefault="002A0515" w:rsidP="00A54BE4">
            <w:pPr>
              <w:pStyle w:val="TableText"/>
              <w:jc w:val="both"/>
              <w:rPr>
                <w:lang w:eastAsia="en-GB"/>
              </w:rPr>
            </w:pPr>
            <w:r>
              <w:rPr>
                <w:lang w:eastAsia="en-GB"/>
              </w:rPr>
              <w:t xml:space="preserve">To provide a comprehensive breakdown of default risk exposures (other than those to CCPs), RWAs, and, where applicable, main parameters under the approaches used to calculate default risk exposures in respect of derivative contracts and SFTs.  </w:t>
            </w:r>
          </w:p>
        </w:tc>
      </w:tr>
      <w:tr w:rsidR="002A0515" w:rsidTr="00A54BE4">
        <w:tc>
          <w:tcPr>
            <w:tcW w:w="2008" w:type="dxa"/>
          </w:tcPr>
          <w:p w:rsidR="002A0515" w:rsidRDefault="002A0515" w:rsidP="00A54BE4">
            <w:pPr>
              <w:spacing w:before="40" w:after="40"/>
              <w:rPr>
                <w:b/>
                <w:sz w:val="17"/>
                <w:lang w:eastAsia="en-GB"/>
              </w:rPr>
            </w:pPr>
            <w:r>
              <w:rPr>
                <w:b/>
                <w:sz w:val="17"/>
                <w:lang w:eastAsia="en-GB"/>
              </w:rPr>
              <w:t xml:space="preserve">Scope of application: </w:t>
            </w:r>
          </w:p>
        </w:tc>
        <w:tc>
          <w:tcPr>
            <w:tcW w:w="7234" w:type="dxa"/>
          </w:tcPr>
          <w:p w:rsidR="002A0515" w:rsidRDefault="002A0515" w:rsidP="00A54BE4">
            <w:pPr>
              <w:spacing w:before="40" w:after="40"/>
              <w:jc w:val="both"/>
              <w:rPr>
                <w:rFonts w:eastAsia="新細明體"/>
                <w:b/>
                <w:sz w:val="17"/>
                <w:lang w:eastAsia="en-GB"/>
              </w:rPr>
            </w:pPr>
            <w:r>
              <w:rPr>
                <w:rFonts w:eastAsia="新細明體"/>
                <w:sz w:val="17"/>
                <w:lang w:eastAsia="en-GB"/>
              </w:rPr>
              <w:t>The template is mandatory for all AIs</w:t>
            </w:r>
            <w:r>
              <w:t xml:space="preserve"> </w:t>
            </w:r>
            <w:r>
              <w:rPr>
                <w:rFonts w:eastAsia="新細明體"/>
                <w:sz w:val="17"/>
                <w:lang w:eastAsia="en-GB"/>
              </w:rPr>
              <w:t>incorporated in Hong Kong.</w:t>
            </w:r>
          </w:p>
        </w:tc>
      </w:tr>
      <w:tr w:rsidR="002A0515" w:rsidTr="00A54BE4">
        <w:tc>
          <w:tcPr>
            <w:tcW w:w="2008" w:type="dxa"/>
          </w:tcPr>
          <w:p w:rsidR="002A0515" w:rsidRDefault="002A0515" w:rsidP="00A54BE4">
            <w:pPr>
              <w:spacing w:before="40" w:after="40"/>
              <w:rPr>
                <w:b/>
                <w:sz w:val="17"/>
                <w:lang w:eastAsia="en-GB"/>
              </w:rPr>
            </w:pPr>
            <w:r>
              <w:rPr>
                <w:b/>
                <w:sz w:val="17"/>
                <w:lang w:eastAsia="en-GB"/>
              </w:rPr>
              <w:t xml:space="preserve">Content: </w:t>
            </w:r>
          </w:p>
        </w:tc>
        <w:tc>
          <w:tcPr>
            <w:tcW w:w="7234" w:type="dxa"/>
          </w:tcPr>
          <w:p w:rsidR="002A0515" w:rsidRDefault="002A0515" w:rsidP="00A54BE4">
            <w:pPr>
              <w:spacing w:before="40" w:after="40"/>
              <w:jc w:val="both"/>
              <w:rPr>
                <w:rFonts w:eastAsia="新細明體"/>
                <w:b/>
                <w:sz w:val="17"/>
                <w:lang w:eastAsia="en-GB"/>
              </w:rPr>
            </w:pPr>
            <w:r>
              <w:rPr>
                <w:rFonts w:eastAsia="新細明體"/>
                <w:sz w:val="17"/>
                <w:lang w:eastAsia="en-GB"/>
              </w:rPr>
              <w:t>Default risk exposures (other than those to CCPs), RWA and parameters used to calculate the AI’s default risk exposures in respect of derivative contracts and SFTs.</w:t>
            </w:r>
          </w:p>
        </w:tc>
      </w:tr>
      <w:tr w:rsidR="002A0515" w:rsidTr="00A54BE4">
        <w:tc>
          <w:tcPr>
            <w:tcW w:w="2008" w:type="dxa"/>
          </w:tcPr>
          <w:p w:rsidR="002A0515" w:rsidRDefault="002A0515" w:rsidP="00A54BE4">
            <w:pPr>
              <w:spacing w:before="40" w:after="40"/>
              <w:rPr>
                <w:sz w:val="17"/>
                <w:lang w:eastAsia="en-GB"/>
              </w:rPr>
            </w:pPr>
            <w:r>
              <w:rPr>
                <w:b/>
                <w:sz w:val="17"/>
                <w:lang w:eastAsia="en-GB"/>
              </w:rPr>
              <w:t>Frequency:</w:t>
            </w:r>
            <w:r>
              <w:rPr>
                <w:sz w:val="17"/>
                <w:lang w:eastAsia="en-GB"/>
              </w:rPr>
              <w:t xml:space="preserve"> </w:t>
            </w:r>
          </w:p>
        </w:tc>
        <w:tc>
          <w:tcPr>
            <w:tcW w:w="7234" w:type="dxa"/>
          </w:tcPr>
          <w:p w:rsidR="002A0515" w:rsidRDefault="002A0515" w:rsidP="00A54BE4">
            <w:pPr>
              <w:pStyle w:val="TableText"/>
              <w:jc w:val="both"/>
              <w:rPr>
                <w:lang w:eastAsia="en-GB"/>
              </w:rPr>
            </w:pPr>
            <w:r>
              <w:rPr>
                <w:lang w:eastAsia="en-GB"/>
              </w:rPr>
              <w:t>Semi-annual.</w:t>
            </w:r>
          </w:p>
        </w:tc>
      </w:tr>
      <w:tr w:rsidR="002A0515" w:rsidTr="00A54BE4">
        <w:tc>
          <w:tcPr>
            <w:tcW w:w="2008" w:type="dxa"/>
          </w:tcPr>
          <w:p w:rsidR="002A0515" w:rsidRDefault="002A0515" w:rsidP="00A54BE4">
            <w:pPr>
              <w:spacing w:before="40" w:after="40"/>
              <w:rPr>
                <w:sz w:val="17"/>
                <w:lang w:eastAsia="en-GB"/>
              </w:rPr>
            </w:pPr>
            <w:r>
              <w:rPr>
                <w:b/>
                <w:sz w:val="17"/>
                <w:lang w:eastAsia="en-GB"/>
              </w:rPr>
              <w:t>Format:</w:t>
            </w:r>
            <w:r>
              <w:rPr>
                <w:sz w:val="17"/>
                <w:lang w:eastAsia="en-GB"/>
              </w:rPr>
              <w:t xml:space="preserve"> </w:t>
            </w:r>
          </w:p>
        </w:tc>
        <w:tc>
          <w:tcPr>
            <w:tcW w:w="7234" w:type="dxa"/>
          </w:tcPr>
          <w:p w:rsidR="002A0515" w:rsidRDefault="002A0515" w:rsidP="00A54BE4">
            <w:pPr>
              <w:pStyle w:val="TableText"/>
              <w:jc w:val="both"/>
              <w:rPr>
                <w:lang w:eastAsia="en-GB"/>
              </w:rPr>
            </w:pPr>
            <w:r>
              <w:rPr>
                <w:lang w:eastAsia="en-GB"/>
              </w:rPr>
              <w:t>Fixed.</w:t>
            </w:r>
          </w:p>
        </w:tc>
      </w:tr>
      <w:tr w:rsidR="002A0515" w:rsidTr="00A54BE4">
        <w:tc>
          <w:tcPr>
            <w:tcW w:w="2008" w:type="dxa"/>
          </w:tcPr>
          <w:p w:rsidR="002A0515" w:rsidRDefault="002A0515" w:rsidP="00A54BE4">
            <w:pPr>
              <w:spacing w:before="40" w:after="40"/>
              <w:rPr>
                <w:b/>
                <w:sz w:val="17"/>
                <w:lang w:eastAsia="en-GB"/>
              </w:rPr>
            </w:pPr>
            <w:r>
              <w:rPr>
                <w:rFonts w:eastAsia="新細明體"/>
                <w:b/>
                <w:sz w:val="17"/>
                <w:szCs w:val="17"/>
                <w:lang w:eastAsia="en-GB"/>
              </w:rPr>
              <w:t>Accompanying narrative</w:t>
            </w:r>
            <w:r>
              <w:rPr>
                <w:rFonts w:eastAsia="新細明體"/>
                <w:sz w:val="17"/>
                <w:szCs w:val="17"/>
                <w:lang w:eastAsia="en-GB"/>
              </w:rPr>
              <w:t>:</w:t>
            </w:r>
          </w:p>
        </w:tc>
        <w:tc>
          <w:tcPr>
            <w:tcW w:w="7234" w:type="dxa"/>
          </w:tcPr>
          <w:p w:rsidR="002A0515" w:rsidRDefault="002A0515" w:rsidP="00A54BE4">
            <w:pPr>
              <w:pStyle w:val="TableText"/>
              <w:jc w:val="both"/>
              <w:rPr>
                <w:noProof/>
                <w:lang w:eastAsia="en-GB"/>
              </w:rPr>
            </w:pPr>
            <w:r>
              <w:rPr>
                <w:szCs w:val="17"/>
                <w:lang w:eastAsia="en-GB"/>
              </w:rPr>
              <w:t>An AI should supplement the template with a narrative commentary to explain any material changes in relation to its RWA in the current reporting period and the key drivers of such changes.</w:t>
            </w:r>
          </w:p>
        </w:tc>
      </w:tr>
      <w:tr w:rsidR="002A0515" w:rsidTr="00A54BE4">
        <w:tc>
          <w:tcPr>
            <w:tcW w:w="2008" w:type="dxa"/>
          </w:tcPr>
          <w:p w:rsidR="002A0515" w:rsidRDefault="002A0515" w:rsidP="00A54BE4">
            <w:pPr>
              <w:spacing w:before="40" w:after="40"/>
              <w:rPr>
                <w:rFonts w:eastAsia="新細明體"/>
                <w:b/>
                <w:sz w:val="17"/>
                <w:szCs w:val="17"/>
                <w:lang w:eastAsia="en-GB"/>
              </w:rPr>
            </w:pPr>
            <w:r>
              <w:rPr>
                <w:rFonts w:eastAsia="新細明體"/>
                <w:b/>
                <w:sz w:val="17"/>
                <w:szCs w:val="17"/>
                <w:lang w:eastAsia="en-GB"/>
              </w:rPr>
              <w:t>Corresponding BDR section:</w:t>
            </w:r>
          </w:p>
        </w:tc>
        <w:tc>
          <w:tcPr>
            <w:tcW w:w="7234" w:type="dxa"/>
          </w:tcPr>
          <w:p w:rsidR="002A0515" w:rsidRDefault="002A0515" w:rsidP="00A54BE4">
            <w:pPr>
              <w:pStyle w:val="TableText"/>
              <w:jc w:val="both"/>
              <w:rPr>
                <w:szCs w:val="17"/>
                <w:lang w:eastAsia="en-GB"/>
              </w:rPr>
            </w:pPr>
            <w:r>
              <w:rPr>
                <w:szCs w:val="17"/>
                <w:lang w:eastAsia="en-GB"/>
              </w:rPr>
              <w:t>16W</w:t>
            </w:r>
          </w:p>
        </w:tc>
      </w:tr>
    </w:tbl>
    <w:p w:rsidR="002A0515" w:rsidRDefault="002A0515" w:rsidP="002A0515">
      <w:pPr>
        <w:spacing w:before="120" w:after="120"/>
        <w:ind w:leftChars="-283" w:left="-566"/>
        <w:rPr>
          <w:sz w:val="22"/>
        </w:rPr>
      </w:pPr>
    </w:p>
    <w:tbl>
      <w:tblPr>
        <w:tblW w:w="9214" w:type="dxa"/>
        <w:tblInd w:w="-459" w:type="dxa"/>
        <w:tblBorders>
          <w:top w:val="single" w:sz="4" w:space="0" w:color="BCBDBC"/>
          <w:left w:val="single" w:sz="4" w:space="0" w:color="BCBDBC"/>
          <w:bottom w:val="single" w:sz="4" w:space="0" w:color="BCBDBC"/>
          <w:right w:val="single" w:sz="4" w:space="0" w:color="BCBDBC"/>
          <w:insideH w:val="single" w:sz="4" w:space="0" w:color="BCBDBC"/>
          <w:insideV w:val="single" w:sz="4" w:space="0" w:color="BCBDBC"/>
        </w:tblBorders>
        <w:tblLayout w:type="fixed"/>
        <w:tblLook w:val="00A0" w:firstRow="1" w:lastRow="0" w:firstColumn="1" w:lastColumn="0" w:noHBand="0" w:noVBand="0"/>
      </w:tblPr>
      <w:tblGrid>
        <w:gridCol w:w="425"/>
        <w:gridCol w:w="2977"/>
        <w:gridCol w:w="1134"/>
        <w:gridCol w:w="709"/>
        <w:gridCol w:w="851"/>
        <w:gridCol w:w="1416"/>
        <w:gridCol w:w="993"/>
        <w:gridCol w:w="709"/>
      </w:tblGrid>
      <w:tr w:rsidR="002A0515" w:rsidTr="00A54BE4">
        <w:trPr>
          <w:cantSplit/>
          <w:tblHeader/>
        </w:trPr>
        <w:tc>
          <w:tcPr>
            <w:tcW w:w="425" w:type="dxa"/>
            <w:tcBorders>
              <w:top w:val="nil"/>
              <w:left w:val="nil"/>
              <w:bottom w:val="nil"/>
              <w:right w:val="nil"/>
            </w:tcBorders>
          </w:tcPr>
          <w:p w:rsidR="002A0515" w:rsidRDefault="002A0515" w:rsidP="00A54BE4">
            <w:pPr>
              <w:pStyle w:val="TableText"/>
              <w:snapToGrid w:val="0"/>
              <w:rPr>
                <w:szCs w:val="17"/>
                <w:lang w:eastAsia="en-GB"/>
              </w:rPr>
            </w:pPr>
          </w:p>
        </w:tc>
        <w:tc>
          <w:tcPr>
            <w:tcW w:w="2977" w:type="dxa"/>
            <w:tcBorders>
              <w:top w:val="nil"/>
              <w:left w:val="nil"/>
              <w:bottom w:val="nil"/>
              <w:right w:val="single" w:sz="4" w:space="0" w:color="auto"/>
            </w:tcBorders>
            <w:vAlign w:val="center"/>
          </w:tcPr>
          <w:p w:rsidR="002A0515" w:rsidRDefault="002A0515" w:rsidP="00A54BE4">
            <w:pPr>
              <w:pStyle w:val="TableText"/>
              <w:snapToGrid w:val="0"/>
              <w:ind w:leftChars="-479" w:left="-958"/>
              <w:rPr>
                <w:szCs w:val="17"/>
                <w:lang w:eastAsia="en-GB"/>
              </w:rPr>
            </w:pPr>
          </w:p>
        </w:tc>
        <w:tc>
          <w:tcPr>
            <w:tcW w:w="1134" w:type="dxa"/>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szCs w:val="17"/>
                <w:lang w:eastAsia="en-GB"/>
              </w:rPr>
            </w:pPr>
            <w:r>
              <w:rPr>
                <w:szCs w:val="17"/>
                <w:lang w:eastAsia="en-GB"/>
              </w:rPr>
              <w:t>(a)</w:t>
            </w:r>
          </w:p>
        </w:tc>
        <w:tc>
          <w:tcPr>
            <w:tcW w:w="709" w:type="dxa"/>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szCs w:val="17"/>
                <w:lang w:eastAsia="en-GB"/>
              </w:rPr>
            </w:pPr>
            <w:r>
              <w:rPr>
                <w:szCs w:val="17"/>
                <w:lang w:eastAsia="en-GB"/>
              </w:rPr>
              <w:t>(b)</w:t>
            </w:r>
          </w:p>
        </w:tc>
        <w:tc>
          <w:tcPr>
            <w:tcW w:w="851" w:type="dxa"/>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szCs w:val="17"/>
                <w:lang w:eastAsia="en-GB"/>
              </w:rPr>
            </w:pPr>
            <w:r>
              <w:rPr>
                <w:szCs w:val="17"/>
                <w:lang w:eastAsia="en-GB"/>
              </w:rPr>
              <w:t>(c)</w:t>
            </w:r>
          </w:p>
        </w:tc>
        <w:tc>
          <w:tcPr>
            <w:tcW w:w="1416" w:type="dxa"/>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szCs w:val="17"/>
                <w:lang w:eastAsia="en-GB"/>
              </w:rPr>
            </w:pPr>
            <w:r>
              <w:rPr>
                <w:szCs w:val="17"/>
                <w:lang w:eastAsia="en-GB"/>
              </w:rPr>
              <w:t>(d)</w:t>
            </w:r>
          </w:p>
        </w:tc>
        <w:tc>
          <w:tcPr>
            <w:tcW w:w="993" w:type="dxa"/>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szCs w:val="17"/>
                <w:lang w:eastAsia="en-GB"/>
              </w:rPr>
            </w:pPr>
            <w:r>
              <w:rPr>
                <w:szCs w:val="17"/>
                <w:lang w:eastAsia="en-GB"/>
              </w:rPr>
              <w:t>(e)</w:t>
            </w:r>
          </w:p>
        </w:tc>
        <w:tc>
          <w:tcPr>
            <w:tcW w:w="709" w:type="dxa"/>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szCs w:val="17"/>
                <w:lang w:eastAsia="en-GB"/>
              </w:rPr>
            </w:pPr>
            <w:r>
              <w:rPr>
                <w:szCs w:val="17"/>
                <w:lang w:eastAsia="en-GB"/>
              </w:rPr>
              <w:t>(f)</w:t>
            </w:r>
          </w:p>
        </w:tc>
      </w:tr>
      <w:tr w:rsidR="002A0515" w:rsidTr="00A54BE4">
        <w:trPr>
          <w:cantSplit/>
          <w:tblHeader/>
        </w:trPr>
        <w:tc>
          <w:tcPr>
            <w:tcW w:w="425" w:type="dxa"/>
            <w:tcBorders>
              <w:top w:val="nil"/>
              <w:left w:val="nil"/>
              <w:bottom w:val="single" w:sz="4" w:space="0" w:color="auto"/>
              <w:right w:val="nil"/>
            </w:tcBorders>
          </w:tcPr>
          <w:p w:rsidR="002A0515" w:rsidRDefault="002A0515" w:rsidP="00A54BE4">
            <w:pPr>
              <w:pStyle w:val="TableText"/>
              <w:snapToGrid w:val="0"/>
              <w:rPr>
                <w:szCs w:val="17"/>
                <w:lang w:eastAsia="en-GB"/>
              </w:rPr>
            </w:pPr>
          </w:p>
        </w:tc>
        <w:tc>
          <w:tcPr>
            <w:tcW w:w="2977" w:type="dxa"/>
            <w:tcBorders>
              <w:top w:val="nil"/>
              <w:left w:val="nil"/>
              <w:bottom w:val="single" w:sz="4" w:space="0" w:color="auto"/>
              <w:right w:val="single" w:sz="4" w:space="0" w:color="auto"/>
            </w:tcBorders>
            <w:vAlign w:val="center"/>
          </w:tcPr>
          <w:p w:rsidR="002A0515" w:rsidRDefault="002A0515" w:rsidP="00A54BE4">
            <w:pPr>
              <w:pStyle w:val="TableText"/>
              <w:snapToGrid w:val="0"/>
              <w:rPr>
                <w:szCs w:val="17"/>
                <w:lang w:eastAsia="en-GB"/>
              </w:rPr>
            </w:pPr>
          </w:p>
        </w:tc>
        <w:tc>
          <w:tcPr>
            <w:tcW w:w="1134" w:type="dxa"/>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spacing w:val="-12"/>
                <w:szCs w:val="17"/>
                <w:lang w:eastAsia="en-GB"/>
              </w:rPr>
            </w:pPr>
            <w:r>
              <w:rPr>
                <w:spacing w:val="-12"/>
                <w:szCs w:val="17"/>
                <w:lang w:eastAsia="en-GB"/>
              </w:rPr>
              <w:t>Replacement cost (RC)</w:t>
            </w:r>
          </w:p>
        </w:tc>
        <w:tc>
          <w:tcPr>
            <w:tcW w:w="709" w:type="dxa"/>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spacing w:val="-12"/>
                <w:szCs w:val="17"/>
                <w:lang w:eastAsia="en-GB"/>
              </w:rPr>
            </w:pPr>
            <w:r>
              <w:rPr>
                <w:spacing w:val="-12"/>
                <w:szCs w:val="17"/>
                <w:lang w:eastAsia="en-GB"/>
              </w:rPr>
              <w:t>PFE</w:t>
            </w:r>
          </w:p>
        </w:tc>
        <w:tc>
          <w:tcPr>
            <w:tcW w:w="851" w:type="dxa"/>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spacing w:val="-12"/>
                <w:szCs w:val="17"/>
                <w:lang w:eastAsia="en-GB"/>
              </w:rPr>
            </w:pPr>
            <w:r>
              <w:rPr>
                <w:spacing w:val="-12"/>
                <w:szCs w:val="17"/>
                <w:lang w:eastAsia="en-GB"/>
              </w:rPr>
              <w:t>Effective EPE</w:t>
            </w:r>
          </w:p>
        </w:tc>
        <w:tc>
          <w:tcPr>
            <w:tcW w:w="1416" w:type="dxa"/>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spacing w:val="-12"/>
                <w:szCs w:val="17"/>
                <w:lang w:eastAsia="en-GB"/>
              </w:rPr>
            </w:pPr>
            <w:r>
              <w:rPr>
                <w:spacing w:val="-12"/>
                <w:szCs w:val="17"/>
                <w:lang w:eastAsia="en-GB"/>
              </w:rPr>
              <w:t>Alpha (</w:t>
            </w:r>
            <w:r>
              <w:rPr>
                <w:rFonts w:hint="eastAsia"/>
                <w:spacing w:val="-12"/>
                <w:szCs w:val="17"/>
                <w:lang w:eastAsia="en-GB"/>
              </w:rPr>
              <w:t>α</w:t>
            </w:r>
            <w:r>
              <w:rPr>
                <w:spacing w:val="-12"/>
                <w:szCs w:val="17"/>
                <w:lang w:eastAsia="en-GB"/>
              </w:rPr>
              <w:t>) used for computing default risk exposure</w:t>
            </w:r>
          </w:p>
        </w:tc>
        <w:tc>
          <w:tcPr>
            <w:tcW w:w="993" w:type="dxa"/>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spacing w:val="-12"/>
                <w:szCs w:val="17"/>
                <w:lang w:eastAsia="en-GB"/>
              </w:rPr>
            </w:pPr>
            <w:r>
              <w:rPr>
                <w:spacing w:val="-12"/>
                <w:szCs w:val="17"/>
                <w:lang w:eastAsia="en-GB"/>
              </w:rPr>
              <w:t>Default risk exposure after CRM</w:t>
            </w:r>
          </w:p>
        </w:tc>
        <w:tc>
          <w:tcPr>
            <w:tcW w:w="709" w:type="dxa"/>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spacing w:val="-12"/>
                <w:szCs w:val="17"/>
                <w:lang w:eastAsia="en-GB"/>
              </w:rPr>
            </w:pPr>
            <w:r>
              <w:rPr>
                <w:spacing w:val="-12"/>
                <w:szCs w:val="17"/>
                <w:lang w:eastAsia="en-GB"/>
              </w:rPr>
              <w:t>RWA</w:t>
            </w:r>
          </w:p>
        </w:tc>
      </w:tr>
      <w:tr w:rsidR="002A0515" w:rsidTr="00A54BE4">
        <w:trPr>
          <w:cantSplit/>
        </w:trPr>
        <w:tc>
          <w:tcPr>
            <w:tcW w:w="425" w:type="dxa"/>
            <w:tcBorders>
              <w:left w:val="nil"/>
              <w:right w:val="single" w:sz="4" w:space="0" w:color="auto"/>
            </w:tcBorders>
          </w:tcPr>
          <w:p w:rsidR="002A0515" w:rsidRDefault="002A0515" w:rsidP="00A54BE4">
            <w:pPr>
              <w:pStyle w:val="TableText"/>
              <w:snapToGrid w:val="0"/>
              <w:rPr>
                <w:szCs w:val="17"/>
                <w:lang w:eastAsia="en-GB"/>
              </w:rPr>
            </w:pPr>
            <w:r>
              <w:rPr>
                <w:szCs w:val="17"/>
                <w:lang w:eastAsia="en-GB"/>
              </w:rPr>
              <w:t>1</w:t>
            </w:r>
          </w:p>
        </w:tc>
        <w:tc>
          <w:tcPr>
            <w:tcW w:w="2977" w:type="dxa"/>
            <w:tcBorders>
              <w:left w:val="single" w:sz="4" w:space="0" w:color="auto"/>
              <w:right w:val="single" w:sz="4" w:space="0" w:color="auto"/>
            </w:tcBorders>
          </w:tcPr>
          <w:p w:rsidR="002A0515" w:rsidRDefault="002A0515" w:rsidP="00A54BE4">
            <w:pPr>
              <w:pStyle w:val="TableText"/>
              <w:snapToGrid w:val="0"/>
              <w:rPr>
                <w:szCs w:val="17"/>
                <w:lang w:eastAsia="en-GB"/>
              </w:rPr>
            </w:pPr>
            <w:r>
              <w:rPr>
                <w:szCs w:val="17"/>
                <w:lang w:eastAsia="en-GB"/>
              </w:rPr>
              <w:t>SA-CCR approach (for derivative contracts)</w:t>
            </w:r>
          </w:p>
        </w:tc>
        <w:tc>
          <w:tcPr>
            <w:tcW w:w="1134"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709"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851" w:type="dxa"/>
            <w:tcBorders>
              <w:left w:val="single" w:sz="4" w:space="0" w:color="auto"/>
              <w:right w:val="single" w:sz="4" w:space="0" w:color="auto"/>
            </w:tcBorders>
            <w:shd w:val="clear" w:color="auto" w:fill="BFBFBF"/>
          </w:tcPr>
          <w:p w:rsidR="002A0515" w:rsidRDefault="002A0515" w:rsidP="00A54BE4">
            <w:pPr>
              <w:pStyle w:val="TableText"/>
              <w:snapToGrid w:val="0"/>
              <w:rPr>
                <w:szCs w:val="17"/>
                <w:lang w:eastAsia="en-GB"/>
              </w:rPr>
            </w:pPr>
          </w:p>
        </w:tc>
        <w:tc>
          <w:tcPr>
            <w:tcW w:w="1416" w:type="dxa"/>
            <w:tcBorders>
              <w:left w:val="single" w:sz="4" w:space="0" w:color="auto"/>
              <w:right w:val="single" w:sz="4" w:space="0" w:color="auto"/>
            </w:tcBorders>
          </w:tcPr>
          <w:p w:rsidR="002A0515" w:rsidRDefault="002A0515" w:rsidP="00A54BE4">
            <w:pPr>
              <w:pStyle w:val="TableText"/>
              <w:snapToGrid w:val="0"/>
              <w:rPr>
                <w:szCs w:val="17"/>
                <w:lang w:eastAsia="en-GB"/>
              </w:rPr>
            </w:pPr>
            <w:r>
              <w:rPr>
                <w:szCs w:val="17"/>
                <w:lang w:eastAsia="en-GB"/>
              </w:rPr>
              <w:t>1.4</w:t>
            </w:r>
          </w:p>
        </w:tc>
        <w:tc>
          <w:tcPr>
            <w:tcW w:w="993"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709" w:type="dxa"/>
            <w:tcBorders>
              <w:left w:val="single" w:sz="4" w:space="0" w:color="auto"/>
              <w:right w:val="single" w:sz="4" w:space="0" w:color="auto"/>
            </w:tcBorders>
          </w:tcPr>
          <w:p w:rsidR="002A0515" w:rsidRDefault="002A0515" w:rsidP="00A54BE4">
            <w:pPr>
              <w:pStyle w:val="TableText"/>
              <w:snapToGrid w:val="0"/>
              <w:rPr>
                <w:szCs w:val="17"/>
                <w:lang w:eastAsia="en-GB"/>
              </w:rPr>
            </w:pPr>
          </w:p>
        </w:tc>
      </w:tr>
      <w:tr w:rsidR="002A0515" w:rsidTr="00A54BE4">
        <w:trPr>
          <w:cantSplit/>
        </w:trPr>
        <w:tc>
          <w:tcPr>
            <w:tcW w:w="425" w:type="dxa"/>
            <w:tcBorders>
              <w:left w:val="nil"/>
              <w:right w:val="single" w:sz="4" w:space="0" w:color="auto"/>
            </w:tcBorders>
          </w:tcPr>
          <w:p w:rsidR="002A0515" w:rsidRDefault="002A0515" w:rsidP="00A54BE4">
            <w:pPr>
              <w:pStyle w:val="TableText"/>
              <w:snapToGrid w:val="0"/>
              <w:rPr>
                <w:szCs w:val="17"/>
                <w:lang w:eastAsia="en-GB"/>
              </w:rPr>
            </w:pPr>
            <w:r>
              <w:rPr>
                <w:szCs w:val="17"/>
                <w:lang w:eastAsia="en-GB"/>
              </w:rPr>
              <w:t>1a</w:t>
            </w:r>
          </w:p>
        </w:tc>
        <w:tc>
          <w:tcPr>
            <w:tcW w:w="2977" w:type="dxa"/>
            <w:tcBorders>
              <w:left w:val="single" w:sz="4" w:space="0" w:color="auto"/>
              <w:right w:val="single" w:sz="4" w:space="0" w:color="auto"/>
            </w:tcBorders>
          </w:tcPr>
          <w:p w:rsidR="002A0515" w:rsidRDefault="002A0515" w:rsidP="00A54BE4">
            <w:pPr>
              <w:pStyle w:val="TableText"/>
              <w:snapToGrid w:val="0"/>
              <w:rPr>
                <w:szCs w:val="17"/>
                <w:lang w:eastAsia="en-GB"/>
              </w:rPr>
            </w:pPr>
            <w:r>
              <w:rPr>
                <w:szCs w:val="17"/>
                <w:lang w:eastAsia="en-GB"/>
              </w:rPr>
              <w:t>CEM (for derivative contracts)</w:t>
            </w:r>
          </w:p>
        </w:tc>
        <w:tc>
          <w:tcPr>
            <w:tcW w:w="1134" w:type="dxa"/>
            <w:tcBorders>
              <w:left w:val="single" w:sz="4" w:space="0" w:color="auto"/>
              <w:right w:val="single" w:sz="4" w:space="0" w:color="auto"/>
            </w:tcBorders>
            <w:shd w:val="clear" w:color="auto" w:fill="FFFFFF"/>
          </w:tcPr>
          <w:p w:rsidR="002A0515" w:rsidRDefault="002A0515" w:rsidP="00A54BE4">
            <w:pPr>
              <w:pStyle w:val="TableText"/>
              <w:snapToGrid w:val="0"/>
              <w:rPr>
                <w:szCs w:val="17"/>
                <w:lang w:eastAsia="en-GB"/>
              </w:rPr>
            </w:pPr>
          </w:p>
        </w:tc>
        <w:tc>
          <w:tcPr>
            <w:tcW w:w="709" w:type="dxa"/>
            <w:tcBorders>
              <w:left w:val="single" w:sz="4" w:space="0" w:color="auto"/>
              <w:right w:val="single" w:sz="4" w:space="0" w:color="auto"/>
            </w:tcBorders>
            <w:shd w:val="clear" w:color="auto" w:fill="FFFFFF"/>
          </w:tcPr>
          <w:p w:rsidR="002A0515" w:rsidRDefault="002A0515" w:rsidP="00A54BE4">
            <w:pPr>
              <w:pStyle w:val="TableText"/>
              <w:snapToGrid w:val="0"/>
              <w:rPr>
                <w:szCs w:val="17"/>
                <w:lang w:eastAsia="en-GB"/>
              </w:rPr>
            </w:pPr>
          </w:p>
        </w:tc>
        <w:tc>
          <w:tcPr>
            <w:tcW w:w="851" w:type="dxa"/>
            <w:tcBorders>
              <w:left w:val="single" w:sz="4" w:space="0" w:color="auto"/>
              <w:right w:val="single" w:sz="4" w:space="0" w:color="auto"/>
            </w:tcBorders>
            <w:shd w:val="clear" w:color="auto" w:fill="BFBFBF"/>
          </w:tcPr>
          <w:p w:rsidR="002A0515" w:rsidRDefault="002A0515" w:rsidP="00A54BE4">
            <w:pPr>
              <w:pStyle w:val="TableText"/>
              <w:snapToGrid w:val="0"/>
              <w:rPr>
                <w:szCs w:val="17"/>
                <w:lang w:eastAsia="en-GB"/>
              </w:rPr>
            </w:pPr>
          </w:p>
        </w:tc>
        <w:tc>
          <w:tcPr>
            <w:tcW w:w="1416" w:type="dxa"/>
            <w:tcBorders>
              <w:left w:val="single" w:sz="4" w:space="0" w:color="auto"/>
              <w:right w:val="single" w:sz="4" w:space="0" w:color="auto"/>
            </w:tcBorders>
          </w:tcPr>
          <w:p w:rsidR="002A0515" w:rsidRDefault="002A0515" w:rsidP="00A54BE4">
            <w:pPr>
              <w:pStyle w:val="TableText"/>
              <w:snapToGrid w:val="0"/>
              <w:rPr>
                <w:szCs w:val="17"/>
                <w:lang w:eastAsia="en-GB"/>
              </w:rPr>
            </w:pPr>
            <w:r>
              <w:rPr>
                <w:szCs w:val="17"/>
                <w:lang w:eastAsia="en-GB"/>
              </w:rPr>
              <w:t>1.4</w:t>
            </w:r>
          </w:p>
        </w:tc>
        <w:tc>
          <w:tcPr>
            <w:tcW w:w="993"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709" w:type="dxa"/>
            <w:tcBorders>
              <w:left w:val="single" w:sz="4" w:space="0" w:color="auto"/>
              <w:right w:val="single" w:sz="4" w:space="0" w:color="auto"/>
            </w:tcBorders>
          </w:tcPr>
          <w:p w:rsidR="002A0515" w:rsidRDefault="002A0515" w:rsidP="00A54BE4">
            <w:pPr>
              <w:pStyle w:val="TableText"/>
              <w:snapToGrid w:val="0"/>
              <w:rPr>
                <w:szCs w:val="17"/>
                <w:lang w:eastAsia="en-GB"/>
              </w:rPr>
            </w:pPr>
          </w:p>
        </w:tc>
      </w:tr>
      <w:tr w:rsidR="002A0515" w:rsidTr="00A54BE4">
        <w:trPr>
          <w:cantSplit/>
        </w:trPr>
        <w:tc>
          <w:tcPr>
            <w:tcW w:w="425" w:type="dxa"/>
            <w:tcBorders>
              <w:left w:val="nil"/>
              <w:right w:val="single" w:sz="4" w:space="0" w:color="auto"/>
            </w:tcBorders>
          </w:tcPr>
          <w:p w:rsidR="002A0515" w:rsidRDefault="002A0515" w:rsidP="00A54BE4">
            <w:pPr>
              <w:pStyle w:val="TableText"/>
              <w:snapToGrid w:val="0"/>
              <w:rPr>
                <w:szCs w:val="17"/>
                <w:lang w:eastAsia="en-GB"/>
              </w:rPr>
            </w:pPr>
            <w:r>
              <w:rPr>
                <w:szCs w:val="17"/>
                <w:lang w:eastAsia="en-GB"/>
              </w:rPr>
              <w:t>2</w:t>
            </w:r>
          </w:p>
        </w:tc>
        <w:tc>
          <w:tcPr>
            <w:tcW w:w="2977" w:type="dxa"/>
            <w:tcBorders>
              <w:left w:val="single" w:sz="4" w:space="0" w:color="auto"/>
              <w:right w:val="single" w:sz="4" w:space="0" w:color="auto"/>
            </w:tcBorders>
          </w:tcPr>
          <w:p w:rsidR="002A0515" w:rsidRDefault="002A0515" w:rsidP="00A54BE4">
            <w:pPr>
              <w:pStyle w:val="TableText"/>
              <w:snapToGrid w:val="0"/>
              <w:rPr>
                <w:szCs w:val="17"/>
                <w:lang w:eastAsia="en-GB"/>
              </w:rPr>
            </w:pPr>
            <w:r>
              <w:rPr>
                <w:szCs w:val="17"/>
                <w:lang w:eastAsia="en-GB"/>
              </w:rPr>
              <w:t xml:space="preserve">IMM (CCR) approach </w:t>
            </w:r>
          </w:p>
        </w:tc>
        <w:tc>
          <w:tcPr>
            <w:tcW w:w="1134" w:type="dxa"/>
            <w:tcBorders>
              <w:left w:val="single" w:sz="4" w:space="0" w:color="auto"/>
              <w:right w:val="single" w:sz="4" w:space="0" w:color="auto"/>
            </w:tcBorders>
            <w:shd w:val="clear" w:color="auto" w:fill="BFBFBF"/>
          </w:tcPr>
          <w:p w:rsidR="002A0515" w:rsidRDefault="002A0515" w:rsidP="00A54BE4">
            <w:pPr>
              <w:pStyle w:val="TableText"/>
              <w:snapToGrid w:val="0"/>
              <w:rPr>
                <w:szCs w:val="17"/>
                <w:lang w:eastAsia="en-GB"/>
              </w:rPr>
            </w:pPr>
          </w:p>
        </w:tc>
        <w:tc>
          <w:tcPr>
            <w:tcW w:w="709" w:type="dxa"/>
            <w:tcBorders>
              <w:left w:val="single" w:sz="4" w:space="0" w:color="auto"/>
              <w:right w:val="single" w:sz="4" w:space="0" w:color="auto"/>
            </w:tcBorders>
            <w:shd w:val="clear" w:color="auto" w:fill="BFBFBF"/>
          </w:tcPr>
          <w:p w:rsidR="002A0515" w:rsidRDefault="002A0515" w:rsidP="00A54BE4">
            <w:pPr>
              <w:pStyle w:val="TableText"/>
              <w:snapToGrid w:val="0"/>
              <w:rPr>
                <w:szCs w:val="17"/>
                <w:lang w:eastAsia="en-GB"/>
              </w:rPr>
            </w:pPr>
          </w:p>
        </w:tc>
        <w:tc>
          <w:tcPr>
            <w:tcW w:w="851"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416"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993"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709" w:type="dxa"/>
            <w:tcBorders>
              <w:left w:val="single" w:sz="4" w:space="0" w:color="auto"/>
              <w:right w:val="single" w:sz="4" w:space="0" w:color="auto"/>
            </w:tcBorders>
          </w:tcPr>
          <w:p w:rsidR="002A0515" w:rsidRDefault="002A0515" w:rsidP="00A54BE4">
            <w:pPr>
              <w:pStyle w:val="TableText"/>
              <w:snapToGrid w:val="0"/>
              <w:rPr>
                <w:szCs w:val="17"/>
                <w:lang w:eastAsia="en-GB"/>
              </w:rPr>
            </w:pPr>
          </w:p>
        </w:tc>
      </w:tr>
      <w:tr w:rsidR="002A0515" w:rsidTr="00A54BE4">
        <w:trPr>
          <w:cantSplit/>
        </w:trPr>
        <w:tc>
          <w:tcPr>
            <w:tcW w:w="425" w:type="dxa"/>
            <w:tcBorders>
              <w:left w:val="nil"/>
              <w:right w:val="single" w:sz="4" w:space="0" w:color="auto"/>
            </w:tcBorders>
          </w:tcPr>
          <w:p w:rsidR="002A0515" w:rsidRDefault="002A0515" w:rsidP="00A54BE4">
            <w:pPr>
              <w:pStyle w:val="TableText"/>
              <w:snapToGrid w:val="0"/>
              <w:rPr>
                <w:szCs w:val="17"/>
                <w:lang w:eastAsia="en-GB"/>
              </w:rPr>
            </w:pPr>
            <w:r>
              <w:rPr>
                <w:szCs w:val="17"/>
                <w:lang w:eastAsia="en-GB"/>
              </w:rPr>
              <w:t>3</w:t>
            </w:r>
          </w:p>
        </w:tc>
        <w:tc>
          <w:tcPr>
            <w:tcW w:w="2977" w:type="dxa"/>
            <w:tcBorders>
              <w:left w:val="single" w:sz="4" w:space="0" w:color="auto"/>
              <w:right w:val="single" w:sz="4" w:space="0" w:color="auto"/>
            </w:tcBorders>
          </w:tcPr>
          <w:p w:rsidR="002A0515" w:rsidRDefault="002A0515" w:rsidP="00A54BE4">
            <w:pPr>
              <w:pStyle w:val="TableText"/>
              <w:snapToGrid w:val="0"/>
              <w:rPr>
                <w:szCs w:val="17"/>
                <w:lang w:eastAsia="en-GB"/>
              </w:rPr>
            </w:pPr>
            <w:r>
              <w:rPr>
                <w:szCs w:val="17"/>
                <w:lang w:eastAsia="en-GB"/>
              </w:rPr>
              <w:t>Simple approach (for SFTs)</w:t>
            </w:r>
          </w:p>
        </w:tc>
        <w:tc>
          <w:tcPr>
            <w:tcW w:w="1134" w:type="dxa"/>
            <w:tcBorders>
              <w:left w:val="single" w:sz="4" w:space="0" w:color="auto"/>
              <w:right w:val="single" w:sz="4" w:space="0" w:color="auto"/>
            </w:tcBorders>
            <w:shd w:val="clear" w:color="auto" w:fill="BFBFBF"/>
          </w:tcPr>
          <w:p w:rsidR="002A0515" w:rsidRDefault="002A0515" w:rsidP="00A54BE4">
            <w:pPr>
              <w:pStyle w:val="TableText"/>
              <w:snapToGrid w:val="0"/>
              <w:rPr>
                <w:szCs w:val="17"/>
                <w:lang w:eastAsia="en-GB"/>
              </w:rPr>
            </w:pPr>
          </w:p>
        </w:tc>
        <w:tc>
          <w:tcPr>
            <w:tcW w:w="709" w:type="dxa"/>
            <w:tcBorders>
              <w:left w:val="single" w:sz="4" w:space="0" w:color="auto"/>
              <w:right w:val="single" w:sz="4" w:space="0" w:color="auto"/>
            </w:tcBorders>
            <w:shd w:val="clear" w:color="auto" w:fill="BFBFBF"/>
          </w:tcPr>
          <w:p w:rsidR="002A0515" w:rsidRDefault="002A0515" w:rsidP="00A54BE4">
            <w:pPr>
              <w:pStyle w:val="TableText"/>
              <w:snapToGrid w:val="0"/>
              <w:rPr>
                <w:szCs w:val="17"/>
                <w:lang w:eastAsia="en-GB"/>
              </w:rPr>
            </w:pPr>
          </w:p>
        </w:tc>
        <w:tc>
          <w:tcPr>
            <w:tcW w:w="851" w:type="dxa"/>
            <w:tcBorders>
              <w:left w:val="single" w:sz="4" w:space="0" w:color="auto"/>
              <w:right w:val="single" w:sz="4" w:space="0" w:color="auto"/>
            </w:tcBorders>
            <w:shd w:val="clear" w:color="auto" w:fill="BFBFBF"/>
          </w:tcPr>
          <w:p w:rsidR="002A0515" w:rsidRDefault="002A0515" w:rsidP="00A54BE4">
            <w:pPr>
              <w:pStyle w:val="TableText"/>
              <w:snapToGrid w:val="0"/>
              <w:rPr>
                <w:szCs w:val="17"/>
                <w:lang w:eastAsia="en-GB"/>
              </w:rPr>
            </w:pPr>
          </w:p>
        </w:tc>
        <w:tc>
          <w:tcPr>
            <w:tcW w:w="1416" w:type="dxa"/>
            <w:tcBorders>
              <w:left w:val="single" w:sz="4" w:space="0" w:color="auto"/>
              <w:right w:val="single" w:sz="4" w:space="0" w:color="auto"/>
            </w:tcBorders>
            <w:shd w:val="clear" w:color="auto" w:fill="BFBFBF"/>
          </w:tcPr>
          <w:p w:rsidR="002A0515" w:rsidRDefault="002A0515" w:rsidP="00A54BE4">
            <w:pPr>
              <w:pStyle w:val="TableText"/>
              <w:snapToGrid w:val="0"/>
              <w:rPr>
                <w:szCs w:val="17"/>
                <w:lang w:eastAsia="en-GB"/>
              </w:rPr>
            </w:pPr>
          </w:p>
        </w:tc>
        <w:tc>
          <w:tcPr>
            <w:tcW w:w="993"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709" w:type="dxa"/>
            <w:tcBorders>
              <w:left w:val="single" w:sz="4" w:space="0" w:color="auto"/>
              <w:right w:val="single" w:sz="4" w:space="0" w:color="auto"/>
            </w:tcBorders>
          </w:tcPr>
          <w:p w:rsidR="002A0515" w:rsidRDefault="002A0515" w:rsidP="00A54BE4">
            <w:pPr>
              <w:pStyle w:val="TableText"/>
              <w:snapToGrid w:val="0"/>
              <w:rPr>
                <w:szCs w:val="17"/>
                <w:lang w:eastAsia="en-GB"/>
              </w:rPr>
            </w:pPr>
          </w:p>
        </w:tc>
      </w:tr>
      <w:tr w:rsidR="002A0515" w:rsidTr="00A54BE4">
        <w:trPr>
          <w:cantSplit/>
        </w:trPr>
        <w:tc>
          <w:tcPr>
            <w:tcW w:w="425" w:type="dxa"/>
            <w:tcBorders>
              <w:left w:val="nil"/>
              <w:right w:val="single" w:sz="4" w:space="0" w:color="auto"/>
            </w:tcBorders>
          </w:tcPr>
          <w:p w:rsidR="002A0515" w:rsidRDefault="002A0515" w:rsidP="00A54BE4">
            <w:pPr>
              <w:pStyle w:val="TableText"/>
              <w:snapToGrid w:val="0"/>
              <w:rPr>
                <w:szCs w:val="17"/>
                <w:lang w:eastAsia="en-GB"/>
              </w:rPr>
            </w:pPr>
            <w:r>
              <w:rPr>
                <w:szCs w:val="17"/>
                <w:lang w:eastAsia="en-GB"/>
              </w:rPr>
              <w:t>4</w:t>
            </w:r>
          </w:p>
        </w:tc>
        <w:tc>
          <w:tcPr>
            <w:tcW w:w="2977" w:type="dxa"/>
            <w:tcBorders>
              <w:left w:val="single" w:sz="4" w:space="0" w:color="auto"/>
              <w:right w:val="single" w:sz="4" w:space="0" w:color="auto"/>
            </w:tcBorders>
          </w:tcPr>
          <w:p w:rsidR="002A0515" w:rsidRDefault="002A0515" w:rsidP="00A54BE4">
            <w:pPr>
              <w:pStyle w:val="TableText"/>
              <w:snapToGrid w:val="0"/>
              <w:rPr>
                <w:szCs w:val="17"/>
                <w:lang w:eastAsia="en-GB"/>
              </w:rPr>
            </w:pPr>
            <w:r>
              <w:rPr>
                <w:szCs w:val="17"/>
                <w:lang w:eastAsia="en-GB"/>
              </w:rPr>
              <w:t>Comprehensive approach (for SFTs)</w:t>
            </w:r>
          </w:p>
        </w:tc>
        <w:tc>
          <w:tcPr>
            <w:tcW w:w="1134" w:type="dxa"/>
            <w:tcBorders>
              <w:left w:val="single" w:sz="4" w:space="0" w:color="auto"/>
              <w:right w:val="single" w:sz="4" w:space="0" w:color="auto"/>
            </w:tcBorders>
            <w:shd w:val="clear" w:color="auto" w:fill="BFBFBF"/>
          </w:tcPr>
          <w:p w:rsidR="002A0515" w:rsidRDefault="002A0515" w:rsidP="00A54BE4">
            <w:pPr>
              <w:pStyle w:val="TableText"/>
              <w:snapToGrid w:val="0"/>
              <w:rPr>
                <w:szCs w:val="17"/>
                <w:lang w:eastAsia="en-GB"/>
              </w:rPr>
            </w:pPr>
          </w:p>
        </w:tc>
        <w:tc>
          <w:tcPr>
            <w:tcW w:w="709" w:type="dxa"/>
            <w:tcBorders>
              <w:left w:val="single" w:sz="4" w:space="0" w:color="auto"/>
              <w:right w:val="single" w:sz="4" w:space="0" w:color="auto"/>
            </w:tcBorders>
            <w:shd w:val="clear" w:color="auto" w:fill="BFBFBF"/>
          </w:tcPr>
          <w:p w:rsidR="002A0515" w:rsidRDefault="002A0515" w:rsidP="00A54BE4">
            <w:pPr>
              <w:pStyle w:val="TableText"/>
              <w:snapToGrid w:val="0"/>
              <w:rPr>
                <w:szCs w:val="17"/>
                <w:lang w:eastAsia="en-GB"/>
              </w:rPr>
            </w:pPr>
          </w:p>
        </w:tc>
        <w:tc>
          <w:tcPr>
            <w:tcW w:w="851" w:type="dxa"/>
            <w:tcBorders>
              <w:left w:val="single" w:sz="4" w:space="0" w:color="auto"/>
              <w:right w:val="single" w:sz="4" w:space="0" w:color="auto"/>
            </w:tcBorders>
            <w:shd w:val="clear" w:color="auto" w:fill="BFBFBF"/>
          </w:tcPr>
          <w:p w:rsidR="002A0515" w:rsidRDefault="002A0515" w:rsidP="00A54BE4">
            <w:pPr>
              <w:pStyle w:val="TableText"/>
              <w:snapToGrid w:val="0"/>
              <w:rPr>
                <w:szCs w:val="17"/>
                <w:lang w:eastAsia="en-GB"/>
              </w:rPr>
            </w:pPr>
          </w:p>
        </w:tc>
        <w:tc>
          <w:tcPr>
            <w:tcW w:w="1416" w:type="dxa"/>
            <w:tcBorders>
              <w:left w:val="single" w:sz="4" w:space="0" w:color="auto"/>
              <w:right w:val="single" w:sz="4" w:space="0" w:color="auto"/>
            </w:tcBorders>
            <w:shd w:val="clear" w:color="auto" w:fill="BFBFBF"/>
          </w:tcPr>
          <w:p w:rsidR="002A0515" w:rsidRDefault="002A0515" w:rsidP="00A54BE4">
            <w:pPr>
              <w:pStyle w:val="TableText"/>
              <w:snapToGrid w:val="0"/>
              <w:rPr>
                <w:szCs w:val="17"/>
                <w:lang w:eastAsia="en-GB"/>
              </w:rPr>
            </w:pPr>
          </w:p>
        </w:tc>
        <w:tc>
          <w:tcPr>
            <w:tcW w:w="993"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709" w:type="dxa"/>
            <w:tcBorders>
              <w:left w:val="single" w:sz="4" w:space="0" w:color="auto"/>
              <w:right w:val="single" w:sz="4" w:space="0" w:color="auto"/>
            </w:tcBorders>
          </w:tcPr>
          <w:p w:rsidR="002A0515" w:rsidRDefault="002A0515" w:rsidP="00A54BE4">
            <w:pPr>
              <w:pStyle w:val="TableText"/>
              <w:snapToGrid w:val="0"/>
              <w:rPr>
                <w:szCs w:val="17"/>
                <w:lang w:eastAsia="en-GB"/>
              </w:rPr>
            </w:pPr>
          </w:p>
        </w:tc>
      </w:tr>
      <w:tr w:rsidR="002A0515" w:rsidTr="00A54BE4">
        <w:trPr>
          <w:cantSplit/>
        </w:trPr>
        <w:tc>
          <w:tcPr>
            <w:tcW w:w="425" w:type="dxa"/>
            <w:tcBorders>
              <w:left w:val="nil"/>
              <w:right w:val="single" w:sz="4" w:space="0" w:color="auto"/>
            </w:tcBorders>
          </w:tcPr>
          <w:p w:rsidR="002A0515" w:rsidRDefault="002A0515" w:rsidP="00A54BE4">
            <w:pPr>
              <w:pStyle w:val="TableText"/>
              <w:snapToGrid w:val="0"/>
              <w:rPr>
                <w:szCs w:val="17"/>
                <w:lang w:eastAsia="en-GB"/>
              </w:rPr>
            </w:pPr>
            <w:r>
              <w:rPr>
                <w:szCs w:val="17"/>
                <w:lang w:eastAsia="en-GB"/>
              </w:rPr>
              <w:t>5</w:t>
            </w:r>
          </w:p>
        </w:tc>
        <w:tc>
          <w:tcPr>
            <w:tcW w:w="2977" w:type="dxa"/>
            <w:tcBorders>
              <w:left w:val="single" w:sz="4" w:space="0" w:color="auto"/>
              <w:right w:val="single" w:sz="4" w:space="0" w:color="auto"/>
            </w:tcBorders>
          </w:tcPr>
          <w:p w:rsidR="002A0515" w:rsidRDefault="002A0515" w:rsidP="00A54BE4">
            <w:pPr>
              <w:pStyle w:val="TableText"/>
              <w:snapToGrid w:val="0"/>
              <w:rPr>
                <w:szCs w:val="17"/>
                <w:lang w:eastAsia="en-GB"/>
              </w:rPr>
            </w:pPr>
            <w:proofErr w:type="spellStart"/>
            <w:r>
              <w:rPr>
                <w:szCs w:val="17"/>
                <w:lang w:eastAsia="en-GB"/>
              </w:rPr>
              <w:t>VaR</w:t>
            </w:r>
            <w:proofErr w:type="spellEnd"/>
            <w:r>
              <w:rPr>
                <w:szCs w:val="17"/>
                <w:lang w:eastAsia="en-GB"/>
              </w:rPr>
              <w:t xml:space="preserve"> (for SFTs)</w:t>
            </w:r>
          </w:p>
        </w:tc>
        <w:tc>
          <w:tcPr>
            <w:tcW w:w="1134" w:type="dxa"/>
            <w:tcBorders>
              <w:left w:val="single" w:sz="4" w:space="0" w:color="auto"/>
              <w:right w:val="single" w:sz="4" w:space="0" w:color="auto"/>
            </w:tcBorders>
            <w:shd w:val="clear" w:color="auto" w:fill="BFBFBF"/>
          </w:tcPr>
          <w:p w:rsidR="002A0515" w:rsidRDefault="002A0515" w:rsidP="00A54BE4">
            <w:pPr>
              <w:pStyle w:val="TableText"/>
              <w:snapToGrid w:val="0"/>
              <w:rPr>
                <w:szCs w:val="17"/>
                <w:lang w:eastAsia="en-GB"/>
              </w:rPr>
            </w:pPr>
          </w:p>
        </w:tc>
        <w:tc>
          <w:tcPr>
            <w:tcW w:w="709" w:type="dxa"/>
            <w:tcBorders>
              <w:left w:val="single" w:sz="4" w:space="0" w:color="auto"/>
              <w:right w:val="single" w:sz="4" w:space="0" w:color="auto"/>
            </w:tcBorders>
            <w:shd w:val="clear" w:color="auto" w:fill="BFBFBF"/>
          </w:tcPr>
          <w:p w:rsidR="002A0515" w:rsidRDefault="002A0515" w:rsidP="00A54BE4">
            <w:pPr>
              <w:pStyle w:val="TableText"/>
              <w:snapToGrid w:val="0"/>
              <w:rPr>
                <w:szCs w:val="17"/>
                <w:lang w:eastAsia="en-GB"/>
              </w:rPr>
            </w:pPr>
          </w:p>
        </w:tc>
        <w:tc>
          <w:tcPr>
            <w:tcW w:w="851" w:type="dxa"/>
            <w:tcBorders>
              <w:left w:val="single" w:sz="4" w:space="0" w:color="auto"/>
              <w:right w:val="single" w:sz="4" w:space="0" w:color="auto"/>
            </w:tcBorders>
            <w:shd w:val="clear" w:color="auto" w:fill="BFBFBF"/>
          </w:tcPr>
          <w:p w:rsidR="002A0515" w:rsidRDefault="002A0515" w:rsidP="00A54BE4">
            <w:pPr>
              <w:pStyle w:val="TableText"/>
              <w:snapToGrid w:val="0"/>
              <w:rPr>
                <w:szCs w:val="17"/>
                <w:lang w:eastAsia="en-GB"/>
              </w:rPr>
            </w:pPr>
          </w:p>
        </w:tc>
        <w:tc>
          <w:tcPr>
            <w:tcW w:w="1416" w:type="dxa"/>
            <w:tcBorders>
              <w:left w:val="single" w:sz="4" w:space="0" w:color="auto"/>
              <w:right w:val="single" w:sz="4" w:space="0" w:color="auto"/>
            </w:tcBorders>
            <w:shd w:val="clear" w:color="auto" w:fill="BFBFBF"/>
          </w:tcPr>
          <w:p w:rsidR="002A0515" w:rsidRDefault="002A0515" w:rsidP="00A54BE4">
            <w:pPr>
              <w:pStyle w:val="TableText"/>
              <w:snapToGrid w:val="0"/>
              <w:rPr>
                <w:szCs w:val="17"/>
                <w:lang w:eastAsia="en-GB"/>
              </w:rPr>
            </w:pPr>
          </w:p>
        </w:tc>
        <w:tc>
          <w:tcPr>
            <w:tcW w:w="993"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709" w:type="dxa"/>
            <w:tcBorders>
              <w:left w:val="single" w:sz="4" w:space="0" w:color="auto"/>
              <w:right w:val="single" w:sz="4" w:space="0" w:color="auto"/>
            </w:tcBorders>
          </w:tcPr>
          <w:p w:rsidR="002A0515" w:rsidRDefault="002A0515" w:rsidP="00A54BE4">
            <w:pPr>
              <w:pStyle w:val="TableText"/>
              <w:snapToGrid w:val="0"/>
              <w:rPr>
                <w:szCs w:val="17"/>
                <w:lang w:eastAsia="en-GB"/>
              </w:rPr>
            </w:pPr>
          </w:p>
        </w:tc>
      </w:tr>
      <w:tr w:rsidR="002A0515" w:rsidTr="00A54BE4">
        <w:trPr>
          <w:cantSplit/>
          <w:trHeight w:val="205"/>
        </w:trPr>
        <w:tc>
          <w:tcPr>
            <w:tcW w:w="425" w:type="dxa"/>
            <w:tcBorders>
              <w:left w:val="nil"/>
              <w:bottom w:val="single" w:sz="4" w:space="0" w:color="auto"/>
              <w:right w:val="single" w:sz="4" w:space="0" w:color="auto"/>
            </w:tcBorders>
          </w:tcPr>
          <w:p w:rsidR="002A0515" w:rsidRDefault="002A0515" w:rsidP="00A54BE4">
            <w:pPr>
              <w:pStyle w:val="TableText"/>
              <w:snapToGrid w:val="0"/>
              <w:rPr>
                <w:szCs w:val="17"/>
                <w:lang w:eastAsia="en-GB"/>
              </w:rPr>
            </w:pPr>
            <w:r>
              <w:rPr>
                <w:szCs w:val="17"/>
                <w:lang w:eastAsia="en-GB"/>
              </w:rPr>
              <w:t>6</w:t>
            </w:r>
          </w:p>
        </w:tc>
        <w:tc>
          <w:tcPr>
            <w:tcW w:w="2977" w:type="dxa"/>
            <w:tcBorders>
              <w:left w:val="single" w:sz="4" w:space="0" w:color="auto"/>
              <w:bottom w:val="single" w:sz="4" w:space="0" w:color="auto"/>
              <w:right w:val="single" w:sz="4" w:space="0" w:color="auto"/>
            </w:tcBorders>
          </w:tcPr>
          <w:p w:rsidR="002A0515" w:rsidRDefault="002A0515" w:rsidP="00A54BE4">
            <w:pPr>
              <w:pStyle w:val="TableText"/>
              <w:snapToGrid w:val="0"/>
              <w:rPr>
                <w:b/>
                <w:szCs w:val="17"/>
                <w:lang w:eastAsia="en-GB"/>
              </w:rPr>
            </w:pPr>
            <w:r>
              <w:rPr>
                <w:b/>
                <w:szCs w:val="17"/>
                <w:lang w:eastAsia="en-GB"/>
              </w:rPr>
              <w:t>Total</w:t>
            </w:r>
          </w:p>
        </w:tc>
        <w:tc>
          <w:tcPr>
            <w:tcW w:w="1134" w:type="dxa"/>
            <w:tcBorders>
              <w:left w:val="single" w:sz="4" w:space="0" w:color="auto"/>
              <w:bottom w:val="single" w:sz="4" w:space="0" w:color="auto"/>
              <w:right w:val="single" w:sz="4" w:space="0" w:color="auto"/>
            </w:tcBorders>
            <w:shd w:val="clear" w:color="auto" w:fill="BFBFBF"/>
          </w:tcPr>
          <w:p w:rsidR="002A0515" w:rsidRDefault="002A0515" w:rsidP="00A54BE4">
            <w:pPr>
              <w:pStyle w:val="TableText"/>
              <w:snapToGrid w:val="0"/>
              <w:rPr>
                <w:szCs w:val="17"/>
                <w:lang w:eastAsia="en-GB"/>
              </w:rPr>
            </w:pPr>
          </w:p>
        </w:tc>
        <w:tc>
          <w:tcPr>
            <w:tcW w:w="709" w:type="dxa"/>
            <w:tcBorders>
              <w:left w:val="single" w:sz="4" w:space="0" w:color="auto"/>
              <w:bottom w:val="single" w:sz="4" w:space="0" w:color="auto"/>
              <w:right w:val="single" w:sz="4" w:space="0" w:color="auto"/>
            </w:tcBorders>
            <w:shd w:val="clear" w:color="auto" w:fill="BFBFBF"/>
          </w:tcPr>
          <w:p w:rsidR="002A0515" w:rsidRDefault="002A0515" w:rsidP="00A54BE4">
            <w:pPr>
              <w:pStyle w:val="TableText"/>
              <w:snapToGrid w:val="0"/>
              <w:rPr>
                <w:szCs w:val="17"/>
                <w:lang w:eastAsia="en-GB"/>
              </w:rPr>
            </w:pPr>
          </w:p>
        </w:tc>
        <w:tc>
          <w:tcPr>
            <w:tcW w:w="851" w:type="dxa"/>
            <w:tcBorders>
              <w:left w:val="single" w:sz="4" w:space="0" w:color="auto"/>
              <w:bottom w:val="single" w:sz="4" w:space="0" w:color="auto"/>
              <w:right w:val="single" w:sz="4" w:space="0" w:color="auto"/>
            </w:tcBorders>
            <w:shd w:val="clear" w:color="auto" w:fill="BFBFBF"/>
          </w:tcPr>
          <w:p w:rsidR="002A0515" w:rsidRDefault="002A0515" w:rsidP="00A54BE4">
            <w:pPr>
              <w:pStyle w:val="TableText"/>
              <w:snapToGrid w:val="0"/>
              <w:rPr>
                <w:szCs w:val="17"/>
                <w:lang w:eastAsia="en-GB"/>
              </w:rPr>
            </w:pPr>
          </w:p>
        </w:tc>
        <w:tc>
          <w:tcPr>
            <w:tcW w:w="1416" w:type="dxa"/>
            <w:tcBorders>
              <w:left w:val="single" w:sz="4" w:space="0" w:color="auto"/>
              <w:bottom w:val="single" w:sz="4" w:space="0" w:color="auto"/>
              <w:right w:val="single" w:sz="4" w:space="0" w:color="auto"/>
            </w:tcBorders>
            <w:shd w:val="clear" w:color="auto" w:fill="BFBFBF"/>
          </w:tcPr>
          <w:p w:rsidR="002A0515" w:rsidRDefault="002A0515" w:rsidP="00A54BE4">
            <w:pPr>
              <w:pStyle w:val="TableText"/>
              <w:snapToGrid w:val="0"/>
              <w:rPr>
                <w:szCs w:val="17"/>
                <w:lang w:eastAsia="en-GB"/>
              </w:rPr>
            </w:pPr>
          </w:p>
        </w:tc>
        <w:tc>
          <w:tcPr>
            <w:tcW w:w="993" w:type="dxa"/>
            <w:tcBorders>
              <w:left w:val="single" w:sz="4" w:space="0" w:color="auto"/>
              <w:bottom w:val="single" w:sz="4" w:space="0" w:color="auto"/>
              <w:right w:val="single" w:sz="4" w:space="0" w:color="auto"/>
            </w:tcBorders>
            <w:shd w:val="clear" w:color="auto" w:fill="BFBFBF"/>
          </w:tcPr>
          <w:p w:rsidR="002A0515" w:rsidRDefault="002A0515" w:rsidP="00A54BE4">
            <w:pPr>
              <w:pStyle w:val="TableText"/>
              <w:snapToGrid w:val="0"/>
              <w:rPr>
                <w:szCs w:val="17"/>
                <w:lang w:eastAsia="en-GB"/>
              </w:rPr>
            </w:pPr>
          </w:p>
        </w:tc>
        <w:tc>
          <w:tcPr>
            <w:tcW w:w="709" w:type="dxa"/>
            <w:tcBorders>
              <w:left w:val="single" w:sz="4" w:space="0" w:color="auto"/>
              <w:bottom w:val="single" w:sz="4" w:space="0" w:color="auto"/>
              <w:right w:val="single" w:sz="4" w:space="0" w:color="auto"/>
            </w:tcBorders>
          </w:tcPr>
          <w:p w:rsidR="002A0515" w:rsidRDefault="002A0515" w:rsidP="00A54BE4">
            <w:pPr>
              <w:pStyle w:val="TableText"/>
              <w:snapToGrid w:val="0"/>
              <w:rPr>
                <w:szCs w:val="17"/>
                <w:lang w:eastAsia="en-GB"/>
              </w:rPr>
            </w:pPr>
          </w:p>
        </w:tc>
      </w:tr>
    </w:tbl>
    <w:p w:rsidR="002A0515" w:rsidRDefault="002A0515" w:rsidP="002A0515">
      <w:pPr>
        <w:spacing w:before="120" w:after="120"/>
        <w:ind w:leftChars="-283" w:left="-566"/>
        <w:rPr>
          <w:sz w:val="22"/>
        </w:rPr>
      </w:pPr>
    </w:p>
    <w:p w:rsidR="002A0515" w:rsidRDefault="002A0515" w:rsidP="002A0515">
      <w:pPr>
        <w:spacing w:before="120" w:after="120"/>
        <w:ind w:leftChars="-283" w:left="-566"/>
        <w:rPr>
          <w:sz w:val="22"/>
        </w:rPr>
      </w:pPr>
    </w:p>
    <w:p w:rsidR="002A0515" w:rsidRDefault="002A0515" w:rsidP="002A0515">
      <w:pPr>
        <w:spacing w:before="120" w:after="120"/>
        <w:ind w:leftChars="-283" w:left="-566"/>
        <w:rPr>
          <w:sz w:val="22"/>
        </w:rPr>
      </w:pPr>
    </w:p>
    <w:p w:rsidR="002A0515" w:rsidRDefault="002A0515" w:rsidP="002A0515">
      <w:pPr>
        <w:spacing w:before="120" w:after="120"/>
        <w:ind w:leftChars="-283" w:left="-566"/>
        <w:rPr>
          <w:sz w:val="22"/>
        </w:rPr>
      </w:pPr>
    </w:p>
    <w:p w:rsidR="002A0515" w:rsidRDefault="002A0515" w:rsidP="002A0515">
      <w:pPr>
        <w:spacing w:before="120" w:after="120"/>
        <w:ind w:leftChars="-283" w:left="-566"/>
        <w:rPr>
          <w:sz w:val="22"/>
        </w:rPr>
      </w:pP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8789"/>
      </w:tblGrid>
      <w:tr w:rsidR="002A0515" w:rsidTr="00A54BE4">
        <w:trPr>
          <w:tblHeader/>
        </w:trPr>
        <w:tc>
          <w:tcPr>
            <w:tcW w:w="9214" w:type="dxa"/>
            <w:gridSpan w:val="2"/>
            <w:shd w:val="clear" w:color="auto" w:fill="BFBFBF"/>
          </w:tcPr>
          <w:p w:rsidR="002A0515" w:rsidRDefault="002A0515" w:rsidP="00A54BE4">
            <w:pPr>
              <w:spacing w:before="40" w:after="40"/>
              <w:jc w:val="both"/>
              <w:rPr>
                <w:rFonts w:eastAsia="新細明體"/>
                <w:b/>
                <w:sz w:val="17"/>
                <w:szCs w:val="17"/>
                <w:lang w:eastAsia="en-GB"/>
              </w:rPr>
            </w:pPr>
            <w:r>
              <w:rPr>
                <w:rFonts w:eastAsia="新細明體"/>
                <w:b/>
                <w:sz w:val="17"/>
                <w:szCs w:val="17"/>
                <w:lang w:eastAsia="en-GB"/>
              </w:rPr>
              <w:t>Explanatory Note</w:t>
            </w:r>
          </w:p>
        </w:tc>
      </w:tr>
      <w:tr w:rsidR="002A0515" w:rsidTr="00A54BE4">
        <w:trPr>
          <w:trHeight w:val="153"/>
        </w:trPr>
        <w:tc>
          <w:tcPr>
            <w:tcW w:w="9214" w:type="dxa"/>
            <w:gridSpan w:val="2"/>
            <w:shd w:val="clear" w:color="auto" w:fill="F2F2F2"/>
          </w:tcPr>
          <w:p w:rsidR="002A0515" w:rsidRDefault="002A0515" w:rsidP="00A54BE4">
            <w:pPr>
              <w:spacing w:before="40" w:after="40"/>
              <w:jc w:val="both"/>
              <w:rPr>
                <w:rFonts w:eastAsia="新細明體"/>
                <w:b/>
                <w:sz w:val="17"/>
                <w:szCs w:val="17"/>
                <w:lang w:eastAsia="en-GB"/>
              </w:rPr>
            </w:pPr>
            <w:r>
              <w:rPr>
                <w:rFonts w:eastAsia="新細明體"/>
                <w:b/>
                <w:sz w:val="17"/>
                <w:szCs w:val="17"/>
                <w:lang w:eastAsia="en-GB"/>
              </w:rPr>
              <w:t>Columns</w:t>
            </w:r>
          </w:p>
        </w:tc>
      </w:tr>
      <w:tr w:rsidR="002A0515" w:rsidTr="00A54BE4">
        <w:tc>
          <w:tcPr>
            <w:tcW w:w="425" w:type="dxa"/>
          </w:tcPr>
          <w:p w:rsidR="002A0515" w:rsidRDefault="002A0515" w:rsidP="00A54BE4">
            <w:pPr>
              <w:pStyle w:val="ListParagraph"/>
              <w:keepLines/>
              <w:spacing w:before="20" w:after="20"/>
              <w:ind w:leftChars="0" w:left="0" w:rightChars="-54" w:right="-108"/>
              <w:rPr>
                <w:rFonts w:cs="Segoe UI"/>
                <w:sz w:val="17"/>
                <w:szCs w:val="17"/>
                <w:lang w:eastAsia="en-GB"/>
              </w:rPr>
            </w:pPr>
            <w:r>
              <w:rPr>
                <w:rFonts w:cs="Segoe UI"/>
                <w:sz w:val="17"/>
                <w:szCs w:val="17"/>
                <w:lang w:eastAsia="en-GB"/>
              </w:rPr>
              <w:t>(a)</w:t>
            </w:r>
          </w:p>
        </w:tc>
        <w:tc>
          <w:tcPr>
            <w:tcW w:w="8789" w:type="dxa"/>
          </w:tcPr>
          <w:p w:rsidR="002A0515" w:rsidRDefault="002A0515" w:rsidP="002A0515">
            <w:pPr>
              <w:pStyle w:val="TableNote"/>
              <w:keepNext/>
              <w:numPr>
                <w:ilvl w:val="0"/>
                <w:numId w:val="21"/>
              </w:numPr>
              <w:spacing w:before="40" w:after="40"/>
              <w:ind w:left="317" w:hanging="317"/>
              <w:rPr>
                <w:rFonts w:cs="Segoe UI"/>
                <w:sz w:val="17"/>
                <w:szCs w:val="17"/>
                <w:lang w:eastAsia="en-GB"/>
              </w:rPr>
            </w:pPr>
            <w:r>
              <w:rPr>
                <w:i/>
                <w:sz w:val="17"/>
                <w:szCs w:val="17"/>
              </w:rPr>
              <w:t>Replacement Cost (RC)</w:t>
            </w:r>
            <w:r>
              <w:rPr>
                <w:sz w:val="17"/>
                <w:szCs w:val="17"/>
              </w:rPr>
              <w:t>: for the SA-CCR</w:t>
            </w:r>
            <w:r w:rsidRPr="00AC6DA4">
              <w:rPr>
                <w:sz w:val="17"/>
              </w:rPr>
              <w:t xml:space="preserve"> approach</w:t>
            </w:r>
            <w:r>
              <w:rPr>
                <w:sz w:val="17"/>
                <w:szCs w:val="17"/>
              </w:rPr>
              <w:t xml:space="preserve">, means the RC calculated under the SA-CCR approach in accordance with Division 1A, Part 6A of the BCR.  For the CEM, means the RC calculated under the CEM in accordance with Division 2A, Part 6A of the BCR. </w:t>
            </w:r>
          </w:p>
        </w:tc>
      </w:tr>
      <w:tr w:rsidR="002A0515" w:rsidTr="00A54BE4">
        <w:trPr>
          <w:trHeight w:val="373"/>
        </w:trPr>
        <w:tc>
          <w:tcPr>
            <w:tcW w:w="425" w:type="dxa"/>
          </w:tcPr>
          <w:p w:rsidR="002A0515" w:rsidRDefault="002A0515" w:rsidP="00A54BE4">
            <w:pPr>
              <w:keepLines/>
              <w:widowControl w:val="0"/>
              <w:tabs>
                <w:tab w:val="left" w:pos="150"/>
                <w:tab w:val="left" w:pos="397"/>
                <w:tab w:val="left" w:pos="794"/>
                <w:tab w:val="left" w:pos="1191"/>
              </w:tabs>
              <w:spacing w:before="20" w:after="20"/>
              <w:rPr>
                <w:rFonts w:cs="Segoe UI"/>
                <w:sz w:val="17"/>
                <w:szCs w:val="17"/>
                <w:lang w:eastAsia="en-GB"/>
              </w:rPr>
            </w:pPr>
            <w:r>
              <w:rPr>
                <w:rFonts w:cs="Segoe UI"/>
                <w:sz w:val="17"/>
                <w:szCs w:val="17"/>
                <w:lang w:eastAsia="en-GB"/>
              </w:rPr>
              <w:t>(b)</w:t>
            </w:r>
          </w:p>
        </w:tc>
        <w:tc>
          <w:tcPr>
            <w:tcW w:w="8789" w:type="dxa"/>
          </w:tcPr>
          <w:p w:rsidR="002A0515" w:rsidRDefault="002A0515" w:rsidP="002A0515">
            <w:pPr>
              <w:pStyle w:val="TableNote"/>
              <w:keepNext/>
              <w:numPr>
                <w:ilvl w:val="0"/>
                <w:numId w:val="22"/>
              </w:numPr>
              <w:spacing w:before="40" w:after="40"/>
              <w:ind w:left="317" w:hanging="317"/>
              <w:rPr>
                <w:sz w:val="17"/>
                <w:szCs w:val="17"/>
              </w:rPr>
            </w:pPr>
            <w:r>
              <w:rPr>
                <w:i/>
                <w:sz w:val="17"/>
                <w:szCs w:val="17"/>
              </w:rPr>
              <w:t>PFE</w:t>
            </w:r>
            <w:r>
              <w:rPr>
                <w:sz w:val="17"/>
                <w:szCs w:val="17"/>
              </w:rPr>
              <w:t>: For SA-CCR approach, means the PFE calculated under the SA-CCR approach in accordance with Division 1A, Part 6A of the BCR.  For CEM, means the PFE calculated under the CEM in accordance with Division 2A, Part 6A of the BCR.</w:t>
            </w:r>
          </w:p>
        </w:tc>
      </w:tr>
      <w:tr w:rsidR="002A0515" w:rsidTr="00A54BE4">
        <w:tc>
          <w:tcPr>
            <w:tcW w:w="425" w:type="dxa"/>
          </w:tcPr>
          <w:p w:rsidR="002A0515" w:rsidRDefault="002A0515" w:rsidP="00A54BE4">
            <w:pPr>
              <w:keepLines/>
              <w:widowControl w:val="0"/>
              <w:tabs>
                <w:tab w:val="left" w:pos="150"/>
                <w:tab w:val="left" w:pos="397"/>
                <w:tab w:val="left" w:pos="794"/>
                <w:tab w:val="left" w:pos="1191"/>
              </w:tabs>
              <w:spacing w:before="20" w:after="20"/>
              <w:rPr>
                <w:rFonts w:cs="Segoe UI"/>
                <w:sz w:val="17"/>
                <w:szCs w:val="17"/>
                <w:lang w:eastAsia="en-GB"/>
              </w:rPr>
            </w:pPr>
            <w:r>
              <w:rPr>
                <w:rFonts w:cs="Segoe UI"/>
                <w:sz w:val="17"/>
                <w:szCs w:val="17"/>
                <w:lang w:eastAsia="en-GB"/>
              </w:rPr>
              <w:t>(c)</w:t>
            </w:r>
          </w:p>
        </w:tc>
        <w:tc>
          <w:tcPr>
            <w:tcW w:w="8789" w:type="dxa"/>
          </w:tcPr>
          <w:p w:rsidR="002A0515" w:rsidRDefault="002A0515" w:rsidP="00A54BE4">
            <w:pPr>
              <w:pStyle w:val="TableNote"/>
              <w:keepNext/>
              <w:spacing w:before="40" w:after="40"/>
              <w:rPr>
                <w:rFonts w:cs="Segoe UI"/>
                <w:sz w:val="17"/>
                <w:szCs w:val="17"/>
                <w:lang w:eastAsia="en-GB"/>
              </w:rPr>
            </w:pPr>
            <w:r>
              <w:rPr>
                <w:i/>
                <w:sz w:val="17"/>
                <w:szCs w:val="17"/>
              </w:rPr>
              <w:t>Effective EPE</w:t>
            </w:r>
            <w:r>
              <w:rPr>
                <w:sz w:val="17"/>
                <w:szCs w:val="17"/>
              </w:rPr>
              <w:t xml:space="preserve">: this has the meaning given to it by the BCR. </w:t>
            </w:r>
          </w:p>
        </w:tc>
      </w:tr>
      <w:tr w:rsidR="002A0515" w:rsidTr="00A54BE4">
        <w:tc>
          <w:tcPr>
            <w:tcW w:w="425" w:type="dxa"/>
          </w:tcPr>
          <w:p w:rsidR="002A0515" w:rsidRDefault="002A0515" w:rsidP="00A54BE4">
            <w:pPr>
              <w:keepLines/>
              <w:widowControl w:val="0"/>
              <w:tabs>
                <w:tab w:val="left" w:pos="150"/>
                <w:tab w:val="left" w:pos="397"/>
                <w:tab w:val="left" w:pos="794"/>
                <w:tab w:val="left" w:pos="1191"/>
              </w:tabs>
              <w:spacing w:before="20" w:after="20"/>
              <w:rPr>
                <w:rFonts w:cs="Segoe UI"/>
                <w:sz w:val="17"/>
                <w:szCs w:val="17"/>
                <w:lang w:eastAsia="en-GB"/>
              </w:rPr>
            </w:pPr>
            <w:r>
              <w:rPr>
                <w:rFonts w:cs="Segoe UI"/>
                <w:sz w:val="17"/>
                <w:szCs w:val="17"/>
                <w:lang w:eastAsia="en-GB"/>
              </w:rPr>
              <w:t>(d)</w:t>
            </w:r>
          </w:p>
        </w:tc>
        <w:tc>
          <w:tcPr>
            <w:tcW w:w="8789" w:type="dxa"/>
          </w:tcPr>
          <w:p w:rsidR="002A0515" w:rsidRDefault="002A0515" w:rsidP="00A54BE4">
            <w:pPr>
              <w:keepLines/>
              <w:widowControl w:val="0"/>
              <w:tabs>
                <w:tab w:val="left" w:pos="150"/>
                <w:tab w:val="left" w:pos="397"/>
                <w:tab w:val="left" w:pos="794"/>
                <w:tab w:val="left" w:pos="1191"/>
              </w:tabs>
              <w:spacing w:before="20" w:after="20"/>
              <w:jc w:val="both"/>
              <w:rPr>
                <w:sz w:val="17"/>
                <w:szCs w:val="17"/>
              </w:rPr>
            </w:pPr>
            <w:r>
              <w:rPr>
                <w:i/>
                <w:sz w:val="17"/>
                <w:szCs w:val="17"/>
              </w:rPr>
              <w:t>Alpha (</w:t>
            </w:r>
            <w:r>
              <w:rPr>
                <w:rFonts w:hint="eastAsia"/>
                <w:i/>
                <w:sz w:val="17"/>
                <w:szCs w:val="17"/>
              </w:rPr>
              <w:t>α</w:t>
            </w:r>
            <w:r>
              <w:rPr>
                <w:i/>
                <w:sz w:val="17"/>
                <w:szCs w:val="17"/>
              </w:rPr>
              <w:t>) used for computing default risk exposure</w:t>
            </w:r>
            <w:r>
              <w:rPr>
                <w:sz w:val="17"/>
                <w:szCs w:val="17"/>
              </w:rPr>
              <w:t>:</w:t>
            </w:r>
            <w:r>
              <w:rPr>
                <w:i/>
                <w:sz w:val="17"/>
                <w:szCs w:val="17"/>
              </w:rPr>
              <w:t xml:space="preserve"> </w:t>
            </w:r>
            <w:r>
              <w:rPr>
                <w:sz w:val="17"/>
                <w:szCs w:val="17"/>
              </w:rPr>
              <w:t>under the CEM, SA-CCR approach or IMM(CCR) approach, as the case may be, means the alpha applicable to the AI as specified in the BCR.</w:t>
            </w:r>
          </w:p>
        </w:tc>
      </w:tr>
      <w:tr w:rsidR="002A0515" w:rsidTr="00A54BE4">
        <w:tc>
          <w:tcPr>
            <w:tcW w:w="425" w:type="dxa"/>
          </w:tcPr>
          <w:p w:rsidR="002A0515" w:rsidRDefault="002A0515" w:rsidP="00A54BE4">
            <w:pPr>
              <w:keepLines/>
              <w:widowControl w:val="0"/>
              <w:tabs>
                <w:tab w:val="left" w:pos="150"/>
                <w:tab w:val="left" w:pos="397"/>
                <w:tab w:val="left" w:pos="794"/>
                <w:tab w:val="left" w:pos="1191"/>
              </w:tabs>
              <w:spacing w:before="20" w:after="20"/>
              <w:rPr>
                <w:rFonts w:cs="Segoe UI"/>
                <w:sz w:val="17"/>
                <w:szCs w:val="17"/>
                <w:lang w:eastAsia="en-GB"/>
              </w:rPr>
            </w:pPr>
            <w:r>
              <w:rPr>
                <w:rFonts w:cs="Segoe UI"/>
                <w:sz w:val="17"/>
                <w:szCs w:val="17"/>
                <w:lang w:eastAsia="en-GB"/>
              </w:rPr>
              <w:t>(e)</w:t>
            </w:r>
          </w:p>
        </w:tc>
        <w:tc>
          <w:tcPr>
            <w:tcW w:w="8789" w:type="dxa"/>
          </w:tcPr>
          <w:p w:rsidR="002A0515" w:rsidRDefault="002A0515" w:rsidP="00A54BE4">
            <w:pPr>
              <w:keepLines/>
              <w:widowControl w:val="0"/>
              <w:tabs>
                <w:tab w:val="left" w:pos="150"/>
                <w:tab w:val="left" w:pos="397"/>
                <w:tab w:val="left" w:pos="794"/>
                <w:tab w:val="left" w:pos="1191"/>
              </w:tabs>
              <w:spacing w:before="20" w:after="20"/>
              <w:jc w:val="both"/>
              <w:rPr>
                <w:sz w:val="17"/>
                <w:szCs w:val="17"/>
              </w:rPr>
            </w:pPr>
            <w:r>
              <w:rPr>
                <w:i/>
                <w:sz w:val="17"/>
                <w:szCs w:val="17"/>
              </w:rPr>
              <w:t>Default risk exposure after CRM</w:t>
            </w:r>
            <w:r>
              <w:rPr>
                <w:sz w:val="17"/>
                <w:szCs w:val="17"/>
              </w:rPr>
              <w:t>: In the case of the SA-CCR approach, the CEM, the IMM(CCR) approach, SFTs subject to section 226MJ of the BCR for which the CRM effect is taken into account by using the simple approach and SFTs subject to section 226MK or 226ML of the BCR, means the default risk exposure or outstanding default risk exposure, as the case may be, as defined under the BCR.  In the case of SFTs subject to section 226MJ of the BCR for which the CRM effect is taken into account by using the comprehensive approach under Part 4 of the BCR, the amount disclosed in row 4 should be the amount calculated after taking into account any recognized collateral received under the SFTs.</w:t>
            </w:r>
          </w:p>
          <w:p w:rsidR="002A0515" w:rsidRDefault="002A0515" w:rsidP="00A54BE4">
            <w:pPr>
              <w:keepLines/>
              <w:widowControl w:val="0"/>
              <w:tabs>
                <w:tab w:val="left" w:pos="150"/>
                <w:tab w:val="left" w:pos="397"/>
                <w:tab w:val="left" w:pos="794"/>
                <w:tab w:val="left" w:pos="1191"/>
              </w:tabs>
              <w:spacing w:before="20" w:after="20"/>
              <w:jc w:val="both"/>
              <w:rPr>
                <w:sz w:val="17"/>
                <w:szCs w:val="17"/>
              </w:rPr>
            </w:pPr>
          </w:p>
          <w:p w:rsidR="002A0515" w:rsidRDefault="002A0515" w:rsidP="00A54BE4">
            <w:pPr>
              <w:keepLines/>
              <w:widowControl w:val="0"/>
              <w:tabs>
                <w:tab w:val="left" w:pos="150"/>
                <w:tab w:val="left" w:pos="397"/>
                <w:tab w:val="left" w:pos="794"/>
                <w:tab w:val="left" w:pos="1191"/>
              </w:tabs>
              <w:spacing w:before="20" w:after="20"/>
              <w:jc w:val="both"/>
              <w:rPr>
                <w:sz w:val="17"/>
                <w:szCs w:val="17"/>
              </w:rPr>
            </w:pPr>
            <w:r>
              <w:rPr>
                <w:sz w:val="17"/>
                <w:szCs w:val="17"/>
              </w:rPr>
              <w:t xml:space="preserve">In the case of recognized guarantees and recognized credit derivative contracts where the CRM effect is taken into account in accordance with Parts 4 and 5 of the BCR, the default risk exposure (or outstanding default risk exposure) after taking into account the guarantee or credit derivative contract is equal to the default risk exposure (or outstanding default risk exposure) as defined under the BCR.  </w:t>
            </w:r>
          </w:p>
          <w:p w:rsidR="002A0515" w:rsidRDefault="002A0515" w:rsidP="00A54BE4">
            <w:pPr>
              <w:keepLines/>
              <w:widowControl w:val="0"/>
              <w:tabs>
                <w:tab w:val="left" w:pos="150"/>
                <w:tab w:val="left" w:pos="397"/>
                <w:tab w:val="left" w:pos="794"/>
                <w:tab w:val="left" w:pos="1191"/>
              </w:tabs>
              <w:spacing w:before="20" w:after="20"/>
              <w:jc w:val="both"/>
              <w:rPr>
                <w:sz w:val="17"/>
                <w:szCs w:val="17"/>
              </w:rPr>
            </w:pPr>
          </w:p>
          <w:p w:rsidR="002A0515" w:rsidRDefault="002A0515" w:rsidP="00A54BE4">
            <w:pPr>
              <w:keepLines/>
              <w:widowControl w:val="0"/>
              <w:tabs>
                <w:tab w:val="left" w:pos="150"/>
                <w:tab w:val="left" w:pos="397"/>
                <w:tab w:val="left" w:pos="794"/>
                <w:tab w:val="left" w:pos="1191"/>
              </w:tabs>
              <w:spacing w:before="20" w:after="20"/>
              <w:jc w:val="both"/>
              <w:rPr>
                <w:sz w:val="17"/>
                <w:szCs w:val="17"/>
              </w:rPr>
            </w:pPr>
            <w:r>
              <w:rPr>
                <w:sz w:val="17"/>
                <w:szCs w:val="17"/>
              </w:rPr>
              <w:t>In the case of recognized collateral for SFTs subject to section 226MJ of the BCR, recognized guarantees and recognized credit derivative contracts where the CRM effect is considered in the risk-weight function under Part 6 of the BCR, the post-CRM default risk exposure reported in column (e) is equal to the pre-CRM default risk exposure given that the related CRM effect is not reflected in the EAD of eligible IRB exposures.</w:t>
            </w:r>
          </w:p>
          <w:p w:rsidR="002A0515" w:rsidRDefault="002A0515" w:rsidP="00A54BE4">
            <w:pPr>
              <w:keepLines/>
              <w:widowControl w:val="0"/>
              <w:tabs>
                <w:tab w:val="left" w:pos="150"/>
                <w:tab w:val="left" w:pos="397"/>
                <w:tab w:val="left" w:pos="794"/>
                <w:tab w:val="left" w:pos="1191"/>
              </w:tabs>
              <w:spacing w:before="20" w:after="20"/>
              <w:jc w:val="both"/>
              <w:rPr>
                <w:sz w:val="17"/>
                <w:szCs w:val="17"/>
              </w:rPr>
            </w:pPr>
          </w:p>
          <w:p w:rsidR="002A0515" w:rsidRDefault="002A0515" w:rsidP="00A54BE4">
            <w:pPr>
              <w:keepLines/>
              <w:widowControl w:val="0"/>
              <w:tabs>
                <w:tab w:val="left" w:pos="150"/>
                <w:tab w:val="left" w:pos="397"/>
                <w:tab w:val="left" w:pos="794"/>
                <w:tab w:val="left" w:pos="1191"/>
              </w:tabs>
              <w:spacing w:before="20" w:after="20"/>
              <w:jc w:val="both"/>
              <w:rPr>
                <w:rFonts w:ascii="Times New Roman" w:hAnsi="Times New Roman"/>
                <w:sz w:val="17"/>
                <w:szCs w:val="17"/>
              </w:rPr>
            </w:pPr>
            <w:r>
              <w:rPr>
                <w:sz w:val="17"/>
                <w:szCs w:val="17"/>
              </w:rPr>
              <w:t>For the purposes of this disclosure template</w:t>
            </w:r>
            <w:r>
              <w:rPr>
                <w:rFonts w:ascii="Times New Roman" w:hAnsi="Times New Roman"/>
                <w:sz w:val="17"/>
                <w:szCs w:val="17"/>
              </w:rPr>
              <w:t>—</w:t>
            </w:r>
          </w:p>
          <w:p w:rsidR="002A0515" w:rsidRPr="00F22F2D" w:rsidRDefault="002A0515" w:rsidP="002A0515">
            <w:pPr>
              <w:pStyle w:val="ListParagraph"/>
              <w:keepLines/>
              <w:widowControl w:val="0"/>
              <w:numPr>
                <w:ilvl w:val="0"/>
                <w:numId w:val="24"/>
              </w:numPr>
              <w:spacing w:before="20" w:after="20"/>
              <w:ind w:leftChars="0" w:left="317" w:hanging="317"/>
              <w:jc w:val="both"/>
              <w:rPr>
                <w:rFonts w:cs="Segoe UI"/>
                <w:sz w:val="17"/>
                <w:szCs w:val="17"/>
                <w:lang w:eastAsia="en-GB"/>
              </w:rPr>
            </w:pPr>
            <w:r w:rsidRPr="00F22F2D">
              <w:rPr>
                <w:rFonts w:cs="Segoe UI"/>
                <w:sz w:val="17"/>
                <w:szCs w:val="17"/>
                <w:lang w:eastAsia="en-GB"/>
              </w:rPr>
              <w:t xml:space="preserve">CRM does not include recognized collateral received by an AI outside a netting set where the collateral is not designated solely for offsetting losses on default risk exposures.  </w:t>
            </w:r>
          </w:p>
          <w:p w:rsidR="002A0515" w:rsidRPr="00F22F2D" w:rsidRDefault="002A0515" w:rsidP="002A0515">
            <w:pPr>
              <w:pStyle w:val="ListParagraph"/>
              <w:keepLines/>
              <w:widowControl w:val="0"/>
              <w:numPr>
                <w:ilvl w:val="0"/>
                <w:numId w:val="24"/>
              </w:numPr>
              <w:spacing w:before="20" w:after="20"/>
              <w:ind w:leftChars="0" w:left="317" w:hanging="317"/>
              <w:jc w:val="both"/>
              <w:rPr>
                <w:rFonts w:cs="Segoe UI"/>
                <w:sz w:val="17"/>
                <w:szCs w:val="17"/>
                <w:lang w:eastAsia="en-GB"/>
              </w:rPr>
            </w:pPr>
            <w:r w:rsidRPr="00F22F2D">
              <w:rPr>
                <w:rFonts w:cs="Segoe UI"/>
                <w:sz w:val="17"/>
                <w:szCs w:val="17"/>
                <w:lang w:eastAsia="en-GB"/>
              </w:rPr>
              <w:t xml:space="preserve">Simple approach — </w:t>
            </w:r>
          </w:p>
          <w:p w:rsidR="002A0515" w:rsidRPr="00F22F2D" w:rsidRDefault="002A0515" w:rsidP="002A0515">
            <w:pPr>
              <w:pStyle w:val="ListParagraph"/>
              <w:keepLines/>
              <w:widowControl w:val="0"/>
              <w:numPr>
                <w:ilvl w:val="0"/>
                <w:numId w:val="92"/>
              </w:numPr>
              <w:tabs>
                <w:tab w:val="left" w:pos="150"/>
                <w:tab w:val="left" w:pos="397"/>
                <w:tab w:val="left" w:pos="794"/>
                <w:tab w:val="left" w:pos="1191"/>
              </w:tabs>
              <w:spacing w:before="20" w:after="20"/>
              <w:ind w:leftChars="0"/>
              <w:jc w:val="both"/>
              <w:rPr>
                <w:rFonts w:cs="Segoe UI"/>
                <w:sz w:val="17"/>
                <w:szCs w:val="17"/>
              </w:rPr>
            </w:pPr>
            <w:r w:rsidRPr="00F22F2D">
              <w:rPr>
                <w:rFonts w:cs="Segoe UI"/>
                <w:sz w:val="17"/>
                <w:szCs w:val="17"/>
              </w:rPr>
              <w:t>in relation to the STC approach, means the simple approach set out in Division 6 of Part 4 of the BCR; and</w:t>
            </w:r>
          </w:p>
          <w:p w:rsidR="002A0515" w:rsidRPr="00BC5897" w:rsidRDefault="002A0515" w:rsidP="00AC6DA4">
            <w:pPr>
              <w:pStyle w:val="ListParagraph"/>
              <w:keepLines/>
              <w:widowControl w:val="0"/>
              <w:numPr>
                <w:ilvl w:val="0"/>
                <w:numId w:val="92"/>
              </w:numPr>
              <w:tabs>
                <w:tab w:val="left" w:pos="150"/>
                <w:tab w:val="left" w:pos="397"/>
                <w:tab w:val="left" w:pos="794"/>
                <w:tab w:val="left" w:pos="1191"/>
              </w:tabs>
              <w:spacing w:before="20" w:after="20"/>
              <w:ind w:leftChars="0"/>
              <w:jc w:val="both"/>
              <w:rPr>
                <w:sz w:val="17"/>
                <w:szCs w:val="17"/>
              </w:rPr>
            </w:pPr>
            <w:r w:rsidRPr="00F22F2D">
              <w:rPr>
                <w:rFonts w:cs="Segoe UI"/>
                <w:sz w:val="17"/>
                <w:szCs w:val="17"/>
              </w:rPr>
              <w:t>in relation to the BSC approach, means the method of reducing the risk-weighted amount of an exposure set out in Division 5 of Part 5 of the BCR.</w:t>
            </w:r>
          </w:p>
        </w:tc>
      </w:tr>
      <w:tr w:rsidR="002A0515" w:rsidTr="00A54BE4">
        <w:tc>
          <w:tcPr>
            <w:tcW w:w="425" w:type="dxa"/>
          </w:tcPr>
          <w:p w:rsidR="002A0515" w:rsidRDefault="002A0515" w:rsidP="00A54BE4">
            <w:pPr>
              <w:keepLines/>
              <w:widowControl w:val="0"/>
              <w:tabs>
                <w:tab w:val="left" w:pos="150"/>
                <w:tab w:val="left" w:pos="397"/>
                <w:tab w:val="left" w:pos="794"/>
                <w:tab w:val="left" w:pos="1191"/>
              </w:tabs>
              <w:spacing w:before="20" w:after="20"/>
              <w:rPr>
                <w:rFonts w:cs="Segoe UI"/>
                <w:sz w:val="17"/>
                <w:szCs w:val="17"/>
                <w:lang w:eastAsia="en-GB"/>
              </w:rPr>
            </w:pPr>
            <w:r>
              <w:rPr>
                <w:rFonts w:cs="Segoe UI"/>
                <w:sz w:val="17"/>
                <w:szCs w:val="17"/>
                <w:lang w:eastAsia="en-GB"/>
              </w:rPr>
              <w:t>(f)</w:t>
            </w:r>
          </w:p>
        </w:tc>
        <w:tc>
          <w:tcPr>
            <w:tcW w:w="8789" w:type="dxa"/>
          </w:tcPr>
          <w:p w:rsidR="002A0515" w:rsidRPr="00D645DB" w:rsidRDefault="002A0515" w:rsidP="00A54BE4">
            <w:pPr>
              <w:keepLines/>
              <w:widowControl w:val="0"/>
              <w:tabs>
                <w:tab w:val="left" w:pos="150"/>
                <w:tab w:val="left" w:pos="397"/>
                <w:tab w:val="left" w:pos="794"/>
                <w:tab w:val="left" w:pos="1191"/>
              </w:tabs>
              <w:spacing w:before="20" w:after="20"/>
              <w:jc w:val="both"/>
              <w:rPr>
                <w:rFonts w:cs="Segoe UI"/>
                <w:sz w:val="17"/>
                <w:szCs w:val="17"/>
                <w:lang w:eastAsia="en-GB"/>
              </w:rPr>
            </w:pPr>
            <w:r>
              <w:rPr>
                <w:rFonts w:cs="Segoe UI"/>
                <w:i/>
                <w:sz w:val="17"/>
                <w:szCs w:val="17"/>
                <w:lang w:eastAsia="en-GB"/>
              </w:rPr>
              <w:t>RWA</w:t>
            </w:r>
            <w:r>
              <w:rPr>
                <w:rFonts w:cs="Segoe UI"/>
                <w:sz w:val="17"/>
                <w:szCs w:val="17"/>
                <w:lang w:eastAsia="en-GB"/>
              </w:rPr>
              <w:t xml:space="preserve">: the product of the default risk exposure after CRM and the risk weight applicable to the counterparty concerned.  </w:t>
            </w:r>
          </w:p>
        </w:tc>
      </w:tr>
      <w:tr w:rsidR="002A0515" w:rsidTr="00A54BE4">
        <w:tc>
          <w:tcPr>
            <w:tcW w:w="9214" w:type="dxa"/>
            <w:gridSpan w:val="2"/>
            <w:shd w:val="clear" w:color="auto" w:fill="F2F2F2"/>
          </w:tcPr>
          <w:p w:rsidR="002A0515" w:rsidRDefault="002A0515" w:rsidP="00A54BE4">
            <w:pPr>
              <w:spacing w:before="40" w:after="40"/>
              <w:jc w:val="both"/>
              <w:rPr>
                <w:rFonts w:eastAsia="新細明體"/>
                <w:b/>
                <w:sz w:val="17"/>
                <w:szCs w:val="17"/>
                <w:lang w:eastAsia="en-GB"/>
              </w:rPr>
            </w:pPr>
            <w:r>
              <w:rPr>
                <w:rFonts w:eastAsia="新細明體"/>
                <w:b/>
                <w:sz w:val="17"/>
                <w:szCs w:val="17"/>
                <w:lang w:eastAsia="en-GB"/>
              </w:rPr>
              <w:t>Rows</w:t>
            </w:r>
          </w:p>
        </w:tc>
      </w:tr>
      <w:tr w:rsidR="002A0515" w:rsidTr="00A54BE4">
        <w:tc>
          <w:tcPr>
            <w:tcW w:w="425" w:type="dxa"/>
          </w:tcPr>
          <w:p w:rsidR="002A0515" w:rsidRDefault="002A0515" w:rsidP="00A54BE4">
            <w:pPr>
              <w:keepLines/>
              <w:widowControl w:val="0"/>
              <w:tabs>
                <w:tab w:val="left" w:pos="150"/>
                <w:tab w:val="left" w:pos="397"/>
                <w:tab w:val="left" w:pos="794"/>
                <w:tab w:val="left" w:pos="1191"/>
              </w:tabs>
              <w:spacing w:before="20" w:after="20"/>
              <w:rPr>
                <w:rFonts w:cs="Segoe UI"/>
                <w:sz w:val="17"/>
                <w:szCs w:val="17"/>
              </w:rPr>
            </w:pPr>
            <w:r>
              <w:rPr>
                <w:rFonts w:cs="Segoe UI"/>
                <w:sz w:val="17"/>
                <w:szCs w:val="17"/>
              </w:rPr>
              <w:t>1</w:t>
            </w:r>
          </w:p>
        </w:tc>
        <w:tc>
          <w:tcPr>
            <w:tcW w:w="8789" w:type="dxa"/>
          </w:tcPr>
          <w:p w:rsidR="002A0515" w:rsidRDefault="002A0515" w:rsidP="00A54BE4">
            <w:pPr>
              <w:keepLines/>
              <w:widowControl w:val="0"/>
              <w:tabs>
                <w:tab w:val="left" w:pos="150"/>
                <w:tab w:val="left" w:pos="397"/>
                <w:tab w:val="left" w:pos="794"/>
                <w:tab w:val="left" w:pos="1191"/>
              </w:tabs>
              <w:spacing w:before="20" w:after="20"/>
              <w:jc w:val="both"/>
              <w:rPr>
                <w:sz w:val="17"/>
                <w:szCs w:val="17"/>
                <w:lang w:eastAsia="en-GB"/>
              </w:rPr>
            </w:pPr>
            <w:r>
              <w:rPr>
                <w:i/>
                <w:sz w:val="17"/>
                <w:szCs w:val="17"/>
                <w:lang w:eastAsia="en-GB"/>
              </w:rPr>
              <w:t>SA-CCR approach (for derivative contracts)</w:t>
            </w:r>
            <w:r>
              <w:rPr>
                <w:sz w:val="17"/>
                <w:szCs w:val="17"/>
                <w:lang w:eastAsia="en-GB"/>
              </w:rPr>
              <w:t xml:space="preserve">: </w:t>
            </w:r>
            <w:r>
              <w:rPr>
                <w:sz w:val="17"/>
                <w:szCs w:val="17"/>
                <w:lang w:val="en-US"/>
              </w:rPr>
              <w:t xml:space="preserve"> for an AI that uses the SA-CCR approach to calculate</w:t>
            </w:r>
            <w:r w:rsidRPr="00AC6DA4">
              <w:rPr>
                <w:sz w:val="17"/>
                <w:lang w:val="en-US"/>
              </w:rPr>
              <w:t xml:space="preserve"> default risk </w:t>
            </w:r>
            <w:r>
              <w:rPr>
                <w:sz w:val="17"/>
                <w:szCs w:val="17"/>
                <w:lang w:val="en-US"/>
              </w:rPr>
              <w:t>exposure in respect of derivative contracts, the AI should report the relevant figures</w:t>
            </w:r>
            <w:r w:rsidRPr="00AC6DA4">
              <w:rPr>
                <w:sz w:val="17"/>
                <w:lang w:val="en-US"/>
              </w:rPr>
              <w:t xml:space="preserve"> under </w:t>
            </w:r>
            <w:r>
              <w:rPr>
                <w:sz w:val="17"/>
                <w:szCs w:val="17"/>
                <w:lang w:val="en-US"/>
              </w:rPr>
              <w:t>column (a) to (f) where</w:t>
            </w:r>
            <w:r w:rsidRPr="00AC6DA4">
              <w:rPr>
                <w:sz w:val="17"/>
                <w:lang w:val="en-US"/>
              </w:rPr>
              <w:t xml:space="preserve"> applicable.</w:t>
            </w:r>
            <w:r>
              <w:rPr>
                <w:sz w:val="17"/>
                <w:szCs w:val="17"/>
                <w:lang w:val="en-US"/>
              </w:rPr>
              <w:t xml:space="preserve">  </w:t>
            </w:r>
            <w:r>
              <w:rPr>
                <w:rFonts w:cs="Segoe UI"/>
                <w:sz w:val="17"/>
                <w:szCs w:val="17"/>
                <w:lang w:eastAsia="en-GB"/>
              </w:rPr>
              <w:t>The value in [CCR1: 1/f] should be equal to the value in [OV1: 7/a].</w:t>
            </w:r>
          </w:p>
        </w:tc>
      </w:tr>
      <w:tr w:rsidR="002A0515" w:rsidTr="00A54BE4">
        <w:tc>
          <w:tcPr>
            <w:tcW w:w="425" w:type="dxa"/>
          </w:tcPr>
          <w:p w:rsidR="002A0515" w:rsidRDefault="002A0515" w:rsidP="00A54BE4">
            <w:pPr>
              <w:keepLines/>
              <w:widowControl w:val="0"/>
              <w:tabs>
                <w:tab w:val="left" w:pos="150"/>
                <w:tab w:val="left" w:pos="397"/>
                <w:tab w:val="left" w:pos="794"/>
                <w:tab w:val="left" w:pos="1191"/>
              </w:tabs>
              <w:spacing w:before="20" w:after="20"/>
              <w:rPr>
                <w:rFonts w:cs="Segoe UI"/>
                <w:sz w:val="17"/>
                <w:szCs w:val="17"/>
              </w:rPr>
            </w:pPr>
            <w:r>
              <w:rPr>
                <w:rFonts w:cs="Segoe UI"/>
                <w:sz w:val="17"/>
                <w:szCs w:val="17"/>
              </w:rPr>
              <w:t>1a</w:t>
            </w:r>
          </w:p>
        </w:tc>
        <w:tc>
          <w:tcPr>
            <w:tcW w:w="8789" w:type="dxa"/>
          </w:tcPr>
          <w:p w:rsidR="002A0515" w:rsidRDefault="002A0515" w:rsidP="00A54BE4">
            <w:pPr>
              <w:keepLines/>
              <w:widowControl w:val="0"/>
              <w:tabs>
                <w:tab w:val="left" w:pos="150"/>
                <w:tab w:val="left" w:pos="397"/>
                <w:tab w:val="left" w:pos="794"/>
                <w:tab w:val="left" w:pos="1191"/>
              </w:tabs>
              <w:spacing w:before="20" w:after="20"/>
              <w:jc w:val="both"/>
              <w:rPr>
                <w:sz w:val="17"/>
                <w:szCs w:val="17"/>
                <w:lang w:eastAsia="en-GB"/>
              </w:rPr>
            </w:pPr>
            <w:r>
              <w:rPr>
                <w:i/>
                <w:sz w:val="17"/>
                <w:szCs w:val="17"/>
                <w:lang w:eastAsia="en-GB"/>
              </w:rPr>
              <w:t>CEM (for derivative contracts)</w:t>
            </w:r>
            <w:r>
              <w:rPr>
                <w:sz w:val="17"/>
                <w:szCs w:val="17"/>
                <w:lang w:eastAsia="en-GB"/>
              </w:rPr>
              <w:t>:</w:t>
            </w:r>
            <w:r>
              <w:rPr>
                <w:sz w:val="17"/>
                <w:szCs w:val="17"/>
                <w:lang w:val="en-US"/>
              </w:rPr>
              <w:t xml:space="preserve"> for an AI that uses the CEM to calculate default risk exposure in respect of derivative contracts, the AI should report the relevant figures under column (a) to (f) where applicable.  </w:t>
            </w:r>
            <w:r>
              <w:rPr>
                <w:rFonts w:cs="Segoe UI"/>
                <w:sz w:val="17"/>
                <w:szCs w:val="17"/>
                <w:lang w:eastAsia="en-GB"/>
              </w:rPr>
              <w:t>The value in [CCR1: 1a/f] should be equal to the value in [OV1: 7a/a].</w:t>
            </w:r>
          </w:p>
        </w:tc>
      </w:tr>
      <w:tr w:rsidR="002A0515" w:rsidTr="00A54BE4">
        <w:tc>
          <w:tcPr>
            <w:tcW w:w="425" w:type="dxa"/>
          </w:tcPr>
          <w:p w:rsidR="002A0515" w:rsidRDefault="002A0515" w:rsidP="00A54BE4">
            <w:pPr>
              <w:keepLines/>
              <w:widowControl w:val="0"/>
              <w:tabs>
                <w:tab w:val="left" w:pos="150"/>
                <w:tab w:val="left" w:pos="397"/>
                <w:tab w:val="left" w:pos="794"/>
                <w:tab w:val="left" w:pos="1191"/>
              </w:tabs>
              <w:spacing w:before="20" w:after="20"/>
              <w:rPr>
                <w:rFonts w:cs="Segoe UI"/>
                <w:sz w:val="17"/>
                <w:szCs w:val="17"/>
              </w:rPr>
            </w:pPr>
            <w:r>
              <w:rPr>
                <w:rFonts w:cs="Segoe UI"/>
                <w:sz w:val="17"/>
                <w:szCs w:val="17"/>
              </w:rPr>
              <w:t>2</w:t>
            </w:r>
          </w:p>
        </w:tc>
        <w:tc>
          <w:tcPr>
            <w:tcW w:w="8789" w:type="dxa"/>
          </w:tcPr>
          <w:p w:rsidR="002A0515" w:rsidRDefault="002A0515" w:rsidP="00A54BE4">
            <w:pPr>
              <w:keepLines/>
              <w:widowControl w:val="0"/>
              <w:tabs>
                <w:tab w:val="left" w:pos="150"/>
                <w:tab w:val="left" w:pos="397"/>
                <w:tab w:val="left" w:pos="794"/>
                <w:tab w:val="left" w:pos="1191"/>
              </w:tabs>
              <w:spacing w:before="20" w:after="20"/>
              <w:jc w:val="both"/>
              <w:rPr>
                <w:sz w:val="17"/>
                <w:szCs w:val="17"/>
                <w:lang w:eastAsia="en-GB"/>
              </w:rPr>
            </w:pPr>
            <w:r>
              <w:rPr>
                <w:i/>
                <w:sz w:val="17"/>
                <w:szCs w:val="17"/>
                <w:lang w:eastAsia="en-GB"/>
              </w:rPr>
              <w:t>IMM(CCR) approach</w:t>
            </w:r>
            <w:r>
              <w:rPr>
                <w:sz w:val="17"/>
                <w:szCs w:val="17"/>
                <w:lang w:eastAsia="en-GB"/>
              </w:rPr>
              <w:t xml:space="preserve">: this has the meaning given to it by the BCR.  </w:t>
            </w:r>
            <w:r>
              <w:rPr>
                <w:rFonts w:cs="Segoe UI"/>
                <w:sz w:val="17"/>
                <w:szCs w:val="17"/>
                <w:lang w:eastAsia="en-GB"/>
              </w:rPr>
              <w:t xml:space="preserve">The value in [CCR1: 2/f] should be equal to the value in </w:t>
            </w:r>
            <w:r w:rsidRPr="005D4CB5">
              <w:rPr>
                <w:sz w:val="17"/>
              </w:rPr>
              <w:t>[</w:t>
            </w:r>
            <w:r w:rsidRPr="005D4CB5">
              <w:rPr>
                <w:rFonts w:cs="Segoe UI"/>
                <w:sz w:val="17"/>
                <w:szCs w:val="17"/>
                <w:lang w:eastAsia="en-GB"/>
              </w:rPr>
              <w:t>CCR7: 9/a] and [OV1: 8/a].</w:t>
            </w:r>
          </w:p>
        </w:tc>
      </w:tr>
      <w:tr w:rsidR="002A0515" w:rsidTr="00A54BE4">
        <w:tc>
          <w:tcPr>
            <w:tcW w:w="425" w:type="dxa"/>
          </w:tcPr>
          <w:p w:rsidR="002A0515" w:rsidRDefault="002A0515" w:rsidP="00A54BE4">
            <w:pPr>
              <w:keepLines/>
              <w:widowControl w:val="0"/>
              <w:tabs>
                <w:tab w:val="left" w:pos="150"/>
                <w:tab w:val="left" w:pos="397"/>
                <w:tab w:val="left" w:pos="794"/>
                <w:tab w:val="left" w:pos="1191"/>
              </w:tabs>
              <w:spacing w:before="20" w:after="20"/>
              <w:rPr>
                <w:rFonts w:cs="Segoe UI"/>
                <w:sz w:val="17"/>
                <w:szCs w:val="17"/>
              </w:rPr>
            </w:pPr>
            <w:r>
              <w:rPr>
                <w:rFonts w:cs="Segoe UI"/>
                <w:sz w:val="17"/>
                <w:szCs w:val="17"/>
              </w:rPr>
              <w:t>3</w:t>
            </w:r>
          </w:p>
        </w:tc>
        <w:tc>
          <w:tcPr>
            <w:tcW w:w="8789" w:type="dxa"/>
          </w:tcPr>
          <w:p w:rsidR="002A0515" w:rsidRDefault="002A0515" w:rsidP="00A54BE4">
            <w:pPr>
              <w:keepLines/>
              <w:widowControl w:val="0"/>
              <w:tabs>
                <w:tab w:val="left" w:pos="150"/>
                <w:tab w:val="left" w:pos="397"/>
                <w:tab w:val="left" w:pos="794"/>
                <w:tab w:val="left" w:pos="1191"/>
              </w:tabs>
              <w:spacing w:before="20" w:after="20"/>
              <w:jc w:val="both"/>
              <w:rPr>
                <w:sz w:val="17"/>
                <w:szCs w:val="17"/>
                <w:lang w:eastAsia="en-GB"/>
              </w:rPr>
            </w:pPr>
            <w:r>
              <w:rPr>
                <w:i/>
                <w:sz w:val="17"/>
                <w:szCs w:val="17"/>
                <w:lang w:eastAsia="en-GB"/>
              </w:rPr>
              <w:t>Simple approach (for SFTs)</w:t>
            </w:r>
            <w:r>
              <w:rPr>
                <w:sz w:val="17"/>
                <w:szCs w:val="17"/>
                <w:lang w:eastAsia="en-GB"/>
              </w:rPr>
              <w:t xml:space="preserve">: the default risk exposures after CRM and RWAs in respect of SFTs by the following </w:t>
            </w:r>
            <w:proofErr w:type="gramStart"/>
            <w:r>
              <w:rPr>
                <w:sz w:val="17"/>
                <w:szCs w:val="17"/>
                <w:lang w:eastAsia="en-GB"/>
              </w:rPr>
              <w:t>AIs:-</w:t>
            </w:r>
            <w:proofErr w:type="gramEnd"/>
          </w:p>
          <w:p w:rsidR="002A0515" w:rsidRDefault="002A0515" w:rsidP="002A0515">
            <w:pPr>
              <w:pStyle w:val="ListParagraph"/>
              <w:keepLines/>
              <w:widowControl w:val="0"/>
              <w:numPr>
                <w:ilvl w:val="0"/>
                <w:numId w:val="24"/>
              </w:numPr>
              <w:spacing w:before="20" w:after="20"/>
              <w:ind w:leftChars="0" w:left="317" w:hanging="317"/>
              <w:jc w:val="both"/>
              <w:rPr>
                <w:sz w:val="17"/>
                <w:szCs w:val="17"/>
                <w:lang w:eastAsia="en-GB"/>
              </w:rPr>
            </w:pPr>
            <w:r>
              <w:rPr>
                <w:sz w:val="17"/>
                <w:szCs w:val="17"/>
                <w:lang w:eastAsia="en-GB"/>
              </w:rPr>
              <w:t>AIs that do not use the IMM(CCR) approach to calculate their default risk exposures in respect of SFTs;</w:t>
            </w:r>
          </w:p>
          <w:p w:rsidR="002A0515" w:rsidRDefault="002A0515" w:rsidP="002A0515">
            <w:pPr>
              <w:pStyle w:val="ListParagraph"/>
              <w:keepLines/>
              <w:widowControl w:val="0"/>
              <w:numPr>
                <w:ilvl w:val="0"/>
                <w:numId w:val="24"/>
              </w:numPr>
              <w:spacing w:before="20" w:after="20"/>
              <w:ind w:leftChars="0" w:left="317" w:hanging="317"/>
              <w:jc w:val="both"/>
              <w:rPr>
                <w:sz w:val="17"/>
                <w:szCs w:val="17"/>
                <w:lang w:eastAsia="en-GB"/>
              </w:rPr>
            </w:pPr>
            <w:r>
              <w:rPr>
                <w:sz w:val="17"/>
                <w:szCs w:val="17"/>
                <w:lang w:eastAsia="en-GB"/>
              </w:rPr>
              <w:t>AIs that use the simple approach set out in Part 4 of the BCR, or the treatments for recognized collateral set out in Part 5 of the BCR, to take into account the recognized collateral received under SFTs.</w:t>
            </w:r>
          </w:p>
        </w:tc>
      </w:tr>
      <w:tr w:rsidR="002A0515" w:rsidTr="00A54BE4">
        <w:tc>
          <w:tcPr>
            <w:tcW w:w="425" w:type="dxa"/>
          </w:tcPr>
          <w:p w:rsidR="002A0515" w:rsidRDefault="002A0515" w:rsidP="00A54BE4">
            <w:pPr>
              <w:keepLines/>
              <w:widowControl w:val="0"/>
              <w:tabs>
                <w:tab w:val="left" w:pos="150"/>
                <w:tab w:val="left" w:pos="397"/>
                <w:tab w:val="left" w:pos="794"/>
                <w:tab w:val="left" w:pos="1191"/>
              </w:tabs>
              <w:spacing w:before="20" w:after="20"/>
              <w:rPr>
                <w:rFonts w:cs="Segoe UI"/>
                <w:sz w:val="17"/>
                <w:szCs w:val="17"/>
              </w:rPr>
            </w:pPr>
            <w:r>
              <w:rPr>
                <w:rFonts w:cs="Segoe UI"/>
                <w:sz w:val="17"/>
                <w:szCs w:val="17"/>
              </w:rPr>
              <w:t>4</w:t>
            </w:r>
          </w:p>
        </w:tc>
        <w:tc>
          <w:tcPr>
            <w:tcW w:w="8789" w:type="dxa"/>
          </w:tcPr>
          <w:p w:rsidR="002A0515" w:rsidRDefault="002A0515" w:rsidP="00A54BE4">
            <w:pPr>
              <w:keepLines/>
              <w:widowControl w:val="0"/>
              <w:tabs>
                <w:tab w:val="left" w:pos="150"/>
                <w:tab w:val="left" w:pos="397"/>
                <w:tab w:val="left" w:pos="794"/>
                <w:tab w:val="left" w:pos="1191"/>
              </w:tabs>
              <w:spacing w:before="20" w:after="20"/>
              <w:jc w:val="both"/>
              <w:rPr>
                <w:sz w:val="17"/>
                <w:szCs w:val="17"/>
                <w:lang w:eastAsia="en-GB"/>
              </w:rPr>
            </w:pPr>
            <w:r>
              <w:rPr>
                <w:i/>
                <w:sz w:val="17"/>
                <w:szCs w:val="17"/>
                <w:lang w:eastAsia="en-GB"/>
              </w:rPr>
              <w:t>Comprehensive approach (for SFTs)</w:t>
            </w:r>
            <w:r>
              <w:rPr>
                <w:sz w:val="17"/>
                <w:szCs w:val="17"/>
                <w:lang w:eastAsia="en-GB"/>
              </w:rPr>
              <w:t xml:space="preserve">: the default risk exposures after CRM and RWAs in respect of SFTs by the following </w:t>
            </w:r>
            <w:proofErr w:type="gramStart"/>
            <w:r>
              <w:rPr>
                <w:sz w:val="17"/>
                <w:szCs w:val="17"/>
                <w:lang w:eastAsia="en-GB"/>
              </w:rPr>
              <w:t>AIs:-</w:t>
            </w:r>
            <w:proofErr w:type="gramEnd"/>
          </w:p>
          <w:p w:rsidR="002A0515" w:rsidRDefault="002A0515" w:rsidP="002A0515">
            <w:pPr>
              <w:pStyle w:val="ListParagraph"/>
              <w:keepLines/>
              <w:widowControl w:val="0"/>
              <w:numPr>
                <w:ilvl w:val="0"/>
                <w:numId w:val="25"/>
              </w:numPr>
              <w:spacing w:before="20" w:after="20"/>
              <w:ind w:leftChars="0" w:left="317" w:hanging="317"/>
              <w:jc w:val="both"/>
              <w:rPr>
                <w:sz w:val="17"/>
                <w:szCs w:val="17"/>
              </w:rPr>
            </w:pPr>
            <w:r>
              <w:rPr>
                <w:sz w:val="17"/>
                <w:szCs w:val="17"/>
                <w:lang w:eastAsia="en-GB"/>
              </w:rPr>
              <w:t>AIs that do not use the IMM(CCR) approach to calculate their default risk exposures in respect of SFTs;</w:t>
            </w:r>
          </w:p>
          <w:p w:rsidR="002A0515" w:rsidRDefault="002A0515" w:rsidP="002A0515">
            <w:pPr>
              <w:pStyle w:val="ListParagraph"/>
              <w:keepLines/>
              <w:widowControl w:val="0"/>
              <w:numPr>
                <w:ilvl w:val="0"/>
                <w:numId w:val="25"/>
              </w:numPr>
              <w:spacing w:before="20" w:after="20"/>
              <w:ind w:leftChars="0" w:left="317" w:hanging="317"/>
              <w:jc w:val="both"/>
              <w:rPr>
                <w:sz w:val="17"/>
                <w:szCs w:val="17"/>
              </w:rPr>
            </w:pPr>
            <w:r>
              <w:rPr>
                <w:sz w:val="17"/>
                <w:szCs w:val="17"/>
                <w:lang w:eastAsia="en-GB"/>
              </w:rPr>
              <w:t xml:space="preserve">AIs that use the comprehensive approach set out in Part 4 of the BCR to take into account the recognized collateral received under SFTs and/or use the method (other than a </w:t>
            </w:r>
            <w:proofErr w:type="spellStart"/>
            <w:r>
              <w:rPr>
                <w:sz w:val="17"/>
                <w:szCs w:val="17"/>
                <w:lang w:eastAsia="en-GB"/>
              </w:rPr>
              <w:t>VaR</w:t>
            </w:r>
            <w:proofErr w:type="spellEnd"/>
            <w:r>
              <w:rPr>
                <w:sz w:val="17"/>
                <w:szCs w:val="17"/>
                <w:lang w:eastAsia="en-GB"/>
              </w:rPr>
              <w:t xml:space="preserve"> model as discussed below) provided for under the BCR to take into account recognized netting for repo-style transactions.</w:t>
            </w:r>
          </w:p>
        </w:tc>
      </w:tr>
      <w:tr w:rsidR="002A0515" w:rsidTr="00A54BE4">
        <w:tc>
          <w:tcPr>
            <w:tcW w:w="425" w:type="dxa"/>
          </w:tcPr>
          <w:p w:rsidR="002A0515" w:rsidRDefault="002A0515" w:rsidP="00A54BE4">
            <w:pPr>
              <w:keepLines/>
              <w:widowControl w:val="0"/>
              <w:tabs>
                <w:tab w:val="left" w:pos="150"/>
                <w:tab w:val="left" w:pos="397"/>
                <w:tab w:val="left" w:pos="794"/>
                <w:tab w:val="left" w:pos="1191"/>
              </w:tabs>
              <w:spacing w:before="20" w:after="20"/>
              <w:rPr>
                <w:rFonts w:cs="Segoe UI"/>
                <w:sz w:val="17"/>
                <w:szCs w:val="17"/>
              </w:rPr>
            </w:pPr>
            <w:r>
              <w:rPr>
                <w:rFonts w:cs="Segoe UI"/>
                <w:sz w:val="17"/>
                <w:szCs w:val="17"/>
              </w:rPr>
              <w:t>5</w:t>
            </w:r>
          </w:p>
        </w:tc>
        <w:tc>
          <w:tcPr>
            <w:tcW w:w="8789" w:type="dxa"/>
          </w:tcPr>
          <w:p w:rsidR="002A0515" w:rsidRDefault="002A0515" w:rsidP="00A54BE4">
            <w:pPr>
              <w:keepLines/>
              <w:widowControl w:val="0"/>
              <w:tabs>
                <w:tab w:val="left" w:pos="150"/>
                <w:tab w:val="left" w:pos="397"/>
                <w:tab w:val="left" w:pos="794"/>
                <w:tab w:val="left" w:pos="1191"/>
              </w:tabs>
              <w:spacing w:before="20" w:after="20"/>
              <w:jc w:val="both"/>
              <w:rPr>
                <w:sz w:val="17"/>
                <w:szCs w:val="17"/>
              </w:rPr>
            </w:pPr>
            <w:proofErr w:type="spellStart"/>
            <w:r>
              <w:rPr>
                <w:i/>
                <w:sz w:val="17"/>
                <w:szCs w:val="17"/>
              </w:rPr>
              <w:t>VaR</w:t>
            </w:r>
            <w:proofErr w:type="spellEnd"/>
            <w:r>
              <w:rPr>
                <w:i/>
                <w:sz w:val="17"/>
                <w:szCs w:val="17"/>
              </w:rPr>
              <w:t xml:space="preserve"> (for SFT</w:t>
            </w:r>
            <w:r>
              <w:rPr>
                <w:sz w:val="17"/>
                <w:szCs w:val="17"/>
              </w:rPr>
              <w:t xml:space="preserve">s): this row is for AIs that have obtained the MA’s approval for using a </w:t>
            </w:r>
            <w:proofErr w:type="spellStart"/>
            <w:r>
              <w:rPr>
                <w:sz w:val="17"/>
                <w:szCs w:val="17"/>
              </w:rPr>
              <w:t>VaR</w:t>
            </w:r>
            <w:proofErr w:type="spellEnd"/>
            <w:r>
              <w:rPr>
                <w:sz w:val="17"/>
                <w:szCs w:val="17"/>
              </w:rPr>
              <w:t xml:space="preserve"> model to calculate the default risk exposure of their </w:t>
            </w:r>
            <w:proofErr w:type="spellStart"/>
            <w:r>
              <w:rPr>
                <w:sz w:val="17"/>
                <w:szCs w:val="17"/>
              </w:rPr>
              <w:t>nettable</w:t>
            </w:r>
            <w:proofErr w:type="spellEnd"/>
            <w:r>
              <w:rPr>
                <w:sz w:val="17"/>
                <w:szCs w:val="17"/>
              </w:rPr>
              <w:t xml:space="preserve"> repo-style transactions to disclose the default risk exposure so calculated and the associated RWA.</w:t>
            </w:r>
          </w:p>
        </w:tc>
      </w:tr>
      <w:tr w:rsidR="002A0515" w:rsidTr="00A54BE4">
        <w:tc>
          <w:tcPr>
            <w:tcW w:w="425" w:type="dxa"/>
          </w:tcPr>
          <w:p w:rsidR="002A0515" w:rsidRDefault="002A0515" w:rsidP="00A54BE4">
            <w:pPr>
              <w:keepLines/>
              <w:widowControl w:val="0"/>
              <w:tabs>
                <w:tab w:val="left" w:pos="150"/>
                <w:tab w:val="left" w:pos="397"/>
                <w:tab w:val="left" w:pos="794"/>
                <w:tab w:val="left" w:pos="1191"/>
              </w:tabs>
              <w:spacing w:before="20" w:after="20"/>
              <w:rPr>
                <w:rFonts w:cs="Segoe UI"/>
                <w:sz w:val="17"/>
                <w:szCs w:val="17"/>
              </w:rPr>
            </w:pPr>
            <w:r>
              <w:rPr>
                <w:rFonts w:cs="Segoe UI"/>
                <w:sz w:val="17"/>
                <w:szCs w:val="17"/>
              </w:rPr>
              <w:t>6</w:t>
            </w:r>
          </w:p>
        </w:tc>
        <w:tc>
          <w:tcPr>
            <w:tcW w:w="8789" w:type="dxa"/>
          </w:tcPr>
          <w:p w:rsidR="002A0515" w:rsidRDefault="002A0515" w:rsidP="00A54BE4">
            <w:pPr>
              <w:keepLines/>
              <w:widowControl w:val="0"/>
              <w:tabs>
                <w:tab w:val="left" w:pos="150"/>
                <w:tab w:val="left" w:pos="397"/>
                <w:tab w:val="left" w:pos="794"/>
                <w:tab w:val="left" w:pos="1191"/>
              </w:tabs>
              <w:spacing w:before="20" w:after="20"/>
              <w:jc w:val="both"/>
              <w:rPr>
                <w:sz w:val="17"/>
                <w:szCs w:val="17"/>
              </w:rPr>
            </w:pPr>
            <w:r>
              <w:rPr>
                <w:i/>
                <w:sz w:val="17"/>
                <w:szCs w:val="17"/>
              </w:rPr>
              <w:t>Total</w:t>
            </w:r>
            <w:r>
              <w:rPr>
                <w:sz w:val="17"/>
                <w:szCs w:val="17"/>
              </w:rPr>
              <w:t>: this row reports the sum of values in rows 1 to 5.</w:t>
            </w:r>
          </w:p>
        </w:tc>
      </w:tr>
    </w:tbl>
    <w:p w:rsidR="002A0515" w:rsidRDefault="002A0515" w:rsidP="002A0515">
      <w:pPr>
        <w:spacing w:before="40" w:after="40"/>
        <w:rPr>
          <w:sz w:val="22"/>
        </w:rPr>
        <w:sectPr w:rsidR="002A0515">
          <w:footerReference w:type="default" r:id="rId19"/>
          <w:pgSz w:w="11906" w:h="16838" w:code="9"/>
          <w:pgMar w:top="1440" w:right="1797" w:bottom="1440" w:left="1797" w:header="851" w:footer="737" w:gutter="0"/>
          <w:cols w:space="425"/>
          <w:docGrid w:type="linesAndChars" w:linePitch="360"/>
        </w:sectPr>
      </w:pPr>
    </w:p>
    <w:tbl>
      <w:tblPr>
        <w:tblW w:w="9242"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008"/>
        <w:gridCol w:w="7234"/>
      </w:tblGrid>
      <w:tr w:rsidR="002A0515" w:rsidTr="00A54BE4">
        <w:tc>
          <w:tcPr>
            <w:tcW w:w="9242" w:type="dxa"/>
            <w:gridSpan w:val="2"/>
            <w:tcBorders>
              <w:top w:val="nil"/>
            </w:tcBorders>
          </w:tcPr>
          <w:p w:rsidR="002A0515" w:rsidRDefault="002A0515" w:rsidP="00A54BE4">
            <w:pPr>
              <w:spacing w:before="40" w:after="40"/>
              <w:rPr>
                <w:noProof/>
                <w:sz w:val="17"/>
                <w:lang w:eastAsia="en-GB"/>
              </w:rPr>
            </w:pPr>
            <w:r>
              <w:rPr>
                <w:sz w:val="22"/>
              </w:rPr>
              <w:t>Template CCR2: CVA capital charge</w:t>
            </w:r>
          </w:p>
        </w:tc>
      </w:tr>
      <w:tr w:rsidR="002A0515" w:rsidTr="00A54BE4">
        <w:tc>
          <w:tcPr>
            <w:tcW w:w="2008" w:type="dxa"/>
          </w:tcPr>
          <w:p w:rsidR="002A0515" w:rsidRDefault="002A0515" w:rsidP="00A54BE4">
            <w:pPr>
              <w:spacing w:before="40" w:after="40"/>
              <w:rPr>
                <w:noProof/>
                <w:sz w:val="17"/>
                <w:lang w:eastAsia="en-GB"/>
              </w:rPr>
            </w:pPr>
            <w:r>
              <w:rPr>
                <w:b/>
                <w:sz w:val="17"/>
                <w:lang w:eastAsia="en-GB"/>
              </w:rPr>
              <w:t>Purpose:</w:t>
            </w:r>
            <w:r>
              <w:rPr>
                <w:sz w:val="17"/>
                <w:lang w:eastAsia="en-GB"/>
              </w:rPr>
              <w:t xml:space="preserve"> </w:t>
            </w:r>
          </w:p>
        </w:tc>
        <w:tc>
          <w:tcPr>
            <w:tcW w:w="7234" w:type="dxa"/>
          </w:tcPr>
          <w:p w:rsidR="002A0515" w:rsidRDefault="002A0515" w:rsidP="00A54BE4">
            <w:pPr>
              <w:pStyle w:val="TableText"/>
              <w:jc w:val="both"/>
              <w:rPr>
                <w:noProof/>
                <w:lang w:eastAsia="en-GB"/>
              </w:rPr>
            </w:pPr>
            <w:r>
              <w:rPr>
                <w:lang w:eastAsia="en-GB"/>
              </w:rPr>
              <w:t xml:space="preserve">To provide information on portfolios subject to the CVA capital charge and the CVA calculations based on </w:t>
            </w:r>
            <w:r>
              <w:rPr>
                <w:bCs/>
                <w:szCs w:val="17"/>
                <w:lang w:eastAsia="en-CA"/>
              </w:rPr>
              <w:t>standardized CVA method</w:t>
            </w:r>
            <w:r>
              <w:rPr>
                <w:lang w:eastAsia="en-GB"/>
              </w:rPr>
              <w:t xml:space="preserve"> and </w:t>
            </w:r>
            <w:r>
              <w:rPr>
                <w:bCs/>
                <w:szCs w:val="17"/>
                <w:lang w:eastAsia="en-CA"/>
              </w:rPr>
              <w:t>advanced CVA method</w:t>
            </w:r>
            <w:r>
              <w:rPr>
                <w:lang w:eastAsia="en-GB"/>
              </w:rPr>
              <w:t xml:space="preserve">. </w:t>
            </w:r>
          </w:p>
        </w:tc>
      </w:tr>
      <w:tr w:rsidR="002A0515" w:rsidTr="00A54BE4">
        <w:tc>
          <w:tcPr>
            <w:tcW w:w="2008" w:type="dxa"/>
          </w:tcPr>
          <w:p w:rsidR="002A0515" w:rsidRDefault="002A0515" w:rsidP="00A54BE4">
            <w:pPr>
              <w:spacing w:before="40" w:after="40"/>
              <w:rPr>
                <w:b/>
                <w:sz w:val="17"/>
                <w:lang w:eastAsia="en-GB"/>
              </w:rPr>
            </w:pPr>
            <w:r>
              <w:rPr>
                <w:b/>
                <w:sz w:val="17"/>
                <w:lang w:eastAsia="en-GB"/>
              </w:rPr>
              <w:t xml:space="preserve">Scope of application: </w:t>
            </w:r>
          </w:p>
        </w:tc>
        <w:tc>
          <w:tcPr>
            <w:tcW w:w="7234" w:type="dxa"/>
          </w:tcPr>
          <w:p w:rsidR="002A0515" w:rsidRDefault="002A0515" w:rsidP="00A54BE4">
            <w:pPr>
              <w:spacing w:before="40" w:after="40"/>
              <w:jc w:val="both"/>
              <w:rPr>
                <w:rFonts w:eastAsia="新細明體"/>
                <w:b/>
                <w:sz w:val="17"/>
                <w:lang w:eastAsia="en-GB"/>
              </w:rPr>
            </w:pPr>
            <w:r>
              <w:rPr>
                <w:rFonts w:eastAsia="新細明體"/>
                <w:sz w:val="17"/>
                <w:lang w:eastAsia="en-GB"/>
              </w:rPr>
              <w:t>The template is mandatory for AIs incorporated in Hong Kong with exposures subject to CVA capital charges.</w:t>
            </w:r>
          </w:p>
        </w:tc>
      </w:tr>
      <w:tr w:rsidR="002A0515" w:rsidTr="00A54BE4">
        <w:tc>
          <w:tcPr>
            <w:tcW w:w="2008" w:type="dxa"/>
          </w:tcPr>
          <w:p w:rsidR="002A0515" w:rsidRDefault="002A0515" w:rsidP="00A54BE4">
            <w:pPr>
              <w:spacing w:before="40" w:after="40"/>
              <w:rPr>
                <w:b/>
                <w:sz w:val="17"/>
                <w:lang w:eastAsia="en-GB"/>
              </w:rPr>
            </w:pPr>
            <w:r>
              <w:rPr>
                <w:b/>
                <w:sz w:val="17"/>
                <w:lang w:eastAsia="en-GB"/>
              </w:rPr>
              <w:t xml:space="preserve">Content: </w:t>
            </w:r>
          </w:p>
        </w:tc>
        <w:tc>
          <w:tcPr>
            <w:tcW w:w="7234" w:type="dxa"/>
          </w:tcPr>
          <w:p w:rsidR="002A0515" w:rsidRDefault="002A0515" w:rsidP="00A54BE4">
            <w:pPr>
              <w:spacing w:before="40" w:after="40"/>
              <w:jc w:val="both"/>
              <w:rPr>
                <w:rFonts w:eastAsia="新細明體"/>
                <w:b/>
                <w:sz w:val="17"/>
                <w:lang w:eastAsia="en-GB"/>
              </w:rPr>
            </w:pPr>
            <w:r>
              <w:rPr>
                <w:rFonts w:eastAsia="新細明體"/>
                <w:sz w:val="17"/>
                <w:lang w:eastAsia="en-GB"/>
              </w:rPr>
              <w:t>Risk-weighted assets and corresponding exposures at default.</w:t>
            </w:r>
          </w:p>
        </w:tc>
      </w:tr>
      <w:tr w:rsidR="002A0515" w:rsidTr="00A54BE4">
        <w:tc>
          <w:tcPr>
            <w:tcW w:w="2008" w:type="dxa"/>
          </w:tcPr>
          <w:p w:rsidR="002A0515" w:rsidRDefault="002A0515" w:rsidP="00A54BE4">
            <w:pPr>
              <w:spacing w:before="40" w:after="40"/>
              <w:rPr>
                <w:sz w:val="17"/>
                <w:lang w:eastAsia="en-GB"/>
              </w:rPr>
            </w:pPr>
            <w:r>
              <w:rPr>
                <w:b/>
                <w:sz w:val="17"/>
                <w:lang w:eastAsia="en-GB"/>
              </w:rPr>
              <w:t>Frequency:</w:t>
            </w:r>
            <w:r>
              <w:rPr>
                <w:sz w:val="17"/>
                <w:lang w:eastAsia="en-GB"/>
              </w:rPr>
              <w:t xml:space="preserve"> </w:t>
            </w:r>
          </w:p>
        </w:tc>
        <w:tc>
          <w:tcPr>
            <w:tcW w:w="7234" w:type="dxa"/>
          </w:tcPr>
          <w:p w:rsidR="002A0515" w:rsidRDefault="002A0515" w:rsidP="00A54BE4">
            <w:pPr>
              <w:pStyle w:val="TableText"/>
              <w:jc w:val="both"/>
              <w:rPr>
                <w:lang w:eastAsia="en-GB"/>
              </w:rPr>
            </w:pPr>
            <w:r>
              <w:rPr>
                <w:lang w:eastAsia="en-GB"/>
              </w:rPr>
              <w:t>Semi-annual.</w:t>
            </w:r>
          </w:p>
        </w:tc>
      </w:tr>
      <w:tr w:rsidR="002A0515" w:rsidTr="00A54BE4">
        <w:tc>
          <w:tcPr>
            <w:tcW w:w="2008" w:type="dxa"/>
          </w:tcPr>
          <w:p w:rsidR="002A0515" w:rsidRDefault="002A0515" w:rsidP="00A54BE4">
            <w:pPr>
              <w:spacing w:before="40" w:after="40"/>
              <w:rPr>
                <w:sz w:val="17"/>
                <w:lang w:eastAsia="en-GB"/>
              </w:rPr>
            </w:pPr>
            <w:r>
              <w:rPr>
                <w:b/>
                <w:sz w:val="17"/>
                <w:lang w:eastAsia="en-GB"/>
              </w:rPr>
              <w:t>Format:</w:t>
            </w:r>
            <w:r>
              <w:rPr>
                <w:sz w:val="17"/>
                <w:lang w:eastAsia="en-GB"/>
              </w:rPr>
              <w:t xml:space="preserve"> </w:t>
            </w:r>
          </w:p>
        </w:tc>
        <w:tc>
          <w:tcPr>
            <w:tcW w:w="7234" w:type="dxa"/>
          </w:tcPr>
          <w:p w:rsidR="002A0515" w:rsidRDefault="002A0515" w:rsidP="00A54BE4">
            <w:pPr>
              <w:pStyle w:val="TableText"/>
              <w:jc w:val="both"/>
              <w:rPr>
                <w:lang w:eastAsia="en-GB"/>
              </w:rPr>
            </w:pPr>
            <w:r>
              <w:rPr>
                <w:lang w:eastAsia="en-GB"/>
              </w:rPr>
              <w:t>Fixed.</w:t>
            </w:r>
          </w:p>
        </w:tc>
      </w:tr>
      <w:tr w:rsidR="002A0515" w:rsidTr="00A54BE4">
        <w:tc>
          <w:tcPr>
            <w:tcW w:w="2008" w:type="dxa"/>
          </w:tcPr>
          <w:p w:rsidR="002A0515" w:rsidRDefault="002A0515" w:rsidP="00A54BE4">
            <w:pPr>
              <w:spacing w:before="40" w:after="40"/>
              <w:rPr>
                <w:b/>
                <w:sz w:val="17"/>
                <w:lang w:eastAsia="en-GB"/>
              </w:rPr>
            </w:pPr>
            <w:r>
              <w:rPr>
                <w:rFonts w:eastAsia="新細明體"/>
                <w:b/>
                <w:sz w:val="17"/>
                <w:szCs w:val="17"/>
                <w:lang w:eastAsia="en-GB"/>
              </w:rPr>
              <w:t>Accompanying narrative</w:t>
            </w:r>
            <w:r>
              <w:rPr>
                <w:rFonts w:eastAsia="新細明體"/>
                <w:sz w:val="17"/>
                <w:szCs w:val="17"/>
                <w:lang w:eastAsia="en-GB"/>
              </w:rPr>
              <w:t>:</w:t>
            </w:r>
          </w:p>
        </w:tc>
        <w:tc>
          <w:tcPr>
            <w:tcW w:w="7234" w:type="dxa"/>
          </w:tcPr>
          <w:p w:rsidR="002A0515" w:rsidRDefault="002A0515" w:rsidP="00A54BE4">
            <w:pPr>
              <w:pStyle w:val="TableText"/>
              <w:jc w:val="both"/>
              <w:rPr>
                <w:lang w:eastAsia="en-GB"/>
              </w:rPr>
            </w:pPr>
            <w:r>
              <w:rPr>
                <w:szCs w:val="17"/>
                <w:lang w:eastAsia="en-GB"/>
              </w:rPr>
              <w:t>An AI should supplement the template with a narrative commentary to explain any material movements in the current reporting period and the key drivers of such movements.</w:t>
            </w:r>
            <w:r>
              <w:rPr>
                <w:lang w:eastAsia="en-GB"/>
              </w:rPr>
              <w:t xml:space="preserve"> </w:t>
            </w:r>
          </w:p>
        </w:tc>
      </w:tr>
      <w:tr w:rsidR="002A0515" w:rsidTr="00A54BE4">
        <w:tc>
          <w:tcPr>
            <w:tcW w:w="2008" w:type="dxa"/>
          </w:tcPr>
          <w:p w:rsidR="002A0515" w:rsidRDefault="002A0515" w:rsidP="00A54BE4">
            <w:pPr>
              <w:spacing w:before="40" w:after="40"/>
              <w:rPr>
                <w:rFonts w:eastAsia="新細明體"/>
                <w:b/>
                <w:sz w:val="17"/>
                <w:szCs w:val="17"/>
                <w:lang w:eastAsia="en-GB"/>
              </w:rPr>
            </w:pPr>
            <w:r>
              <w:rPr>
                <w:rFonts w:eastAsia="新細明體"/>
                <w:b/>
                <w:sz w:val="17"/>
                <w:szCs w:val="17"/>
                <w:lang w:eastAsia="en-GB"/>
              </w:rPr>
              <w:t>Corresponding BDR section:</w:t>
            </w:r>
          </w:p>
        </w:tc>
        <w:tc>
          <w:tcPr>
            <w:tcW w:w="7234" w:type="dxa"/>
          </w:tcPr>
          <w:p w:rsidR="002A0515" w:rsidRDefault="002A0515" w:rsidP="00A54BE4">
            <w:pPr>
              <w:pStyle w:val="TableText"/>
              <w:jc w:val="both"/>
              <w:rPr>
                <w:szCs w:val="17"/>
                <w:lang w:eastAsia="en-GB"/>
              </w:rPr>
            </w:pPr>
            <w:r>
              <w:rPr>
                <w:szCs w:val="17"/>
                <w:lang w:eastAsia="en-GB"/>
              </w:rPr>
              <w:t>16X</w:t>
            </w:r>
          </w:p>
        </w:tc>
      </w:tr>
    </w:tbl>
    <w:p w:rsidR="002A0515" w:rsidRDefault="002A0515" w:rsidP="002A0515">
      <w:pPr>
        <w:spacing w:before="120" w:after="120"/>
        <w:ind w:leftChars="-283" w:left="-566"/>
        <w:rPr>
          <w:sz w:val="22"/>
        </w:rPr>
      </w:pPr>
    </w:p>
    <w:tbl>
      <w:tblPr>
        <w:tblW w:w="9242" w:type="dxa"/>
        <w:tblInd w:w="-459" w:type="dxa"/>
        <w:tblLayout w:type="fixed"/>
        <w:tblLook w:val="04A0" w:firstRow="1" w:lastRow="0" w:firstColumn="1" w:lastColumn="0" w:noHBand="0" w:noVBand="1"/>
      </w:tblPr>
      <w:tblGrid>
        <w:gridCol w:w="425"/>
        <w:gridCol w:w="5671"/>
        <w:gridCol w:w="1573"/>
        <w:gridCol w:w="1573"/>
      </w:tblGrid>
      <w:tr w:rsidR="002A0515" w:rsidTr="00A54BE4">
        <w:trPr>
          <w:trHeight w:val="177"/>
        </w:trPr>
        <w:tc>
          <w:tcPr>
            <w:tcW w:w="425" w:type="dxa"/>
          </w:tcPr>
          <w:p w:rsidR="002A0515" w:rsidRDefault="002A0515" w:rsidP="00A54BE4">
            <w:pPr>
              <w:pStyle w:val="TableText"/>
              <w:snapToGrid w:val="0"/>
              <w:rPr>
                <w:szCs w:val="17"/>
                <w:lang w:eastAsia="en-CA"/>
              </w:rPr>
            </w:pPr>
          </w:p>
        </w:tc>
        <w:tc>
          <w:tcPr>
            <w:tcW w:w="5671" w:type="dxa"/>
            <w:tcBorders>
              <w:right w:val="single" w:sz="4" w:space="0" w:color="auto"/>
            </w:tcBorders>
            <w:vAlign w:val="center"/>
          </w:tcPr>
          <w:p w:rsidR="002A0515" w:rsidRDefault="002A0515" w:rsidP="00A54BE4">
            <w:pPr>
              <w:pStyle w:val="TableText"/>
              <w:snapToGrid w:val="0"/>
              <w:rPr>
                <w:szCs w:val="17"/>
                <w:lang w:eastAsia="en-CA"/>
              </w:rPr>
            </w:pPr>
          </w:p>
        </w:tc>
        <w:tc>
          <w:tcPr>
            <w:tcW w:w="1573" w:type="dxa"/>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bCs/>
                <w:szCs w:val="17"/>
                <w:lang w:eastAsia="en-CA"/>
              </w:rPr>
            </w:pPr>
            <w:r>
              <w:rPr>
                <w:bCs/>
                <w:szCs w:val="17"/>
                <w:lang w:eastAsia="en-CA"/>
              </w:rPr>
              <w:t>(a)</w:t>
            </w:r>
          </w:p>
        </w:tc>
        <w:tc>
          <w:tcPr>
            <w:tcW w:w="1573" w:type="dxa"/>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bCs/>
                <w:szCs w:val="17"/>
                <w:lang w:eastAsia="en-CA"/>
              </w:rPr>
            </w:pPr>
            <w:r>
              <w:rPr>
                <w:bCs/>
                <w:szCs w:val="17"/>
                <w:lang w:eastAsia="en-CA"/>
              </w:rPr>
              <w:t>(b)</w:t>
            </w:r>
          </w:p>
        </w:tc>
      </w:tr>
      <w:tr w:rsidR="002A0515" w:rsidTr="00A54BE4">
        <w:trPr>
          <w:trHeight w:val="295"/>
        </w:trPr>
        <w:tc>
          <w:tcPr>
            <w:tcW w:w="425" w:type="dxa"/>
          </w:tcPr>
          <w:p w:rsidR="002A0515" w:rsidRDefault="002A0515" w:rsidP="00A54BE4">
            <w:pPr>
              <w:pStyle w:val="TableText"/>
              <w:snapToGrid w:val="0"/>
              <w:rPr>
                <w:szCs w:val="17"/>
                <w:lang w:eastAsia="en-CA"/>
              </w:rPr>
            </w:pPr>
          </w:p>
        </w:tc>
        <w:tc>
          <w:tcPr>
            <w:tcW w:w="5671" w:type="dxa"/>
            <w:tcBorders>
              <w:bottom w:val="single" w:sz="4" w:space="0" w:color="auto"/>
              <w:right w:val="single" w:sz="4" w:space="0" w:color="auto"/>
            </w:tcBorders>
            <w:vAlign w:val="center"/>
          </w:tcPr>
          <w:p w:rsidR="002A0515" w:rsidRDefault="002A0515" w:rsidP="00A54BE4">
            <w:pPr>
              <w:pStyle w:val="TableText"/>
              <w:snapToGrid w:val="0"/>
              <w:ind w:leftChars="-494" w:left="-988"/>
              <w:rPr>
                <w:szCs w:val="17"/>
                <w:lang w:eastAsia="en-CA"/>
              </w:rPr>
            </w:pPr>
            <w:r>
              <w:rPr>
                <w:szCs w:val="17"/>
                <w:lang w:eastAsia="en-CA"/>
              </w:rPr>
              <w:t> </w:t>
            </w:r>
          </w:p>
        </w:tc>
        <w:tc>
          <w:tcPr>
            <w:tcW w:w="1573" w:type="dxa"/>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bCs/>
                <w:szCs w:val="17"/>
                <w:lang w:eastAsia="en-CA"/>
              </w:rPr>
            </w:pPr>
            <w:r>
              <w:rPr>
                <w:bCs/>
                <w:szCs w:val="17"/>
                <w:lang w:eastAsia="en-CA"/>
              </w:rPr>
              <w:t>EAD post CRM</w:t>
            </w:r>
          </w:p>
        </w:tc>
        <w:tc>
          <w:tcPr>
            <w:tcW w:w="1573" w:type="dxa"/>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bCs/>
                <w:szCs w:val="17"/>
                <w:lang w:eastAsia="en-CA"/>
              </w:rPr>
            </w:pPr>
            <w:r>
              <w:rPr>
                <w:bCs/>
                <w:szCs w:val="17"/>
                <w:lang w:eastAsia="en-CA"/>
              </w:rPr>
              <w:t>RWA</w:t>
            </w:r>
          </w:p>
        </w:tc>
      </w:tr>
      <w:tr w:rsidR="002A0515" w:rsidTr="00A54BE4">
        <w:trPr>
          <w:trHeight w:val="315"/>
        </w:trPr>
        <w:tc>
          <w:tcPr>
            <w:tcW w:w="425" w:type="dxa"/>
            <w:tcBorders>
              <w:bottom w:val="single" w:sz="4" w:space="0" w:color="BFBFBF"/>
              <w:right w:val="single" w:sz="4" w:space="0" w:color="auto"/>
            </w:tcBorders>
          </w:tcPr>
          <w:p w:rsidR="002A0515" w:rsidRDefault="002A0515" w:rsidP="00A54BE4">
            <w:pPr>
              <w:pStyle w:val="TableText"/>
              <w:snapToGrid w:val="0"/>
              <w:rPr>
                <w:bCs/>
                <w:szCs w:val="17"/>
                <w:lang w:eastAsia="en-CA"/>
              </w:rPr>
            </w:pPr>
          </w:p>
        </w:tc>
        <w:tc>
          <w:tcPr>
            <w:tcW w:w="5671" w:type="dxa"/>
            <w:tcBorders>
              <w:top w:val="single" w:sz="4" w:space="0" w:color="auto"/>
              <w:left w:val="single" w:sz="4" w:space="0" w:color="auto"/>
              <w:bottom w:val="single" w:sz="4" w:space="0" w:color="BFBFBF"/>
              <w:right w:val="single" w:sz="4" w:space="0" w:color="auto"/>
            </w:tcBorders>
            <w:vAlign w:val="center"/>
          </w:tcPr>
          <w:p w:rsidR="002A0515" w:rsidRDefault="002A0515" w:rsidP="00A54BE4">
            <w:pPr>
              <w:pStyle w:val="TableText"/>
              <w:snapToGrid w:val="0"/>
              <w:rPr>
                <w:bCs/>
                <w:szCs w:val="17"/>
                <w:lang w:eastAsia="en-CA"/>
              </w:rPr>
            </w:pPr>
            <w:r>
              <w:rPr>
                <w:bCs/>
                <w:szCs w:val="17"/>
                <w:lang w:eastAsia="en-CA"/>
              </w:rPr>
              <w:t xml:space="preserve">Netting sets for which CVA capital charge is calculated by the advanced CVA method </w:t>
            </w:r>
          </w:p>
        </w:tc>
        <w:tc>
          <w:tcPr>
            <w:tcW w:w="1573" w:type="dxa"/>
            <w:tcBorders>
              <w:top w:val="single" w:sz="4" w:space="0" w:color="auto"/>
              <w:left w:val="single" w:sz="4" w:space="0" w:color="auto"/>
              <w:bottom w:val="single" w:sz="4" w:space="0" w:color="BFBFBF"/>
              <w:right w:val="single" w:sz="4" w:space="0" w:color="auto"/>
            </w:tcBorders>
            <w:vAlign w:val="center"/>
          </w:tcPr>
          <w:p w:rsidR="002A0515" w:rsidRDefault="002A0515" w:rsidP="00A54BE4">
            <w:pPr>
              <w:pStyle w:val="TableText"/>
              <w:snapToGrid w:val="0"/>
              <w:rPr>
                <w:bCs/>
                <w:szCs w:val="17"/>
                <w:lang w:eastAsia="en-CA"/>
              </w:rPr>
            </w:pPr>
            <w:r>
              <w:rPr>
                <w:bCs/>
                <w:szCs w:val="17"/>
                <w:lang w:eastAsia="en-CA"/>
              </w:rPr>
              <w:t> </w:t>
            </w:r>
          </w:p>
        </w:tc>
        <w:tc>
          <w:tcPr>
            <w:tcW w:w="1573" w:type="dxa"/>
            <w:tcBorders>
              <w:top w:val="single" w:sz="4" w:space="0" w:color="auto"/>
              <w:left w:val="single" w:sz="4" w:space="0" w:color="auto"/>
              <w:bottom w:val="single" w:sz="4" w:space="0" w:color="BFBFBF"/>
              <w:right w:val="single" w:sz="4" w:space="0" w:color="auto"/>
            </w:tcBorders>
            <w:vAlign w:val="center"/>
          </w:tcPr>
          <w:p w:rsidR="002A0515" w:rsidRDefault="002A0515" w:rsidP="00A54BE4">
            <w:pPr>
              <w:pStyle w:val="TableText"/>
              <w:snapToGrid w:val="0"/>
              <w:rPr>
                <w:bCs/>
                <w:szCs w:val="17"/>
                <w:lang w:eastAsia="en-CA"/>
              </w:rPr>
            </w:pPr>
            <w:r>
              <w:rPr>
                <w:bCs/>
                <w:szCs w:val="17"/>
                <w:lang w:eastAsia="en-CA"/>
              </w:rPr>
              <w:t> </w:t>
            </w:r>
          </w:p>
        </w:tc>
      </w:tr>
      <w:tr w:rsidR="002A0515" w:rsidTr="00A54BE4">
        <w:trPr>
          <w:trHeight w:val="315"/>
        </w:trPr>
        <w:tc>
          <w:tcPr>
            <w:tcW w:w="425" w:type="dxa"/>
            <w:tcBorders>
              <w:top w:val="single" w:sz="4" w:space="0" w:color="BFBFBF"/>
              <w:bottom w:val="single" w:sz="4" w:space="0" w:color="BFBFBF"/>
              <w:right w:val="single" w:sz="4" w:space="0" w:color="auto"/>
            </w:tcBorders>
          </w:tcPr>
          <w:p w:rsidR="002A0515" w:rsidRDefault="002A0515" w:rsidP="00A54BE4">
            <w:pPr>
              <w:pStyle w:val="TableText"/>
              <w:snapToGrid w:val="0"/>
              <w:rPr>
                <w:bCs/>
                <w:szCs w:val="17"/>
                <w:lang w:eastAsia="en-CA"/>
              </w:rPr>
            </w:pPr>
            <w:r>
              <w:rPr>
                <w:bCs/>
                <w:szCs w:val="17"/>
                <w:lang w:eastAsia="en-CA"/>
              </w:rPr>
              <w:t>1</w:t>
            </w:r>
          </w:p>
        </w:tc>
        <w:tc>
          <w:tcPr>
            <w:tcW w:w="5671" w:type="dxa"/>
            <w:tcBorders>
              <w:top w:val="single" w:sz="4" w:space="0" w:color="BFBFBF"/>
              <w:left w:val="single" w:sz="4" w:space="0" w:color="auto"/>
              <w:bottom w:val="single" w:sz="4" w:space="0" w:color="BFBFBF"/>
              <w:right w:val="single" w:sz="4" w:space="0" w:color="auto"/>
            </w:tcBorders>
            <w:vAlign w:val="center"/>
          </w:tcPr>
          <w:p w:rsidR="002A0515" w:rsidRDefault="002A0515" w:rsidP="00A54BE4">
            <w:pPr>
              <w:pStyle w:val="TableText"/>
              <w:snapToGrid w:val="0"/>
              <w:rPr>
                <w:bCs/>
                <w:szCs w:val="17"/>
                <w:lang w:eastAsia="en-CA"/>
              </w:rPr>
            </w:pPr>
            <w:r>
              <w:rPr>
                <w:bCs/>
                <w:szCs w:val="17"/>
                <w:lang w:eastAsia="en-CA"/>
              </w:rPr>
              <w:t>(</w:t>
            </w:r>
            <w:proofErr w:type="spellStart"/>
            <w:r>
              <w:rPr>
                <w:bCs/>
                <w:szCs w:val="17"/>
                <w:lang w:eastAsia="en-CA"/>
              </w:rPr>
              <w:t>i</w:t>
            </w:r>
            <w:proofErr w:type="spellEnd"/>
            <w:r>
              <w:rPr>
                <w:bCs/>
                <w:szCs w:val="17"/>
                <w:lang w:eastAsia="en-CA"/>
              </w:rPr>
              <w:t xml:space="preserve">) </w:t>
            </w:r>
            <w:proofErr w:type="spellStart"/>
            <w:r>
              <w:rPr>
                <w:bCs/>
                <w:szCs w:val="17"/>
                <w:lang w:eastAsia="en-CA"/>
              </w:rPr>
              <w:t>VaR</w:t>
            </w:r>
            <w:proofErr w:type="spellEnd"/>
            <w:r>
              <w:rPr>
                <w:bCs/>
                <w:szCs w:val="17"/>
                <w:lang w:eastAsia="en-CA"/>
              </w:rPr>
              <w:t xml:space="preserve"> (after application of multiplication factor if applicable)</w:t>
            </w:r>
          </w:p>
        </w:tc>
        <w:tc>
          <w:tcPr>
            <w:tcW w:w="1573" w:type="dxa"/>
            <w:tcBorders>
              <w:top w:val="single" w:sz="4" w:space="0" w:color="BFBFBF"/>
              <w:left w:val="single" w:sz="4" w:space="0" w:color="auto"/>
              <w:bottom w:val="single" w:sz="4" w:space="0" w:color="BFBFBF"/>
              <w:right w:val="single" w:sz="4" w:space="0" w:color="auto"/>
            </w:tcBorders>
            <w:shd w:val="clear" w:color="auto" w:fill="BFBFBF"/>
            <w:vAlign w:val="center"/>
          </w:tcPr>
          <w:p w:rsidR="002A0515" w:rsidRDefault="002A0515" w:rsidP="00A54BE4">
            <w:pPr>
              <w:pStyle w:val="TableText"/>
              <w:snapToGrid w:val="0"/>
              <w:rPr>
                <w:szCs w:val="17"/>
                <w:lang w:eastAsia="en-CA"/>
              </w:rPr>
            </w:pPr>
            <w:r>
              <w:rPr>
                <w:szCs w:val="17"/>
                <w:lang w:eastAsia="en-CA"/>
              </w:rPr>
              <w:t> </w:t>
            </w:r>
          </w:p>
        </w:tc>
        <w:tc>
          <w:tcPr>
            <w:tcW w:w="1573" w:type="dxa"/>
            <w:tcBorders>
              <w:top w:val="single" w:sz="4" w:space="0" w:color="BFBFBF"/>
              <w:left w:val="single" w:sz="4" w:space="0" w:color="auto"/>
              <w:bottom w:val="single" w:sz="4" w:space="0" w:color="BFBFBF"/>
              <w:right w:val="single" w:sz="4" w:space="0" w:color="auto"/>
            </w:tcBorders>
            <w:vAlign w:val="center"/>
          </w:tcPr>
          <w:p w:rsidR="002A0515" w:rsidRDefault="002A0515" w:rsidP="00A54BE4">
            <w:pPr>
              <w:pStyle w:val="TableText"/>
              <w:snapToGrid w:val="0"/>
              <w:rPr>
                <w:szCs w:val="17"/>
                <w:lang w:eastAsia="en-CA"/>
              </w:rPr>
            </w:pPr>
            <w:r>
              <w:rPr>
                <w:szCs w:val="17"/>
                <w:lang w:eastAsia="en-CA"/>
              </w:rPr>
              <w:t> </w:t>
            </w:r>
          </w:p>
        </w:tc>
      </w:tr>
      <w:tr w:rsidR="002A0515" w:rsidTr="00A54BE4">
        <w:trPr>
          <w:trHeight w:val="315"/>
        </w:trPr>
        <w:tc>
          <w:tcPr>
            <w:tcW w:w="425" w:type="dxa"/>
            <w:tcBorders>
              <w:top w:val="single" w:sz="4" w:space="0" w:color="BFBFBF"/>
              <w:bottom w:val="single" w:sz="4" w:space="0" w:color="BFBFBF"/>
              <w:right w:val="single" w:sz="4" w:space="0" w:color="auto"/>
            </w:tcBorders>
          </w:tcPr>
          <w:p w:rsidR="002A0515" w:rsidRDefault="002A0515" w:rsidP="00A54BE4">
            <w:pPr>
              <w:pStyle w:val="TableText"/>
              <w:snapToGrid w:val="0"/>
              <w:rPr>
                <w:bCs/>
                <w:szCs w:val="17"/>
                <w:lang w:eastAsia="en-CA"/>
              </w:rPr>
            </w:pPr>
            <w:r>
              <w:rPr>
                <w:bCs/>
                <w:szCs w:val="17"/>
                <w:lang w:eastAsia="en-CA"/>
              </w:rPr>
              <w:t>2</w:t>
            </w:r>
          </w:p>
        </w:tc>
        <w:tc>
          <w:tcPr>
            <w:tcW w:w="5671" w:type="dxa"/>
            <w:tcBorders>
              <w:top w:val="single" w:sz="4" w:space="0" w:color="BFBFBF"/>
              <w:left w:val="single" w:sz="4" w:space="0" w:color="auto"/>
              <w:bottom w:val="single" w:sz="4" w:space="0" w:color="BFBFBF"/>
              <w:right w:val="single" w:sz="4" w:space="0" w:color="auto"/>
            </w:tcBorders>
            <w:vAlign w:val="center"/>
          </w:tcPr>
          <w:p w:rsidR="002A0515" w:rsidRDefault="002A0515" w:rsidP="00A54BE4">
            <w:pPr>
              <w:pStyle w:val="TableText"/>
              <w:snapToGrid w:val="0"/>
              <w:rPr>
                <w:bCs/>
                <w:szCs w:val="17"/>
                <w:lang w:eastAsia="en-CA"/>
              </w:rPr>
            </w:pPr>
            <w:r>
              <w:rPr>
                <w:bCs/>
                <w:szCs w:val="17"/>
                <w:lang w:eastAsia="en-CA"/>
              </w:rPr>
              <w:t xml:space="preserve">(ii) Stressed </w:t>
            </w:r>
            <w:proofErr w:type="spellStart"/>
            <w:r>
              <w:rPr>
                <w:bCs/>
                <w:szCs w:val="17"/>
                <w:lang w:eastAsia="en-CA"/>
              </w:rPr>
              <w:t>VaR</w:t>
            </w:r>
            <w:proofErr w:type="spellEnd"/>
            <w:r>
              <w:rPr>
                <w:bCs/>
                <w:szCs w:val="17"/>
                <w:lang w:eastAsia="en-CA"/>
              </w:rPr>
              <w:t xml:space="preserve"> (after application of multiplication factor if applicable)</w:t>
            </w:r>
          </w:p>
        </w:tc>
        <w:tc>
          <w:tcPr>
            <w:tcW w:w="1573" w:type="dxa"/>
            <w:tcBorders>
              <w:top w:val="single" w:sz="4" w:space="0" w:color="BFBFBF"/>
              <w:left w:val="single" w:sz="4" w:space="0" w:color="auto"/>
              <w:bottom w:val="single" w:sz="4" w:space="0" w:color="BFBFBF"/>
              <w:right w:val="single" w:sz="4" w:space="0" w:color="auto"/>
            </w:tcBorders>
            <w:shd w:val="clear" w:color="auto" w:fill="BFBFBF"/>
            <w:vAlign w:val="center"/>
          </w:tcPr>
          <w:p w:rsidR="002A0515" w:rsidRDefault="002A0515" w:rsidP="00A54BE4">
            <w:pPr>
              <w:pStyle w:val="TableText"/>
              <w:snapToGrid w:val="0"/>
              <w:rPr>
                <w:szCs w:val="17"/>
                <w:lang w:eastAsia="en-CA"/>
              </w:rPr>
            </w:pPr>
            <w:r>
              <w:rPr>
                <w:szCs w:val="17"/>
                <w:lang w:eastAsia="en-CA"/>
              </w:rPr>
              <w:t> </w:t>
            </w:r>
          </w:p>
        </w:tc>
        <w:tc>
          <w:tcPr>
            <w:tcW w:w="1573" w:type="dxa"/>
            <w:tcBorders>
              <w:top w:val="single" w:sz="4" w:space="0" w:color="BFBFBF"/>
              <w:left w:val="single" w:sz="4" w:space="0" w:color="auto"/>
              <w:bottom w:val="single" w:sz="4" w:space="0" w:color="BFBFBF"/>
              <w:right w:val="single" w:sz="4" w:space="0" w:color="auto"/>
            </w:tcBorders>
            <w:vAlign w:val="center"/>
          </w:tcPr>
          <w:p w:rsidR="002A0515" w:rsidRDefault="002A0515" w:rsidP="00A54BE4">
            <w:pPr>
              <w:pStyle w:val="TableText"/>
              <w:snapToGrid w:val="0"/>
              <w:rPr>
                <w:szCs w:val="17"/>
                <w:lang w:eastAsia="en-CA"/>
              </w:rPr>
            </w:pPr>
            <w:r>
              <w:rPr>
                <w:szCs w:val="17"/>
                <w:lang w:eastAsia="en-CA"/>
              </w:rPr>
              <w:t> </w:t>
            </w:r>
          </w:p>
        </w:tc>
      </w:tr>
      <w:tr w:rsidR="002A0515" w:rsidTr="00A54BE4">
        <w:trPr>
          <w:trHeight w:val="315"/>
        </w:trPr>
        <w:tc>
          <w:tcPr>
            <w:tcW w:w="425" w:type="dxa"/>
            <w:tcBorders>
              <w:top w:val="single" w:sz="4" w:space="0" w:color="BFBFBF"/>
              <w:bottom w:val="single" w:sz="4" w:space="0" w:color="BFBFBF"/>
              <w:right w:val="single" w:sz="4" w:space="0" w:color="auto"/>
            </w:tcBorders>
          </w:tcPr>
          <w:p w:rsidR="002A0515" w:rsidRDefault="002A0515" w:rsidP="00A54BE4">
            <w:pPr>
              <w:pStyle w:val="TableText"/>
              <w:snapToGrid w:val="0"/>
              <w:rPr>
                <w:bCs/>
                <w:szCs w:val="17"/>
                <w:lang w:eastAsia="en-CA"/>
              </w:rPr>
            </w:pPr>
            <w:r>
              <w:rPr>
                <w:bCs/>
                <w:szCs w:val="17"/>
                <w:lang w:eastAsia="en-CA"/>
              </w:rPr>
              <w:t>3</w:t>
            </w:r>
          </w:p>
        </w:tc>
        <w:tc>
          <w:tcPr>
            <w:tcW w:w="5671" w:type="dxa"/>
            <w:tcBorders>
              <w:top w:val="single" w:sz="4" w:space="0" w:color="BFBFBF"/>
              <w:left w:val="single" w:sz="4" w:space="0" w:color="auto"/>
              <w:bottom w:val="single" w:sz="4" w:space="0" w:color="BFBFBF"/>
              <w:right w:val="single" w:sz="4" w:space="0" w:color="auto"/>
            </w:tcBorders>
            <w:vAlign w:val="center"/>
          </w:tcPr>
          <w:p w:rsidR="002A0515" w:rsidRDefault="002A0515" w:rsidP="00A54BE4">
            <w:pPr>
              <w:pStyle w:val="TableText"/>
              <w:snapToGrid w:val="0"/>
              <w:rPr>
                <w:bCs/>
                <w:szCs w:val="17"/>
                <w:lang w:eastAsia="en-CA"/>
              </w:rPr>
            </w:pPr>
            <w:r>
              <w:rPr>
                <w:bCs/>
                <w:szCs w:val="17"/>
                <w:lang w:eastAsia="en-CA"/>
              </w:rPr>
              <w:t>Netting sets for which CVA capital charge is calculated by the standardized CVA method</w:t>
            </w:r>
          </w:p>
        </w:tc>
        <w:tc>
          <w:tcPr>
            <w:tcW w:w="1573" w:type="dxa"/>
            <w:tcBorders>
              <w:top w:val="single" w:sz="4" w:space="0" w:color="BFBFBF"/>
              <w:left w:val="single" w:sz="4" w:space="0" w:color="auto"/>
              <w:bottom w:val="single" w:sz="4" w:space="0" w:color="BFBFBF"/>
              <w:right w:val="single" w:sz="4" w:space="0" w:color="auto"/>
            </w:tcBorders>
            <w:vAlign w:val="center"/>
          </w:tcPr>
          <w:p w:rsidR="002A0515" w:rsidRDefault="002A0515" w:rsidP="00A54BE4">
            <w:pPr>
              <w:pStyle w:val="TableText"/>
              <w:snapToGrid w:val="0"/>
              <w:rPr>
                <w:szCs w:val="17"/>
                <w:lang w:eastAsia="en-CA"/>
              </w:rPr>
            </w:pPr>
            <w:r>
              <w:rPr>
                <w:szCs w:val="17"/>
                <w:lang w:eastAsia="en-CA"/>
              </w:rPr>
              <w:t> </w:t>
            </w:r>
          </w:p>
        </w:tc>
        <w:tc>
          <w:tcPr>
            <w:tcW w:w="1573" w:type="dxa"/>
            <w:tcBorders>
              <w:top w:val="single" w:sz="4" w:space="0" w:color="BFBFBF"/>
              <w:left w:val="single" w:sz="4" w:space="0" w:color="auto"/>
              <w:bottom w:val="single" w:sz="4" w:space="0" w:color="BFBFBF"/>
              <w:right w:val="single" w:sz="4" w:space="0" w:color="auto"/>
            </w:tcBorders>
            <w:vAlign w:val="center"/>
          </w:tcPr>
          <w:p w:rsidR="002A0515" w:rsidRDefault="002A0515" w:rsidP="00A54BE4">
            <w:pPr>
              <w:pStyle w:val="TableText"/>
              <w:snapToGrid w:val="0"/>
              <w:rPr>
                <w:szCs w:val="17"/>
                <w:lang w:eastAsia="en-CA"/>
              </w:rPr>
            </w:pPr>
            <w:r>
              <w:rPr>
                <w:szCs w:val="17"/>
                <w:lang w:eastAsia="en-CA"/>
              </w:rPr>
              <w:t> </w:t>
            </w:r>
          </w:p>
        </w:tc>
      </w:tr>
      <w:tr w:rsidR="002A0515" w:rsidTr="00A54BE4">
        <w:trPr>
          <w:trHeight w:val="315"/>
        </w:trPr>
        <w:tc>
          <w:tcPr>
            <w:tcW w:w="425" w:type="dxa"/>
            <w:tcBorders>
              <w:top w:val="single" w:sz="4" w:space="0" w:color="BFBFBF"/>
              <w:bottom w:val="single" w:sz="4" w:space="0" w:color="auto"/>
              <w:right w:val="single" w:sz="4" w:space="0" w:color="auto"/>
            </w:tcBorders>
          </w:tcPr>
          <w:p w:rsidR="002A0515" w:rsidRDefault="002A0515" w:rsidP="00A54BE4">
            <w:pPr>
              <w:pStyle w:val="TableText"/>
              <w:snapToGrid w:val="0"/>
              <w:rPr>
                <w:bCs/>
                <w:szCs w:val="17"/>
                <w:lang w:eastAsia="en-CA"/>
              </w:rPr>
            </w:pPr>
            <w:r>
              <w:rPr>
                <w:bCs/>
                <w:szCs w:val="17"/>
                <w:lang w:eastAsia="en-CA"/>
              </w:rPr>
              <w:t>4</w:t>
            </w:r>
          </w:p>
        </w:tc>
        <w:tc>
          <w:tcPr>
            <w:tcW w:w="5671" w:type="dxa"/>
            <w:tcBorders>
              <w:top w:val="single" w:sz="4" w:space="0" w:color="BFBFBF"/>
              <w:left w:val="single" w:sz="4" w:space="0" w:color="auto"/>
              <w:bottom w:val="single" w:sz="4" w:space="0" w:color="auto"/>
              <w:right w:val="single" w:sz="4" w:space="0" w:color="auto"/>
            </w:tcBorders>
            <w:vAlign w:val="center"/>
          </w:tcPr>
          <w:p w:rsidR="002A0515" w:rsidRDefault="002A0515" w:rsidP="00A54BE4">
            <w:pPr>
              <w:pStyle w:val="TableText"/>
              <w:snapToGrid w:val="0"/>
              <w:rPr>
                <w:bCs/>
                <w:szCs w:val="17"/>
                <w:lang w:eastAsia="en-CA"/>
              </w:rPr>
            </w:pPr>
            <w:r>
              <w:rPr>
                <w:bCs/>
                <w:szCs w:val="17"/>
                <w:lang w:eastAsia="en-CA"/>
              </w:rPr>
              <w:t>Total</w:t>
            </w:r>
          </w:p>
        </w:tc>
        <w:tc>
          <w:tcPr>
            <w:tcW w:w="1573" w:type="dxa"/>
            <w:tcBorders>
              <w:top w:val="single" w:sz="4" w:space="0" w:color="BFBFBF"/>
              <w:left w:val="single" w:sz="4" w:space="0" w:color="auto"/>
              <w:bottom w:val="single" w:sz="4" w:space="0" w:color="auto"/>
              <w:right w:val="single" w:sz="4" w:space="0" w:color="auto"/>
            </w:tcBorders>
            <w:vAlign w:val="center"/>
          </w:tcPr>
          <w:p w:rsidR="002A0515" w:rsidRDefault="002A0515" w:rsidP="00A54BE4">
            <w:pPr>
              <w:pStyle w:val="TableText"/>
              <w:snapToGrid w:val="0"/>
              <w:rPr>
                <w:szCs w:val="17"/>
                <w:lang w:eastAsia="en-CA"/>
              </w:rPr>
            </w:pPr>
            <w:r>
              <w:rPr>
                <w:szCs w:val="17"/>
                <w:lang w:eastAsia="en-CA"/>
              </w:rPr>
              <w:t> </w:t>
            </w:r>
          </w:p>
        </w:tc>
        <w:tc>
          <w:tcPr>
            <w:tcW w:w="1573" w:type="dxa"/>
            <w:tcBorders>
              <w:top w:val="single" w:sz="4" w:space="0" w:color="BFBFBF"/>
              <w:left w:val="single" w:sz="4" w:space="0" w:color="auto"/>
              <w:bottom w:val="single" w:sz="4" w:space="0" w:color="auto"/>
              <w:right w:val="single" w:sz="4" w:space="0" w:color="auto"/>
            </w:tcBorders>
            <w:vAlign w:val="center"/>
          </w:tcPr>
          <w:p w:rsidR="002A0515" w:rsidRDefault="002A0515" w:rsidP="00A54BE4">
            <w:pPr>
              <w:pStyle w:val="TableText"/>
              <w:snapToGrid w:val="0"/>
              <w:rPr>
                <w:szCs w:val="17"/>
                <w:lang w:eastAsia="en-CA"/>
              </w:rPr>
            </w:pPr>
            <w:r>
              <w:rPr>
                <w:szCs w:val="17"/>
                <w:lang w:eastAsia="en-CA"/>
              </w:rPr>
              <w:t> </w:t>
            </w:r>
          </w:p>
        </w:tc>
      </w:tr>
    </w:tbl>
    <w:p w:rsidR="002A0515" w:rsidRDefault="002A0515" w:rsidP="002A0515">
      <w:pPr>
        <w:spacing w:before="120" w:after="120"/>
        <w:ind w:leftChars="-283" w:left="-566"/>
        <w:rPr>
          <w:sz w:val="22"/>
        </w:rPr>
      </w:pP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8789"/>
      </w:tblGrid>
      <w:tr w:rsidR="002A0515" w:rsidTr="00A54BE4">
        <w:trPr>
          <w:tblHeader/>
        </w:trPr>
        <w:tc>
          <w:tcPr>
            <w:tcW w:w="9214" w:type="dxa"/>
            <w:gridSpan w:val="2"/>
            <w:shd w:val="clear" w:color="auto" w:fill="BFBFBF"/>
          </w:tcPr>
          <w:p w:rsidR="002A0515" w:rsidRDefault="002A0515" w:rsidP="00A54BE4">
            <w:pPr>
              <w:spacing w:before="40" w:after="40"/>
              <w:jc w:val="both"/>
              <w:rPr>
                <w:rFonts w:eastAsia="新細明體"/>
                <w:b/>
                <w:sz w:val="17"/>
                <w:szCs w:val="17"/>
                <w:lang w:eastAsia="en-GB"/>
              </w:rPr>
            </w:pPr>
            <w:r>
              <w:rPr>
                <w:rFonts w:eastAsia="新細明體"/>
                <w:b/>
                <w:sz w:val="17"/>
                <w:szCs w:val="17"/>
                <w:lang w:eastAsia="en-GB"/>
              </w:rPr>
              <w:t>Explanatory Note</w:t>
            </w:r>
          </w:p>
        </w:tc>
      </w:tr>
      <w:tr w:rsidR="002A0515" w:rsidTr="00A54BE4">
        <w:trPr>
          <w:trHeight w:val="153"/>
        </w:trPr>
        <w:tc>
          <w:tcPr>
            <w:tcW w:w="9214" w:type="dxa"/>
            <w:gridSpan w:val="2"/>
            <w:shd w:val="clear" w:color="auto" w:fill="F2F2F2"/>
          </w:tcPr>
          <w:p w:rsidR="002A0515" w:rsidRDefault="002A0515" w:rsidP="00A54BE4">
            <w:pPr>
              <w:spacing w:before="40" w:after="40"/>
              <w:jc w:val="both"/>
              <w:rPr>
                <w:rFonts w:eastAsia="新細明體"/>
                <w:b/>
                <w:sz w:val="17"/>
                <w:szCs w:val="17"/>
                <w:lang w:eastAsia="en-GB"/>
              </w:rPr>
            </w:pPr>
            <w:r>
              <w:rPr>
                <w:rFonts w:eastAsia="新細明體"/>
                <w:b/>
                <w:sz w:val="17"/>
                <w:szCs w:val="17"/>
                <w:lang w:eastAsia="en-GB"/>
              </w:rPr>
              <w:t>Columns</w:t>
            </w:r>
          </w:p>
        </w:tc>
      </w:tr>
      <w:tr w:rsidR="002A0515" w:rsidTr="00A54BE4">
        <w:tc>
          <w:tcPr>
            <w:tcW w:w="425" w:type="dxa"/>
          </w:tcPr>
          <w:p w:rsidR="002A0515" w:rsidRDefault="002A0515" w:rsidP="00A54BE4">
            <w:pPr>
              <w:pStyle w:val="ListParagraph"/>
              <w:keepLines/>
              <w:spacing w:before="20" w:after="20"/>
              <w:ind w:leftChars="0" w:left="0" w:rightChars="-54" w:right="-108"/>
              <w:rPr>
                <w:rFonts w:cs="Segoe UI"/>
                <w:sz w:val="17"/>
                <w:szCs w:val="17"/>
                <w:lang w:eastAsia="en-GB"/>
              </w:rPr>
            </w:pPr>
            <w:r>
              <w:rPr>
                <w:rFonts w:cs="Segoe UI"/>
                <w:sz w:val="17"/>
                <w:szCs w:val="17"/>
                <w:lang w:eastAsia="en-GB"/>
              </w:rPr>
              <w:t>(a)</w:t>
            </w:r>
          </w:p>
        </w:tc>
        <w:tc>
          <w:tcPr>
            <w:tcW w:w="8789" w:type="dxa"/>
          </w:tcPr>
          <w:p w:rsidR="002A0515" w:rsidRDefault="002A0515" w:rsidP="00A54BE4">
            <w:pPr>
              <w:keepLines/>
              <w:widowControl w:val="0"/>
              <w:tabs>
                <w:tab w:val="left" w:pos="150"/>
                <w:tab w:val="left" w:pos="397"/>
                <w:tab w:val="left" w:pos="794"/>
                <w:tab w:val="left" w:pos="1191"/>
              </w:tabs>
              <w:spacing w:before="20" w:after="20"/>
              <w:jc w:val="both"/>
              <w:rPr>
                <w:sz w:val="17"/>
                <w:szCs w:val="17"/>
              </w:rPr>
            </w:pPr>
            <w:r>
              <w:rPr>
                <w:i/>
                <w:sz w:val="17"/>
                <w:szCs w:val="17"/>
              </w:rPr>
              <w:t>EAD post CRM</w:t>
            </w:r>
            <w:r>
              <w:rPr>
                <w:sz w:val="17"/>
                <w:szCs w:val="17"/>
              </w:rPr>
              <w:t xml:space="preserve">: this column refers to the outstanding default risk exposure, or default risk exposure, of the netting sets calculated in accordance with the BCR.  For any SFT within a netting set that are subject to section 226MJ of the BCR where the </w:t>
            </w:r>
            <w:r w:rsidRPr="009411E7">
              <w:rPr>
                <w:sz w:val="17"/>
                <w:szCs w:val="17"/>
              </w:rPr>
              <w:t>CRM effect of any recognized collateral received under the SFTs is taken into account by using the comprehensive approach under Part 4</w:t>
            </w:r>
            <w:r>
              <w:rPr>
                <w:sz w:val="17"/>
                <w:szCs w:val="17"/>
              </w:rPr>
              <w:t xml:space="preserve"> </w:t>
            </w:r>
            <w:r w:rsidRPr="006F4B7A">
              <w:rPr>
                <w:sz w:val="17"/>
                <w:szCs w:val="17"/>
              </w:rPr>
              <w:t>of the BCR</w:t>
            </w:r>
            <w:r>
              <w:rPr>
                <w:sz w:val="17"/>
                <w:szCs w:val="17"/>
              </w:rPr>
              <w:t xml:space="preserve">, the amount reported should be the </w:t>
            </w:r>
            <w:r w:rsidRPr="009411E7">
              <w:rPr>
                <w:sz w:val="17"/>
                <w:szCs w:val="17"/>
              </w:rPr>
              <w:t>net credit exposure calculated in accordance with section 88 of the BCR</w:t>
            </w:r>
            <w:r w:rsidRPr="009411E7" w:rsidDel="009411E7">
              <w:rPr>
                <w:sz w:val="17"/>
                <w:szCs w:val="17"/>
              </w:rPr>
              <w:t xml:space="preserve"> </w:t>
            </w:r>
            <w:r>
              <w:rPr>
                <w:sz w:val="17"/>
                <w:szCs w:val="17"/>
              </w:rPr>
              <w:t>.</w:t>
            </w:r>
          </w:p>
        </w:tc>
      </w:tr>
      <w:tr w:rsidR="002A0515" w:rsidTr="00A54BE4">
        <w:trPr>
          <w:trHeight w:val="373"/>
        </w:trPr>
        <w:tc>
          <w:tcPr>
            <w:tcW w:w="425" w:type="dxa"/>
          </w:tcPr>
          <w:p w:rsidR="002A0515" w:rsidRDefault="002A0515" w:rsidP="00A54BE4">
            <w:pPr>
              <w:keepLines/>
              <w:widowControl w:val="0"/>
              <w:tabs>
                <w:tab w:val="left" w:pos="150"/>
                <w:tab w:val="left" w:pos="397"/>
                <w:tab w:val="left" w:pos="794"/>
                <w:tab w:val="left" w:pos="1191"/>
              </w:tabs>
              <w:spacing w:before="20" w:after="20"/>
              <w:rPr>
                <w:rFonts w:cs="Segoe UI"/>
                <w:sz w:val="17"/>
                <w:szCs w:val="17"/>
                <w:lang w:eastAsia="en-GB"/>
              </w:rPr>
            </w:pPr>
            <w:r>
              <w:rPr>
                <w:rFonts w:cs="Segoe UI"/>
                <w:sz w:val="17"/>
                <w:szCs w:val="17"/>
                <w:lang w:eastAsia="en-GB"/>
              </w:rPr>
              <w:t>(b)</w:t>
            </w:r>
          </w:p>
        </w:tc>
        <w:tc>
          <w:tcPr>
            <w:tcW w:w="8789" w:type="dxa"/>
          </w:tcPr>
          <w:p w:rsidR="002A0515" w:rsidRDefault="002A0515" w:rsidP="00A54BE4">
            <w:pPr>
              <w:pStyle w:val="TableNote"/>
              <w:keepNext/>
              <w:spacing w:before="40" w:after="40"/>
              <w:rPr>
                <w:sz w:val="17"/>
                <w:szCs w:val="17"/>
              </w:rPr>
            </w:pPr>
            <w:r>
              <w:rPr>
                <w:rFonts w:cs="Segoe UI"/>
                <w:i/>
                <w:sz w:val="17"/>
                <w:szCs w:val="17"/>
                <w:lang w:eastAsia="en-GB"/>
              </w:rPr>
              <w:t>RWA</w:t>
            </w:r>
            <w:r>
              <w:rPr>
                <w:rFonts w:cs="Segoe UI"/>
                <w:sz w:val="17"/>
                <w:szCs w:val="17"/>
                <w:lang w:eastAsia="en-GB"/>
              </w:rPr>
              <w:t xml:space="preserve">: </w:t>
            </w:r>
            <w:r>
              <w:rPr>
                <w:sz w:val="17"/>
                <w:szCs w:val="17"/>
              </w:rPr>
              <w:t xml:space="preserve">this column refers to the CVA risk-weighted amount. </w:t>
            </w:r>
          </w:p>
        </w:tc>
      </w:tr>
      <w:tr w:rsidR="002A0515" w:rsidTr="00A54BE4">
        <w:tc>
          <w:tcPr>
            <w:tcW w:w="9214" w:type="dxa"/>
            <w:gridSpan w:val="2"/>
            <w:shd w:val="clear" w:color="auto" w:fill="F2F2F2"/>
          </w:tcPr>
          <w:p w:rsidR="002A0515" w:rsidRDefault="002A0515" w:rsidP="00A54BE4">
            <w:pPr>
              <w:spacing w:before="40" w:after="40"/>
              <w:jc w:val="both"/>
              <w:rPr>
                <w:rFonts w:eastAsia="新細明體"/>
                <w:b/>
                <w:sz w:val="17"/>
                <w:szCs w:val="17"/>
                <w:lang w:eastAsia="en-GB"/>
              </w:rPr>
            </w:pPr>
            <w:r>
              <w:rPr>
                <w:rFonts w:eastAsia="新細明體"/>
                <w:b/>
                <w:sz w:val="17"/>
                <w:szCs w:val="17"/>
                <w:lang w:eastAsia="en-GB"/>
              </w:rPr>
              <w:t>Rows</w:t>
            </w:r>
          </w:p>
        </w:tc>
      </w:tr>
      <w:tr w:rsidR="002A0515" w:rsidTr="00A54BE4">
        <w:tc>
          <w:tcPr>
            <w:tcW w:w="425" w:type="dxa"/>
          </w:tcPr>
          <w:p w:rsidR="002A0515" w:rsidRDefault="002A0515" w:rsidP="00A54BE4">
            <w:pPr>
              <w:keepLines/>
              <w:widowControl w:val="0"/>
              <w:tabs>
                <w:tab w:val="left" w:pos="150"/>
                <w:tab w:val="left" w:pos="397"/>
                <w:tab w:val="left" w:pos="794"/>
                <w:tab w:val="left" w:pos="1191"/>
              </w:tabs>
              <w:spacing w:before="20" w:after="20"/>
              <w:rPr>
                <w:rFonts w:cs="Segoe UI"/>
                <w:sz w:val="17"/>
                <w:szCs w:val="17"/>
              </w:rPr>
            </w:pPr>
          </w:p>
        </w:tc>
        <w:tc>
          <w:tcPr>
            <w:tcW w:w="8789" w:type="dxa"/>
          </w:tcPr>
          <w:p w:rsidR="002A0515" w:rsidRDefault="002A0515" w:rsidP="00A54BE4">
            <w:pPr>
              <w:keepLines/>
              <w:widowControl w:val="0"/>
              <w:tabs>
                <w:tab w:val="left" w:pos="150"/>
                <w:tab w:val="left" w:pos="397"/>
                <w:tab w:val="left" w:pos="794"/>
                <w:tab w:val="left" w:pos="1191"/>
              </w:tabs>
              <w:spacing w:before="20" w:after="20"/>
              <w:jc w:val="both"/>
              <w:rPr>
                <w:rFonts w:cs="Segoe UI"/>
                <w:sz w:val="17"/>
                <w:szCs w:val="17"/>
              </w:rPr>
            </w:pPr>
            <w:r>
              <w:rPr>
                <w:bCs/>
                <w:i/>
                <w:sz w:val="17"/>
                <w:szCs w:val="17"/>
                <w:lang w:eastAsia="en-CA"/>
              </w:rPr>
              <w:t>Netting sets for which CVA capital charge is calculated by the advanced CVA method</w:t>
            </w:r>
            <w:r>
              <w:rPr>
                <w:rFonts w:cs="Segoe UI"/>
                <w:sz w:val="17"/>
                <w:szCs w:val="17"/>
              </w:rPr>
              <w:t>: the relevant amounts of the netting sets subject to the advanced CVA method according to Part 6A of the BCR.</w:t>
            </w:r>
          </w:p>
        </w:tc>
      </w:tr>
      <w:tr w:rsidR="002A0515" w:rsidTr="00A54BE4">
        <w:tc>
          <w:tcPr>
            <w:tcW w:w="425" w:type="dxa"/>
          </w:tcPr>
          <w:p w:rsidR="002A0515" w:rsidRDefault="002A0515" w:rsidP="00A54BE4">
            <w:pPr>
              <w:keepLines/>
              <w:widowControl w:val="0"/>
              <w:tabs>
                <w:tab w:val="left" w:pos="150"/>
                <w:tab w:val="left" w:pos="397"/>
                <w:tab w:val="left" w:pos="794"/>
                <w:tab w:val="left" w:pos="1191"/>
              </w:tabs>
              <w:spacing w:before="20" w:after="20"/>
              <w:rPr>
                <w:rFonts w:cs="Segoe UI"/>
                <w:sz w:val="17"/>
                <w:szCs w:val="17"/>
              </w:rPr>
            </w:pPr>
            <w:r>
              <w:rPr>
                <w:rFonts w:cs="Segoe UI"/>
                <w:sz w:val="17"/>
                <w:szCs w:val="17"/>
              </w:rPr>
              <w:t>1</w:t>
            </w:r>
          </w:p>
        </w:tc>
        <w:tc>
          <w:tcPr>
            <w:tcW w:w="8789" w:type="dxa"/>
          </w:tcPr>
          <w:p w:rsidR="002A0515" w:rsidRDefault="002A0515" w:rsidP="00A54BE4">
            <w:pPr>
              <w:keepLines/>
              <w:widowControl w:val="0"/>
              <w:tabs>
                <w:tab w:val="left" w:pos="150"/>
                <w:tab w:val="left" w:pos="397"/>
                <w:tab w:val="left" w:pos="794"/>
                <w:tab w:val="left" w:pos="1191"/>
              </w:tabs>
              <w:spacing w:before="20" w:after="20"/>
              <w:jc w:val="both"/>
              <w:rPr>
                <w:rFonts w:cs="Segoe UI"/>
                <w:sz w:val="17"/>
                <w:szCs w:val="17"/>
              </w:rPr>
            </w:pPr>
            <w:proofErr w:type="spellStart"/>
            <w:r>
              <w:rPr>
                <w:bCs/>
                <w:i/>
                <w:sz w:val="17"/>
                <w:szCs w:val="17"/>
                <w:lang w:eastAsia="en-CA"/>
              </w:rPr>
              <w:t>VaR</w:t>
            </w:r>
            <w:proofErr w:type="spellEnd"/>
            <w:r>
              <w:rPr>
                <w:bCs/>
                <w:i/>
                <w:sz w:val="17"/>
                <w:szCs w:val="17"/>
                <w:lang w:eastAsia="en-CA"/>
              </w:rPr>
              <w:t xml:space="preserve"> (after application of multiplication factor if applicable)</w:t>
            </w:r>
            <w:r>
              <w:rPr>
                <w:bCs/>
                <w:sz w:val="17"/>
                <w:szCs w:val="17"/>
                <w:lang w:eastAsia="en-CA"/>
              </w:rPr>
              <w:t xml:space="preserve">: the product of the </w:t>
            </w:r>
            <w:proofErr w:type="spellStart"/>
            <w:r>
              <w:rPr>
                <w:bCs/>
                <w:sz w:val="17"/>
                <w:szCs w:val="17"/>
                <w:lang w:eastAsia="en-CA"/>
              </w:rPr>
              <w:t>VaR</w:t>
            </w:r>
            <w:proofErr w:type="spellEnd"/>
            <w:r>
              <w:rPr>
                <w:bCs/>
                <w:sz w:val="17"/>
                <w:szCs w:val="17"/>
                <w:lang w:eastAsia="en-CA"/>
              </w:rPr>
              <w:t xml:space="preserve"> determined in accordance with </w:t>
            </w:r>
            <w:r>
              <w:rPr>
                <w:rFonts w:cs="Segoe UI"/>
                <w:sz w:val="17"/>
                <w:szCs w:val="17"/>
              </w:rPr>
              <w:t>Part 6A</w:t>
            </w:r>
            <w:r>
              <w:rPr>
                <w:bCs/>
                <w:sz w:val="17"/>
                <w:szCs w:val="17"/>
                <w:lang w:eastAsia="en-CA"/>
              </w:rPr>
              <w:t xml:space="preserve"> of the BCR and 12.5. </w:t>
            </w:r>
          </w:p>
        </w:tc>
      </w:tr>
      <w:tr w:rsidR="002A0515" w:rsidTr="00A54BE4">
        <w:tc>
          <w:tcPr>
            <w:tcW w:w="425" w:type="dxa"/>
          </w:tcPr>
          <w:p w:rsidR="002A0515" w:rsidRDefault="002A0515" w:rsidP="00A54BE4">
            <w:pPr>
              <w:keepLines/>
              <w:widowControl w:val="0"/>
              <w:tabs>
                <w:tab w:val="left" w:pos="150"/>
                <w:tab w:val="left" w:pos="397"/>
                <w:tab w:val="left" w:pos="794"/>
                <w:tab w:val="left" w:pos="1191"/>
              </w:tabs>
              <w:spacing w:before="20" w:after="20"/>
              <w:rPr>
                <w:rFonts w:cs="Segoe UI"/>
                <w:sz w:val="17"/>
                <w:szCs w:val="17"/>
              </w:rPr>
            </w:pPr>
            <w:r>
              <w:rPr>
                <w:rFonts w:cs="Segoe UI"/>
                <w:sz w:val="17"/>
                <w:szCs w:val="17"/>
              </w:rPr>
              <w:t>2</w:t>
            </w:r>
          </w:p>
        </w:tc>
        <w:tc>
          <w:tcPr>
            <w:tcW w:w="8789" w:type="dxa"/>
          </w:tcPr>
          <w:p w:rsidR="002A0515" w:rsidRDefault="002A0515" w:rsidP="00A54BE4">
            <w:pPr>
              <w:keepLines/>
              <w:widowControl w:val="0"/>
              <w:tabs>
                <w:tab w:val="left" w:pos="150"/>
                <w:tab w:val="left" w:pos="397"/>
                <w:tab w:val="left" w:pos="794"/>
                <w:tab w:val="left" w:pos="1191"/>
              </w:tabs>
              <w:spacing w:before="20" w:after="20"/>
              <w:jc w:val="both"/>
              <w:rPr>
                <w:rFonts w:cs="Segoe UI"/>
                <w:sz w:val="17"/>
                <w:szCs w:val="17"/>
              </w:rPr>
            </w:pPr>
            <w:r>
              <w:rPr>
                <w:bCs/>
                <w:i/>
                <w:sz w:val="17"/>
                <w:szCs w:val="17"/>
                <w:lang w:eastAsia="en-CA"/>
              </w:rPr>
              <w:t xml:space="preserve">Stressed </w:t>
            </w:r>
            <w:proofErr w:type="spellStart"/>
            <w:r>
              <w:rPr>
                <w:bCs/>
                <w:i/>
                <w:sz w:val="17"/>
                <w:szCs w:val="17"/>
                <w:lang w:eastAsia="en-CA"/>
              </w:rPr>
              <w:t>VaR</w:t>
            </w:r>
            <w:proofErr w:type="spellEnd"/>
            <w:r>
              <w:rPr>
                <w:bCs/>
                <w:i/>
                <w:sz w:val="17"/>
                <w:szCs w:val="17"/>
                <w:lang w:eastAsia="en-CA"/>
              </w:rPr>
              <w:t xml:space="preserve"> (after application of multiplication factor if applicable)</w:t>
            </w:r>
            <w:r>
              <w:rPr>
                <w:bCs/>
                <w:sz w:val="17"/>
                <w:szCs w:val="17"/>
                <w:lang w:eastAsia="en-CA"/>
              </w:rPr>
              <w:t xml:space="preserve">: the product of the stressed </w:t>
            </w:r>
            <w:proofErr w:type="spellStart"/>
            <w:r>
              <w:rPr>
                <w:bCs/>
                <w:sz w:val="17"/>
                <w:szCs w:val="17"/>
                <w:lang w:eastAsia="en-CA"/>
              </w:rPr>
              <w:t>VaR</w:t>
            </w:r>
            <w:proofErr w:type="spellEnd"/>
            <w:r>
              <w:rPr>
                <w:bCs/>
                <w:sz w:val="17"/>
                <w:szCs w:val="17"/>
                <w:lang w:eastAsia="en-CA"/>
              </w:rPr>
              <w:t xml:space="preserve"> determined in accordance with </w:t>
            </w:r>
            <w:r>
              <w:rPr>
                <w:rFonts w:cs="Segoe UI"/>
                <w:sz w:val="17"/>
                <w:szCs w:val="17"/>
              </w:rPr>
              <w:t>Part 6A</w:t>
            </w:r>
            <w:r>
              <w:rPr>
                <w:bCs/>
                <w:sz w:val="17"/>
                <w:szCs w:val="17"/>
                <w:lang w:eastAsia="en-CA"/>
              </w:rPr>
              <w:t xml:space="preserve"> of the BCR and 12.5. </w:t>
            </w:r>
          </w:p>
        </w:tc>
      </w:tr>
      <w:tr w:rsidR="002A0515" w:rsidTr="00A54BE4">
        <w:tc>
          <w:tcPr>
            <w:tcW w:w="425" w:type="dxa"/>
          </w:tcPr>
          <w:p w:rsidR="002A0515" w:rsidRDefault="002A0515" w:rsidP="00A54BE4">
            <w:pPr>
              <w:keepLines/>
              <w:widowControl w:val="0"/>
              <w:tabs>
                <w:tab w:val="left" w:pos="150"/>
                <w:tab w:val="left" w:pos="397"/>
                <w:tab w:val="left" w:pos="794"/>
                <w:tab w:val="left" w:pos="1191"/>
              </w:tabs>
              <w:spacing w:before="20" w:after="20"/>
              <w:rPr>
                <w:rFonts w:cs="Segoe UI"/>
                <w:sz w:val="17"/>
                <w:szCs w:val="17"/>
              </w:rPr>
            </w:pPr>
            <w:r>
              <w:rPr>
                <w:rFonts w:cs="Segoe UI"/>
                <w:sz w:val="17"/>
                <w:szCs w:val="17"/>
              </w:rPr>
              <w:t>3</w:t>
            </w:r>
          </w:p>
        </w:tc>
        <w:tc>
          <w:tcPr>
            <w:tcW w:w="8789" w:type="dxa"/>
          </w:tcPr>
          <w:p w:rsidR="002A0515" w:rsidRDefault="002A0515" w:rsidP="00A54BE4">
            <w:pPr>
              <w:keepLines/>
              <w:widowControl w:val="0"/>
              <w:tabs>
                <w:tab w:val="left" w:pos="150"/>
                <w:tab w:val="left" w:pos="397"/>
                <w:tab w:val="left" w:pos="794"/>
                <w:tab w:val="left" w:pos="1191"/>
              </w:tabs>
              <w:spacing w:before="20" w:after="20"/>
              <w:jc w:val="both"/>
              <w:rPr>
                <w:rFonts w:cs="Segoe UI"/>
                <w:sz w:val="17"/>
                <w:szCs w:val="17"/>
              </w:rPr>
            </w:pPr>
            <w:r>
              <w:rPr>
                <w:i/>
                <w:sz w:val="17"/>
                <w:szCs w:val="17"/>
              </w:rPr>
              <w:t>Netting sets for which CVA capital charge is calculated by the standardized CVA method</w:t>
            </w:r>
            <w:r>
              <w:rPr>
                <w:sz w:val="17"/>
                <w:szCs w:val="17"/>
              </w:rPr>
              <w:t xml:space="preserve">: </w:t>
            </w:r>
            <w:r>
              <w:rPr>
                <w:rFonts w:cs="Segoe UI"/>
                <w:sz w:val="17"/>
                <w:szCs w:val="17"/>
              </w:rPr>
              <w:t>the relevant amounts of the netting sets subject to the standardized CVA method according to Part 6A of the BCR.</w:t>
            </w:r>
          </w:p>
        </w:tc>
      </w:tr>
      <w:tr w:rsidR="002A0515" w:rsidTr="00A54BE4">
        <w:tc>
          <w:tcPr>
            <w:tcW w:w="425" w:type="dxa"/>
          </w:tcPr>
          <w:p w:rsidR="002A0515" w:rsidRDefault="002A0515" w:rsidP="00A54BE4">
            <w:pPr>
              <w:keepLines/>
              <w:widowControl w:val="0"/>
              <w:tabs>
                <w:tab w:val="left" w:pos="150"/>
                <w:tab w:val="left" w:pos="397"/>
                <w:tab w:val="left" w:pos="794"/>
                <w:tab w:val="left" w:pos="1191"/>
              </w:tabs>
              <w:spacing w:before="20" w:after="20"/>
              <w:rPr>
                <w:rFonts w:cs="Segoe UI"/>
                <w:sz w:val="17"/>
                <w:szCs w:val="17"/>
              </w:rPr>
            </w:pPr>
            <w:r>
              <w:rPr>
                <w:rFonts w:cs="Segoe UI"/>
                <w:sz w:val="17"/>
                <w:szCs w:val="17"/>
              </w:rPr>
              <w:t>4</w:t>
            </w:r>
          </w:p>
        </w:tc>
        <w:tc>
          <w:tcPr>
            <w:tcW w:w="8789" w:type="dxa"/>
          </w:tcPr>
          <w:p w:rsidR="002A0515" w:rsidRDefault="002A0515" w:rsidP="00A54BE4">
            <w:pPr>
              <w:keepLines/>
              <w:widowControl w:val="0"/>
              <w:tabs>
                <w:tab w:val="left" w:pos="150"/>
                <w:tab w:val="left" w:pos="397"/>
                <w:tab w:val="left" w:pos="794"/>
                <w:tab w:val="left" w:pos="1191"/>
              </w:tabs>
              <w:spacing w:before="20" w:after="20"/>
              <w:jc w:val="both"/>
              <w:rPr>
                <w:sz w:val="17"/>
                <w:szCs w:val="17"/>
              </w:rPr>
            </w:pPr>
            <w:r>
              <w:rPr>
                <w:bCs/>
                <w:i/>
                <w:sz w:val="17"/>
                <w:szCs w:val="17"/>
                <w:lang w:eastAsia="en-CA"/>
              </w:rPr>
              <w:t>Total</w:t>
            </w:r>
            <w:r>
              <w:rPr>
                <w:bCs/>
                <w:sz w:val="17"/>
                <w:szCs w:val="17"/>
                <w:lang w:eastAsia="en-CA"/>
              </w:rPr>
              <w:t>: for each of columns (a) and (b), this is equal to the sum of values in row “</w:t>
            </w:r>
            <w:r w:rsidRPr="00726580">
              <w:rPr>
                <w:bCs/>
                <w:sz w:val="17"/>
                <w:szCs w:val="17"/>
                <w:lang w:eastAsia="en-CA"/>
              </w:rPr>
              <w:t>Netting sets for which CVA capital charge is calculated by the advanced CVA method</w:t>
            </w:r>
            <w:r>
              <w:rPr>
                <w:bCs/>
                <w:sz w:val="17"/>
                <w:szCs w:val="17"/>
                <w:lang w:eastAsia="en-CA"/>
              </w:rPr>
              <w:t>”</w:t>
            </w:r>
            <w:r w:rsidRPr="00726580">
              <w:rPr>
                <w:bCs/>
                <w:sz w:val="17"/>
                <w:szCs w:val="17"/>
                <w:lang w:eastAsia="en-CA"/>
              </w:rPr>
              <w:t xml:space="preserve"> </w:t>
            </w:r>
            <w:r>
              <w:rPr>
                <w:bCs/>
                <w:sz w:val="17"/>
                <w:szCs w:val="17"/>
                <w:lang w:eastAsia="en-CA"/>
              </w:rPr>
              <w:t>and row 3 of the columns concerned.</w:t>
            </w:r>
          </w:p>
        </w:tc>
      </w:tr>
    </w:tbl>
    <w:p w:rsidR="002A0515" w:rsidRDefault="002A0515" w:rsidP="002A0515">
      <w:pPr>
        <w:spacing w:before="40" w:after="40"/>
        <w:jc w:val="both"/>
        <w:rPr>
          <w:sz w:val="22"/>
        </w:rPr>
        <w:sectPr w:rsidR="002A0515">
          <w:footerReference w:type="default" r:id="rId20"/>
          <w:pgSz w:w="11906" w:h="16838" w:code="9"/>
          <w:pgMar w:top="1440" w:right="1797" w:bottom="1440" w:left="1797" w:header="851" w:footer="737" w:gutter="0"/>
          <w:cols w:space="425"/>
          <w:docGrid w:type="linesAndChars" w:linePitch="360"/>
        </w:sectPr>
      </w:pPr>
    </w:p>
    <w:tbl>
      <w:tblPr>
        <w:tblW w:w="9498" w:type="dxa"/>
        <w:tblInd w:w="-743"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008"/>
        <w:gridCol w:w="7234"/>
        <w:gridCol w:w="256"/>
      </w:tblGrid>
      <w:tr w:rsidR="002A0515" w:rsidTr="00A54BE4">
        <w:trPr>
          <w:gridAfter w:val="1"/>
          <w:wAfter w:w="256" w:type="dxa"/>
        </w:trPr>
        <w:tc>
          <w:tcPr>
            <w:tcW w:w="9242" w:type="dxa"/>
            <w:gridSpan w:val="2"/>
            <w:tcBorders>
              <w:top w:val="nil"/>
            </w:tcBorders>
          </w:tcPr>
          <w:p w:rsidR="002A0515" w:rsidRDefault="002A0515" w:rsidP="00A54BE4">
            <w:pPr>
              <w:spacing w:before="40" w:after="40"/>
              <w:jc w:val="both"/>
              <w:rPr>
                <w:noProof/>
                <w:sz w:val="17"/>
                <w:lang w:eastAsia="en-GB"/>
              </w:rPr>
            </w:pPr>
            <w:r>
              <w:rPr>
                <w:sz w:val="22"/>
              </w:rPr>
              <w:t>Template CCR5: Composition of collateral for counterparty default risk exposures (including those for contracts or transactions cleared through CCPs)</w:t>
            </w:r>
          </w:p>
        </w:tc>
      </w:tr>
      <w:tr w:rsidR="002A0515" w:rsidTr="00A54BE4">
        <w:tc>
          <w:tcPr>
            <w:tcW w:w="2008" w:type="dxa"/>
          </w:tcPr>
          <w:p w:rsidR="002A0515" w:rsidRDefault="002A0515" w:rsidP="00A54BE4">
            <w:pPr>
              <w:spacing w:before="40" w:after="40"/>
              <w:rPr>
                <w:noProof/>
                <w:sz w:val="17"/>
                <w:lang w:eastAsia="en-GB"/>
              </w:rPr>
            </w:pPr>
            <w:r>
              <w:rPr>
                <w:b/>
                <w:sz w:val="17"/>
                <w:lang w:eastAsia="en-GB"/>
              </w:rPr>
              <w:t>Purpose:</w:t>
            </w:r>
            <w:r>
              <w:rPr>
                <w:sz w:val="17"/>
                <w:lang w:eastAsia="en-GB"/>
              </w:rPr>
              <w:t xml:space="preserve"> </w:t>
            </w:r>
          </w:p>
        </w:tc>
        <w:tc>
          <w:tcPr>
            <w:tcW w:w="7490" w:type="dxa"/>
            <w:gridSpan w:val="2"/>
          </w:tcPr>
          <w:p w:rsidR="002A0515" w:rsidRDefault="002A0515" w:rsidP="00A54BE4">
            <w:pPr>
              <w:pStyle w:val="TableText"/>
              <w:jc w:val="both"/>
              <w:rPr>
                <w:lang w:eastAsia="en-GB"/>
              </w:rPr>
            </w:pPr>
            <w:r>
              <w:rPr>
                <w:lang w:eastAsia="en-GB"/>
              </w:rPr>
              <w:t xml:space="preserve">To provide a breakdown of all types of collateral posted or recognized </w:t>
            </w:r>
            <w:r>
              <w:rPr>
                <w:rFonts w:eastAsia="新細明體"/>
                <w:szCs w:val="17"/>
                <w:lang w:eastAsia="en-GB"/>
              </w:rPr>
              <w:t>collateral</w:t>
            </w:r>
            <w:r>
              <w:rPr>
                <w:lang w:eastAsia="en-GB"/>
              </w:rPr>
              <w:t xml:space="preserve"> received to support or reduce the exposures to counterparty default risk exposures in respect of derivative contracts or SFTs entered into, including contracts or transactions cleared through a CCP.</w:t>
            </w:r>
          </w:p>
        </w:tc>
      </w:tr>
      <w:tr w:rsidR="002A0515" w:rsidTr="00A54BE4">
        <w:tc>
          <w:tcPr>
            <w:tcW w:w="2008" w:type="dxa"/>
          </w:tcPr>
          <w:p w:rsidR="002A0515" w:rsidRDefault="002A0515" w:rsidP="00A54BE4">
            <w:pPr>
              <w:spacing w:before="40" w:after="40"/>
              <w:rPr>
                <w:b/>
                <w:sz w:val="17"/>
                <w:lang w:eastAsia="en-GB"/>
              </w:rPr>
            </w:pPr>
            <w:r>
              <w:rPr>
                <w:b/>
                <w:sz w:val="17"/>
                <w:lang w:eastAsia="en-GB"/>
              </w:rPr>
              <w:t xml:space="preserve">Scope of application: </w:t>
            </w:r>
          </w:p>
        </w:tc>
        <w:tc>
          <w:tcPr>
            <w:tcW w:w="7490" w:type="dxa"/>
            <w:gridSpan w:val="2"/>
          </w:tcPr>
          <w:p w:rsidR="002A0515" w:rsidRDefault="002A0515" w:rsidP="00A54BE4">
            <w:pPr>
              <w:spacing w:before="40" w:after="40"/>
              <w:jc w:val="both"/>
              <w:rPr>
                <w:rFonts w:eastAsia="新細明體"/>
                <w:b/>
                <w:sz w:val="17"/>
                <w:lang w:eastAsia="en-GB"/>
              </w:rPr>
            </w:pPr>
            <w:r>
              <w:rPr>
                <w:rFonts w:eastAsia="新細明體"/>
                <w:sz w:val="17"/>
                <w:lang w:eastAsia="en-GB"/>
              </w:rPr>
              <w:t>The template is mandatory for all AIs</w:t>
            </w:r>
            <w:r>
              <w:t xml:space="preserve"> </w:t>
            </w:r>
            <w:r>
              <w:rPr>
                <w:rFonts w:eastAsia="新細明體"/>
                <w:sz w:val="17"/>
                <w:lang w:eastAsia="en-GB"/>
              </w:rPr>
              <w:t>incorporated in Hong Kong.</w:t>
            </w:r>
          </w:p>
        </w:tc>
      </w:tr>
      <w:tr w:rsidR="002A0515" w:rsidTr="00A54BE4">
        <w:tc>
          <w:tcPr>
            <w:tcW w:w="2008" w:type="dxa"/>
          </w:tcPr>
          <w:p w:rsidR="002A0515" w:rsidRDefault="002A0515" w:rsidP="00A54BE4">
            <w:pPr>
              <w:spacing w:before="40" w:after="40"/>
              <w:rPr>
                <w:b/>
                <w:sz w:val="17"/>
                <w:lang w:eastAsia="en-GB"/>
              </w:rPr>
            </w:pPr>
            <w:r>
              <w:rPr>
                <w:b/>
                <w:sz w:val="17"/>
                <w:lang w:eastAsia="en-GB"/>
              </w:rPr>
              <w:t xml:space="preserve">Content: </w:t>
            </w:r>
          </w:p>
        </w:tc>
        <w:tc>
          <w:tcPr>
            <w:tcW w:w="7490" w:type="dxa"/>
            <w:gridSpan w:val="2"/>
          </w:tcPr>
          <w:p w:rsidR="002A0515" w:rsidRDefault="002A0515" w:rsidP="00A54BE4">
            <w:pPr>
              <w:spacing w:before="40" w:after="40"/>
              <w:jc w:val="both"/>
              <w:rPr>
                <w:rFonts w:eastAsia="新細明體"/>
                <w:b/>
                <w:sz w:val="17"/>
                <w:szCs w:val="17"/>
                <w:lang w:eastAsia="en-GB"/>
              </w:rPr>
            </w:pPr>
            <w:r>
              <w:rPr>
                <w:rFonts w:cs="Segoe UI"/>
                <w:sz w:val="17"/>
                <w:szCs w:val="17"/>
                <w:lang w:eastAsia="en-GB"/>
              </w:rPr>
              <w:t>Carrying values of collateral posted</w:t>
            </w:r>
            <w:r>
              <w:rPr>
                <w:rFonts w:eastAsia="新細明體"/>
                <w:sz w:val="17"/>
                <w:szCs w:val="17"/>
                <w:lang w:eastAsia="en-GB"/>
              </w:rPr>
              <w:t xml:space="preserve"> and recognized collateral received in the context of derivative contracts or SFTs, irrespective of whether the contracts or transactions are cleared through a CCP and whether the</w:t>
            </w:r>
            <w:r>
              <w:rPr>
                <w:sz w:val="17"/>
                <w:szCs w:val="17"/>
                <w:lang w:eastAsia="en-GB"/>
              </w:rPr>
              <w:t xml:space="preserve"> </w:t>
            </w:r>
            <w:r>
              <w:rPr>
                <w:rFonts w:eastAsia="新細明體"/>
                <w:sz w:val="17"/>
                <w:szCs w:val="17"/>
                <w:lang w:eastAsia="en-GB"/>
              </w:rPr>
              <w:t>collateral is posted to a CCP.</w:t>
            </w:r>
          </w:p>
        </w:tc>
      </w:tr>
      <w:tr w:rsidR="002A0515" w:rsidTr="00A54BE4">
        <w:tc>
          <w:tcPr>
            <w:tcW w:w="2008" w:type="dxa"/>
          </w:tcPr>
          <w:p w:rsidR="002A0515" w:rsidRDefault="002A0515" w:rsidP="00A54BE4">
            <w:pPr>
              <w:spacing w:before="40" w:after="40"/>
              <w:rPr>
                <w:sz w:val="17"/>
                <w:lang w:eastAsia="en-GB"/>
              </w:rPr>
            </w:pPr>
            <w:r>
              <w:rPr>
                <w:b/>
                <w:sz w:val="17"/>
                <w:lang w:eastAsia="en-GB"/>
              </w:rPr>
              <w:t>Frequency:</w:t>
            </w:r>
            <w:r>
              <w:rPr>
                <w:sz w:val="17"/>
                <w:lang w:eastAsia="en-GB"/>
              </w:rPr>
              <w:t xml:space="preserve"> </w:t>
            </w:r>
          </w:p>
        </w:tc>
        <w:tc>
          <w:tcPr>
            <w:tcW w:w="7490" w:type="dxa"/>
            <w:gridSpan w:val="2"/>
          </w:tcPr>
          <w:p w:rsidR="002A0515" w:rsidRDefault="002A0515" w:rsidP="00A54BE4">
            <w:pPr>
              <w:pStyle w:val="TableText"/>
              <w:jc w:val="both"/>
              <w:rPr>
                <w:lang w:eastAsia="en-GB"/>
              </w:rPr>
            </w:pPr>
            <w:r>
              <w:rPr>
                <w:lang w:eastAsia="en-GB"/>
              </w:rPr>
              <w:t>Semi-annual.</w:t>
            </w:r>
          </w:p>
        </w:tc>
      </w:tr>
      <w:tr w:rsidR="002A0515" w:rsidTr="00A54BE4">
        <w:tc>
          <w:tcPr>
            <w:tcW w:w="2008" w:type="dxa"/>
          </w:tcPr>
          <w:p w:rsidR="002A0515" w:rsidRDefault="002A0515" w:rsidP="00A54BE4">
            <w:pPr>
              <w:spacing w:before="40" w:after="40"/>
              <w:rPr>
                <w:sz w:val="17"/>
                <w:lang w:eastAsia="en-GB"/>
              </w:rPr>
            </w:pPr>
            <w:r>
              <w:rPr>
                <w:b/>
                <w:sz w:val="17"/>
                <w:lang w:eastAsia="en-GB"/>
              </w:rPr>
              <w:t>Format:</w:t>
            </w:r>
            <w:r>
              <w:rPr>
                <w:sz w:val="17"/>
                <w:lang w:eastAsia="en-GB"/>
              </w:rPr>
              <w:t xml:space="preserve"> </w:t>
            </w:r>
          </w:p>
        </w:tc>
        <w:tc>
          <w:tcPr>
            <w:tcW w:w="7490" w:type="dxa"/>
            <w:gridSpan w:val="2"/>
          </w:tcPr>
          <w:p w:rsidR="002A0515" w:rsidRDefault="002A0515" w:rsidP="00A54BE4">
            <w:pPr>
              <w:pStyle w:val="TableText"/>
              <w:jc w:val="both"/>
              <w:rPr>
                <w:lang w:eastAsia="en-GB"/>
              </w:rPr>
            </w:pPr>
            <w:r>
              <w:rPr>
                <w:lang w:eastAsia="en-GB"/>
              </w:rPr>
              <w:t>Flexible.  The columns are fixed but the rows are flexible where the categories of collateral which may be recognized are those specified under Division 5 of Part 4, Division 5 of Part 5, or Division 10 of Part 6, of the BCR, as the case requires.</w:t>
            </w:r>
          </w:p>
        </w:tc>
      </w:tr>
      <w:tr w:rsidR="002A0515" w:rsidTr="00A54BE4">
        <w:tc>
          <w:tcPr>
            <w:tcW w:w="2008" w:type="dxa"/>
          </w:tcPr>
          <w:p w:rsidR="002A0515" w:rsidRDefault="002A0515" w:rsidP="00A54BE4">
            <w:pPr>
              <w:spacing w:before="40" w:after="40"/>
              <w:rPr>
                <w:b/>
                <w:sz w:val="17"/>
                <w:lang w:eastAsia="en-GB"/>
              </w:rPr>
            </w:pPr>
            <w:r>
              <w:rPr>
                <w:rFonts w:eastAsia="新細明體"/>
                <w:b/>
                <w:sz w:val="17"/>
                <w:szCs w:val="17"/>
                <w:lang w:eastAsia="en-GB"/>
              </w:rPr>
              <w:t>Accompanying narrative</w:t>
            </w:r>
            <w:r>
              <w:rPr>
                <w:rFonts w:eastAsia="新細明體"/>
                <w:sz w:val="17"/>
                <w:szCs w:val="17"/>
                <w:lang w:eastAsia="en-GB"/>
              </w:rPr>
              <w:t>:</w:t>
            </w:r>
          </w:p>
        </w:tc>
        <w:tc>
          <w:tcPr>
            <w:tcW w:w="7490" w:type="dxa"/>
            <w:gridSpan w:val="2"/>
          </w:tcPr>
          <w:p w:rsidR="002A0515" w:rsidRDefault="002A0515" w:rsidP="00A54BE4">
            <w:pPr>
              <w:pStyle w:val="TableText"/>
              <w:jc w:val="both"/>
              <w:rPr>
                <w:noProof/>
                <w:lang w:eastAsia="en-GB"/>
              </w:rPr>
            </w:pPr>
            <w:r>
              <w:rPr>
                <w:szCs w:val="17"/>
                <w:lang w:eastAsia="en-GB"/>
              </w:rPr>
              <w:t>An AI should supplement the template with a narrative commentary to explain any material movements in the current reporting period and the key drivers of such movements.</w:t>
            </w:r>
          </w:p>
        </w:tc>
      </w:tr>
      <w:tr w:rsidR="002A0515" w:rsidTr="00A54BE4">
        <w:tc>
          <w:tcPr>
            <w:tcW w:w="2008" w:type="dxa"/>
          </w:tcPr>
          <w:p w:rsidR="002A0515" w:rsidRDefault="002A0515" w:rsidP="00A54BE4">
            <w:pPr>
              <w:spacing w:before="40" w:after="40"/>
              <w:rPr>
                <w:rFonts w:eastAsia="新細明體"/>
                <w:b/>
                <w:sz w:val="17"/>
                <w:szCs w:val="17"/>
                <w:lang w:eastAsia="en-GB"/>
              </w:rPr>
            </w:pPr>
            <w:r>
              <w:rPr>
                <w:rFonts w:eastAsia="新細明體"/>
                <w:b/>
                <w:sz w:val="17"/>
                <w:szCs w:val="17"/>
                <w:lang w:eastAsia="en-GB"/>
              </w:rPr>
              <w:t>Corresponding BDR section:</w:t>
            </w:r>
          </w:p>
        </w:tc>
        <w:tc>
          <w:tcPr>
            <w:tcW w:w="7490" w:type="dxa"/>
            <w:gridSpan w:val="2"/>
          </w:tcPr>
          <w:p w:rsidR="002A0515" w:rsidRDefault="002A0515" w:rsidP="00A54BE4">
            <w:pPr>
              <w:pStyle w:val="TableText"/>
              <w:jc w:val="both"/>
              <w:rPr>
                <w:szCs w:val="17"/>
                <w:lang w:eastAsia="en-GB"/>
              </w:rPr>
            </w:pPr>
            <w:r>
              <w:rPr>
                <w:szCs w:val="17"/>
                <w:lang w:eastAsia="en-GB"/>
              </w:rPr>
              <w:t>16ZA</w:t>
            </w:r>
          </w:p>
        </w:tc>
      </w:tr>
    </w:tbl>
    <w:p w:rsidR="002A0515" w:rsidRDefault="002A0515" w:rsidP="002A0515">
      <w:pPr>
        <w:spacing w:before="60" w:after="60" w:line="200" w:lineRule="atLeast"/>
        <w:rPr>
          <w:sz w:val="22"/>
        </w:rPr>
      </w:pPr>
    </w:p>
    <w:tbl>
      <w:tblPr>
        <w:tblW w:w="9242" w:type="dxa"/>
        <w:tblInd w:w="-459" w:type="dxa"/>
        <w:tblBorders>
          <w:top w:val="single" w:sz="4" w:space="0" w:color="BCBDBC"/>
          <w:left w:val="single" w:sz="4" w:space="0" w:color="BFBFBF"/>
          <w:bottom w:val="single" w:sz="4" w:space="0" w:color="BCBDBC"/>
          <w:right w:val="single" w:sz="4" w:space="0" w:color="BFBFBF"/>
          <w:insideH w:val="single" w:sz="4" w:space="0" w:color="BCBDBC"/>
          <w:insideV w:val="single" w:sz="4" w:space="0" w:color="BCBDBC"/>
        </w:tblBorders>
        <w:tblLayout w:type="fixed"/>
        <w:tblLook w:val="00A0" w:firstRow="1" w:lastRow="0" w:firstColumn="1" w:lastColumn="0" w:noHBand="0" w:noVBand="0"/>
      </w:tblPr>
      <w:tblGrid>
        <w:gridCol w:w="851"/>
        <w:gridCol w:w="1534"/>
        <w:gridCol w:w="1140"/>
        <w:gridCol w:w="1140"/>
        <w:gridCol w:w="1140"/>
        <w:gridCol w:w="1141"/>
        <w:gridCol w:w="1134"/>
        <w:gridCol w:w="1134"/>
        <w:gridCol w:w="28"/>
      </w:tblGrid>
      <w:tr w:rsidR="002A0515" w:rsidTr="0087169A">
        <w:trPr>
          <w:cantSplit/>
        </w:trPr>
        <w:tc>
          <w:tcPr>
            <w:tcW w:w="2385" w:type="dxa"/>
            <w:gridSpan w:val="2"/>
            <w:tcBorders>
              <w:top w:val="nil"/>
              <w:left w:val="nil"/>
              <w:bottom w:val="nil"/>
              <w:right w:val="single" w:sz="4" w:space="0" w:color="auto"/>
            </w:tcBorders>
          </w:tcPr>
          <w:p w:rsidR="002A0515" w:rsidRDefault="002A0515" w:rsidP="00A54BE4">
            <w:pPr>
              <w:pStyle w:val="TableText"/>
              <w:snapToGrid w:val="0"/>
              <w:rPr>
                <w:szCs w:val="17"/>
                <w:lang w:eastAsia="en-GB"/>
              </w:rPr>
            </w:pPr>
          </w:p>
        </w:tc>
        <w:tc>
          <w:tcPr>
            <w:tcW w:w="1140" w:type="dxa"/>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rFonts w:cs="Segoe UI"/>
                <w:szCs w:val="17"/>
                <w:lang w:eastAsia="it-IT"/>
              </w:rPr>
            </w:pPr>
            <w:r>
              <w:rPr>
                <w:rFonts w:cs="Segoe UI"/>
                <w:szCs w:val="17"/>
                <w:lang w:eastAsia="it-IT"/>
              </w:rPr>
              <w:t>(a)</w:t>
            </w:r>
          </w:p>
        </w:tc>
        <w:tc>
          <w:tcPr>
            <w:tcW w:w="1140" w:type="dxa"/>
            <w:tcBorders>
              <w:top w:val="single" w:sz="4" w:space="0" w:color="auto"/>
              <w:left w:val="single" w:sz="4" w:space="0" w:color="auto"/>
              <w:bottom w:val="single" w:sz="4" w:space="0" w:color="auto"/>
              <w:right w:val="single" w:sz="4" w:space="0" w:color="auto"/>
            </w:tcBorders>
          </w:tcPr>
          <w:p w:rsidR="002A0515" w:rsidRDefault="002A0515" w:rsidP="00A54BE4">
            <w:pPr>
              <w:pStyle w:val="TableText"/>
              <w:snapToGrid w:val="0"/>
              <w:jc w:val="center"/>
              <w:rPr>
                <w:rFonts w:cs="Segoe UI"/>
                <w:szCs w:val="17"/>
                <w:lang w:eastAsia="it-IT"/>
              </w:rPr>
            </w:pPr>
            <w:r>
              <w:rPr>
                <w:rFonts w:cs="Segoe UI"/>
                <w:szCs w:val="17"/>
                <w:lang w:eastAsia="it-IT"/>
              </w:rPr>
              <w:t>(b)</w:t>
            </w:r>
          </w:p>
        </w:tc>
        <w:tc>
          <w:tcPr>
            <w:tcW w:w="1140" w:type="dxa"/>
            <w:tcBorders>
              <w:top w:val="single" w:sz="4" w:space="0" w:color="auto"/>
              <w:left w:val="single" w:sz="4" w:space="0" w:color="auto"/>
              <w:bottom w:val="single" w:sz="4" w:space="0" w:color="auto"/>
              <w:right w:val="single" w:sz="4" w:space="0" w:color="auto"/>
            </w:tcBorders>
          </w:tcPr>
          <w:p w:rsidR="002A0515" w:rsidRDefault="002A0515" w:rsidP="00A54BE4">
            <w:pPr>
              <w:pStyle w:val="TableText"/>
              <w:snapToGrid w:val="0"/>
              <w:jc w:val="center"/>
              <w:rPr>
                <w:rFonts w:cs="Segoe UI"/>
                <w:szCs w:val="17"/>
                <w:lang w:eastAsia="it-IT"/>
              </w:rPr>
            </w:pPr>
            <w:r>
              <w:rPr>
                <w:rFonts w:cs="Segoe UI"/>
                <w:szCs w:val="17"/>
                <w:lang w:eastAsia="it-IT"/>
              </w:rPr>
              <w:t>(c)</w:t>
            </w:r>
          </w:p>
        </w:tc>
        <w:tc>
          <w:tcPr>
            <w:tcW w:w="1141" w:type="dxa"/>
            <w:tcBorders>
              <w:top w:val="single" w:sz="4" w:space="0" w:color="auto"/>
              <w:left w:val="single" w:sz="4" w:space="0" w:color="auto"/>
              <w:bottom w:val="single" w:sz="4" w:space="0" w:color="auto"/>
              <w:right w:val="single" w:sz="4" w:space="0" w:color="auto"/>
            </w:tcBorders>
          </w:tcPr>
          <w:p w:rsidR="002A0515" w:rsidRDefault="002A0515" w:rsidP="00A54BE4">
            <w:pPr>
              <w:pStyle w:val="TableText"/>
              <w:snapToGrid w:val="0"/>
              <w:jc w:val="center"/>
              <w:rPr>
                <w:rFonts w:cs="Segoe UI"/>
                <w:szCs w:val="17"/>
                <w:lang w:eastAsia="it-IT"/>
              </w:rPr>
            </w:pPr>
            <w:r>
              <w:rPr>
                <w:rFonts w:cs="Segoe UI"/>
                <w:szCs w:val="17"/>
                <w:lang w:eastAsia="it-IT"/>
              </w:rPr>
              <w:t>(d)</w:t>
            </w:r>
          </w:p>
        </w:tc>
        <w:tc>
          <w:tcPr>
            <w:tcW w:w="1134" w:type="dxa"/>
            <w:tcBorders>
              <w:top w:val="single" w:sz="4" w:space="0" w:color="auto"/>
              <w:left w:val="single" w:sz="4" w:space="0" w:color="auto"/>
              <w:bottom w:val="single" w:sz="4" w:space="0" w:color="auto"/>
              <w:right w:val="single" w:sz="4" w:space="0" w:color="auto"/>
            </w:tcBorders>
          </w:tcPr>
          <w:p w:rsidR="002A0515" w:rsidRDefault="002A0515" w:rsidP="00A54BE4">
            <w:pPr>
              <w:pStyle w:val="TableText"/>
              <w:snapToGrid w:val="0"/>
              <w:jc w:val="center"/>
              <w:rPr>
                <w:rFonts w:cs="Segoe UI"/>
                <w:szCs w:val="17"/>
                <w:lang w:eastAsia="it-IT"/>
              </w:rPr>
            </w:pPr>
            <w:r>
              <w:rPr>
                <w:rFonts w:cs="Segoe UI"/>
                <w:szCs w:val="17"/>
                <w:lang w:eastAsia="it-IT"/>
              </w:rPr>
              <w:t>(e)</w:t>
            </w:r>
          </w:p>
        </w:tc>
        <w:tc>
          <w:tcPr>
            <w:tcW w:w="1162" w:type="dxa"/>
            <w:gridSpan w:val="2"/>
            <w:tcBorders>
              <w:top w:val="single" w:sz="4" w:space="0" w:color="auto"/>
              <w:left w:val="single" w:sz="4" w:space="0" w:color="auto"/>
              <w:bottom w:val="single" w:sz="4" w:space="0" w:color="auto"/>
              <w:right w:val="single" w:sz="4" w:space="0" w:color="auto"/>
            </w:tcBorders>
          </w:tcPr>
          <w:p w:rsidR="002A0515" w:rsidRDefault="002A0515" w:rsidP="00A54BE4">
            <w:pPr>
              <w:pStyle w:val="TableText"/>
              <w:snapToGrid w:val="0"/>
              <w:jc w:val="center"/>
              <w:rPr>
                <w:rFonts w:cs="Segoe UI"/>
                <w:szCs w:val="17"/>
                <w:lang w:eastAsia="it-IT"/>
              </w:rPr>
            </w:pPr>
            <w:r>
              <w:rPr>
                <w:rFonts w:cs="Segoe UI"/>
                <w:szCs w:val="17"/>
                <w:lang w:eastAsia="it-IT"/>
              </w:rPr>
              <w:t>(f)</w:t>
            </w:r>
          </w:p>
        </w:tc>
      </w:tr>
      <w:tr w:rsidR="002A0515" w:rsidTr="0087169A">
        <w:trPr>
          <w:cantSplit/>
        </w:trPr>
        <w:tc>
          <w:tcPr>
            <w:tcW w:w="2385" w:type="dxa"/>
            <w:gridSpan w:val="2"/>
            <w:tcBorders>
              <w:top w:val="nil"/>
              <w:left w:val="nil"/>
              <w:bottom w:val="nil"/>
              <w:right w:val="single" w:sz="4" w:space="0" w:color="auto"/>
            </w:tcBorders>
          </w:tcPr>
          <w:p w:rsidR="002A0515" w:rsidRDefault="002A0515" w:rsidP="00A54BE4">
            <w:pPr>
              <w:pStyle w:val="TableText"/>
              <w:snapToGrid w:val="0"/>
              <w:rPr>
                <w:spacing w:val="-16"/>
                <w:szCs w:val="17"/>
                <w:lang w:eastAsia="en-GB"/>
              </w:rPr>
            </w:pPr>
          </w:p>
        </w:tc>
        <w:tc>
          <w:tcPr>
            <w:tcW w:w="4561" w:type="dxa"/>
            <w:gridSpan w:val="4"/>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rFonts w:cs="Segoe UI"/>
                <w:spacing w:val="-16"/>
                <w:szCs w:val="17"/>
                <w:lang w:eastAsia="it-IT"/>
              </w:rPr>
            </w:pPr>
            <w:r>
              <w:rPr>
                <w:szCs w:val="17"/>
                <w:lang w:eastAsia="en-GB"/>
              </w:rPr>
              <w:t>Derivative contracts</w:t>
            </w:r>
          </w:p>
        </w:tc>
        <w:tc>
          <w:tcPr>
            <w:tcW w:w="2296" w:type="dxa"/>
            <w:gridSpan w:val="3"/>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rFonts w:cs="Segoe UI"/>
                <w:spacing w:val="-16"/>
                <w:szCs w:val="17"/>
                <w:lang w:eastAsia="it-IT"/>
              </w:rPr>
            </w:pPr>
            <w:r>
              <w:rPr>
                <w:szCs w:val="17"/>
                <w:lang w:eastAsia="en-GB"/>
              </w:rPr>
              <w:t>SFTs</w:t>
            </w:r>
            <w:r>
              <w:rPr>
                <w:rStyle w:val="FootnoteReference"/>
                <w:rFonts w:eastAsia="Calibri"/>
                <w:szCs w:val="17"/>
                <w:lang w:eastAsia="en-GB"/>
              </w:rPr>
              <w:footnoteReference w:id="3"/>
            </w:r>
          </w:p>
        </w:tc>
      </w:tr>
      <w:tr w:rsidR="002A0515" w:rsidTr="0087169A">
        <w:trPr>
          <w:cantSplit/>
          <w:trHeight w:val="310"/>
        </w:trPr>
        <w:tc>
          <w:tcPr>
            <w:tcW w:w="2385" w:type="dxa"/>
            <w:gridSpan w:val="2"/>
            <w:vMerge w:val="restart"/>
            <w:tcBorders>
              <w:top w:val="nil"/>
              <w:left w:val="nil"/>
              <w:right w:val="single" w:sz="4" w:space="0" w:color="auto"/>
            </w:tcBorders>
          </w:tcPr>
          <w:p w:rsidR="002A0515" w:rsidRDefault="002A0515" w:rsidP="00A54BE4">
            <w:pPr>
              <w:pStyle w:val="TableText"/>
              <w:snapToGrid w:val="0"/>
              <w:rPr>
                <w:spacing w:val="-16"/>
                <w:szCs w:val="17"/>
                <w:lang w:eastAsia="en-GB"/>
              </w:rPr>
            </w:pPr>
          </w:p>
        </w:tc>
        <w:tc>
          <w:tcPr>
            <w:tcW w:w="2280" w:type="dxa"/>
            <w:gridSpan w:val="2"/>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rFonts w:cs="Segoe UI"/>
                <w:spacing w:val="-16"/>
                <w:szCs w:val="17"/>
                <w:lang w:eastAsia="it-IT"/>
              </w:rPr>
            </w:pPr>
            <w:r>
              <w:rPr>
                <w:szCs w:val="17"/>
                <w:lang w:eastAsia="en-GB"/>
              </w:rPr>
              <w:t>Fair value of recognized collateral received</w:t>
            </w:r>
          </w:p>
        </w:tc>
        <w:tc>
          <w:tcPr>
            <w:tcW w:w="2281" w:type="dxa"/>
            <w:gridSpan w:val="2"/>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rFonts w:cs="Segoe UI"/>
                <w:spacing w:val="-16"/>
                <w:szCs w:val="17"/>
                <w:lang w:eastAsia="it-IT"/>
              </w:rPr>
            </w:pPr>
            <w:r>
              <w:rPr>
                <w:szCs w:val="17"/>
                <w:lang w:eastAsia="en-GB"/>
              </w:rPr>
              <w:t>Fair value of posted collateral</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rFonts w:cs="Segoe UI"/>
                <w:spacing w:val="-16"/>
                <w:szCs w:val="17"/>
                <w:lang w:eastAsia="it-IT"/>
              </w:rPr>
            </w:pPr>
            <w:r>
              <w:rPr>
                <w:szCs w:val="17"/>
                <w:lang w:eastAsia="en-GB"/>
              </w:rPr>
              <w:t>Fair value of recognized collateral received</w:t>
            </w:r>
          </w:p>
        </w:tc>
        <w:tc>
          <w:tcPr>
            <w:tcW w:w="1162" w:type="dxa"/>
            <w:gridSpan w:val="2"/>
            <w:vMerge w:val="restart"/>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rFonts w:cs="Segoe UI"/>
                <w:spacing w:val="-16"/>
                <w:szCs w:val="17"/>
                <w:lang w:eastAsia="it-IT"/>
              </w:rPr>
            </w:pPr>
            <w:r>
              <w:rPr>
                <w:szCs w:val="17"/>
                <w:lang w:eastAsia="en-GB"/>
              </w:rPr>
              <w:t>Fair value of posted  collateral</w:t>
            </w:r>
          </w:p>
        </w:tc>
      </w:tr>
      <w:tr w:rsidR="002A0515" w:rsidTr="00A54BE4">
        <w:trPr>
          <w:cantSplit/>
          <w:trHeight w:val="310"/>
          <w:tblHeader/>
        </w:trPr>
        <w:tc>
          <w:tcPr>
            <w:tcW w:w="2385" w:type="dxa"/>
            <w:gridSpan w:val="2"/>
            <w:vMerge/>
            <w:tcBorders>
              <w:left w:val="nil"/>
              <w:bottom w:val="single" w:sz="4" w:space="0" w:color="auto"/>
              <w:right w:val="single" w:sz="4" w:space="0" w:color="auto"/>
            </w:tcBorders>
          </w:tcPr>
          <w:p w:rsidR="002A0515" w:rsidRDefault="002A0515" w:rsidP="00A54BE4">
            <w:pPr>
              <w:pStyle w:val="TableText"/>
              <w:snapToGrid w:val="0"/>
              <w:rPr>
                <w:spacing w:val="-16"/>
                <w:szCs w:val="17"/>
                <w:lang w:eastAsia="en-GB"/>
              </w:rPr>
            </w:pPr>
          </w:p>
        </w:tc>
        <w:tc>
          <w:tcPr>
            <w:tcW w:w="1140" w:type="dxa"/>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rFonts w:cs="Segoe UI"/>
                <w:spacing w:val="-16"/>
                <w:szCs w:val="17"/>
                <w:lang w:eastAsia="it-IT"/>
              </w:rPr>
            </w:pPr>
            <w:r>
              <w:rPr>
                <w:szCs w:val="17"/>
                <w:lang w:eastAsia="en-GB"/>
              </w:rPr>
              <w:t>Segregated</w:t>
            </w:r>
          </w:p>
        </w:tc>
        <w:tc>
          <w:tcPr>
            <w:tcW w:w="1140" w:type="dxa"/>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ind w:leftChars="-44" w:left="-88" w:rightChars="-60" w:right="-120"/>
              <w:jc w:val="center"/>
              <w:rPr>
                <w:rFonts w:cs="Segoe UI"/>
                <w:spacing w:val="-16"/>
                <w:szCs w:val="17"/>
                <w:lang w:eastAsia="it-IT"/>
              </w:rPr>
            </w:pPr>
            <w:r>
              <w:rPr>
                <w:szCs w:val="17"/>
                <w:lang w:eastAsia="en-GB"/>
              </w:rPr>
              <w:t>Unsegregated</w:t>
            </w:r>
          </w:p>
        </w:tc>
        <w:tc>
          <w:tcPr>
            <w:tcW w:w="1140" w:type="dxa"/>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rFonts w:cs="Segoe UI"/>
                <w:spacing w:val="-16"/>
                <w:szCs w:val="17"/>
                <w:lang w:eastAsia="it-IT"/>
              </w:rPr>
            </w:pPr>
            <w:r>
              <w:rPr>
                <w:szCs w:val="17"/>
                <w:lang w:eastAsia="en-GB"/>
              </w:rPr>
              <w:t>Segregated</w:t>
            </w:r>
          </w:p>
        </w:tc>
        <w:tc>
          <w:tcPr>
            <w:tcW w:w="1141" w:type="dxa"/>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ind w:leftChars="-50" w:left="-100" w:rightChars="-54" w:right="-108"/>
              <w:jc w:val="center"/>
              <w:rPr>
                <w:rFonts w:cs="Segoe UI"/>
                <w:spacing w:val="-16"/>
                <w:szCs w:val="17"/>
                <w:lang w:eastAsia="it-IT"/>
              </w:rPr>
            </w:pPr>
            <w:r>
              <w:rPr>
                <w:szCs w:val="17"/>
                <w:lang w:eastAsia="en-GB"/>
              </w:rPr>
              <w:t>Unsegregated</w:t>
            </w:r>
          </w:p>
        </w:tc>
        <w:tc>
          <w:tcPr>
            <w:tcW w:w="1134" w:type="dxa"/>
            <w:vMerge/>
            <w:tcBorders>
              <w:left w:val="single" w:sz="4" w:space="0" w:color="auto"/>
              <w:bottom w:val="single" w:sz="4" w:space="0" w:color="auto"/>
              <w:right w:val="single" w:sz="4" w:space="0" w:color="auto"/>
            </w:tcBorders>
          </w:tcPr>
          <w:p w:rsidR="002A0515" w:rsidRDefault="002A0515" w:rsidP="00A54BE4">
            <w:pPr>
              <w:pStyle w:val="TableText"/>
              <w:snapToGrid w:val="0"/>
              <w:rPr>
                <w:rFonts w:cs="Segoe UI"/>
                <w:spacing w:val="-16"/>
                <w:szCs w:val="17"/>
                <w:lang w:eastAsia="it-IT"/>
              </w:rPr>
            </w:pPr>
          </w:p>
        </w:tc>
        <w:tc>
          <w:tcPr>
            <w:tcW w:w="1162" w:type="dxa"/>
            <w:gridSpan w:val="2"/>
            <w:vMerge/>
            <w:tcBorders>
              <w:left w:val="single" w:sz="4" w:space="0" w:color="auto"/>
              <w:bottom w:val="single" w:sz="4" w:space="0" w:color="auto"/>
              <w:right w:val="single" w:sz="4" w:space="0" w:color="auto"/>
            </w:tcBorders>
          </w:tcPr>
          <w:p w:rsidR="002A0515" w:rsidRDefault="002A0515" w:rsidP="00A54BE4">
            <w:pPr>
              <w:pStyle w:val="TableText"/>
              <w:snapToGrid w:val="0"/>
              <w:rPr>
                <w:rFonts w:cs="Segoe UI"/>
                <w:spacing w:val="-16"/>
                <w:szCs w:val="17"/>
                <w:lang w:eastAsia="it-IT"/>
              </w:rPr>
            </w:pPr>
          </w:p>
        </w:tc>
      </w:tr>
      <w:tr w:rsidR="002A0515" w:rsidTr="00A54BE4">
        <w:trPr>
          <w:cantSplit/>
        </w:trPr>
        <w:tc>
          <w:tcPr>
            <w:tcW w:w="2385" w:type="dxa"/>
            <w:gridSpan w:val="2"/>
            <w:tcBorders>
              <w:top w:val="single" w:sz="4" w:space="0" w:color="auto"/>
              <w:left w:val="nil"/>
              <w:right w:val="single" w:sz="4" w:space="0" w:color="auto"/>
            </w:tcBorders>
          </w:tcPr>
          <w:p w:rsidR="002A0515" w:rsidRDefault="002A0515" w:rsidP="00A54BE4">
            <w:pPr>
              <w:pStyle w:val="TableText"/>
              <w:snapToGrid w:val="0"/>
              <w:rPr>
                <w:szCs w:val="17"/>
                <w:lang w:eastAsia="en-GB"/>
              </w:rPr>
            </w:pPr>
            <w:r>
              <w:rPr>
                <w:rFonts w:cs="Segoe UI"/>
                <w:szCs w:val="17"/>
                <w:lang w:eastAsia="en-GB"/>
              </w:rPr>
              <w:t>Cash</w:t>
            </w:r>
            <w:r>
              <w:rPr>
                <w:szCs w:val="17"/>
                <w:lang w:eastAsia="en-GB"/>
              </w:rPr>
              <w:t xml:space="preserve"> - domestic currency</w:t>
            </w:r>
            <w:r>
              <w:rPr>
                <w:rStyle w:val="FootnoteReference"/>
                <w:szCs w:val="17"/>
                <w:lang w:eastAsia="en-GB"/>
              </w:rPr>
              <w:footnoteReference w:id="4"/>
            </w:r>
          </w:p>
        </w:tc>
        <w:tc>
          <w:tcPr>
            <w:tcW w:w="1140"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40"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40"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41"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34"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62" w:type="dxa"/>
            <w:gridSpan w:val="2"/>
            <w:tcBorders>
              <w:left w:val="single" w:sz="4" w:space="0" w:color="auto"/>
              <w:right w:val="single" w:sz="4" w:space="0" w:color="auto"/>
            </w:tcBorders>
          </w:tcPr>
          <w:p w:rsidR="002A0515" w:rsidRDefault="002A0515" w:rsidP="00A54BE4">
            <w:pPr>
              <w:pStyle w:val="TableText"/>
              <w:snapToGrid w:val="0"/>
              <w:rPr>
                <w:szCs w:val="17"/>
                <w:lang w:eastAsia="en-GB"/>
              </w:rPr>
            </w:pPr>
          </w:p>
        </w:tc>
      </w:tr>
      <w:tr w:rsidR="002A0515" w:rsidTr="00A54BE4">
        <w:trPr>
          <w:cantSplit/>
        </w:trPr>
        <w:tc>
          <w:tcPr>
            <w:tcW w:w="2385" w:type="dxa"/>
            <w:gridSpan w:val="2"/>
            <w:tcBorders>
              <w:left w:val="nil"/>
              <w:right w:val="single" w:sz="4" w:space="0" w:color="auto"/>
            </w:tcBorders>
          </w:tcPr>
          <w:p w:rsidR="002A0515" w:rsidRDefault="002A0515" w:rsidP="00A54BE4">
            <w:pPr>
              <w:pStyle w:val="TableText"/>
              <w:snapToGrid w:val="0"/>
              <w:rPr>
                <w:szCs w:val="17"/>
                <w:lang w:eastAsia="en-GB"/>
              </w:rPr>
            </w:pPr>
            <w:r>
              <w:rPr>
                <w:szCs w:val="17"/>
                <w:lang w:eastAsia="en-GB"/>
              </w:rPr>
              <w:t>Cash - other currencies</w:t>
            </w:r>
          </w:p>
        </w:tc>
        <w:tc>
          <w:tcPr>
            <w:tcW w:w="1140"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40"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40"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41"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34"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62" w:type="dxa"/>
            <w:gridSpan w:val="2"/>
            <w:tcBorders>
              <w:left w:val="single" w:sz="4" w:space="0" w:color="auto"/>
              <w:right w:val="single" w:sz="4" w:space="0" w:color="auto"/>
            </w:tcBorders>
          </w:tcPr>
          <w:p w:rsidR="002A0515" w:rsidRDefault="002A0515" w:rsidP="00A54BE4">
            <w:pPr>
              <w:pStyle w:val="TableText"/>
              <w:snapToGrid w:val="0"/>
              <w:rPr>
                <w:szCs w:val="17"/>
                <w:lang w:eastAsia="en-GB"/>
              </w:rPr>
            </w:pPr>
          </w:p>
        </w:tc>
      </w:tr>
      <w:tr w:rsidR="002A0515" w:rsidTr="00A54BE4">
        <w:trPr>
          <w:cantSplit/>
        </w:trPr>
        <w:tc>
          <w:tcPr>
            <w:tcW w:w="2385" w:type="dxa"/>
            <w:gridSpan w:val="2"/>
            <w:tcBorders>
              <w:left w:val="nil"/>
              <w:right w:val="single" w:sz="4" w:space="0" w:color="auto"/>
            </w:tcBorders>
          </w:tcPr>
          <w:p w:rsidR="002A0515" w:rsidRDefault="002A0515" w:rsidP="00A54BE4">
            <w:pPr>
              <w:pStyle w:val="TableText"/>
              <w:snapToGrid w:val="0"/>
              <w:rPr>
                <w:szCs w:val="17"/>
                <w:lang w:eastAsia="en-GB"/>
              </w:rPr>
            </w:pPr>
            <w:r>
              <w:rPr>
                <w:szCs w:val="17"/>
                <w:lang w:eastAsia="en-GB"/>
              </w:rPr>
              <w:t>Domestic sovereign debt</w:t>
            </w:r>
          </w:p>
        </w:tc>
        <w:tc>
          <w:tcPr>
            <w:tcW w:w="1140"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40"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40"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41"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34"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62" w:type="dxa"/>
            <w:gridSpan w:val="2"/>
            <w:tcBorders>
              <w:left w:val="single" w:sz="4" w:space="0" w:color="auto"/>
              <w:right w:val="single" w:sz="4" w:space="0" w:color="auto"/>
            </w:tcBorders>
          </w:tcPr>
          <w:p w:rsidR="002A0515" w:rsidRDefault="002A0515" w:rsidP="00A54BE4">
            <w:pPr>
              <w:pStyle w:val="TableText"/>
              <w:snapToGrid w:val="0"/>
              <w:rPr>
                <w:szCs w:val="17"/>
                <w:lang w:eastAsia="en-GB"/>
              </w:rPr>
            </w:pPr>
          </w:p>
        </w:tc>
      </w:tr>
      <w:tr w:rsidR="002A0515" w:rsidTr="00A54BE4">
        <w:trPr>
          <w:cantSplit/>
        </w:trPr>
        <w:tc>
          <w:tcPr>
            <w:tcW w:w="2385" w:type="dxa"/>
            <w:gridSpan w:val="2"/>
            <w:tcBorders>
              <w:left w:val="nil"/>
              <w:right w:val="single" w:sz="4" w:space="0" w:color="auto"/>
            </w:tcBorders>
          </w:tcPr>
          <w:p w:rsidR="002A0515" w:rsidRDefault="002A0515" w:rsidP="00A54BE4">
            <w:pPr>
              <w:pStyle w:val="TableText"/>
              <w:snapToGrid w:val="0"/>
              <w:rPr>
                <w:szCs w:val="17"/>
                <w:lang w:eastAsia="en-GB"/>
              </w:rPr>
            </w:pPr>
            <w:r>
              <w:rPr>
                <w:szCs w:val="17"/>
                <w:lang w:eastAsia="en-GB"/>
              </w:rPr>
              <w:t>Other sovereign debt</w:t>
            </w:r>
          </w:p>
        </w:tc>
        <w:tc>
          <w:tcPr>
            <w:tcW w:w="1140"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40"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40"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41"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34"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62" w:type="dxa"/>
            <w:gridSpan w:val="2"/>
            <w:tcBorders>
              <w:left w:val="single" w:sz="4" w:space="0" w:color="auto"/>
              <w:right w:val="single" w:sz="4" w:space="0" w:color="auto"/>
            </w:tcBorders>
          </w:tcPr>
          <w:p w:rsidR="002A0515" w:rsidRDefault="002A0515" w:rsidP="00A54BE4">
            <w:pPr>
              <w:pStyle w:val="TableText"/>
              <w:snapToGrid w:val="0"/>
              <w:rPr>
                <w:szCs w:val="17"/>
                <w:lang w:eastAsia="en-GB"/>
              </w:rPr>
            </w:pPr>
          </w:p>
        </w:tc>
      </w:tr>
      <w:tr w:rsidR="002A0515" w:rsidTr="00A54BE4">
        <w:trPr>
          <w:cantSplit/>
        </w:trPr>
        <w:tc>
          <w:tcPr>
            <w:tcW w:w="2385" w:type="dxa"/>
            <w:gridSpan w:val="2"/>
            <w:tcBorders>
              <w:left w:val="nil"/>
              <w:right w:val="single" w:sz="4" w:space="0" w:color="auto"/>
            </w:tcBorders>
          </w:tcPr>
          <w:p w:rsidR="002A0515" w:rsidRDefault="002A0515" w:rsidP="00A54BE4">
            <w:pPr>
              <w:pStyle w:val="TableText"/>
              <w:snapToGrid w:val="0"/>
              <w:rPr>
                <w:szCs w:val="17"/>
                <w:lang w:eastAsia="en-GB"/>
              </w:rPr>
            </w:pPr>
            <w:r>
              <w:rPr>
                <w:szCs w:val="17"/>
                <w:lang w:eastAsia="en-GB"/>
              </w:rPr>
              <w:t>Government agency debt</w:t>
            </w:r>
          </w:p>
        </w:tc>
        <w:tc>
          <w:tcPr>
            <w:tcW w:w="1140"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40"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40"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41"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34"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62" w:type="dxa"/>
            <w:gridSpan w:val="2"/>
            <w:tcBorders>
              <w:left w:val="single" w:sz="4" w:space="0" w:color="auto"/>
              <w:right w:val="single" w:sz="4" w:space="0" w:color="auto"/>
            </w:tcBorders>
          </w:tcPr>
          <w:p w:rsidR="002A0515" w:rsidRDefault="002A0515" w:rsidP="00A54BE4">
            <w:pPr>
              <w:pStyle w:val="TableText"/>
              <w:snapToGrid w:val="0"/>
              <w:rPr>
                <w:szCs w:val="17"/>
                <w:lang w:eastAsia="en-GB"/>
              </w:rPr>
            </w:pPr>
          </w:p>
        </w:tc>
      </w:tr>
      <w:tr w:rsidR="002A0515" w:rsidTr="00A54BE4">
        <w:trPr>
          <w:cantSplit/>
        </w:trPr>
        <w:tc>
          <w:tcPr>
            <w:tcW w:w="2385" w:type="dxa"/>
            <w:gridSpan w:val="2"/>
            <w:tcBorders>
              <w:left w:val="nil"/>
              <w:right w:val="single" w:sz="4" w:space="0" w:color="auto"/>
            </w:tcBorders>
          </w:tcPr>
          <w:p w:rsidR="002A0515" w:rsidRDefault="002A0515" w:rsidP="00A54BE4">
            <w:pPr>
              <w:pStyle w:val="TableText"/>
              <w:snapToGrid w:val="0"/>
              <w:rPr>
                <w:szCs w:val="17"/>
                <w:lang w:eastAsia="en-GB"/>
              </w:rPr>
            </w:pPr>
            <w:r>
              <w:rPr>
                <w:szCs w:val="17"/>
                <w:lang w:eastAsia="en-GB"/>
              </w:rPr>
              <w:t>Corporate bonds</w:t>
            </w:r>
          </w:p>
        </w:tc>
        <w:tc>
          <w:tcPr>
            <w:tcW w:w="1140"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40"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40"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41"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34"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62" w:type="dxa"/>
            <w:gridSpan w:val="2"/>
            <w:tcBorders>
              <w:left w:val="single" w:sz="4" w:space="0" w:color="auto"/>
              <w:right w:val="single" w:sz="4" w:space="0" w:color="auto"/>
            </w:tcBorders>
          </w:tcPr>
          <w:p w:rsidR="002A0515" w:rsidRDefault="002A0515" w:rsidP="00A54BE4">
            <w:pPr>
              <w:pStyle w:val="TableText"/>
              <w:snapToGrid w:val="0"/>
              <w:rPr>
                <w:szCs w:val="17"/>
                <w:lang w:eastAsia="en-GB"/>
              </w:rPr>
            </w:pPr>
          </w:p>
        </w:tc>
      </w:tr>
      <w:tr w:rsidR="002A0515" w:rsidTr="00A54BE4">
        <w:trPr>
          <w:cantSplit/>
        </w:trPr>
        <w:tc>
          <w:tcPr>
            <w:tcW w:w="2385" w:type="dxa"/>
            <w:gridSpan w:val="2"/>
            <w:tcBorders>
              <w:left w:val="nil"/>
              <w:right w:val="single" w:sz="4" w:space="0" w:color="auto"/>
            </w:tcBorders>
          </w:tcPr>
          <w:p w:rsidR="002A0515" w:rsidRDefault="002A0515" w:rsidP="00A54BE4">
            <w:pPr>
              <w:pStyle w:val="TableText"/>
              <w:snapToGrid w:val="0"/>
              <w:rPr>
                <w:szCs w:val="17"/>
                <w:lang w:eastAsia="en-GB"/>
              </w:rPr>
            </w:pPr>
            <w:r>
              <w:rPr>
                <w:szCs w:val="17"/>
                <w:lang w:eastAsia="en-GB"/>
              </w:rPr>
              <w:t>Equity securities</w:t>
            </w:r>
          </w:p>
        </w:tc>
        <w:tc>
          <w:tcPr>
            <w:tcW w:w="1140"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40"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40"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41"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34" w:type="dxa"/>
            <w:tcBorders>
              <w:left w:val="single" w:sz="4" w:space="0" w:color="auto"/>
              <w:right w:val="single" w:sz="4" w:space="0" w:color="auto"/>
            </w:tcBorders>
          </w:tcPr>
          <w:p w:rsidR="002A0515" w:rsidRDefault="002A0515" w:rsidP="00A54BE4">
            <w:pPr>
              <w:pStyle w:val="TableText"/>
              <w:snapToGrid w:val="0"/>
              <w:rPr>
                <w:szCs w:val="17"/>
                <w:lang w:eastAsia="en-GB"/>
              </w:rPr>
            </w:pPr>
          </w:p>
        </w:tc>
        <w:tc>
          <w:tcPr>
            <w:tcW w:w="1162" w:type="dxa"/>
            <w:gridSpan w:val="2"/>
            <w:tcBorders>
              <w:left w:val="single" w:sz="4" w:space="0" w:color="auto"/>
              <w:right w:val="single" w:sz="4" w:space="0" w:color="auto"/>
            </w:tcBorders>
          </w:tcPr>
          <w:p w:rsidR="002A0515" w:rsidRDefault="002A0515" w:rsidP="00A54BE4">
            <w:pPr>
              <w:pStyle w:val="TableText"/>
              <w:snapToGrid w:val="0"/>
              <w:rPr>
                <w:szCs w:val="17"/>
                <w:lang w:eastAsia="en-GB"/>
              </w:rPr>
            </w:pPr>
          </w:p>
        </w:tc>
      </w:tr>
      <w:tr w:rsidR="002A0515" w:rsidTr="00A54BE4">
        <w:trPr>
          <w:cantSplit/>
        </w:trPr>
        <w:tc>
          <w:tcPr>
            <w:tcW w:w="2385" w:type="dxa"/>
            <w:gridSpan w:val="2"/>
            <w:tcBorders>
              <w:left w:val="nil"/>
              <w:bottom w:val="single" w:sz="4" w:space="0" w:color="BCBDBC"/>
              <w:right w:val="single" w:sz="4" w:space="0" w:color="auto"/>
            </w:tcBorders>
          </w:tcPr>
          <w:p w:rsidR="002A0515" w:rsidRDefault="002A0515" w:rsidP="00A54BE4">
            <w:pPr>
              <w:pStyle w:val="TableText"/>
              <w:snapToGrid w:val="0"/>
              <w:rPr>
                <w:szCs w:val="17"/>
                <w:lang w:eastAsia="en-GB"/>
              </w:rPr>
            </w:pPr>
            <w:r>
              <w:rPr>
                <w:szCs w:val="17"/>
                <w:lang w:eastAsia="en-GB"/>
              </w:rPr>
              <w:t>Other collateral</w:t>
            </w:r>
          </w:p>
        </w:tc>
        <w:tc>
          <w:tcPr>
            <w:tcW w:w="1140" w:type="dxa"/>
            <w:tcBorders>
              <w:left w:val="single" w:sz="4" w:space="0" w:color="auto"/>
              <w:bottom w:val="single" w:sz="4" w:space="0" w:color="BCBDBC"/>
              <w:right w:val="single" w:sz="4" w:space="0" w:color="auto"/>
            </w:tcBorders>
          </w:tcPr>
          <w:p w:rsidR="002A0515" w:rsidRDefault="002A0515" w:rsidP="00A54BE4">
            <w:pPr>
              <w:pStyle w:val="TableText"/>
              <w:snapToGrid w:val="0"/>
              <w:rPr>
                <w:szCs w:val="17"/>
                <w:lang w:eastAsia="en-GB"/>
              </w:rPr>
            </w:pPr>
          </w:p>
        </w:tc>
        <w:tc>
          <w:tcPr>
            <w:tcW w:w="1140" w:type="dxa"/>
            <w:tcBorders>
              <w:left w:val="single" w:sz="4" w:space="0" w:color="auto"/>
              <w:bottom w:val="single" w:sz="4" w:space="0" w:color="BCBDBC"/>
              <w:right w:val="single" w:sz="4" w:space="0" w:color="auto"/>
            </w:tcBorders>
          </w:tcPr>
          <w:p w:rsidR="002A0515" w:rsidRDefault="002A0515" w:rsidP="00A54BE4">
            <w:pPr>
              <w:pStyle w:val="TableText"/>
              <w:snapToGrid w:val="0"/>
              <w:rPr>
                <w:szCs w:val="17"/>
                <w:lang w:eastAsia="en-GB"/>
              </w:rPr>
            </w:pPr>
          </w:p>
        </w:tc>
        <w:tc>
          <w:tcPr>
            <w:tcW w:w="1140" w:type="dxa"/>
            <w:tcBorders>
              <w:left w:val="single" w:sz="4" w:space="0" w:color="auto"/>
              <w:bottom w:val="single" w:sz="4" w:space="0" w:color="BCBDBC"/>
              <w:right w:val="single" w:sz="4" w:space="0" w:color="auto"/>
            </w:tcBorders>
          </w:tcPr>
          <w:p w:rsidR="002A0515" w:rsidRDefault="002A0515" w:rsidP="00A54BE4">
            <w:pPr>
              <w:pStyle w:val="TableText"/>
              <w:snapToGrid w:val="0"/>
              <w:rPr>
                <w:szCs w:val="17"/>
                <w:lang w:eastAsia="en-GB"/>
              </w:rPr>
            </w:pPr>
          </w:p>
        </w:tc>
        <w:tc>
          <w:tcPr>
            <w:tcW w:w="1141" w:type="dxa"/>
            <w:tcBorders>
              <w:left w:val="single" w:sz="4" w:space="0" w:color="auto"/>
              <w:bottom w:val="single" w:sz="4" w:space="0" w:color="BCBDBC"/>
              <w:right w:val="single" w:sz="4" w:space="0" w:color="auto"/>
            </w:tcBorders>
          </w:tcPr>
          <w:p w:rsidR="002A0515" w:rsidRDefault="002A0515" w:rsidP="00A54BE4">
            <w:pPr>
              <w:pStyle w:val="TableText"/>
              <w:snapToGrid w:val="0"/>
              <w:rPr>
                <w:szCs w:val="17"/>
                <w:lang w:eastAsia="en-GB"/>
              </w:rPr>
            </w:pPr>
          </w:p>
        </w:tc>
        <w:tc>
          <w:tcPr>
            <w:tcW w:w="1134" w:type="dxa"/>
            <w:tcBorders>
              <w:left w:val="single" w:sz="4" w:space="0" w:color="auto"/>
              <w:bottom w:val="single" w:sz="4" w:space="0" w:color="BCBDBC"/>
              <w:right w:val="single" w:sz="4" w:space="0" w:color="auto"/>
            </w:tcBorders>
          </w:tcPr>
          <w:p w:rsidR="002A0515" w:rsidRDefault="002A0515" w:rsidP="00A54BE4">
            <w:pPr>
              <w:pStyle w:val="TableText"/>
              <w:snapToGrid w:val="0"/>
              <w:rPr>
                <w:szCs w:val="17"/>
                <w:lang w:eastAsia="en-GB"/>
              </w:rPr>
            </w:pPr>
          </w:p>
        </w:tc>
        <w:tc>
          <w:tcPr>
            <w:tcW w:w="1162" w:type="dxa"/>
            <w:gridSpan w:val="2"/>
            <w:tcBorders>
              <w:left w:val="single" w:sz="4" w:space="0" w:color="auto"/>
              <w:bottom w:val="single" w:sz="4" w:space="0" w:color="BCBDBC"/>
              <w:right w:val="single" w:sz="4" w:space="0" w:color="auto"/>
            </w:tcBorders>
          </w:tcPr>
          <w:p w:rsidR="002A0515" w:rsidRDefault="002A0515" w:rsidP="00A54BE4">
            <w:pPr>
              <w:pStyle w:val="TableText"/>
              <w:snapToGrid w:val="0"/>
              <w:rPr>
                <w:szCs w:val="17"/>
                <w:lang w:eastAsia="en-GB"/>
              </w:rPr>
            </w:pPr>
          </w:p>
        </w:tc>
      </w:tr>
      <w:tr w:rsidR="002A0515" w:rsidTr="00A54BE4">
        <w:trPr>
          <w:cantSplit/>
        </w:trPr>
        <w:tc>
          <w:tcPr>
            <w:tcW w:w="2385" w:type="dxa"/>
            <w:gridSpan w:val="2"/>
            <w:tcBorders>
              <w:left w:val="nil"/>
              <w:bottom w:val="single" w:sz="4" w:space="0" w:color="BCBDBC"/>
              <w:right w:val="single" w:sz="4" w:space="0" w:color="auto"/>
            </w:tcBorders>
          </w:tcPr>
          <w:p w:rsidR="002A0515" w:rsidRDefault="002A0515" w:rsidP="00A54BE4">
            <w:pPr>
              <w:pStyle w:val="TableText"/>
              <w:snapToGrid w:val="0"/>
              <w:rPr>
                <w:szCs w:val="17"/>
                <w:lang w:eastAsia="en-GB"/>
              </w:rPr>
            </w:pPr>
            <w:r>
              <w:rPr>
                <w:szCs w:val="17"/>
                <w:lang w:eastAsia="en-GB"/>
              </w:rPr>
              <w:t>…</w:t>
            </w:r>
          </w:p>
        </w:tc>
        <w:tc>
          <w:tcPr>
            <w:tcW w:w="1140" w:type="dxa"/>
            <w:tcBorders>
              <w:left w:val="single" w:sz="4" w:space="0" w:color="auto"/>
              <w:bottom w:val="single" w:sz="4" w:space="0" w:color="BCBDBC"/>
              <w:right w:val="single" w:sz="4" w:space="0" w:color="auto"/>
            </w:tcBorders>
          </w:tcPr>
          <w:p w:rsidR="002A0515" w:rsidRDefault="002A0515" w:rsidP="00A54BE4">
            <w:pPr>
              <w:pStyle w:val="TableText"/>
              <w:snapToGrid w:val="0"/>
              <w:rPr>
                <w:szCs w:val="17"/>
                <w:lang w:eastAsia="en-GB"/>
              </w:rPr>
            </w:pPr>
          </w:p>
        </w:tc>
        <w:tc>
          <w:tcPr>
            <w:tcW w:w="1140" w:type="dxa"/>
            <w:tcBorders>
              <w:left w:val="single" w:sz="4" w:space="0" w:color="auto"/>
              <w:bottom w:val="single" w:sz="4" w:space="0" w:color="BCBDBC"/>
              <w:right w:val="single" w:sz="4" w:space="0" w:color="auto"/>
            </w:tcBorders>
          </w:tcPr>
          <w:p w:rsidR="002A0515" w:rsidRDefault="002A0515" w:rsidP="00A54BE4">
            <w:pPr>
              <w:pStyle w:val="TableText"/>
              <w:snapToGrid w:val="0"/>
              <w:rPr>
                <w:szCs w:val="17"/>
                <w:lang w:eastAsia="en-GB"/>
              </w:rPr>
            </w:pPr>
          </w:p>
        </w:tc>
        <w:tc>
          <w:tcPr>
            <w:tcW w:w="1140" w:type="dxa"/>
            <w:tcBorders>
              <w:left w:val="single" w:sz="4" w:space="0" w:color="auto"/>
              <w:bottom w:val="single" w:sz="4" w:space="0" w:color="BCBDBC"/>
              <w:right w:val="single" w:sz="4" w:space="0" w:color="auto"/>
            </w:tcBorders>
          </w:tcPr>
          <w:p w:rsidR="002A0515" w:rsidRDefault="002A0515" w:rsidP="00A54BE4">
            <w:pPr>
              <w:pStyle w:val="TableText"/>
              <w:snapToGrid w:val="0"/>
              <w:rPr>
                <w:szCs w:val="17"/>
                <w:lang w:eastAsia="en-GB"/>
              </w:rPr>
            </w:pPr>
          </w:p>
        </w:tc>
        <w:tc>
          <w:tcPr>
            <w:tcW w:w="1141" w:type="dxa"/>
            <w:tcBorders>
              <w:left w:val="single" w:sz="4" w:space="0" w:color="auto"/>
              <w:bottom w:val="single" w:sz="4" w:space="0" w:color="BCBDBC"/>
              <w:right w:val="single" w:sz="4" w:space="0" w:color="auto"/>
            </w:tcBorders>
          </w:tcPr>
          <w:p w:rsidR="002A0515" w:rsidRDefault="002A0515" w:rsidP="00A54BE4">
            <w:pPr>
              <w:pStyle w:val="TableText"/>
              <w:snapToGrid w:val="0"/>
              <w:rPr>
                <w:szCs w:val="17"/>
                <w:lang w:eastAsia="en-GB"/>
              </w:rPr>
            </w:pPr>
          </w:p>
        </w:tc>
        <w:tc>
          <w:tcPr>
            <w:tcW w:w="1134" w:type="dxa"/>
            <w:tcBorders>
              <w:left w:val="single" w:sz="4" w:space="0" w:color="auto"/>
              <w:bottom w:val="single" w:sz="4" w:space="0" w:color="BCBDBC"/>
              <w:right w:val="single" w:sz="4" w:space="0" w:color="auto"/>
            </w:tcBorders>
          </w:tcPr>
          <w:p w:rsidR="002A0515" w:rsidRDefault="002A0515" w:rsidP="00A54BE4">
            <w:pPr>
              <w:pStyle w:val="TableText"/>
              <w:snapToGrid w:val="0"/>
              <w:rPr>
                <w:szCs w:val="17"/>
                <w:lang w:eastAsia="en-GB"/>
              </w:rPr>
            </w:pPr>
          </w:p>
        </w:tc>
        <w:tc>
          <w:tcPr>
            <w:tcW w:w="1162" w:type="dxa"/>
            <w:gridSpan w:val="2"/>
            <w:tcBorders>
              <w:left w:val="single" w:sz="4" w:space="0" w:color="auto"/>
              <w:bottom w:val="single" w:sz="4" w:space="0" w:color="BCBDBC"/>
              <w:right w:val="single" w:sz="4" w:space="0" w:color="auto"/>
            </w:tcBorders>
          </w:tcPr>
          <w:p w:rsidR="002A0515" w:rsidRDefault="002A0515" w:rsidP="00A54BE4">
            <w:pPr>
              <w:pStyle w:val="TableText"/>
              <w:snapToGrid w:val="0"/>
              <w:rPr>
                <w:szCs w:val="17"/>
                <w:lang w:eastAsia="en-GB"/>
              </w:rPr>
            </w:pPr>
          </w:p>
        </w:tc>
      </w:tr>
      <w:tr w:rsidR="002A0515" w:rsidTr="00A54BE4">
        <w:trPr>
          <w:cantSplit/>
        </w:trPr>
        <w:tc>
          <w:tcPr>
            <w:tcW w:w="2385" w:type="dxa"/>
            <w:gridSpan w:val="2"/>
            <w:tcBorders>
              <w:left w:val="nil"/>
              <w:bottom w:val="single" w:sz="4" w:space="0" w:color="auto"/>
              <w:right w:val="single" w:sz="4" w:space="0" w:color="auto"/>
            </w:tcBorders>
          </w:tcPr>
          <w:p w:rsidR="002A0515" w:rsidRDefault="002A0515" w:rsidP="00A54BE4">
            <w:pPr>
              <w:pStyle w:val="TableText"/>
              <w:snapToGrid w:val="0"/>
              <w:rPr>
                <w:b/>
                <w:szCs w:val="17"/>
                <w:lang w:eastAsia="en-GB"/>
              </w:rPr>
            </w:pPr>
            <w:r>
              <w:rPr>
                <w:b/>
                <w:szCs w:val="17"/>
                <w:lang w:eastAsia="en-GB"/>
              </w:rPr>
              <w:t>Total</w:t>
            </w:r>
          </w:p>
        </w:tc>
        <w:tc>
          <w:tcPr>
            <w:tcW w:w="1140" w:type="dxa"/>
            <w:tcBorders>
              <w:left w:val="single" w:sz="4" w:space="0" w:color="auto"/>
              <w:bottom w:val="single" w:sz="4" w:space="0" w:color="auto"/>
              <w:right w:val="single" w:sz="4" w:space="0" w:color="auto"/>
            </w:tcBorders>
          </w:tcPr>
          <w:p w:rsidR="002A0515" w:rsidRDefault="002A0515" w:rsidP="00A54BE4">
            <w:pPr>
              <w:pStyle w:val="TableText"/>
              <w:snapToGrid w:val="0"/>
              <w:rPr>
                <w:b/>
                <w:szCs w:val="17"/>
                <w:lang w:eastAsia="en-GB"/>
              </w:rPr>
            </w:pPr>
          </w:p>
        </w:tc>
        <w:tc>
          <w:tcPr>
            <w:tcW w:w="1140" w:type="dxa"/>
            <w:tcBorders>
              <w:left w:val="single" w:sz="4" w:space="0" w:color="auto"/>
              <w:bottom w:val="single" w:sz="4" w:space="0" w:color="auto"/>
              <w:right w:val="single" w:sz="4" w:space="0" w:color="auto"/>
            </w:tcBorders>
          </w:tcPr>
          <w:p w:rsidR="002A0515" w:rsidRDefault="002A0515" w:rsidP="00A54BE4">
            <w:pPr>
              <w:pStyle w:val="TableText"/>
              <w:snapToGrid w:val="0"/>
              <w:rPr>
                <w:b/>
                <w:szCs w:val="17"/>
                <w:lang w:eastAsia="en-GB"/>
              </w:rPr>
            </w:pPr>
          </w:p>
        </w:tc>
        <w:tc>
          <w:tcPr>
            <w:tcW w:w="1140" w:type="dxa"/>
            <w:tcBorders>
              <w:left w:val="single" w:sz="4" w:space="0" w:color="auto"/>
              <w:bottom w:val="single" w:sz="4" w:space="0" w:color="auto"/>
              <w:right w:val="single" w:sz="4" w:space="0" w:color="auto"/>
            </w:tcBorders>
          </w:tcPr>
          <w:p w:rsidR="002A0515" w:rsidRDefault="002A0515" w:rsidP="00A54BE4">
            <w:pPr>
              <w:pStyle w:val="TableText"/>
              <w:snapToGrid w:val="0"/>
              <w:rPr>
                <w:b/>
                <w:szCs w:val="17"/>
                <w:lang w:eastAsia="en-GB"/>
              </w:rPr>
            </w:pPr>
          </w:p>
        </w:tc>
        <w:tc>
          <w:tcPr>
            <w:tcW w:w="1141" w:type="dxa"/>
            <w:tcBorders>
              <w:left w:val="single" w:sz="4" w:space="0" w:color="auto"/>
              <w:bottom w:val="single" w:sz="4" w:space="0" w:color="auto"/>
              <w:right w:val="single" w:sz="4" w:space="0" w:color="auto"/>
            </w:tcBorders>
          </w:tcPr>
          <w:p w:rsidR="002A0515" w:rsidRDefault="002A0515" w:rsidP="00A54BE4">
            <w:pPr>
              <w:pStyle w:val="TableText"/>
              <w:snapToGrid w:val="0"/>
              <w:rPr>
                <w:b/>
                <w:szCs w:val="17"/>
                <w:lang w:eastAsia="en-GB"/>
              </w:rPr>
            </w:pPr>
          </w:p>
        </w:tc>
        <w:tc>
          <w:tcPr>
            <w:tcW w:w="1134" w:type="dxa"/>
            <w:tcBorders>
              <w:left w:val="single" w:sz="4" w:space="0" w:color="auto"/>
              <w:bottom w:val="single" w:sz="4" w:space="0" w:color="auto"/>
              <w:right w:val="single" w:sz="4" w:space="0" w:color="auto"/>
            </w:tcBorders>
          </w:tcPr>
          <w:p w:rsidR="002A0515" w:rsidRDefault="002A0515" w:rsidP="00A54BE4">
            <w:pPr>
              <w:pStyle w:val="TableText"/>
              <w:snapToGrid w:val="0"/>
              <w:rPr>
                <w:b/>
                <w:szCs w:val="17"/>
                <w:lang w:eastAsia="en-GB"/>
              </w:rPr>
            </w:pPr>
          </w:p>
        </w:tc>
        <w:tc>
          <w:tcPr>
            <w:tcW w:w="1162" w:type="dxa"/>
            <w:gridSpan w:val="2"/>
            <w:tcBorders>
              <w:left w:val="single" w:sz="4" w:space="0" w:color="auto"/>
              <w:bottom w:val="single" w:sz="4" w:space="0" w:color="auto"/>
              <w:right w:val="single" w:sz="4" w:space="0" w:color="auto"/>
            </w:tcBorders>
          </w:tcPr>
          <w:p w:rsidR="002A0515" w:rsidRDefault="002A0515" w:rsidP="00A54BE4">
            <w:pPr>
              <w:pStyle w:val="TableText"/>
              <w:snapToGrid w:val="0"/>
              <w:rPr>
                <w:b/>
                <w:szCs w:val="17"/>
                <w:lang w:eastAsia="en-GB"/>
              </w:rPr>
            </w:pPr>
          </w:p>
        </w:tc>
      </w:tr>
      <w:tr w:rsidR="002A0515" w:rsidTr="00A54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28" w:type="dxa"/>
          <w:tblHeader/>
        </w:trPr>
        <w:tc>
          <w:tcPr>
            <w:tcW w:w="9214" w:type="dxa"/>
            <w:gridSpan w:val="8"/>
            <w:shd w:val="clear" w:color="auto" w:fill="BFBFBF"/>
          </w:tcPr>
          <w:p w:rsidR="002A0515" w:rsidRDefault="002A0515" w:rsidP="00A54BE4">
            <w:pPr>
              <w:spacing w:before="40" w:after="40"/>
              <w:jc w:val="both"/>
              <w:rPr>
                <w:rFonts w:eastAsia="新細明體"/>
                <w:b/>
                <w:sz w:val="17"/>
                <w:szCs w:val="17"/>
                <w:lang w:eastAsia="en-GB"/>
              </w:rPr>
            </w:pPr>
            <w:r>
              <w:rPr>
                <w:rFonts w:eastAsia="新細明體"/>
                <w:b/>
                <w:sz w:val="17"/>
                <w:szCs w:val="17"/>
                <w:lang w:eastAsia="en-GB"/>
              </w:rPr>
              <w:t>Explanatory Note</w:t>
            </w:r>
          </w:p>
        </w:tc>
      </w:tr>
      <w:tr w:rsidR="002A0515" w:rsidTr="00A54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28" w:type="dxa"/>
          <w:trHeight w:val="153"/>
        </w:trPr>
        <w:tc>
          <w:tcPr>
            <w:tcW w:w="9214" w:type="dxa"/>
            <w:gridSpan w:val="8"/>
            <w:shd w:val="clear" w:color="auto" w:fill="F2F2F2"/>
          </w:tcPr>
          <w:p w:rsidR="002A0515" w:rsidRDefault="002A0515" w:rsidP="00A54BE4">
            <w:pPr>
              <w:spacing w:before="40" w:after="40"/>
              <w:jc w:val="both"/>
              <w:rPr>
                <w:rFonts w:eastAsia="新細明體"/>
                <w:b/>
                <w:sz w:val="17"/>
                <w:szCs w:val="17"/>
                <w:lang w:eastAsia="en-GB"/>
              </w:rPr>
            </w:pPr>
            <w:r>
              <w:rPr>
                <w:rFonts w:eastAsia="新細明體"/>
                <w:b/>
                <w:sz w:val="17"/>
                <w:szCs w:val="17"/>
                <w:lang w:eastAsia="en-GB"/>
              </w:rPr>
              <w:t>Columns</w:t>
            </w:r>
          </w:p>
        </w:tc>
      </w:tr>
      <w:tr w:rsidR="002A0515" w:rsidTr="00A54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28" w:type="dxa"/>
        </w:trPr>
        <w:tc>
          <w:tcPr>
            <w:tcW w:w="851"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(a), (b) and (e)</w:t>
            </w:r>
          </w:p>
        </w:tc>
        <w:tc>
          <w:tcPr>
            <w:tcW w:w="8363" w:type="dxa"/>
            <w:gridSpan w:val="7"/>
          </w:tcPr>
          <w:p w:rsidR="002A0515" w:rsidRDefault="002A0515" w:rsidP="00A54BE4">
            <w:pPr>
              <w:pStyle w:val="TableText"/>
              <w:keepNext/>
              <w:jc w:val="both"/>
              <w:rPr>
                <w:rFonts w:eastAsia="Calibri" w:cs="Segoe UI"/>
                <w:szCs w:val="17"/>
                <w:lang w:eastAsia="en-GB"/>
              </w:rPr>
            </w:pPr>
            <w:r>
              <w:rPr>
                <w:rFonts w:eastAsia="Calibri" w:cs="Segoe UI"/>
                <w:i/>
                <w:szCs w:val="17"/>
                <w:lang w:eastAsia="en-GB"/>
              </w:rPr>
              <w:t>Fair value of recognized collateral received</w:t>
            </w:r>
            <w:r>
              <w:rPr>
                <w:rFonts w:eastAsia="Calibri" w:cs="Segoe UI"/>
                <w:szCs w:val="17"/>
                <w:lang w:eastAsia="en-GB"/>
              </w:rPr>
              <w:t>: the disclosed fair value of recognized collateral received should be after any haircut (if applicable), meaning the value of recognized collateral received will be reduced after haircut (i.e. C(1-H</w:t>
            </w:r>
            <w:r>
              <w:rPr>
                <w:rFonts w:eastAsia="Calibri" w:cs="Segoe UI"/>
                <w:sz w:val="16"/>
                <w:szCs w:val="17"/>
                <w:lang w:eastAsia="en-GB"/>
              </w:rPr>
              <w:t>s</w:t>
            </w:r>
            <w:r>
              <w:rPr>
                <w:rFonts w:eastAsia="Calibri" w:cs="Segoe UI"/>
                <w:szCs w:val="17"/>
                <w:lang w:eastAsia="en-GB"/>
              </w:rPr>
              <w:t xml:space="preserve">)).  </w:t>
            </w:r>
          </w:p>
        </w:tc>
      </w:tr>
      <w:tr w:rsidR="002A0515" w:rsidTr="00A54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28" w:type="dxa"/>
        </w:trPr>
        <w:tc>
          <w:tcPr>
            <w:tcW w:w="851"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(c), (d) and (f)</w:t>
            </w:r>
          </w:p>
        </w:tc>
        <w:tc>
          <w:tcPr>
            <w:tcW w:w="8363" w:type="dxa"/>
            <w:gridSpan w:val="7"/>
          </w:tcPr>
          <w:p w:rsidR="002A0515" w:rsidRDefault="002A0515" w:rsidP="00A54BE4">
            <w:pPr>
              <w:pStyle w:val="TableText"/>
              <w:keepNext/>
              <w:jc w:val="both"/>
              <w:rPr>
                <w:rFonts w:eastAsia="Calibri" w:cs="Segoe UI"/>
                <w:szCs w:val="17"/>
                <w:lang w:eastAsia="en-GB"/>
              </w:rPr>
            </w:pPr>
            <w:r>
              <w:rPr>
                <w:rFonts w:eastAsia="Calibri" w:cs="Segoe UI"/>
                <w:i/>
                <w:szCs w:val="17"/>
                <w:lang w:eastAsia="en-GB"/>
              </w:rPr>
              <w:t>Fair value of posted collateral</w:t>
            </w:r>
            <w:r>
              <w:rPr>
                <w:rFonts w:eastAsia="Calibri" w:cs="Segoe UI"/>
                <w:szCs w:val="17"/>
                <w:lang w:eastAsia="en-GB"/>
              </w:rPr>
              <w:t>: the disclosed fair value of collateral posted should be after any haircut (if applicable), meaning the value of collateral posted (which is an exposure) will be increased after haircut (i.e. E(1+H</w:t>
            </w:r>
            <w:r>
              <w:rPr>
                <w:rFonts w:eastAsia="Calibri" w:cs="Segoe UI"/>
                <w:sz w:val="16"/>
                <w:szCs w:val="17"/>
                <w:lang w:eastAsia="en-GB"/>
              </w:rPr>
              <w:t>s</w:t>
            </w:r>
            <w:r>
              <w:rPr>
                <w:rFonts w:eastAsia="Calibri" w:cs="Segoe UI"/>
                <w:szCs w:val="17"/>
                <w:lang w:eastAsia="en-GB"/>
              </w:rPr>
              <w:t xml:space="preserve">)). </w:t>
            </w:r>
          </w:p>
        </w:tc>
      </w:tr>
      <w:tr w:rsidR="002A0515" w:rsidTr="00A54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28" w:type="dxa"/>
          <w:trHeight w:val="373"/>
        </w:trPr>
        <w:tc>
          <w:tcPr>
            <w:tcW w:w="851"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(a) &amp; (c)</w:t>
            </w:r>
          </w:p>
        </w:tc>
        <w:tc>
          <w:tcPr>
            <w:tcW w:w="8363" w:type="dxa"/>
            <w:gridSpan w:val="7"/>
          </w:tcPr>
          <w:p w:rsidR="002A0515" w:rsidRDefault="002A0515" w:rsidP="00A54BE4">
            <w:pPr>
              <w:pStyle w:val="TableText"/>
              <w:keepNext/>
              <w:jc w:val="both"/>
              <w:rPr>
                <w:szCs w:val="17"/>
              </w:rPr>
            </w:pPr>
            <w:r>
              <w:rPr>
                <w:rFonts w:eastAsia="Calibri" w:cs="Segoe UI"/>
                <w:i/>
                <w:szCs w:val="17"/>
                <w:lang w:eastAsia="en-GB"/>
              </w:rPr>
              <w:t>Segregated</w:t>
            </w:r>
            <w:r>
              <w:rPr>
                <w:rFonts w:eastAsia="Calibri" w:cs="Segoe UI"/>
                <w:szCs w:val="17"/>
                <w:lang w:eastAsia="en-GB"/>
              </w:rPr>
              <w:t>: this refers to collateral which is held in a bankruptcy remote manner.</w:t>
            </w:r>
          </w:p>
        </w:tc>
      </w:tr>
      <w:tr w:rsidR="002A0515" w:rsidTr="00A54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28" w:type="dxa"/>
          <w:trHeight w:val="373"/>
        </w:trPr>
        <w:tc>
          <w:tcPr>
            <w:tcW w:w="851"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(b) &amp; (d)</w:t>
            </w:r>
          </w:p>
        </w:tc>
        <w:tc>
          <w:tcPr>
            <w:tcW w:w="8363" w:type="dxa"/>
            <w:gridSpan w:val="7"/>
          </w:tcPr>
          <w:p w:rsidR="002A0515" w:rsidRDefault="002A0515" w:rsidP="00A54BE4">
            <w:pPr>
              <w:pStyle w:val="TableText"/>
              <w:keepNext/>
              <w:jc w:val="both"/>
              <w:rPr>
                <w:rFonts w:eastAsia="Calibri" w:cs="Segoe UI"/>
                <w:i/>
                <w:szCs w:val="17"/>
                <w:lang w:eastAsia="en-GB"/>
              </w:rPr>
            </w:pPr>
            <w:r>
              <w:rPr>
                <w:rFonts w:eastAsia="Calibri" w:cs="Segoe UI"/>
                <w:i/>
                <w:szCs w:val="17"/>
                <w:lang w:eastAsia="en-GB"/>
              </w:rPr>
              <w:t>Unsegregated</w:t>
            </w:r>
            <w:r>
              <w:rPr>
                <w:rFonts w:eastAsia="Calibri" w:cs="Segoe UI"/>
                <w:szCs w:val="17"/>
                <w:lang w:eastAsia="en-GB"/>
              </w:rPr>
              <w:t>: this refers to collateral which is not held in a bankruptcy remote manner.</w:t>
            </w:r>
          </w:p>
        </w:tc>
      </w:tr>
    </w:tbl>
    <w:p w:rsidR="002A0515" w:rsidRDefault="002A0515" w:rsidP="002A0515">
      <w:pPr>
        <w:spacing w:before="120" w:after="120"/>
        <w:rPr>
          <w:sz w:val="22"/>
        </w:rPr>
      </w:pPr>
    </w:p>
    <w:p w:rsidR="002A0515" w:rsidRDefault="002A0515" w:rsidP="002A0515">
      <w:pPr>
        <w:rPr>
          <w:rFonts w:eastAsia="新細明體"/>
          <w:lang w:eastAsia="zh-TW"/>
        </w:rPr>
      </w:pPr>
    </w:p>
    <w:p w:rsidR="002A0515" w:rsidRDefault="002A0515" w:rsidP="002A0515">
      <w:pPr>
        <w:spacing w:before="40" w:after="40"/>
        <w:rPr>
          <w:rFonts w:eastAsia="新細明體"/>
          <w:lang w:eastAsia="zh-TW"/>
        </w:rPr>
        <w:sectPr w:rsidR="002A0515" w:rsidSect="00A54BE4">
          <w:footerReference w:type="default" r:id="rId21"/>
          <w:pgSz w:w="11906" w:h="16838" w:code="9"/>
          <w:pgMar w:top="1440" w:right="1700" w:bottom="1440" w:left="1797" w:header="851" w:footer="737" w:gutter="0"/>
          <w:cols w:space="425"/>
          <w:docGrid w:type="linesAndChars" w:linePitch="360"/>
        </w:sectPr>
      </w:pPr>
    </w:p>
    <w:tbl>
      <w:tblPr>
        <w:tblW w:w="9242"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008"/>
        <w:gridCol w:w="7234"/>
      </w:tblGrid>
      <w:tr w:rsidR="002A0515" w:rsidTr="00A54BE4">
        <w:tc>
          <w:tcPr>
            <w:tcW w:w="9242" w:type="dxa"/>
            <w:gridSpan w:val="2"/>
            <w:tcBorders>
              <w:top w:val="nil"/>
            </w:tcBorders>
          </w:tcPr>
          <w:p w:rsidR="002A0515" w:rsidRDefault="002A0515" w:rsidP="00A54BE4">
            <w:pPr>
              <w:spacing w:before="40" w:after="40"/>
              <w:rPr>
                <w:noProof/>
                <w:sz w:val="17"/>
                <w:lang w:eastAsia="en-GB"/>
              </w:rPr>
            </w:pPr>
            <w:r>
              <w:rPr>
                <w:rFonts w:eastAsia="新細明體"/>
                <w:lang w:eastAsia="zh-TW"/>
              </w:rPr>
              <w:br w:type="page"/>
            </w:r>
            <w:r>
              <w:rPr>
                <w:sz w:val="22"/>
              </w:rPr>
              <w:t>Template CCR6: Credit-related derivatives contracts</w:t>
            </w:r>
          </w:p>
        </w:tc>
      </w:tr>
      <w:tr w:rsidR="002A0515" w:rsidTr="00A54BE4">
        <w:tc>
          <w:tcPr>
            <w:tcW w:w="2008" w:type="dxa"/>
          </w:tcPr>
          <w:p w:rsidR="002A0515" w:rsidRDefault="002A0515" w:rsidP="00A54BE4">
            <w:pPr>
              <w:spacing w:before="40" w:after="40"/>
              <w:rPr>
                <w:noProof/>
                <w:sz w:val="17"/>
                <w:lang w:eastAsia="en-GB"/>
              </w:rPr>
            </w:pPr>
            <w:r>
              <w:rPr>
                <w:b/>
                <w:sz w:val="17"/>
                <w:lang w:eastAsia="en-GB"/>
              </w:rPr>
              <w:t>Purpose:</w:t>
            </w:r>
            <w:r>
              <w:rPr>
                <w:sz w:val="17"/>
                <w:lang w:eastAsia="en-GB"/>
              </w:rPr>
              <w:t xml:space="preserve"> </w:t>
            </w:r>
          </w:p>
        </w:tc>
        <w:tc>
          <w:tcPr>
            <w:tcW w:w="7234" w:type="dxa"/>
          </w:tcPr>
          <w:p w:rsidR="002A0515" w:rsidRDefault="002A0515" w:rsidP="00A54BE4">
            <w:pPr>
              <w:pStyle w:val="TableText"/>
              <w:jc w:val="both"/>
              <w:rPr>
                <w:lang w:eastAsia="en-GB"/>
              </w:rPr>
            </w:pPr>
            <w:r>
              <w:rPr>
                <w:lang w:eastAsia="en-GB"/>
              </w:rPr>
              <w:t>To disclose the amount of credit-related derivative contracts, broken down into credit protection bought and credit protection sold.</w:t>
            </w:r>
          </w:p>
        </w:tc>
      </w:tr>
      <w:tr w:rsidR="002A0515" w:rsidTr="00A54BE4">
        <w:tc>
          <w:tcPr>
            <w:tcW w:w="2008" w:type="dxa"/>
          </w:tcPr>
          <w:p w:rsidR="002A0515" w:rsidRDefault="002A0515" w:rsidP="00A54BE4">
            <w:pPr>
              <w:spacing w:before="40" w:after="40"/>
              <w:rPr>
                <w:b/>
                <w:sz w:val="17"/>
                <w:lang w:eastAsia="en-GB"/>
              </w:rPr>
            </w:pPr>
            <w:r>
              <w:rPr>
                <w:b/>
                <w:sz w:val="17"/>
                <w:lang w:eastAsia="en-GB"/>
              </w:rPr>
              <w:t xml:space="preserve">Scope of application: </w:t>
            </w:r>
          </w:p>
        </w:tc>
        <w:tc>
          <w:tcPr>
            <w:tcW w:w="7234" w:type="dxa"/>
          </w:tcPr>
          <w:p w:rsidR="002A0515" w:rsidRDefault="002A0515" w:rsidP="00A54BE4">
            <w:pPr>
              <w:spacing w:before="40" w:after="40"/>
              <w:jc w:val="both"/>
              <w:rPr>
                <w:rFonts w:eastAsia="新細明體"/>
                <w:b/>
                <w:sz w:val="17"/>
                <w:lang w:eastAsia="en-GB"/>
              </w:rPr>
            </w:pPr>
            <w:r>
              <w:rPr>
                <w:rFonts w:eastAsia="新細明體"/>
                <w:sz w:val="17"/>
                <w:lang w:eastAsia="en-GB"/>
              </w:rPr>
              <w:t>This template is mandatory for all AIs</w:t>
            </w:r>
            <w:r>
              <w:t xml:space="preserve"> </w:t>
            </w:r>
            <w:r>
              <w:rPr>
                <w:rFonts w:eastAsia="新細明體"/>
                <w:sz w:val="17"/>
                <w:lang w:eastAsia="en-GB"/>
              </w:rPr>
              <w:t>incorporated in Hong Kong.</w:t>
            </w:r>
          </w:p>
        </w:tc>
      </w:tr>
      <w:tr w:rsidR="002A0515" w:rsidTr="00A54BE4">
        <w:tc>
          <w:tcPr>
            <w:tcW w:w="2008" w:type="dxa"/>
          </w:tcPr>
          <w:p w:rsidR="002A0515" w:rsidRDefault="002A0515" w:rsidP="00A54BE4">
            <w:pPr>
              <w:spacing w:before="40" w:after="40"/>
              <w:rPr>
                <w:b/>
                <w:sz w:val="17"/>
                <w:lang w:eastAsia="en-GB"/>
              </w:rPr>
            </w:pPr>
            <w:r>
              <w:rPr>
                <w:b/>
                <w:sz w:val="17"/>
                <w:lang w:eastAsia="en-GB"/>
              </w:rPr>
              <w:t xml:space="preserve">Content: </w:t>
            </w:r>
          </w:p>
        </w:tc>
        <w:tc>
          <w:tcPr>
            <w:tcW w:w="7234" w:type="dxa"/>
          </w:tcPr>
          <w:p w:rsidR="002A0515" w:rsidRDefault="002A0515" w:rsidP="00A54BE4">
            <w:pPr>
              <w:spacing w:before="40" w:after="40"/>
              <w:jc w:val="both"/>
              <w:rPr>
                <w:rFonts w:eastAsia="新細明體"/>
                <w:b/>
                <w:sz w:val="17"/>
                <w:lang w:eastAsia="en-GB"/>
              </w:rPr>
            </w:pPr>
            <w:r>
              <w:rPr>
                <w:rFonts w:eastAsia="新細明體"/>
                <w:sz w:val="17"/>
                <w:lang w:eastAsia="en-GB"/>
              </w:rPr>
              <w:t>Notional amounts (before any netting) and fair values of credit-related derivative contracts</w:t>
            </w:r>
          </w:p>
        </w:tc>
      </w:tr>
      <w:tr w:rsidR="002A0515" w:rsidTr="00A54BE4">
        <w:tc>
          <w:tcPr>
            <w:tcW w:w="2008" w:type="dxa"/>
          </w:tcPr>
          <w:p w:rsidR="002A0515" w:rsidRDefault="002A0515" w:rsidP="00A54BE4">
            <w:pPr>
              <w:spacing w:before="40" w:after="40"/>
              <w:rPr>
                <w:sz w:val="17"/>
                <w:lang w:eastAsia="en-GB"/>
              </w:rPr>
            </w:pPr>
            <w:r>
              <w:rPr>
                <w:b/>
                <w:sz w:val="17"/>
                <w:lang w:eastAsia="en-GB"/>
              </w:rPr>
              <w:t>Frequency:</w:t>
            </w:r>
            <w:r>
              <w:rPr>
                <w:sz w:val="17"/>
                <w:lang w:eastAsia="en-GB"/>
              </w:rPr>
              <w:t xml:space="preserve"> </w:t>
            </w:r>
          </w:p>
        </w:tc>
        <w:tc>
          <w:tcPr>
            <w:tcW w:w="7234" w:type="dxa"/>
          </w:tcPr>
          <w:p w:rsidR="002A0515" w:rsidRDefault="002A0515" w:rsidP="00A54BE4">
            <w:pPr>
              <w:pStyle w:val="TableText"/>
              <w:jc w:val="both"/>
              <w:rPr>
                <w:lang w:eastAsia="en-GB"/>
              </w:rPr>
            </w:pPr>
            <w:r>
              <w:rPr>
                <w:lang w:eastAsia="en-GB"/>
              </w:rPr>
              <w:t>Semi-annual.</w:t>
            </w:r>
          </w:p>
        </w:tc>
      </w:tr>
      <w:tr w:rsidR="002A0515" w:rsidTr="00A54BE4">
        <w:tc>
          <w:tcPr>
            <w:tcW w:w="2008" w:type="dxa"/>
          </w:tcPr>
          <w:p w:rsidR="002A0515" w:rsidRDefault="002A0515" w:rsidP="00A54BE4">
            <w:pPr>
              <w:spacing w:before="40" w:after="40"/>
              <w:rPr>
                <w:sz w:val="17"/>
                <w:lang w:eastAsia="en-GB"/>
              </w:rPr>
            </w:pPr>
            <w:r>
              <w:rPr>
                <w:b/>
                <w:sz w:val="17"/>
                <w:lang w:eastAsia="en-GB"/>
              </w:rPr>
              <w:t>Format:</w:t>
            </w:r>
            <w:r>
              <w:rPr>
                <w:sz w:val="17"/>
                <w:lang w:eastAsia="en-GB"/>
              </w:rPr>
              <w:t xml:space="preserve"> </w:t>
            </w:r>
          </w:p>
        </w:tc>
        <w:tc>
          <w:tcPr>
            <w:tcW w:w="7234" w:type="dxa"/>
          </w:tcPr>
          <w:p w:rsidR="002A0515" w:rsidRDefault="002A0515" w:rsidP="00A54BE4">
            <w:pPr>
              <w:pStyle w:val="TableText"/>
              <w:jc w:val="both"/>
              <w:rPr>
                <w:lang w:eastAsia="en-GB"/>
              </w:rPr>
            </w:pPr>
            <w:r>
              <w:rPr>
                <w:lang w:eastAsia="en-GB"/>
              </w:rPr>
              <w:t>Flexible.  The columns are fixed but the rows (other than the “Total notional amounts” and those related to fair values) are flexible.</w:t>
            </w:r>
          </w:p>
        </w:tc>
      </w:tr>
      <w:tr w:rsidR="002A0515" w:rsidTr="00A54BE4">
        <w:tc>
          <w:tcPr>
            <w:tcW w:w="2008" w:type="dxa"/>
          </w:tcPr>
          <w:p w:rsidR="002A0515" w:rsidRDefault="002A0515" w:rsidP="00A54BE4">
            <w:pPr>
              <w:spacing w:before="40" w:after="40"/>
              <w:rPr>
                <w:b/>
                <w:sz w:val="17"/>
                <w:lang w:eastAsia="en-GB"/>
              </w:rPr>
            </w:pPr>
            <w:r>
              <w:rPr>
                <w:rFonts w:eastAsia="新細明體"/>
                <w:b/>
                <w:sz w:val="17"/>
                <w:szCs w:val="17"/>
                <w:lang w:eastAsia="en-GB"/>
              </w:rPr>
              <w:t>Accompanying narrative</w:t>
            </w:r>
            <w:r>
              <w:rPr>
                <w:rFonts w:eastAsia="新細明體"/>
                <w:sz w:val="17"/>
                <w:szCs w:val="17"/>
                <w:lang w:eastAsia="en-GB"/>
              </w:rPr>
              <w:t>:</w:t>
            </w:r>
          </w:p>
        </w:tc>
        <w:tc>
          <w:tcPr>
            <w:tcW w:w="7234" w:type="dxa"/>
          </w:tcPr>
          <w:p w:rsidR="002A0515" w:rsidRDefault="002A0515" w:rsidP="00A54BE4">
            <w:pPr>
              <w:pStyle w:val="TableText"/>
              <w:jc w:val="both"/>
              <w:rPr>
                <w:lang w:eastAsia="en-GB"/>
              </w:rPr>
            </w:pPr>
            <w:r>
              <w:rPr>
                <w:szCs w:val="17"/>
                <w:lang w:eastAsia="en-GB"/>
              </w:rPr>
              <w:t>An AI should supplement the template with a narrative commentary to explain any material movements in the current reporting period and the key drivers of such movements.</w:t>
            </w:r>
          </w:p>
        </w:tc>
      </w:tr>
      <w:tr w:rsidR="002A0515" w:rsidTr="00A54BE4">
        <w:tc>
          <w:tcPr>
            <w:tcW w:w="2008" w:type="dxa"/>
          </w:tcPr>
          <w:p w:rsidR="002A0515" w:rsidRDefault="002A0515" w:rsidP="00A54BE4">
            <w:pPr>
              <w:spacing w:before="40" w:after="40"/>
              <w:rPr>
                <w:rFonts w:eastAsia="新細明體"/>
                <w:b/>
                <w:sz w:val="17"/>
                <w:szCs w:val="17"/>
                <w:lang w:eastAsia="en-GB"/>
              </w:rPr>
            </w:pPr>
            <w:r>
              <w:rPr>
                <w:rFonts w:eastAsia="新細明體"/>
                <w:b/>
                <w:sz w:val="17"/>
                <w:szCs w:val="17"/>
                <w:lang w:eastAsia="en-GB"/>
              </w:rPr>
              <w:t>Corresponding BDR section:</w:t>
            </w:r>
          </w:p>
        </w:tc>
        <w:tc>
          <w:tcPr>
            <w:tcW w:w="7234" w:type="dxa"/>
          </w:tcPr>
          <w:p w:rsidR="002A0515" w:rsidRDefault="002A0515" w:rsidP="00A54BE4">
            <w:pPr>
              <w:pStyle w:val="TableText"/>
              <w:jc w:val="both"/>
              <w:rPr>
                <w:szCs w:val="17"/>
                <w:lang w:eastAsia="en-GB"/>
              </w:rPr>
            </w:pPr>
            <w:r>
              <w:rPr>
                <w:szCs w:val="17"/>
                <w:lang w:eastAsia="en-GB"/>
              </w:rPr>
              <w:t>16ZB</w:t>
            </w:r>
          </w:p>
        </w:tc>
      </w:tr>
    </w:tbl>
    <w:p w:rsidR="002A0515" w:rsidRDefault="002A0515" w:rsidP="002A0515">
      <w:pPr>
        <w:spacing w:before="120" w:after="120"/>
        <w:ind w:leftChars="-283" w:left="-566"/>
        <w:rPr>
          <w:sz w:val="22"/>
        </w:rPr>
      </w:pPr>
    </w:p>
    <w:tbl>
      <w:tblPr>
        <w:tblW w:w="9214" w:type="dxa"/>
        <w:tblInd w:w="-459" w:type="dxa"/>
        <w:tblBorders>
          <w:top w:val="single" w:sz="4" w:space="0" w:color="BCBDBC"/>
          <w:left w:val="single" w:sz="4" w:space="0" w:color="BFBFBF"/>
          <w:bottom w:val="single" w:sz="4" w:space="0" w:color="BCBDBC"/>
          <w:right w:val="single" w:sz="4" w:space="0" w:color="BFBFBF"/>
          <w:insideH w:val="single" w:sz="4" w:space="0" w:color="BCBDBC"/>
          <w:insideV w:val="single" w:sz="4" w:space="0" w:color="BCBDBC"/>
        </w:tblBorders>
        <w:tblLayout w:type="fixed"/>
        <w:tblLook w:val="00A0" w:firstRow="1" w:lastRow="0" w:firstColumn="1" w:lastColumn="0" w:noHBand="0" w:noVBand="0"/>
      </w:tblPr>
      <w:tblGrid>
        <w:gridCol w:w="4927"/>
        <w:gridCol w:w="2143"/>
        <w:gridCol w:w="2144"/>
      </w:tblGrid>
      <w:tr w:rsidR="002A0515" w:rsidTr="00A54BE4">
        <w:trPr>
          <w:cantSplit/>
          <w:tblHeader/>
        </w:trPr>
        <w:tc>
          <w:tcPr>
            <w:tcW w:w="4927" w:type="dxa"/>
            <w:tcBorders>
              <w:top w:val="nil"/>
              <w:left w:val="nil"/>
              <w:bottom w:val="nil"/>
              <w:right w:val="single" w:sz="4" w:space="0" w:color="auto"/>
            </w:tcBorders>
            <w:vAlign w:val="center"/>
          </w:tcPr>
          <w:p w:rsidR="002A0515" w:rsidRDefault="002A0515" w:rsidP="00A54BE4">
            <w:pPr>
              <w:pStyle w:val="TableText"/>
              <w:snapToGrid w:val="0"/>
              <w:rPr>
                <w:lang w:eastAsia="en-GB"/>
              </w:rPr>
            </w:pPr>
          </w:p>
        </w:tc>
        <w:tc>
          <w:tcPr>
            <w:tcW w:w="2143" w:type="dxa"/>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bCs/>
                <w:szCs w:val="17"/>
                <w:lang w:eastAsia="it-IT"/>
              </w:rPr>
            </w:pPr>
            <w:r>
              <w:rPr>
                <w:bCs/>
                <w:szCs w:val="17"/>
                <w:lang w:eastAsia="it-IT"/>
              </w:rPr>
              <w:t>(a)</w:t>
            </w:r>
          </w:p>
        </w:tc>
        <w:tc>
          <w:tcPr>
            <w:tcW w:w="2144" w:type="dxa"/>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szCs w:val="17"/>
                <w:lang w:eastAsia="it-IT"/>
              </w:rPr>
            </w:pPr>
            <w:r>
              <w:rPr>
                <w:szCs w:val="17"/>
                <w:lang w:eastAsia="it-IT"/>
              </w:rPr>
              <w:t>(b)</w:t>
            </w:r>
          </w:p>
        </w:tc>
      </w:tr>
      <w:tr w:rsidR="002A0515" w:rsidTr="00A54BE4">
        <w:trPr>
          <w:cantSplit/>
          <w:tblHeader/>
        </w:trPr>
        <w:tc>
          <w:tcPr>
            <w:tcW w:w="4927" w:type="dxa"/>
            <w:tcBorders>
              <w:top w:val="nil"/>
              <w:left w:val="nil"/>
              <w:bottom w:val="single" w:sz="4" w:space="0" w:color="auto"/>
              <w:right w:val="single" w:sz="4" w:space="0" w:color="auto"/>
            </w:tcBorders>
            <w:vAlign w:val="center"/>
          </w:tcPr>
          <w:p w:rsidR="002A0515" w:rsidRDefault="002A0515" w:rsidP="00A54BE4">
            <w:pPr>
              <w:pStyle w:val="TableText"/>
              <w:snapToGrid w:val="0"/>
              <w:rPr>
                <w:lang w:eastAsia="en-GB"/>
              </w:rPr>
            </w:pPr>
          </w:p>
        </w:tc>
        <w:tc>
          <w:tcPr>
            <w:tcW w:w="2143" w:type="dxa"/>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bCs/>
                <w:noProof/>
                <w:szCs w:val="17"/>
                <w:lang w:eastAsia="it-IT"/>
              </w:rPr>
            </w:pPr>
            <w:r>
              <w:rPr>
                <w:bCs/>
                <w:szCs w:val="17"/>
                <w:lang w:eastAsia="it-IT"/>
              </w:rPr>
              <w:t>Protection bought</w:t>
            </w:r>
          </w:p>
        </w:tc>
        <w:tc>
          <w:tcPr>
            <w:tcW w:w="2144" w:type="dxa"/>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noProof/>
                <w:szCs w:val="17"/>
                <w:lang w:eastAsia="it-IT"/>
              </w:rPr>
            </w:pPr>
            <w:r>
              <w:rPr>
                <w:szCs w:val="17"/>
                <w:lang w:eastAsia="it-IT"/>
              </w:rPr>
              <w:t>Protection sold</w:t>
            </w:r>
          </w:p>
        </w:tc>
      </w:tr>
      <w:tr w:rsidR="002A0515" w:rsidTr="00A54BE4">
        <w:trPr>
          <w:cantSplit/>
        </w:trPr>
        <w:tc>
          <w:tcPr>
            <w:tcW w:w="4927" w:type="dxa"/>
            <w:tcBorders>
              <w:top w:val="single" w:sz="4" w:space="0" w:color="auto"/>
              <w:left w:val="nil"/>
              <w:right w:val="single" w:sz="4" w:space="0" w:color="auto"/>
            </w:tcBorders>
          </w:tcPr>
          <w:p w:rsidR="002A0515" w:rsidRDefault="002A0515" w:rsidP="00A54BE4">
            <w:pPr>
              <w:pStyle w:val="TableText"/>
              <w:snapToGrid w:val="0"/>
              <w:rPr>
                <w:b/>
                <w:noProof/>
                <w:sz w:val="18"/>
                <w:szCs w:val="18"/>
                <w:lang w:eastAsia="en-GB"/>
              </w:rPr>
            </w:pPr>
            <w:r>
              <w:rPr>
                <w:b/>
                <w:sz w:val="18"/>
                <w:szCs w:val="18"/>
                <w:lang w:eastAsia="en-GB"/>
              </w:rPr>
              <w:t>Notional amounts</w:t>
            </w:r>
          </w:p>
        </w:tc>
        <w:tc>
          <w:tcPr>
            <w:tcW w:w="2143" w:type="dxa"/>
            <w:tcBorders>
              <w:top w:val="single" w:sz="4" w:space="0" w:color="auto"/>
              <w:left w:val="single" w:sz="4" w:space="0" w:color="auto"/>
              <w:right w:val="single" w:sz="4" w:space="0" w:color="auto"/>
            </w:tcBorders>
            <w:shd w:val="clear" w:color="auto" w:fill="D9D9D9"/>
          </w:tcPr>
          <w:p w:rsidR="002A0515" w:rsidRDefault="002A0515" w:rsidP="00A54BE4">
            <w:pPr>
              <w:pStyle w:val="TableText"/>
              <w:snapToGrid w:val="0"/>
              <w:rPr>
                <w:lang w:eastAsia="en-GB"/>
              </w:rPr>
            </w:pPr>
          </w:p>
        </w:tc>
        <w:tc>
          <w:tcPr>
            <w:tcW w:w="2144" w:type="dxa"/>
            <w:tcBorders>
              <w:top w:val="single" w:sz="4" w:space="0" w:color="auto"/>
              <w:left w:val="single" w:sz="4" w:space="0" w:color="auto"/>
              <w:right w:val="single" w:sz="4" w:space="0" w:color="auto"/>
            </w:tcBorders>
            <w:shd w:val="clear" w:color="auto" w:fill="D9D9D9"/>
          </w:tcPr>
          <w:p w:rsidR="002A0515" w:rsidRDefault="002A0515" w:rsidP="00A54BE4">
            <w:pPr>
              <w:pStyle w:val="TableText"/>
              <w:snapToGrid w:val="0"/>
              <w:rPr>
                <w:lang w:eastAsia="en-GB"/>
              </w:rPr>
            </w:pPr>
          </w:p>
        </w:tc>
      </w:tr>
      <w:tr w:rsidR="002A0515" w:rsidTr="00A54BE4">
        <w:trPr>
          <w:cantSplit/>
        </w:trPr>
        <w:tc>
          <w:tcPr>
            <w:tcW w:w="4927" w:type="dxa"/>
            <w:tcBorders>
              <w:left w:val="nil"/>
              <w:right w:val="single" w:sz="4" w:space="0" w:color="auto"/>
            </w:tcBorders>
          </w:tcPr>
          <w:p w:rsidR="002A0515" w:rsidRDefault="002A0515" w:rsidP="00A54BE4">
            <w:pPr>
              <w:pStyle w:val="TableText"/>
              <w:snapToGrid w:val="0"/>
              <w:rPr>
                <w:noProof/>
                <w:sz w:val="18"/>
                <w:szCs w:val="18"/>
                <w:lang w:eastAsia="en-GB"/>
              </w:rPr>
            </w:pPr>
            <w:r>
              <w:rPr>
                <w:sz w:val="18"/>
                <w:szCs w:val="18"/>
                <w:lang w:eastAsia="en-GB"/>
              </w:rPr>
              <w:t xml:space="preserve">  Single-name credit default swaps</w:t>
            </w:r>
          </w:p>
        </w:tc>
        <w:tc>
          <w:tcPr>
            <w:tcW w:w="2143" w:type="dxa"/>
            <w:tcBorders>
              <w:left w:val="single" w:sz="4" w:space="0" w:color="auto"/>
              <w:right w:val="single" w:sz="4" w:space="0" w:color="auto"/>
            </w:tcBorders>
          </w:tcPr>
          <w:p w:rsidR="002A0515" w:rsidRDefault="002A0515" w:rsidP="00A54BE4">
            <w:pPr>
              <w:pStyle w:val="TableText"/>
              <w:snapToGrid w:val="0"/>
              <w:rPr>
                <w:lang w:eastAsia="en-GB"/>
              </w:rPr>
            </w:pPr>
          </w:p>
        </w:tc>
        <w:tc>
          <w:tcPr>
            <w:tcW w:w="2144" w:type="dxa"/>
            <w:tcBorders>
              <w:left w:val="single" w:sz="4" w:space="0" w:color="auto"/>
              <w:right w:val="single" w:sz="4" w:space="0" w:color="auto"/>
            </w:tcBorders>
          </w:tcPr>
          <w:p w:rsidR="002A0515" w:rsidRDefault="002A0515" w:rsidP="00A54BE4">
            <w:pPr>
              <w:pStyle w:val="TableText"/>
              <w:snapToGrid w:val="0"/>
              <w:rPr>
                <w:lang w:eastAsia="en-GB"/>
              </w:rPr>
            </w:pPr>
          </w:p>
        </w:tc>
      </w:tr>
      <w:tr w:rsidR="002A0515" w:rsidTr="00A54BE4">
        <w:trPr>
          <w:cantSplit/>
        </w:trPr>
        <w:tc>
          <w:tcPr>
            <w:tcW w:w="4927" w:type="dxa"/>
            <w:tcBorders>
              <w:left w:val="nil"/>
              <w:right w:val="single" w:sz="4" w:space="0" w:color="auto"/>
            </w:tcBorders>
          </w:tcPr>
          <w:p w:rsidR="002A0515" w:rsidRDefault="002A0515" w:rsidP="00A54BE4">
            <w:pPr>
              <w:pStyle w:val="TableText"/>
              <w:snapToGrid w:val="0"/>
              <w:rPr>
                <w:noProof/>
                <w:sz w:val="18"/>
                <w:szCs w:val="18"/>
                <w:lang w:eastAsia="en-GB"/>
              </w:rPr>
            </w:pPr>
            <w:r>
              <w:rPr>
                <w:sz w:val="18"/>
                <w:szCs w:val="18"/>
                <w:lang w:eastAsia="en-GB"/>
              </w:rPr>
              <w:t xml:space="preserve">  Index credit default swaps</w:t>
            </w:r>
          </w:p>
        </w:tc>
        <w:tc>
          <w:tcPr>
            <w:tcW w:w="2143" w:type="dxa"/>
            <w:tcBorders>
              <w:left w:val="single" w:sz="4" w:space="0" w:color="auto"/>
              <w:right w:val="single" w:sz="4" w:space="0" w:color="auto"/>
            </w:tcBorders>
          </w:tcPr>
          <w:p w:rsidR="002A0515" w:rsidRDefault="002A0515" w:rsidP="00A54BE4">
            <w:pPr>
              <w:pStyle w:val="TableText"/>
              <w:snapToGrid w:val="0"/>
              <w:rPr>
                <w:lang w:eastAsia="en-GB"/>
              </w:rPr>
            </w:pPr>
          </w:p>
        </w:tc>
        <w:tc>
          <w:tcPr>
            <w:tcW w:w="2144" w:type="dxa"/>
            <w:tcBorders>
              <w:left w:val="single" w:sz="4" w:space="0" w:color="auto"/>
              <w:right w:val="single" w:sz="4" w:space="0" w:color="auto"/>
            </w:tcBorders>
          </w:tcPr>
          <w:p w:rsidR="002A0515" w:rsidRDefault="002A0515" w:rsidP="00A54BE4">
            <w:pPr>
              <w:pStyle w:val="TableText"/>
              <w:snapToGrid w:val="0"/>
              <w:rPr>
                <w:lang w:eastAsia="en-GB"/>
              </w:rPr>
            </w:pPr>
          </w:p>
        </w:tc>
      </w:tr>
      <w:tr w:rsidR="002A0515" w:rsidTr="00A54BE4">
        <w:trPr>
          <w:cantSplit/>
        </w:trPr>
        <w:tc>
          <w:tcPr>
            <w:tcW w:w="4927" w:type="dxa"/>
            <w:tcBorders>
              <w:left w:val="nil"/>
              <w:right w:val="single" w:sz="4" w:space="0" w:color="auto"/>
            </w:tcBorders>
          </w:tcPr>
          <w:p w:rsidR="002A0515" w:rsidRDefault="002A0515" w:rsidP="00A54BE4">
            <w:pPr>
              <w:pStyle w:val="TableText"/>
              <w:snapToGrid w:val="0"/>
              <w:rPr>
                <w:noProof/>
                <w:sz w:val="18"/>
                <w:szCs w:val="18"/>
                <w:lang w:eastAsia="en-GB"/>
              </w:rPr>
            </w:pPr>
            <w:r>
              <w:rPr>
                <w:sz w:val="18"/>
                <w:szCs w:val="18"/>
                <w:lang w:eastAsia="en-GB"/>
              </w:rPr>
              <w:t xml:space="preserve">  Total return swaps</w:t>
            </w:r>
          </w:p>
        </w:tc>
        <w:tc>
          <w:tcPr>
            <w:tcW w:w="2143" w:type="dxa"/>
            <w:tcBorders>
              <w:left w:val="single" w:sz="4" w:space="0" w:color="auto"/>
              <w:right w:val="single" w:sz="4" w:space="0" w:color="auto"/>
            </w:tcBorders>
          </w:tcPr>
          <w:p w:rsidR="002A0515" w:rsidRDefault="002A0515" w:rsidP="00A54BE4">
            <w:pPr>
              <w:pStyle w:val="TableText"/>
              <w:snapToGrid w:val="0"/>
              <w:rPr>
                <w:lang w:eastAsia="en-GB"/>
              </w:rPr>
            </w:pPr>
          </w:p>
        </w:tc>
        <w:tc>
          <w:tcPr>
            <w:tcW w:w="2144" w:type="dxa"/>
            <w:tcBorders>
              <w:left w:val="single" w:sz="4" w:space="0" w:color="auto"/>
              <w:right w:val="single" w:sz="4" w:space="0" w:color="auto"/>
            </w:tcBorders>
          </w:tcPr>
          <w:p w:rsidR="002A0515" w:rsidRDefault="002A0515" w:rsidP="00A54BE4">
            <w:pPr>
              <w:pStyle w:val="TableText"/>
              <w:snapToGrid w:val="0"/>
              <w:rPr>
                <w:lang w:eastAsia="en-GB"/>
              </w:rPr>
            </w:pPr>
          </w:p>
        </w:tc>
      </w:tr>
      <w:tr w:rsidR="002A0515" w:rsidTr="00A54BE4">
        <w:trPr>
          <w:cantSplit/>
        </w:trPr>
        <w:tc>
          <w:tcPr>
            <w:tcW w:w="4927" w:type="dxa"/>
            <w:tcBorders>
              <w:left w:val="nil"/>
              <w:right w:val="single" w:sz="4" w:space="0" w:color="auto"/>
            </w:tcBorders>
          </w:tcPr>
          <w:p w:rsidR="002A0515" w:rsidRDefault="002A0515" w:rsidP="00A54BE4">
            <w:pPr>
              <w:pStyle w:val="TableText"/>
              <w:snapToGrid w:val="0"/>
              <w:rPr>
                <w:noProof/>
                <w:sz w:val="18"/>
                <w:szCs w:val="18"/>
                <w:lang w:eastAsia="en-GB"/>
              </w:rPr>
            </w:pPr>
            <w:r>
              <w:rPr>
                <w:sz w:val="18"/>
                <w:szCs w:val="18"/>
                <w:lang w:eastAsia="en-GB"/>
              </w:rPr>
              <w:t xml:space="preserve">  Credit-related options</w:t>
            </w:r>
          </w:p>
        </w:tc>
        <w:tc>
          <w:tcPr>
            <w:tcW w:w="2143" w:type="dxa"/>
            <w:tcBorders>
              <w:left w:val="single" w:sz="4" w:space="0" w:color="auto"/>
              <w:right w:val="single" w:sz="4" w:space="0" w:color="auto"/>
            </w:tcBorders>
          </w:tcPr>
          <w:p w:rsidR="002A0515" w:rsidRDefault="002A0515" w:rsidP="00A54BE4">
            <w:pPr>
              <w:pStyle w:val="TableText"/>
              <w:snapToGrid w:val="0"/>
              <w:rPr>
                <w:lang w:eastAsia="en-GB"/>
              </w:rPr>
            </w:pPr>
          </w:p>
        </w:tc>
        <w:tc>
          <w:tcPr>
            <w:tcW w:w="2144" w:type="dxa"/>
            <w:tcBorders>
              <w:left w:val="single" w:sz="4" w:space="0" w:color="auto"/>
              <w:right w:val="single" w:sz="4" w:space="0" w:color="auto"/>
            </w:tcBorders>
          </w:tcPr>
          <w:p w:rsidR="002A0515" w:rsidRDefault="002A0515" w:rsidP="00A54BE4">
            <w:pPr>
              <w:pStyle w:val="TableText"/>
              <w:snapToGrid w:val="0"/>
              <w:rPr>
                <w:lang w:eastAsia="en-GB"/>
              </w:rPr>
            </w:pPr>
          </w:p>
        </w:tc>
      </w:tr>
      <w:tr w:rsidR="002A0515" w:rsidTr="00A54BE4">
        <w:trPr>
          <w:cantSplit/>
        </w:trPr>
        <w:tc>
          <w:tcPr>
            <w:tcW w:w="4927" w:type="dxa"/>
            <w:tcBorders>
              <w:left w:val="nil"/>
              <w:right w:val="single" w:sz="4" w:space="0" w:color="auto"/>
            </w:tcBorders>
          </w:tcPr>
          <w:p w:rsidR="002A0515" w:rsidRDefault="002A0515" w:rsidP="00A54BE4">
            <w:pPr>
              <w:pStyle w:val="TableText"/>
              <w:snapToGrid w:val="0"/>
              <w:rPr>
                <w:noProof/>
                <w:sz w:val="18"/>
                <w:szCs w:val="18"/>
                <w:lang w:eastAsia="en-GB"/>
              </w:rPr>
            </w:pPr>
            <w:r>
              <w:rPr>
                <w:sz w:val="18"/>
                <w:szCs w:val="18"/>
                <w:lang w:eastAsia="en-GB"/>
              </w:rPr>
              <w:t xml:space="preserve">  Other credit-related derivative contracts</w:t>
            </w:r>
          </w:p>
        </w:tc>
        <w:tc>
          <w:tcPr>
            <w:tcW w:w="2143" w:type="dxa"/>
            <w:tcBorders>
              <w:left w:val="single" w:sz="4" w:space="0" w:color="auto"/>
              <w:right w:val="single" w:sz="4" w:space="0" w:color="auto"/>
            </w:tcBorders>
          </w:tcPr>
          <w:p w:rsidR="002A0515" w:rsidRDefault="002A0515" w:rsidP="00A54BE4">
            <w:pPr>
              <w:pStyle w:val="TableText"/>
              <w:snapToGrid w:val="0"/>
              <w:rPr>
                <w:lang w:eastAsia="en-GB"/>
              </w:rPr>
            </w:pPr>
          </w:p>
        </w:tc>
        <w:tc>
          <w:tcPr>
            <w:tcW w:w="2144" w:type="dxa"/>
            <w:tcBorders>
              <w:left w:val="single" w:sz="4" w:space="0" w:color="auto"/>
              <w:right w:val="single" w:sz="4" w:space="0" w:color="auto"/>
            </w:tcBorders>
          </w:tcPr>
          <w:p w:rsidR="002A0515" w:rsidRDefault="002A0515" w:rsidP="00A54BE4">
            <w:pPr>
              <w:pStyle w:val="TableText"/>
              <w:snapToGrid w:val="0"/>
              <w:rPr>
                <w:lang w:eastAsia="en-GB"/>
              </w:rPr>
            </w:pPr>
          </w:p>
        </w:tc>
      </w:tr>
      <w:tr w:rsidR="002A0515" w:rsidTr="00A54BE4">
        <w:trPr>
          <w:cantSplit/>
        </w:trPr>
        <w:tc>
          <w:tcPr>
            <w:tcW w:w="4927" w:type="dxa"/>
            <w:tcBorders>
              <w:left w:val="nil"/>
              <w:right w:val="single" w:sz="4" w:space="0" w:color="auto"/>
            </w:tcBorders>
          </w:tcPr>
          <w:p w:rsidR="002A0515" w:rsidRDefault="002A0515" w:rsidP="00A54BE4">
            <w:pPr>
              <w:pStyle w:val="TableText"/>
              <w:snapToGrid w:val="0"/>
              <w:ind w:firstLineChars="100" w:firstLine="180"/>
              <w:rPr>
                <w:b/>
                <w:noProof/>
                <w:sz w:val="18"/>
                <w:szCs w:val="18"/>
                <w:lang w:eastAsia="en-GB"/>
              </w:rPr>
            </w:pPr>
            <w:r>
              <w:rPr>
                <w:b/>
                <w:sz w:val="18"/>
                <w:szCs w:val="18"/>
                <w:lang w:eastAsia="en-GB"/>
              </w:rPr>
              <w:t>Total notional amounts</w:t>
            </w:r>
          </w:p>
        </w:tc>
        <w:tc>
          <w:tcPr>
            <w:tcW w:w="2143" w:type="dxa"/>
            <w:tcBorders>
              <w:left w:val="single" w:sz="4" w:space="0" w:color="auto"/>
              <w:right w:val="single" w:sz="4" w:space="0" w:color="auto"/>
            </w:tcBorders>
          </w:tcPr>
          <w:p w:rsidR="002A0515" w:rsidRDefault="002A0515" w:rsidP="00A54BE4">
            <w:pPr>
              <w:pStyle w:val="TableText"/>
              <w:snapToGrid w:val="0"/>
              <w:rPr>
                <w:lang w:eastAsia="en-GB"/>
              </w:rPr>
            </w:pPr>
          </w:p>
        </w:tc>
        <w:tc>
          <w:tcPr>
            <w:tcW w:w="2144" w:type="dxa"/>
            <w:tcBorders>
              <w:left w:val="single" w:sz="4" w:space="0" w:color="auto"/>
              <w:right w:val="single" w:sz="4" w:space="0" w:color="auto"/>
            </w:tcBorders>
          </w:tcPr>
          <w:p w:rsidR="002A0515" w:rsidRDefault="002A0515" w:rsidP="00A54BE4">
            <w:pPr>
              <w:pStyle w:val="TableText"/>
              <w:snapToGrid w:val="0"/>
              <w:rPr>
                <w:lang w:eastAsia="en-GB"/>
              </w:rPr>
            </w:pPr>
          </w:p>
        </w:tc>
      </w:tr>
      <w:tr w:rsidR="002A0515" w:rsidTr="00A54BE4">
        <w:trPr>
          <w:cantSplit/>
        </w:trPr>
        <w:tc>
          <w:tcPr>
            <w:tcW w:w="4927" w:type="dxa"/>
            <w:tcBorders>
              <w:left w:val="nil"/>
              <w:right w:val="single" w:sz="4" w:space="0" w:color="auto"/>
            </w:tcBorders>
          </w:tcPr>
          <w:p w:rsidR="002A0515" w:rsidRDefault="002A0515" w:rsidP="00A54BE4">
            <w:pPr>
              <w:pStyle w:val="TableText"/>
              <w:snapToGrid w:val="0"/>
              <w:rPr>
                <w:b/>
                <w:noProof/>
                <w:sz w:val="18"/>
                <w:szCs w:val="18"/>
                <w:lang w:eastAsia="en-GB"/>
              </w:rPr>
            </w:pPr>
            <w:r>
              <w:rPr>
                <w:b/>
                <w:sz w:val="18"/>
                <w:szCs w:val="18"/>
                <w:lang w:eastAsia="en-GB"/>
              </w:rPr>
              <w:t>Fair values</w:t>
            </w:r>
          </w:p>
        </w:tc>
        <w:tc>
          <w:tcPr>
            <w:tcW w:w="2143" w:type="dxa"/>
            <w:tcBorders>
              <w:left w:val="single" w:sz="4" w:space="0" w:color="auto"/>
              <w:right w:val="single" w:sz="4" w:space="0" w:color="auto"/>
            </w:tcBorders>
            <w:shd w:val="clear" w:color="auto" w:fill="D9D9D9"/>
          </w:tcPr>
          <w:p w:rsidR="002A0515" w:rsidRDefault="002A0515" w:rsidP="00A54BE4">
            <w:pPr>
              <w:pStyle w:val="TableText"/>
              <w:snapToGrid w:val="0"/>
              <w:rPr>
                <w:lang w:eastAsia="en-GB"/>
              </w:rPr>
            </w:pPr>
          </w:p>
        </w:tc>
        <w:tc>
          <w:tcPr>
            <w:tcW w:w="2144" w:type="dxa"/>
            <w:tcBorders>
              <w:left w:val="single" w:sz="4" w:space="0" w:color="auto"/>
              <w:right w:val="single" w:sz="4" w:space="0" w:color="auto"/>
            </w:tcBorders>
            <w:shd w:val="clear" w:color="auto" w:fill="D9D9D9"/>
          </w:tcPr>
          <w:p w:rsidR="002A0515" w:rsidRDefault="002A0515" w:rsidP="00A54BE4">
            <w:pPr>
              <w:pStyle w:val="TableText"/>
              <w:snapToGrid w:val="0"/>
              <w:rPr>
                <w:lang w:eastAsia="en-GB"/>
              </w:rPr>
            </w:pPr>
          </w:p>
        </w:tc>
      </w:tr>
      <w:tr w:rsidR="002A0515" w:rsidTr="00A54BE4">
        <w:trPr>
          <w:cantSplit/>
        </w:trPr>
        <w:tc>
          <w:tcPr>
            <w:tcW w:w="4927" w:type="dxa"/>
            <w:tcBorders>
              <w:left w:val="nil"/>
              <w:bottom w:val="single" w:sz="4" w:space="0" w:color="BCBDBC"/>
              <w:right w:val="single" w:sz="4" w:space="0" w:color="auto"/>
            </w:tcBorders>
          </w:tcPr>
          <w:p w:rsidR="002A0515" w:rsidRDefault="002A0515" w:rsidP="00A54BE4">
            <w:pPr>
              <w:pStyle w:val="TableText"/>
              <w:snapToGrid w:val="0"/>
              <w:ind w:firstLine="176"/>
              <w:rPr>
                <w:noProof/>
                <w:sz w:val="18"/>
                <w:szCs w:val="18"/>
                <w:lang w:eastAsia="en-GB"/>
              </w:rPr>
            </w:pPr>
            <w:r>
              <w:rPr>
                <w:sz w:val="18"/>
                <w:szCs w:val="18"/>
                <w:lang w:eastAsia="en-GB"/>
              </w:rPr>
              <w:t>Positive fair value (asset)</w:t>
            </w:r>
          </w:p>
        </w:tc>
        <w:tc>
          <w:tcPr>
            <w:tcW w:w="2143" w:type="dxa"/>
            <w:tcBorders>
              <w:left w:val="single" w:sz="4" w:space="0" w:color="auto"/>
              <w:bottom w:val="single" w:sz="4" w:space="0" w:color="BCBDBC"/>
              <w:right w:val="single" w:sz="4" w:space="0" w:color="auto"/>
            </w:tcBorders>
          </w:tcPr>
          <w:p w:rsidR="002A0515" w:rsidRDefault="002A0515" w:rsidP="00A54BE4">
            <w:pPr>
              <w:pStyle w:val="TableText"/>
              <w:snapToGrid w:val="0"/>
              <w:rPr>
                <w:lang w:eastAsia="en-GB"/>
              </w:rPr>
            </w:pPr>
          </w:p>
        </w:tc>
        <w:tc>
          <w:tcPr>
            <w:tcW w:w="2144" w:type="dxa"/>
            <w:tcBorders>
              <w:left w:val="single" w:sz="4" w:space="0" w:color="auto"/>
              <w:bottom w:val="single" w:sz="4" w:space="0" w:color="BCBDBC"/>
              <w:right w:val="single" w:sz="4" w:space="0" w:color="auto"/>
            </w:tcBorders>
          </w:tcPr>
          <w:p w:rsidR="002A0515" w:rsidRDefault="002A0515" w:rsidP="00A54BE4">
            <w:pPr>
              <w:pStyle w:val="TableText"/>
              <w:snapToGrid w:val="0"/>
              <w:rPr>
                <w:lang w:eastAsia="en-GB"/>
              </w:rPr>
            </w:pPr>
          </w:p>
        </w:tc>
      </w:tr>
      <w:tr w:rsidR="002A0515" w:rsidTr="00A54BE4">
        <w:trPr>
          <w:cantSplit/>
        </w:trPr>
        <w:tc>
          <w:tcPr>
            <w:tcW w:w="4927" w:type="dxa"/>
            <w:tcBorders>
              <w:left w:val="nil"/>
              <w:bottom w:val="single" w:sz="4" w:space="0" w:color="auto"/>
              <w:right w:val="single" w:sz="4" w:space="0" w:color="auto"/>
            </w:tcBorders>
          </w:tcPr>
          <w:p w:rsidR="002A0515" w:rsidRDefault="002A0515" w:rsidP="00A54BE4">
            <w:pPr>
              <w:pStyle w:val="TableText"/>
              <w:snapToGrid w:val="0"/>
              <w:ind w:firstLine="176"/>
              <w:rPr>
                <w:noProof/>
                <w:sz w:val="18"/>
                <w:szCs w:val="18"/>
                <w:lang w:eastAsia="en-GB"/>
              </w:rPr>
            </w:pPr>
            <w:r>
              <w:rPr>
                <w:sz w:val="18"/>
                <w:szCs w:val="18"/>
                <w:lang w:eastAsia="en-GB"/>
              </w:rPr>
              <w:t>Negative fair value (liability)</w:t>
            </w:r>
          </w:p>
        </w:tc>
        <w:tc>
          <w:tcPr>
            <w:tcW w:w="2143" w:type="dxa"/>
            <w:tcBorders>
              <w:left w:val="single" w:sz="4" w:space="0" w:color="auto"/>
              <w:bottom w:val="single" w:sz="4" w:space="0" w:color="auto"/>
              <w:right w:val="single" w:sz="4" w:space="0" w:color="auto"/>
            </w:tcBorders>
          </w:tcPr>
          <w:p w:rsidR="002A0515" w:rsidRDefault="002A0515" w:rsidP="00A54BE4">
            <w:pPr>
              <w:pStyle w:val="TableText"/>
              <w:snapToGrid w:val="0"/>
              <w:rPr>
                <w:lang w:eastAsia="en-GB"/>
              </w:rPr>
            </w:pPr>
          </w:p>
        </w:tc>
        <w:tc>
          <w:tcPr>
            <w:tcW w:w="2144" w:type="dxa"/>
            <w:tcBorders>
              <w:left w:val="single" w:sz="4" w:space="0" w:color="auto"/>
              <w:bottom w:val="single" w:sz="4" w:space="0" w:color="auto"/>
              <w:right w:val="single" w:sz="4" w:space="0" w:color="auto"/>
            </w:tcBorders>
          </w:tcPr>
          <w:p w:rsidR="002A0515" w:rsidRDefault="002A0515" w:rsidP="00A54BE4">
            <w:pPr>
              <w:pStyle w:val="TableText"/>
              <w:snapToGrid w:val="0"/>
              <w:rPr>
                <w:lang w:eastAsia="en-GB"/>
              </w:rPr>
            </w:pPr>
          </w:p>
        </w:tc>
      </w:tr>
    </w:tbl>
    <w:p w:rsidR="002A0515" w:rsidRDefault="002A0515" w:rsidP="002A0515">
      <w:pPr>
        <w:spacing w:before="120" w:after="120"/>
        <w:ind w:leftChars="-283" w:left="-566"/>
        <w:rPr>
          <w:sz w:val="22"/>
        </w:rPr>
      </w:pPr>
    </w:p>
    <w:p w:rsidR="002A0515" w:rsidRDefault="002A0515" w:rsidP="002A0515">
      <w:pPr>
        <w:spacing w:before="120" w:after="120"/>
        <w:rPr>
          <w:sz w:val="22"/>
        </w:rPr>
      </w:pPr>
    </w:p>
    <w:p w:rsidR="002A0515" w:rsidRDefault="002A0515" w:rsidP="002A0515">
      <w:pPr>
        <w:rPr>
          <w:rFonts w:eastAsia="新細明體"/>
          <w:lang w:eastAsia="zh-TW"/>
        </w:rPr>
      </w:pPr>
    </w:p>
    <w:p w:rsidR="002A0515" w:rsidRDefault="002A0515" w:rsidP="002A0515">
      <w:pPr>
        <w:spacing w:before="40" w:after="40"/>
        <w:jc w:val="both"/>
        <w:rPr>
          <w:sz w:val="22"/>
        </w:rPr>
        <w:sectPr w:rsidR="002A0515" w:rsidSect="00A54BE4">
          <w:footerReference w:type="default" r:id="rId22"/>
          <w:pgSz w:w="11906" w:h="16838" w:code="9"/>
          <w:pgMar w:top="1440" w:right="1700" w:bottom="1440" w:left="1797" w:header="851" w:footer="737" w:gutter="0"/>
          <w:cols w:space="425"/>
          <w:docGrid w:type="linesAndChars" w:linePitch="360"/>
        </w:sectPr>
      </w:pPr>
    </w:p>
    <w:tbl>
      <w:tblPr>
        <w:tblW w:w="9242"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008"/>
        <w:gridCol w:w="7234"/>
      </w:tblGrid>
      <w:tr w:rsidR="002A0515" w:rsidTr="00A54BE4">
        <w:tc>
          <w:tcPr>
            <w:tcW w:w="9242" w:type="dxa"/>
            <w:gridSpan w:val="2"/>
            <w:tcBorders>
              <w:top w:val="nil"/>
            </w:tcBorders>
          </w:tcPr>
          <w:p w:rsidR="002A0515" w:rsidRDefault="002A0515" w:rsidP="00A54BE4">
            <w:pPr>
              <w:spacing w:before="40" w:after="40"/>
              <w:jc w:val="both"/>
              <w:rPr>
                <w:noProof/>
                <w:sz w:val="17"/>
                <w:lang w:eastAsia="en-GB"/>
              </w:rPr>
            </w:pPr>
            <w:r>
              <w:rPr>
                <w:sz w:val="22"/>
              </w:rPr>
              <w:t>Template CCR7: RWA flow statements of default risk exposures under IMM(CCR) approach</w:t>
            </w:r>
          </w:p>
        </w:tc>
      </w:tr>
      <w:tr w:rsidR="002A0515" w:rsidTr="00A54BE4">
        <w:tc>
          <w:tcPr>
            <w:tcW w:w="2008" w:type="dxa"/>
          </w:tcPr>
          <w:p w:rsidR="002A0515" w:rsidRDefault="002A0515" w:rsidP="00A54BE4">
            <w:pPr>
              <w:spacing w:before="40" w:after="40"/>
              <w:rPr>
                <w:noProof/>
                <w:sz w:val="17"/>
                <w:lang w:eastAsia="en-GB"/>
              </w:rPr>
            </w:pPr>
            <w:r>
              <w:rPr>
                <w:b/>
                <w:sz w:val="17"/>
                <w:lang w:eastAsia="en-GB"/>
              </w:rPr>
              <w:t>Purpose:</w:t>
            </w:r>
            <w:r>
              <w:rPr>
                <w:sz w:val="17"/>
                <w:lang w:eastAsia="en-GB"/>
              </w:rPr>
              <w:t xml:space="preserve"> </w:t>
            </w:r>
          </w:p>
        </w:tc>
        <w:tc>
          <w:tcPr>
            <w:tcW w:w="7234" w:type="dxa"/>
          </w:tcPr>
          <w:p w:rsidR="002A0515" w:rsidRDefault="002A0515" w:rsidP="00A54BE4">
            <w:pPr>
              <w:spacing w:before="40" w:after="40"/>
              <w:jc w:val="both"/>
              <w:rPr>
                <w:rFonts w:eastAsia="新細明體"/>
                <w:sz w:val="17"/>
                <w:lang w:eastAsia="en-GB"/>
              </w:rPr>
            </w:pPr>
            <w:r>
              <w:rPr>
                <w:rFonts w:eastAsia="新細明體"/>
                <w:sz w:val="17"/>
                <w:lang w:eastAsia="en-GB"/>
              </w:rPr>
              <w:t>To present a flow statement explaining variations in RWA for default risk exposures determined under the IMM(CCR) approach.</w:t>
            </w:r>
          </w:p>
        </w:tc>
      </w:tr>
      <w:tr w:rsidR="002A0515" w:rsidTr="00A54BE4">
        <w:tc>
          <w:tcPr>
            <w:tcW w:w="2008" w:type="dxa"/>
          </w:tcPr>
          <w:p w:rsidR="002A0515" w:rsidRDefault="002A0515" w:rsidP="00A54BE4">
            <w:pPr>
              <w:spacing w:before="40" w:after="40"/>
              <w:rPr>
                <w:b/>
                <w:sz w:val="17"/>
                <w:lang w:eastAsia="en-GB"/>
              </w:rPr>
            </w:pPr>
            <w:r>
              <w:rPr>
                <w:b/>
                <w:sz w:val="17"/>
                <w:lang w:eastAsia="en-GB"/>
              </w:rPr>
              <w:t xml:space="preserve">Scope of application: </w:t>
            </w:r>
          </w:p>
        </w:tc>
        <w:tc>
          <w:tcPr>
            <w:tcW w:w="7234" w:type="dxa"/>
          </w:tcPr>
          <w:p w:rsidR="002A0515" w:rsidRDefault="002A0515" w:rsidP="00A54BE4">
            <w:pPr>
              <w:spacing w:before="40" w:after="40"/>
              <w:jc w:val="both"/>
              <w:rPr>
                <w:rFonts w:eastAsia="新細明體"/>
                <w:sz w:val="17"/>
                <w:lang w:eastAsia="en-GB"/>
              </w:rPr>
            </w:pPr>
            <w:r>
              <w:rPr>
                <w:rFonts w:eastAsia="新細明體"/>
                <w:sz w:val="17"/>
                <w:lang w:eastAsia="en-GB"/>
              </w:rPr>
              <w:t>The template is mandatory for AIs incorporated in Hong Kong that use the IMM(CCR) approach for measuring default risk exposures, irrespective of the credit risk approach used to compute the RWAs of the default risk exposures.</w:t>
            </w:r>
          </w:p>
        </w:tc>
      </w:tr>
      <w:tr w:rsidR="002A0515" w:rsidTr="00A54BE4">
        <w:tc>
          <w:tcPr>
            <w:tcW w:w="2008" w:type="dxa"/>
          </w:tcPr>
          <w:p w:rsidR="002A0515" w:rsidRDefault="002A0515" w:rsidP="00A54BE4">
            <w:pPr>
              <w:spacing w:before="40" w:after="40"/>
              <w:rPr>
                <w:b/>
                <w:sz w:val="17"/>
                <w:lang w:eastAsia="en-GB"/>
              </w:rPr>
            </w:pPr>
            <w:r>
              <w:rPr>
                <w:b/>
                <w:sz w:val="17"/>
                <w:lang w:eastAsia="en-GB"/>
              </w:rPr>
              <w:t xml:space="preserve">Content: </w:t>
            </w:r>
          </w:p>
        </w:tc>
        <w:tc>
          <w:tcPr>
            <w:tcW w:w="7234" w:type="dxa"/>
          </w:tcPr>
          <w:p w:rsidR="002A0515" w:rsidRDefault="002A0515" w:rsidP="00A54BE4">
            <w:pPr>
              <w:spacing w:before="40" w:after="40"/>
              <w:jc w:val="both"/>
              <w:rPr>
                <w:rFonts w:eastAsia="新細明體"/>
                <w:b/>
                <w:sz w:val="17"/>
                <w:lang w:eastAsia="en-GB"/>
              </w:rPr>
            </w:pPr>
            <w:r>
              <w:rPr>
                <w:rFonts w:eastAsia="新細明體"/>
                <w:sz w:val="17"/>
                <w:lang w:eastAsia="en-GB"/>
              </w:rPr>
              <w:t>RWA of default risk exposure (i.e. credit risk disclosed in template CR8 excluded).</w:t>
            </w:r>
            <w:r>
              <w:t xml:space="preserve">  </w:t>
            </w:r>
            <w:r>
              <w:rPr>
                <w:sz w:val="17"/>
                <w:szCs w:val="17"/>
              </w:rPr>
              <w:t>Changes in RWA in the current reporting period for each of the key drivers should be based on an AI’s reasonable estimation of the figures.</w:t>
            </w:r>
          </w:p>
        </w:tc>
      </w:tr>
      <w:tr w:rsidR="002A0515" w:rsidTr="00A54BE4">
        <w:tc>
          <w:tcPr>
            <w:tcW w:w="2008" w:type="dxa"/>
          </w:tcPr>
          <w:p w:rsidR="002A0515" w:rsidRDefault="002A0515" w:rsidP="00A54BE4">
            <w:pPr>
              <w:spacing w:before="40" w:after="40"/>
              <w:rPr>
                <w:sz w:val="17"/>
                <w:lang w:eastAsia="en-GB"/>
              </w:rPr>
            </w:pPr>
            <w:r>
              <w:rPr>
                <w:b/>
                <w:sz w:val="17"/>
                <w:lang w:eastAsia="en-GB"/>
              </w:rPr>
              <w:t>Frequency:</w:t>
            </w:r>
            <w:r>
              <w:rPr>
                <w:sz w:val="17"/>
                <w:lang w:eastAsia="en-GB"/>
              </w:rPr>
              <w:t xml:space="preserve"> </w:t>
            </w:r>
          </w:p>
        </w:tc>
        <w:tc>
          <w:tcPr>
            <w:tcW w:w="7234" w:type="dxa"/>
          </w:tcPr>
          <w:p w:rsidR="002A0515" w:rsidRDefault="002A0515" w:rsidP="00A54BE4">
            <w:pPr>
              <w:pStyle w:val="TableText"/>
              <w:jc w:val="both"/>
              <w:rPr>
                <w:lang w:eastAsia="en-GB"/>
              </w:rPr>
            </w:pPr>
            <w:r>
              <w:rPr>
                <w:lang w:eastAsia="en-GB"/>
              </w:rPr>
              <w:t>Quarterly.</w:t>
            </w:r>
          </w:p>
        </w:tc>
      </w:tr>
      <w:tr w:rsidR="002A0515" w:rsidTr="00A54BE4">
        <w:tc>
          <w:tcPr>
            <w:tcW w:w="2008" w:type="dxa"/>
          </w:tcPr>
          <w:p w:rsidR="002A0515" w:rsidRDefault="002A0515" w:rsidP="00A54BE4">
            <w:pPr>
              <w:spacing w:before="40" w:after="40"/>
              <w:rPr>
                <w:sz w:val="17"/>
                <w:lang w:eastAsia="en-GB"/>
              </w:rPr>
            </w:pPr>
            <w:r>
              <w:rPr>
                <w:b/>
                <w:sz w:val="17"/>
                <w:lang w:eastAsia="en-GB"/>
              </w:rPr>
              <w:t>Format:</w:t>
            </w:r>
            <w:r>
              <w:rPr>
                <w:sz w:val="17"/>
                <w:lang w:eastAsia="en-GB"/>
              </w:rPr>
              <w:t xml:space="preserve"> </w:t>
            </w:r>
          </w:p>
        </w:tc>
        <w:tc>
          <w:tcPr>
            <w:tcW w:w="7234" w:type="dxa"/>
          </w:tcPr>
          <w:p w:rsidR="002A0515" w:rsidRDefault="002A0515" w:rsidP="00A54BE4">
            <w:pPr>
              <w:pStyle w:val="TableText"/>
              <w:jc w:val="both"/>
              <w:rPr>
                <w:lang w:eastAsia="en-GB"/>
              </w:rPr>
            </w:pPr>
            <w:r>
              <w:rPr>
                <w:lang w:eastAsia="en-GB"/>
              </w:rPr>
              <w:t>Fixed.  Columns and rows 1 and 9 should not be altered.  An AI should add additional rows between rows 7 and 8 to disclose additional elements, if any, that contribute significantly to RWA variations.</w:t>
            </w:r>
          </w:p>
        </w:tc>
      </w:tr>
      <w:tr w:rsidR="002A0515" w:rsidTr="00A54BE4">
        <w:tc>
          <w:tcPr>
            <w:tcW w:w="2008" w:type="dxa"/>
          </w:tcPr>
          <w:p w:rsidR="002A0515" w:rsidRDefault="002A0515" w:rsidP="00A54BE4">
            <w:pPr>
              <w:spacing w:before="40" w:after="40"/>
              <w:rPr>
                <w:b/>
                <w:sz w:val="17"/>
                <w:lang w:eastAsia="en-GB"/>
              </w:rPr>
            </w:pPr>
            <w:r>
              <w:rPr>
                <w:rFonts w:eastAsia="新細明體"/>
                <w:b/>
                <w:sz w:val="17"/>
                <w:szCs w:val="17"/>
                <w:lang w:eastAsia="en-GB"/>
              </w:rPr>
              <w:t>Accompanying narrative:</w:t>
            </w:r>
          </w:p>
        </w:tc>
        <w:tc>
          <w:tcPr>
            <w:tcW w:w="7234" w:type="dxa"/>
          </w:tcPr>
          <w:p w:rsidR="002A0515" w:rsidRDefault="002A0515" w:rsidP="00A54BE4">
            <w:pPr>
              <w:pStyle w:val="TableText"/>
              <w:jc w:val="both"/>
              <w:rPr>
                <w:noProof/>
                <w:lang w:eastAsia="en-GB"/>
              </w:rPr>
            </w:pPr>
            <w:r>
              <w:rPr>
                <w:szCs w:val="17"/>
                <w:lang w:eastAsia="en-GB"/>
              </w:rPr>
              <w:t>An AI should supplement the template with a narrative commentary to explain any material change in the current reporting period and the key drivers of such changes.</w:t>
            </w:r>
            <w:r>
              <w:rPr>
                <w:lang w:eastAsia="en-GB"/>
              </w:rPr>
              <w:t xml:space="preserve"> </w:t>
            </w:r>
          </w:p>
        </w:tc>
      </w:tr>
      <w:tr w:rsidR="002A0515" w:rsidTr="00A54BE4">
        <w:tc>
          <w:tcPr>
            <w:tcW w:w="2008" w:type="dxa"/>
          </w:tcPr>
          <w:p w:rsidR="002A0515" w:rsidRDefault="002A0515" w:rsidP="00A54BE4">
            <w:pPr>
              <w:spacing w:before="40" w:after="40"/>
              <w:rPr>
                <w:rFonts w:eastAsia="新細明體"/>
                <w:b/>
                <w:sz w:val="17"/>
                <w:szCs w:val="17"/>
                <w:lang w:eastAsia="en-GB"/>
              </w:rPr>
            </w:pPr>
            <w:r>
              <w:rPr>
                <w:rFonts w:eastAsia="新細明體"/>
                <w:b/>
                <w:sz w:val="17"/>
                <w:szCs w:val="17"/>
                <w:lang w:eastAsia="en-GB"/>
              </w:rPr>
              <w:t>Corresponding BDR section:</w:t>
            </w:r>
          </w:p>
        </w:tc>
        <w:tc>
          <w:tcPr>
            <w:tcW w:w="7234" w:type="dxa"/>
          </w:tcPr>
          <w:p w:rsidR="002A0515" w:rsidRDefault="002A0515" w:rsidP="00A54BE4">
            <w:pPr>
              <w:pStyle w:val="TableText"/>
              <w:jc w:val="both"/>
              <w:rPr>
                <w:szCs w:val="17"/>
                <w:lang w:eastAsia="en-GB"/>
              </w:rPr>
            </w:pPr>
            <w:r>
              <w:rPr>
                <w:szCs w:val="17"/>
                <w:lang w:eastAsia="en-GB"/>
              </w:rPr>
              <w:t>16ZC</w:t>
            </w:r>
          </w:p>
        </w:tc>
      </w:tr>
    </w:tbl>
    <w:p w:rsidR="002A0515" w:rsidRDefault="002A0515" w:rsidP="002A0515">
      <w:pPr>
        <w:spacing w:before="120" w:after="120"/>
        <w:rPr>
          <w:sz w:val="22"/>
        </w:rPr>
      </w:pPr>
    </w:p>
    <w:tbl>
      <w:tblPr>
        <w:tblW w:w="9242" w:type="dxa"/>
        <w:tblInd w:w="-459" w:type="dxa"/>
        <w:tblBorders>
          <w:top w:val="single" w:sz="4" w:space="0" w:color="BCBDBC"/>
          <w:left w:val="single" w:sz="4" w:space="0" w:color="BCBDBC"/>
          <w:bottom w:val="single" w:sz="4" w:space="0" w:color="BCBDBC"/>
          <w:right w:val="single" w:sz="4" w:space="0" w:color="BCBDBC"/>
          <w:insideH w:val="single" w:sz="4" w:space="0" w:color="BCBDBC"/>
          <w:insideV w:val="single" w:sz="4" w:space="0" w:color="BCBDBC"/>
        </w:tblBorders>
        <w:tblLayout w:type="fixed"/>
        <w:tblLook w:val="00A0" w:firstRow="1" w:lastRow="0" w:firstColumn="1" w:lastColumn="0" w:noHBand="0" w:noVBand="0"/>
      </w:tblPr>
      <w:tblGrid>
        <w:gridCol w:w="567"/>
        <w:gridCol w:w="7458"/>
        <w:gridCol w:w="1217"/>
      </w:tblGrid>
      <w:tr w:rsidR="002A0515" w:rsidTr="00A54BE4">
        <w:trPr>
          <w:cantSplit/>
          <w:trHeight w:val="107"/>
          <w:tblHeader/>
        </w:trPr>
        <w:tc>
          <w:tcPr>
            <w:tcW w:w="567" w:type="dxa"/>
            <w:tcBorders>
              <w:top w:val="nil"/>
              <w:left w:val="nil"/>
              <w:bottom w:val="nil"/>
              <w:right w:val="nil"/>
            </w:tcBorders>
          </w:tcPr>
          <w:p w:rsidR="002A0515" w:rsidRDefault="002A0515" w:rsidP="00A54BE4">
            <w:pPr>
              <w:pStyle w:val="TableText"/>
              <w:snapToGrid w:val="0"/>
              <w:ind w:leftChars="-54" w:left="-108"/>
              <w:rPr>
                <w:lang w:eastAsia="en-GB"/>
              </w:rPr>
            </w:pPr>
          </w:p>
        </w:tc>
        <w:tc>
          <w:tcPr>
            <w:tcW w:w="7458" w:type="dxa"/>
            <w:tcBorders>
              <w:top w:val="nil"/>
              <w:left w:val="nil"/>
              <w:bottom w:val="nil"/>
              <w:right w:val="single" w:sz="4" w:space="0" w:color="auto"/>
            </w:tcBorders>
            <w:vAlign w:val="center"/>
          </w:tcPr>
          <w:p w:rsidR="002A0515" w:rsidRDefault="002A0515" w:rsidP="00A54BE4">
            <w:pPr>
              <w:pStyle w:val="TableText"/>
              <w:snapToGrid w:val="0"/>
              <w:ind w:leftChars="-621" w:left="-1242"/>
              <w:rPr>
                <w:lang w:eastAsia="en-GB"/>
              </w:rPr>
            </w:pPr>
          </w:p>
        </w:tc>
        <w:tc>
          <w:tcPr>
            <w:tcW w:w="1217" w:type="dxa"/>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bCs/>
                <w:szCs w:val="17"/>
                <w:lang w:eastAsia="it-IT"/>
              </w:rPr>
            </w:pPr>
            <w:r>
              <w:rPr>
                <w:bCs/>
                <w:szCs w:val="17"/>
                <w:lang w:eastAsia="it-IT"/>
              </w:rPr>
              <w:t>(a)</w:t>
            </w:r>
          </w:p>
        </w:tc>
      </w:tr>
      <w:tr w:rsidR="002A0515" w:rsidTr="00A54BE4">
        <w:trPr>
          <w:cantSplit/>
          <w:tblHeader/>
        </w:trPr>
        <w:tc>
          <w:tcPr>
            <w:tcW w:w="567" w:type="dxa"/>
            <w:tcBorders>
              <w:top w:val="nil"/>
              <w:left w:val="nil"/>
              <w:bottom w:val="single" w:sz="4" w:space="0" w:color="auto"/>
              <w:right w:val="nil"/>
            </w:tcBorders>
          </w:tcPr>
          <w:p w:rsidR="002A0515" w:rsidRDefault="002A0515" w:rsidP="00A54BE4">
            <w:pPr>
              <w:pStyle w:val="TableText"/>
              <w:snapToGrid w:val="0"/>
              <w:rPr>
                <w:lang w:eastAsia="en-GB"/>
              </w:rPr>
            </w:pPr>
          </w:p>
        </w:tc>
        <w:tc>
          <w:tcPr>
            <w:tcW w:w="7458" w:type="dxa"/>
            <w:tcBorders>
              <w:top w:val="nil"/>
              <w:left w:val="nil"/>
              <w:bottom w:val="single" w:sz="4" w:space="0" w:color="auto"/>
              <w:right w:val="single" w:sz="4" w:space="0" w:color="auto"/>
            </w:tcBorders>
            <w:vAlign w:val="center"/>
          </w:tcPr>
          <w:p w:rsidR="002A0515" w:rsidRDefault="002A0515" w:rsidP="00A54BE4">
            <w:pPr>
              <w:pStyle w:val="TableText"/>
              <w:snapToGrid w:val="0"/>
              <w:rPr>
                <w:lang w:eastAsia="en-GB"/>
              </w:rPr>
            </w:pPr>
          </w:p>
        </w:tc>
        <w:tc>
          <w:tcPr>
            <w:tcW w:w="1217" w:type="dxa"/>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b/>
                <w:bCs/>
                <w:szCs w:val="17"/>
                <w:lang w:eastAsia="it-IT"/>
              </w:rPr>
            </w:pPr>
            <w:r>
              <w:rPr>
                <w:b/>
                <w:lang w:eastAsia="it-IT"/>
              </w:rPr>
              <w:t>Amount</w:t>
            </w:r>
          </w:p>
        </w:tc>
      </w:tr>
      <w:tr w:rsidR="002A0515" w:rsidTr="00A54BE4">
        <w:trPr>
          <w:cantSplit/>
          <w:tblHeader/>
        </w:trPr>
        <w:tc>
          <w:tcPr>
            <w:tcW w:w="567" w:type="dxa"/>
            <w:tcBorders>
              <w:top w:val="single" w:sz="4" w:space="0" w:color="auto"/>
              <w:left w:val="nil"/>
              <w:right w:val="single" w:sz="4" w:space="0" w:color="auto"/>
            </w:tcBorders>
          </w:tcPr>
          <w:p w:rsidR="002A0515" w:rsidRDefault="002A0515" w:rsidP="00A54BE4">
            <w:pPr>
              <w:pStyle w:val="TableText"/>
              <w:snapToGrid w:val="0"/>
              <w:rPr>
                <w:b/>
                <w:lang w:eastAsia="en-GB"/>
              </w:rPr>
            </w:pPr>
            <w:r>
              <w:rPr>
                <w:b/>
                <w:lang w:eastAsia="en-GB"/>
              </w:rPr>
              <w:t>1</w:t>
            </w:r>
          </w:p>
        </w:tc>
        <w:tc>
          <w:tcPr>
            <w:tcW w:w="7458" w:type="dxa"/>
            <w:tcBorders>
              <w:top w:val="single" w:sz="4" w:space="0" w:color="auto"/>
              <w:left w:val="single" w:sz="4" w:space="0" w:color="auto"/>
              <w:right w:val="single" w:sz="4" w:space="0" w:color="auto"/>
            </w:tcBorders>
          </w:tcPr>
          <w:p w:rsidR="002A0515" w:rsidRDefault="002A0515" w:rsidP="00A54BE4">
            <w:pPr>
              <w:pStyle w:val="TableText"/>
              <w:snapToGrid w:val="0"/>
              <w:rPr>
                <w:b/>
                <w:noProof/>
                <w:lang w:eastAsia="en-GB"/>
              </w:rPr>
            </w:pPr>
            <w:r>
              <w:rPr>
                <w:b/>
                <w:lang w:eastAsia="en-GB"/>
              </w:rPr>
              <w:t>RWA as at end of previous reporting period</w:t>
            </w:r>
          </w:p>
        </w:tc>
        <w:tc>
          <w:tcPr>
            <w:tcW w:w="1217" w:type="dxa"/>
            <w:tcBorders>
              <w:top w:val="single" w:sz="4" w:space="0" w:color="auto"/>
              <w:left w:val="single" w:sz="4" w:space="0" w:color="auto"/>
              <w:right w:val="single" w:sz="4" w:space="0" w:color="auto"/>
            </w:tcBorders>
            <w:vAlign w:val="center"/>
          </w:tcPr>
          <w:p w:rsidR="002A0515" w:rsidRDefault="002A0515" w:rsidP="00A54BE4">
            <w:pPr>
              <w:pStyle w:val="TableText"/>
              <w:snapToGrid w:val="0"/>
              <w:rPr>
                <w:rFonts w:ascii="Arial" w:hAnsi="Arial"/>
                <w:bCs/>
                <w:lang w:eastAsia="en-GB"/>
              </w:rPr>
            </w:pPr>
          </w:p>
        </w:tc>
      </w:tr>
      <w:tr w:rsidR="002A0515" w:rsidTr="00A54BE4">
        <w:trPr>
          <w:cantSplit/>
        </w:trPr>
        <w:tc>
          <w:tcPr>
            <w:tcW w:w="567" w:type="dxa"/>
            <w:tcBorders>
              <w:left w:val="nil"/>
              <w:right w:val="single" w:sz="4" w:space="0" w:color="auto"/>
            </w:tcBorders>
          </w:tcPr>
          <w:p w:rsidR="002A0515" w:rsidRDefault="002A0515" w:rsidP="00A54BE4">
            <w:pPr>
              <w:pStyle w:val="TableText"/>
              <w:snapToGrid w:val="0"/>
              <w:rPr>
                <w:lang w:eastAsia="en-GB"/>
              </w:rPr>
            </w:pPr>
            <w:r>
              <w:rPr>
                <w:lang w:eastAsia="en-GB"/>
              </w:rPr>
              <w:t>2</w:t>
            </w:r>
          </w:p>
        </w:tc>
        <w:tc>
          <w:tcPr>
            <w:tcW w:w="7458" w:type="dxa"/>
            <w:tcBorders>
              <w:left w:val="single" w:sz="4" w:space="0" w:color="auto"/>
              <w:right w:val="single" w:sz="4" w:space="0" w:color="auto"/>
            </w:tcBorders>
          </w:tcPr>
          <w:p w:rsidR="002A0515" w:rsidRDefault="002A0515" w:rsidP="00A54BE4">
            <w:pPr>
              <w:pStyle w:val="TableText"/>
              <w:snapToGrid w:val="0"/>
              <w:rPr>
                <w:lang w:eastAsia="en-GB"/>
              </w:rPr>
            </w:pPr>
            <w:r>
              <w:rPr>
                <w:lang w:eastAsia="en-GB"/>
              </w:rPr>
              <w:t>Asset size</w:t>
            </w:r>
          </w:p>
        </w:tc>
        <w:tc>
          <w:tcPr>
            <w:tcW w:w="1217" w:type="dxa"/>
            <w:tcBorders>
              <w:left w:val="single" w:sz="4" w:space="0" w:color="auto"/>
              <w:right w:val="single" w:sz="4" w:space="0" w:color="auto"/>
            </w:tcBorders>
          </w:tcPr>
          <w:p w:rsidR="002A0515" w:rsidRDefault="002A0515" w:rsidP="00A54BE4">
            <w:pPr>
              <w:pStyle w:val="TableText"/>
              <w:snapToGrid w:val="0"/>
              <w:rPr>
                <w:lang w:eastAsia="en-GB"/>
              </w:rPr>
            </w:pPr>
          </w:p>
        </w:tc>
      </w:tr>
      <w:tr w:rsidR="002A0515" w:rsidTr="00A54BE4">
        <w:trPr>
          <w:cantSplit/>
        </w:trPr>
        <w:tc>
          <w:tcPr>
            <w:tcW w:w="567" w:type="dxa"/>
            <w:tcBorders>
              <w:left w:val="nil"/>
              <w:right w:val="single" w:sz="4" w:space="0" w:color="auto"/>
            </w:tcBorders>
          </w:tcPr>
          <w:p w:rsidR="002A0515" w:rsidRDefault="002A0515" w:rsidP="00A54BE4">
            <w:pPr>
              <w:pStyle w:val="TableText"/>
              <w:snapToGrid w:val="0"/>
              <w:rPr>
                <w:lang w:eastAsia="en-GB"/>
              </w:rPr>
            </w:pPr>
            <w:r>
              <w:rPr>
                <w:lang w:eastAsia="en-GB"/>
              </w:rPr>
              <w:t>3</w:t>
            </w:r>
          </w:p>
        </w:tc>
        <w:tc>
          <w:tcPr>
            <w:tcW w:w="7458" w:type="dxa"/>
            <w:tcBorders>
              <w:left w:val="single" w:sz="4" w:space="0" w:color="auto"/>
              <w:right w:val="single" w:sz="4" w:space="0" w:color="auto"/>
            </w:tcBorders>
          </w:tcPr>
          <w:p w:rsidR="002A0515" w:rsidRDefault="002A0515" w:rsidP="00A54BE4">
            <w:pPr>
              <w:pStyle w:val="TableText"/>
              <w:snapToGrid w:val="0"/>
              <w:rPr>
                <w:lang w:eastAsia="en-GB"/>
              </w:rPr>
            </w:pPr>
            <w:r>
              <w:rPr>
                <w:lang w:eastAsia="en-GB"/>
              </w:rPr>
              <w:t>Credit quality of counterparties</w:t>
            </w:r>
          </w:p>
        </w:tc>
        <w:tc>
          <w:tcPr>
            <w:tcW w:w="1217" w:type="dxa"/>
            <w:tcBorders>
              <w:left w:val="single" w:sz="4" w:space="0" w:color="auto"/>
              <w:right w:val="single" w:sz="4" w:space="0" w:color="auto"/>
            </w:tcBorders>
          </w:tcPr>
          <w:p w:rsidR="002A0515" w:rsidRDefault="002A0515" w:rsidP="00A54BE4">
            <w:pPr>
              <w:pStyle w:val="TableText"/>
              <w:snapToGrid w:val="0"/>
              <w:rPr>
                <w:lang w:eastAsia="en-GB"/>
              </w:rPr>
            </w:pPr>
          </w:p>
        </w:tc>
      </w:tr>
      <w:tr w:rsidR="002A0515" w:rsidTr="00A54BE4">
        <w:trPr>
          <w:cantSplit/>
        </w:trPr>
        <w:tc>
          <w:tcPr>
            <w:tcW w:w="567" w:type="dxa"/>
            <w:tcBorders>
              <w:left w:val="nil"/>
              <w:right w:val="single" w:sz="4" w:space="0" w:color="auto"/>
            </w:tcBorders>
          </w:tcPr>
          <w:p w:rsidR="002A0515" w:rsidRDefault="002A0515" w:rsidP="00A54BE4">
            <w:pPr>
              <w:pStyle w:val="TableText"/>
              <w:snapToGrid w:val="0"/>
              <w:rPr>
                <w:lang w:eastAsia="en-GB"/>
              </w:rPr>
            </w:pPr>
            <w:r>
              <w:rPr>
                <w:lang w:eastAsia="en-GB"/>
              </w:rPr>
              <w:t>4</w:t>
            </w:r>
          </w:p>
        </w:tc>
        <w:tc>
          <w:tcPr>
            <w:tcW w:w="7458" w:type="dxa"/>
            <w:tcBorders>
              <w:left w:val="single" w:sz="4" w:space="0" w:color="auto"/>
              <w:right w:val="single" w:sz="4" w:space="0" w:color="auto"/>
            </w:tcBorders>
          </w:tcPr>
          <w:p w:rsidR="002A0515" w:rsidRDefault="002A0515" w:rsidP="00A54BE4">
            <w:pPr>
              <w:pStyle w:val="TableText"/>
              <w:snapToGrid w:val="0"/>
              <w:rPr>
                <w:lang w:eastAsia="en-GB"/>
              </w:rPr>
            </w:pPr>
            <w:r>
              <w:rPr>
                <w:lang w:eastAsia="en-GB"/>
              </w:rPr>
              <w:t>Model updates</w:t>
            </w:r>
          </w:p>
        </w:tc>
        <w:tc>
          <w:tcPr>
            <w:tcW w:w="1217" w:type="dxa"/>
            <w:tcBorders>
              <w:left w:val="single" w:sz="4" w:space="0" w:color="auto"/>
              <w:right w:val="single" w:sz="4" w:space="0" w:color="auto"/>
            </w:tcBorders>
          </w:tcPr>
          <w:p w:rsidR="002A0515" w:rsidRDefault="002A0515" w:rsidP="00A54BE4">
            <w:pPr>
              <w:pStyle w:val="TableText"/>
              <w:snapToGrid w:val="0"/>
              <w:rPr>
                <w:lang w:eastAsia="en-GB"/>
              </w:rPr>
            </w:pPr>
          </w:p>
        </w:tc>
      </w:tr>
      <w:tr w:rsidR="002A0515" w:rsidTr="00A54BE4">
        <w:trPr>
          <w:cantSplit/>
        </w:trPr>
        <w:tc>
          <w:tcPr>
            <w:tcW w:w="567" w:type="dxa"/>
            <w:tcBorders>
              <w:left w:val="nil"/>
              <w:right w:val="single" w:sz="4" w:space="0" w:color="auto"/>
            </w:tcBorders>
          </w:tcPr>
          <w:p w:rsidR="002A0515" w:rsidRDefault="002A0515" w:rsidP="00A54BE4">
            <w:pPr>
              <w:pStyle w:val="TableText"/>
              <w:snapToGrid w:val="0"/>
              <w:rPr>
                <w:lang w:eastAsia="en-GB"/>
              </w:rPr>
            </w:pPr>
            <w:r>
              <w:rPr>
                <w:lang w:eastAsia="en-GB"/>
              </w:rPr>
              <w:t>5</w:t>
            </w:r>
          </w:p>
        </w:tc>
        <w:tc>
          <w:tcPr>
            <w:tcW w:w="7458" w:type="dxa"/>
            <w:tcBorders>
              <w:left w:val="single" w:sz="4" w:space="0" w:color="auto"/>
              <w:right w:val="single" w:sz="4" w:space="0" w:color="auto"/>
            </w:tcBorders>
          </w:tcPr>
          <w:p w:rsidR="002A0515" w:rsidRDefault="002A0515" w:rsidP="00A54BE4">
            <w:pPr>
              <w:pStyle w:val="TableText"/>
              <w:snapToGrid w:val="0"/>
              <w:rPr>
                <w:lang w:eastAsia="en-GB"/>
              </w:rPr>
            </w:pPr>
            <w:r>
              <w:rPr>
                <w:lang w:eastAsia="en-GB"/>
              </w:rPr>
              <w:t>Methodology and policy</w:t>
            </w:r>
          </w:p>
        </w:tc>
        <w:tc>
          <w:tcPr>
            <w:tcW w:w="1217" w:type="dxa"/>
            <w:tcBorders>
              <w:left w:val="single" w:sz="4" w:space="0" w:color="auto"/>
              <w:right w:val="single" w:sz="4" w:space="0" w:color="auto"/>
            </w:tcBorders>
          </w:tcPr>
          <w:p w:rsidR="002A0515" w:rsidRDefault="002A0515" w:rsidP="00A54BE4">
            <w:pPr>
              <w:pStyle w:val="TableText"/>
              <w:snapToGrid w:val="0"/>
              <w:rPr>
                <w:lang w:eastAsia="en-GB"/>
              </w:rPr>
            </w:pPr>
          </w:p>
        </w:tc>
      </w:tr>
      <w:tr w:rsidR="002A0515" w:rsidTr="00A54BE4">
        <w:trPr>
          <w:cantSplit/>
        </w:trPr>
        <w:tc>
          <w:tcPr>
            <w:tcW w:w="567" w:type="dxa"/>
            <w:tcBorders>
              <w:left w:val="nil"/>
              <w:right w:val="single" w:sz="4" w:space="0" w:color="auto"/>
            </w:tcBorders>
          </w:tcPr>
          <w:p w:rsidR="002A0515" w:rsidRDefault="002A0515" w:rsidP="00A54BE4">
            <w:pPr>
              <w:pStyle w:val="TableText"/>
              <w:snapToGrid w:val="0"/>
              <w:rPr>
                <w:lang w:eastAsia="en-GB"/>
              </w:rPr>
            </w:pPr>
            <w:r>
              <w:rPr>
                <w:lang w:eastAsia="en-GB"/>
              </w:rPr>
              <w:t>6</w:t>
            </w:r>
          </w:p>
        </w:tc>
        <w:tc>
          <w:tcPr>
            <w:tcW w:w="7458" w:type="dxa"/>
            <w:tcBorders>
              <w:left w:val="single" w:sz="4" w:space="0" w:color="auto"/>
              <w:right w:val="single" w:sz="4" w:space="0" w:color="auto"/>
            </w:tcBorders>
          </w:tcPr>
          <w:p w:rsidR="002A0515" w:rsidRDefault="002A0515" w:rsidP="00A54BE4">
            <w:pPr>
              <w:pStyle w:val="TableText"/>
              <w:snapToGrid w:val="0"/>
              <w:rPr>
                <w:lang w:eastAsia="en-GB"/>
              </w:rPr>
            </w:pPr>
            <w:r>
              <w:rPr>
                <w:lang w:eastAsia="en-GB"/>
              </w:rPr>
              <w:t>Acquisitions and disposals</w:t>
            </w:r>
          </w:p>
        </w:tc>
        <w:tc>
          <w:tcPr>
            <w:tcW w:w="1217" w:type="dxa"/>
            <w:tcBorders>
              <w:left w:val="single" w:sz="4" w:space="0" w:color="auto"/>
              <w:right w:val="single" w:sz="4" w:space="0" w:color="auto"/>
            </w:tcBorders>
          </w:tcPr>
          <w:p w:rsidR="002A0515" w:rsidRDefault="002A0515" w:rsidP="00A54BE4">
            <w:pPr>
              <w:pStyle w:val="TableText"/>
              <w:snapToGrid w:val="0"/>
              <w:rPr>
                <w:lang w:eastAsia="en-GB"/>
              </w:rPr>
            </w:pPr>
          </w:p>
        </w:tc>
      </w:tr>
      <w:tr w:rsidR="002A0515" w:rsidTr="00A54BE4">
        <w:trPr>
          <w:cantSplit/>
        </w:trPr>
        <w:tc>
          <w:tcPr>
            <w:tcW w:w="567" w:type="dxa"/>
            <w:tcBorders>
              <w:left w:val="nil"/>
              <w:right w:val="single" w:sz="4" w:space="0" w:color="auto"/>
            </w:tcBorders>
          </w:tcPr>
          <w:p w:rsidR="002A0515" w:rsidRDefault="002A0515" w:rsidP="00A54BE4">
            <w:pPr>
              <w:pStyle w:val="TableText"/>
              <w:snapToGrid w:val="0"/>
              <w:rPr>
                <w:lang w:eastAsia="en-GB"/>
              </w:rPr>
            </w:pPr>
            <w:r>
              <w:rPr>
                <w:lang w:eastAsia="en-GB"/>
              </w:rPr>
              <w:t>7</w:t>
            </w:r>
          </w:p>
        </w:tc>
        <w:tc>
          <w:tcPr>
            <w:tcW w:w="7458" w:type="dxa"/>
            <w:tcBorders>
              <w:left w:val="single" w:sz="4" w:space="0" w:color="auto"/>
              <w:right w:val="single" w:sz="4" w:space="0" w:color="auto"/>
            </w:tcBorders>
          </w:tcPr>
          <w:p w:rsidR="002A0515" w:rsidRDefault="002A0515" w:rsidP="00A54BE4">
            <w:pPr>
              <w:pStyle w:val="TableText"/>
              <w:snapToGrid w:val="0"/>
              <w:rPr>
                <w:lang w:eastAsia="en-GB"/>
              </w:rPr>
            </w:pPr>
            <w:r>
              <w:rPr>
                <w:lang w:eastAsia="en-GB"/>
              </w:rPr>
              <w:t>Foreign exchange movements</w:t>
            </w:r>
          </w:p>
        </w:tc>
        <w:tc>
          <w:tcPr>
            <w:tcW w:w="1217" w:type="dxa"/>
            <w:tcBorders>
              <w:left w:val="single" w:sz="4" w:space="0" w:color="auto"/>
              <w:right w:val="single" w:sz="4" w:space="0" w:color="auto"/>
            </w:tcBorders>
          </w:tcPr>
          <w:p w:rsidR="002A0515" w:rsidRDefault="002A0515" w:rsidP="00A54BE4">
            <w:pPr>
              <w:pStyle w:val="TableText"/>
              <w:snapToGrid w:val="0"/>
              <w:rPr>
                <w:lang w:eastAsia="en-GB"/>
              </w:rPr>
            </w:pPr>
          </w:p>
        </w:tc>
      </w:tr>
      <w:tr w:rsidR="002A0515" w:rsidTr="00A54BE4">
        <w:trPr>
          <w:cantSplit/>
        </w:trPr>
        <w:tc>
          <w:tcPr>
            <w:tcW w:w="567" w:type="dxa"/>
            <w:tcBorders>
              <w:left w:val="nil"/>
              <w:right w:val="single" w:sz="4" w:space="0" w:color="auto"/>
            </w:tcBorders>
          </w:tcPr>
          <w:p w:rsidR="002A0515" w:rsidRDefault="002A0515" w:rsidP="00A54BE4">
            <w:pPr>
              <w:pStyle w:val="TableText"/>
              <w:snapToGrid w:val="0"/>
              <w:rPr>
                <w:lang w:eastAsia="en-GB"/>
              </w:rPr>
            </w:pPr>
            <w:r>
              <w:rPr>
                <w:lang w:eastAsia="en-GB"/>
              </w:rPr>
              <w:t>8</w:t>
            </w:r>
          </w:p>
        </w:tc>
        <w:tc>
          <w:tcPr>
            <w:tcW w:w="7458" w:type="dxa"/>
            <w:tcBorders>
              <w:left w:val="single" w:sz="4" w:space="0" w:color="auto"/>
              <w:right w:val="single" w:sz="4" w:space="0" w:color="auto"/>
            </w:tcBorders>
          </w:tcPr>
          <w:p w:rsidR="002A0515" w:rsidRDefault="002A0515" w:rsidP="00A54BE4">
            <w:pPr>
              <w:pStyle w:val="TableText"/>
              <w:snapToGrid w:val="0"/>
              <w:rPr>
                <w:lang w:eastAsia="en-GB"/>
              </w:rPr>
            </w:pPr>
            <w:r>
              <w:rPr>
                <w:lang w:eastAsia="en-GB"/>
              </w:rPr>
              <w:t>Other</w:t>
            </w:r>
          </w:p>
        </w:tc>
        <w:tc>
          <w:tcPr>
            <w:tcW w:w="1217" w:type="dxa"/>
            <w:tcBorders>
              <w:left w:val="single" w:sz="4" w:space="0" w:color="auto"/>
              <w:right w:val="single" w:sz="4" w:space="0" w:color="auto"/>
            </w:tcBorders>
          </w:tcPr>
          <w:p w:rsidR="002A0515" w:rsidRDefault="002A0515" w:rsidP="00A54BE4">
            <w:pPr>
              <w:pStyle w:val="TableText"/>
              <w:snapToGrid w:val="0"/>
              <w:rPr>
                <w:lang w:eastAsia="en-GB"/>
              </w:rPr>
            </w:pPr>
          </w:p>
        </w:tc>
      </w:tr>
      <w:tr w:rsidR="002A0515" w:rsidTr="00A54BE4">
        <w:trPr>
          <w:cantSplit/>
        </w:trPr>
        <w:tc>
          <w:tcPr>
            <w:tcW w:w="567" w:type="dxa"/>
            <w:tcBorders>
              <w:left w:val="nil"/>
              <w:bottom w:val="single" w:sz="4" w:space="0" w:color="auto"/>
              <w:right w:val="single" w:sz="4" w:space="0" w:color="auto"/>
            </w:tcBorders>
          </w:tcPr>
          <w:p w:rsidR="002A0515" w:rsidRDefault="002A0515" w:rsidP="00A54BE4">
            <w:pPr>
              <w:pStyle w:val="TableText"/>
              <w:snapToGrid w:val="0"/>
              <w:rPr>
                <w:b/>
                <w:lang w:eastAsia="en-GB"/>
              </w:rPr>
            </w:pPr>
            <w:r>
              <w:rPr>
                <w:b/>
                <w:lang w:eastAsia="en-GB"/>
              </w:rPr>
              <w:t>9</w:t>
            </w:r>
          </w:p>
        </w:tc>
        <w:tc>
          <w:tcPr>
            <w:tcW w:w="7458" w:type="dxa"/>
            <w:tcBorders>
              <w:left w:val="single" w:sz="4" w:space="0" w:color="auto"/>
              <w:bottom w:val="single" w:sz="4" w:space="0" w:color="auto"/>
              <w:right w:val="single" w:sz="4" w:space="0" w:color="auto"/>
            </w:tcBorders>
          </w:tcPr>
          <w:p w:rsidR="002A0515" w:rsidRDefault="002A0515" w:rsidP="00A54BE4">
            <w:pPr>
              <w:pStyle w:val="TableText"/>
              <w:snapToGrid w:val="0"/>
              <w:rPr>
                <w:b/>
                <w:noProof/>
                <w:lang w:eastAsia="en-GB"/>
              </w:rPr>
            </w:pPr>
            <w:r>
              <w:rPr>
                <w:b/>
                <w:lang w:eastAsia="en-GB"/>
              </w:rPr>
              <w:t>RWA as at end of reporting period</w:t>
            </w:r>
          </w:p>
        </w:tc>
        <w:tc>
          <w:tcPr>
            <w:tcW w:w="1217" w:type="dxa"/>
            <w:tcBorders>
              <w:left w:val="single" w:sz="4" w:space="0" w:color="auto"/>
              <w:bottom w:val="single" w:sz="4" w:space="0" w:color="auto"/>
              <w:right w:val="single" w:sz="4" w:space="0" w:color="auto"/>
            </w:tcBorders>
          </w:tcPr>
          <w:p w:rsidR="002A0515" w:rsidRDefault="002A0515" w:rsidP="00A54BE4">
            <w:pPr>
              <w:pStyle w:val="TableText"/>
              <w:snapToGrid w:val="0"/>
              <w:rPr>
                <w:lang w:eastAsia="en-GB"/>
              </w:rPr>
            </w:pPr>
          </w:p>
        </w:tc>
      </w:tr>
    </w:tbl>
    <w:p w:rsidR="002A0515" w:rsidRDefault="002A0515" w:rsidP="002A0515">
      <w:pPr>
        <w:spacing w:before="120" w:after="120"/>
        <w:ind w:leftChars="-283" w:left="-566"/>
        <w:rPr>
          <w:sz w:val="22"/>
        </w:rPr>
      </w:pP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8647"/>
      </w:tblGrid>
      <w:tr w:rsidR="002A0515" w:rsidTr="00A54BE4">
        <w:trPr>
          <w:tblHeader/>
        </w:trPr>
        <w:tc>
          <w:tcPr>
            <w:tcW w:w="9214" w:type="dxa"/>
            <w:gridSpan w:val="2"/>
            <w:shd w:val="clear" w:color="auto" w:fill="BFBFBF"/>
          </w:tcPr>
          <w:p w:rsidR="002A0515" w:rsidRDefault="002A0515" w:rsidP="00A54BE4">
            <w:pPr>
              <w:spacing w:before="40" w:after="40"/>
              <w:jc w:val="both"/>
              <w:rPr>
                <w:rFonts w:eastAsia="新細明體"/>
                <w:b/>
                <w:sz w:val="17"/>
                <w:szCs w:val="17"/>
                <w:lang w:eastAsia="en-GB"/>
              </w:rPr>
            </w:pPr>
            <w:r>
              <w:rPr>
                <w:rFonts w:eastAsia="新細明體"/>
                <w:b/>
                <w:sz w:val="17"/>
                <w:szCs w:val="17"/>
                <w:lang w:eastAsia="en-GB"/>
              </w:rPr>
              <w:t>Explanatory Note</w:t>
            </w:r>
          </w:p>
        </w:tc>
      </w:tr>
      <w:tr w:rsidR="002A0515" w:rsidTr="00A54BE4">
        <w:trPr>
          <w:trHeight w:val="153"/>
        </w:trPr>
        <w:tc>
          <w:tcPr>
            <w:tcW w:w="9214" w:type="dxa"/>
            <w:gridSpan w:val="2"/>
            <w:shd w:val="clear" w:color="auto" w:fill="F2F2F2"/>
          </w:tcPr>
          <w:p w:rsidR="002A0515" w:rsidRDefault="002A0515" w:rsidP="00A54BE4">
            <w:pPr>
              <w:spacing w:before="40" w:after="40"/>
              <w:jc w:val="both"/>
              <w:rPr>
                <w:rFonts w:eastAsia="新細明體"/>
                <w:b/>
                <w:sz w:val="17"/>
                <w:szCs w:val="17"/>
                <w:lang w:eastAsia="en-GB"/>
              </w:rPr>
            </w:pPr>
            <w:r>
              <w:rPr>
                <w:rFonts w:eastAsia="新細明體"/>
                <w:b/>
                <w:sz w:val="17"/>
                <w:szCs w:val="17"/>
                <w:lang w:eastAsia="en-GB"/>
              </w:rPr>
              <w:t>Rows</w:t>
            </w:r>
          </w:p>
        </w:tc>
      </w:tr>
      <w:tr w:rsidR="002A0515" w:rsidTr="00A54BE4">
        <w:tc>
          <w:tcPr>
            <w:tcW w:w="567"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w:t>
            </w:r>
          </w:p>
        </w:tc>
        <w:tc>
          <w:tcPr>
            <w:tcW w:w="8647" w:type="dxa"/>
          </w:tcPr>
          <w:p w:rsidR="002A0515" w:rsidRDefault="002A0515" w:rsidP="00A54BE4">
            <w:pPr>
              <w:pStyle w:val="TableText"/>
              <w:keepNext/>
              <w:jc w:val="both"/>
              <w:rPr>
                <w:szCs w:val="17"/>
              </w:rPr>
            </w:pPr>
            <w:r>
              <w:rPr>
                <w:i/>
                <w:szCs w:val="17"/>
              </w:rPr>
              <w:t>RWA as at end of previous reporting period</w:t>
            </w:r>
            <w:r>
              <w:rPr>
                <w:lang w:eastAsia="en-GB"/>
              </w:rPr>
              <w:t xml:space="preserve">: </w:t>
            </w:r>
            <w:r>
              <w:rPr>
                <w:rFonts w:cs="Segoe UI"/>
                <w:szCs w:val="17"/>
              </w:rPr>
              <w:t>this row equals the value in [CCR7: 9/a] of the last reporting period, which is also equal to the value in [OV1: 8/b].</w:t>
            </w:r>
          </w:p>
        </w:tc>
      </w:tr>
      <w:tr w:rsidR="002A0515" w:rsidTr="00A54BE4">
        <w:trPr>
          <w:trHeight w:val="252"/>
        </w:trPr>
        <w:tc>
          <w:tcPr>
            <w:tcW w:w="567"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w:t>
            </w:r>
          </w:p>
        </w:tc>
        <w:tc>
          <w:tcPr>
            <w:tcW w:w="8647" w:type="dxa"/>
          </w:tcPr>
          <w:p w:rsidR="002A0515" w:rsidRDefault="002A0515" w:rsidP="00A54BE4">
            <w:pPr>
              <w:pStyle w:val="TableText"/>
              <w:keepNext/>
              <w:jc w:val="both"/>
              <w:rPr>
                <w:szCs w:val="17"/>
              </w:rPr>
            </w:pPr>
            <w:r>
              <w:rPr>
                <w:i/>
                <w:szCs w:val="17"/>
              </w:rPr>
              <w:t>Asset size</w:t>
            </w:r>
            <w:r>
              <w:rPr>
                <w:szCs w:val="17"/>
              </w:rPr>
              <w:t xml:space="preserve">: the variation in RWA due to the organic changes in book size and composition (including </w:t>
            </w:r>
            <w:r>
              <w:rPr>
                <w:rFonts w:eastAsia="MS Mincho"/>
                <w:szCs w:val="17"/>
                <w:lang w:eastAsia="ja-JP"/>
              </w:rPr>
              <w:t xml:space="preserve">origination of </w:t>
            </w:r>
            <w:r>
              <w:rPr>
                <w:szCs w:val="17"/>
              </w:rPr>
              <w:t>new business</w:t>
            </w:r>
            <w:r>
              <w:rPr>
                <w:rFonts w:eastAsia="MS Mincho"/>
                <w:szCs w:val="17"/>
                <w:lang w:eastAsia="ja-JP"/>
              </w:rPr>
              <w:t>es</w:t>
            </w:r>
            <w:r>
              <w:rPr>
                <w:szCs w:val="17"/>
              </w:rPr>
              <w:t xml:space="preserve"> and maturing exposures</w:t>
            </w:r>
            <w:r>
              <w:rPr>
                <w:rFonts w:eastAsia="MS Mincho"/>
                <w:szCs w:val="17"/>
                <w:lang w:eastAsia="ja-JP"/>
              </w:rPr>
              <w:t xml:space="preserve">) but excluding changes in book size due to acquisitions and disposal of </w:t>
            </w:r>
            <w:r>
              <w:rPr>
                <w:rFonts w:cs="Segoe UI"/>
                <w:szCs w:val="17"/>
              </w:rPr>
              <w:t>entities</w:t>
            </w:r>
            <w:r>
              <w:rPr>
                <w:rFonts w:eastAsia="MS Mincho"/>
                <w:szCs w:val="17"/>
                <w:lang w:eastAsia="ja-JP"/>
              </w:rPr>
              <w:t>.</w:t>
            </w:r>
          </w:p>
        </w:tc>
      </w:tr>
      <w:tr w:rsidR="002A0515" w:rsidTr="00A54BE4">
        <w:tc>
          <w:tcPr>
            <w:tcW w:w="567"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3</w:t>
            </w:r>
          </w:p>
        </w:tc>
        <w:tc>
          <w:tcPr>
            <w:tcW w:w="8647" w:type="dxa"/>
          </w:tcPr>
          <w:p w:rsidR="002A0515" w:rsidRDefault="002A0515" w:rsidP="00A54BE4">
            <w:pPr>
              <w:pStyle w:val="TableText"/>
              <w:keepNext/>
              <w:jc w:val="both"/>
              <w:rPr>
                <w:szCs w:val="17"/>
              </w:rPr>
            </w:pPr>
            <w:r>
              <w:rPr>
                <w:i/>
                <w:szCs w:val="17"/>
              </w:rPr>
              <w:t>Credit quality of counterparties</w:t>
            </w:r>
            <w:r>
              <w:rPr>
                <w:szCs w:val="17"/>
              </w:rPr>
              <w:t xml:space="preserve">: the variation in RWA due to the changes in the assessed credit quality of the AI’s counterparties, whatever credit risk calculation approach the AI uses.  This row also includes potential changes due to internal models used under the IRB approach. </w:t>
            </w:r>
          </w:p>
        </w:tc>
      </w:tr>
      <w:tr w:rsidR="002A0515" w:rsidTr="00A54BE4">
        <w:tc>
          <w:tcPr>
            <w:tcW w:w="567"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4</w:t>
            </w:r>
          </w:p>
        </w:tc>
        <w:tc>
          <w:tcPr>
            <w:tcW w:w="8647" w:type="dxa"/>
          </w:tcPr>
          <w:p w:rsidR="002A0515" w:rsidRDefault="002A0515" w:rsidP="00A54BE4">
            <w:pPr>
              <w:pStyle w:val="TableText"/>
              <w:keepNext/>
              <w:jc w:val="both"/>
              <w:rPr>
                <w:szCs w:val="17"/>
              </w:rPr>
            </w:pPr>
            <w:r>
              <w:rPr>
                <w:i/>
                <w:szCs w:val="17"/>
              </w:rPr>
              <w:t>Model updates</w:t>
            </w:r>
            <w:r>
              <w:rPr>
                <w:szCs w:val="17"/>
              </w:rPr>
              <w:t xml:space="preserve">: the variation in RWA arising from model implementation, changes in model scope, or any material changes intended to address model </w:t>
            </w:r>
            <w:r>
              <w:rPr>
                <w:rFonts w:cs="Segoe UI"/>
                <w:szCs w:val="17"/>
              </w:rPr>
              <w:t>weaknesses</w:t>
            </w:r>
            <w:r>
              <w:rPr>
                <w:szCs w:val="17"/>
              </w:rPr>
              <w:t>, in respect of the model used for the IMM(CCR) approach.</w:t>
            </w:r>
          </w:p>
        </w:tc>
      </w:tr>
      <w:tr w:rsidR="002A0515" w:rsidTr="00A54BE4">
        <w:tc>
          <w:tcPr>
            <w:tcW w:w="567"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5</w:t>
            </w:r>
          </w:p>
        </w:tc>
        <w:tc>
          <w:tcPr>
            <w:tcW w:w="8647" w:type="dxa"/>
          </w:tcPr>
          <w:p w:rsidR="002A0515" w:rsidRDefault="002A0515" w:rsidP="00A54BE4">
            <w:pPr>
              <w:pStyle w:val="TableText"/>
              <w:keepNext/>
              <w:jc w:val="both"/>
              <w:rPr>
                <w:szCs w:val="17"/>
              </w:rPr>
            </w:pPr>
            <w:r>
              <w:rPr>
                <w:i/>
                <w:szCs w:val="17"/>
              </w:rPr>
              <w:t>Methodology and policy</w:t>
            </w:r>
            <w:r>
              <w:rPr>
                <w:szCs w:val="17"/>
              </w:rPr>
              <w:t xml:space="preserve">: the variation in RWA due to methodological changes in calculations driven by regulatory policy changes, such as new regulations, in </w:t>
            </w:r>
            <w:r>
              <w:rPr>
                <w:rFonts w:cs="Segoe UI"/>
                <w:szCs w:val="17"/>
              </w:rPr>
              <w:t>respect</w:t>
            </w:r>
            <w:r>
              <w:rPr>
                <w:szCs w:val="17"/>
              </w:rPr>
              <w:t xml:space="preserve"> of the use of the IMM(CCR) approach.</w:t>
            </w:r>
          </w:p>
        </w:tc>
      </w:tr>
      <w:tr w:rsidR="002A0515" w:rsidTr="00A54BE4">
        <w:tc>
          <w:tcPr>
            <w:tcW w:w="567"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6</w:t>
            </w:r>
          </w:p>
        </w:tc>
        <w:tc>
          <w:tcPr>
            <w:tcW w:w="8647" w:type="dxa"/>
          </w:tcPr>
          <w:p w:rsidR="002A0515" w:rsidRDefault="002A0515" w:rsidP="00A54BE4">
            <w:pPr>
              <w:pStyle w:val="TableText"/>
              <w:keepNext/>
              <w:jc w:val="both"/>
              <w:rPr>
                <w:szCs w:val="17"/>
              </w:rPr>
            </w:pPr>
            <w:r>
              <w:rPr>
                <w:i/>
                <w:szCs w:val="17"/>
              </w:rPr>
              <w:t>Acquisitions and disposals</w:t>
            </w:r>
            <w:r>
              <w:rPr>
                <w:szCs w:val="17"/>
              </w:rPr>
              <w:t xml:space="preserve">: the variation in RWA arising from changes in book </w:t>
            </w:r>
            <w:r>
              <w:rPr>
                <w:rFonts w:cs="Segoe UI"/>
                <w:szCs w:val="17"/>
              </w:rPr>
              <w:t>sizes</w:t>
            </w:r>
            <w:r>
              <w:rPr>
                <w:szCs w:val="17"/>
              </w:rPr>
              <w:t xml:space="preserve"> due to acquisitions and disposal of entities.</w:t>
            </w:r>
          </w:p>
        </w:tc>
      </w:tr>
      <w:tr w:rsidR="002A0515" w:rsidTr="00A54BE4">
        <w:trPr>
          <w:trHeight w:val="309"/>
        </w:trPr>
        <w:tc>
          <w:tcPr>
            <w:tcW w:w="567"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7</w:t>
            </w:r>
          </w:p>
        </w:tc>
        <w:tc>
          <w:tcPr>
            <w:tcW w:w="8647" w:type="dxa"/>
          </w:tcPr>
          <w:p w:rsidR="002A0515" w:rsidRDefault="002A0515" w:rsidP="00A54BE4">
            <w:pPr>
              <w:pStyle w:val="TableText"/>
              <w:keepNext/>
              <w:jc w:val="both"/>
              <w:rPr>
                <w:szCs w:val="17"/>
              </w:rPr>
            </w:pPr>
            <w:r>
              <w:rPr>
                <w:i/>
                <w:szCs w:val="17"/>
              </w:rPr>
              <w:t>Foreign exchange movements</w:t>
            </w:r>
            <w:r>
              <w:rPr>
                <w:szCs w:val="17"/>
              </w:rPr>
              <w:t xml:space="preserve">: the variation in RWA driven by foreign exchange rate </w:t>
            </w:r>
            <w:r>
              <w:rPr>
                <w:rFonts w:cs="Segoe UI"/>
                <w:szCs w:val="17"/>
              </w:rPr>
              <w:t>movements</w:t>
            </w:r>
            <w:r>
              <w:rPr>
                <w:szCs w:val="17"/>
              </w:rPr>
              <w:t>.</w:t>
            </w:r>
          </w:p>
        </w:tc>
      </w:tr>
      <w:tr w:rsidR="002A0515" w:rsidTr="00A54BE4">
        <w:trPr>
          <w:trHeight w:val="373"/>
        </w:trPr>
        <w:tc>
          <w:tcPr>
            <w:tcW w:w="567"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8</w:t>
            </w:r>
          </w:p>
        </w:tc>
        <w:tc>
          <w:tcPr>
            <w:tcW w:w="8647" w:type="dxa"/>
          </w:tcPr>
          <w:p w:rsidR="002A0515" w:rsidRDefault="002A0515" w:rsidP="00A54BE4">
            <w:pPr>
              <w:pStyle w:val="TableText"/>
              <w:keepNext/>
              <w:jc w:val="both"/>
              <w:rPr>
                <w:szCs w:val="17"/>
              </w:rPr>
            </w:pPr>
            <w:r>
              <w:rPr>
                <w:i/>
                <w:szCs w:val="17"/>
              </w:rPr>
              <w:t>Other</w:t>
            </w:r>
            <w:r>
              <w:rPr>
                <w:szCs w:val="17"/>
              </w:rPr>
              <w:t xml:space="preserve">: this category captures changes in RWA that cannot be attributed to any category above.  An AI should add additional rows between rows 7 and 8 (to be named 7a, 7b and so on) to disclose any other material drivers of RWA movements </w:t>
            </w:r>
            <w:r>
              <w:rPr>
                <w:rFonts w:cs="Segoe UI"/>
                <w:szCs w:val="17"/>
              </w:rPr>
              <w:t>in</w:t>
            </w:r>
            <w:r>
              <w:rPr>
                <w:szCs w:val="17"/>
              </w:rPr>
              <w:t xml:space="preserve"> the current reporting period.</w:t>
            </w:r>
          </w:p>
        </w:tc>
      </w:tr>
      <w:tr w:rsidR="002A0515" w:rsidTr="00A54BE4">
        <w:trPr>
          <w:trHeight w:val="373"/>
        </w:trPr>
        <w:tc>
          <w:tcPr>
            <w:tcW w:w="567"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9</w:t>
            </w:r>
          </w:p>
        </w:tc>
        <w:tc>
          <w:tcPr>
            <w:tcW w:w="8647" w:type="dxa"/>
          </w:tcPr>
          <w:p w:rsidR="002A0515" w:rsidRDefault="002A0515" w:rsidP="00A54BE4">
            <w:pPr>
              <w:pStyle w:val="TableText"/>
              <w:keepNext/>
              <w:jc w:val="both"/>
              <w:rPr>
                <w:i/>
                <w:szCs w:val="17"/>
              </w:rPr>
            </w:pPr>
            <w:r>
              <w:rPr>
                <w:i/>
                <w:szCs w:val="17"/>
              </w:rPr>
              <w:t>RWA as at end of reporting period</w:t>
            </w:r>
            <w:r>
              <w:rPr>
                <w:szCs w:val="17"/>
                <w:lang w:eastAsia="en-GB"/>
              </w:rPr>
              <w:t xml:space="preserve">: </w:t>
            </w:r>
            <w:r>
              <w:rPr>
                <w:rFonts w:cs="Segoe UI"/>
                <w:szCs w:val="17"/>
              </w:rPr>
              <w:t xml:space="preserve">the sum of rows 1 to 8 (including any additional row(s) inserted by the AI), which is also equal to the value in [OV1: 8/a] </w:t>
            </w:r>
            <w:r w:rsidRPr="005D4CB5">
              <w:rPr>
                <w:rFonts w:cs="Segoe UI"/>
                <w:szCs w:val="17"/>
              </w:rPr>
              <w:t>and the value in [CCR1:2/f].</w:t>
            </w:r>
          </w:p>
        </w:tc>
      </w:tr>
    </w:tbl>
    <w:p w:rsidR="002A0515" w:rsidRDefault="002A0515" w:rsidP="002A0515">
      <w:pPr>
        <w:spacing w:before="120" w:after="120"/>
        <w:rPr>
          <w:sz w:val="22"/>
        </w:rPr>
      </w:pPr>
    </w:p>
    <w:p w:rsidR="002A0515" w:rsidRDefault="002A0515" w:rsidP="002A0515">
      <w:pPr>
        <w:rPr>
          <w:rFonts w:eastAsia="新細明體"/>
          <w:lang w:eastAsia="zh-TW"/>
        </w:rPr>
      </w:pPr>
    </w:p>
    <w:p w:rsidR="002A0515" w:rsidRDefault="002A0515" w:rsidP="002A0515">
      <w:pPr>
        <w:spacing w:before="40" w:after="40"/>
        <w:jc w:val="both"/>
        <w:rPr>
          <w:sz w:val="22"/>
        </w:rPr>
        <w:sectPr w:rsidR="002A0515">
          <w:footerReference w:type="default" r:id="rId23"/>
          <w:pgSz w:w="11906" w:h="16838" w:code="9"/>
          <w:pgMar w:top="1440" w:right="1797" w:bottom="1440" w:left="1797" w:header="851" w:footer="737" w:gutter="0"/>
          <w:cols w:space="425"/>
          <w:docGrid w:type="linesAndChars" w:linePitch="360"/>
        </w:sectPr>
      </w:pPr>
    </w:p>
    <w:tbl>
      <w:tblPr>
        <w:tblW w:w="9242"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008"/>
        <w:gridCol w:w="7234"/>
      </w:tblGrid>
      <w:tr w:rsidR="002A0515" w:rsidTr="00A54BE4">
        <w:tc>
          <w:tcPr>
            <w:tcW w:w="9242" w:type="dxa"/>
            <w:gridSpan w:val="2"/>
            <w:tcBorders>
              <w:top w:val="nil"/>
            </w:tcBorders>
          </w:tcPr>
          <w:p w:rsidR="002A0515" w:rsidRDefault="002A0515" w:rsidP="00A54BE4">
            <w:pPr>
              <w:spacing w:before="40" w:after="40"/>
              <w:jc w:val="both"/>
              <w:rPr>
                <w:noProof/>
                <w:sz w:val="17"/>
                <w:lang w:eastAsia="en-GB"/>
              </w:rPr>
            </w:pPr>
            <w:r>
              <w:rPr>
                <w:sz w:val="22"/>
              </w:rPr>
              <w:t>Template CCR8: Exposures to CCPs</w:t>
            </w:r>
          </w:p>
        </w:tc>
      </w:tr>
      <w:tr w:rsidR="002A0515" w:rsidTr="00A54BE4">
        <w:tc>
          <w:tcPr>
            <w:tcW w:w="2008" w:type="dxa"/>
          </w:tcPr>
          <w:p w:rsidR="002A0515" w:rsidRDefault="002A0515" w:rsidP="00A54BE4">
            <w:pPr>
              <w:spacing w:before="40" w:after="40"/>
              <w:rPr>
                <w:noProof/>
                <w:sz w:val="17"/>
                <w:lang w:eastAsia="en-GB"/>
              </w:rPr>
            </w:pPr>
            <w:r>
              <w:rPr>
                <w:b/>
                <w:sz w:val="17"/>
                <w:lang w:eastAsia="en-GB"/>
              </w:rPr>
              <w:t>Purpose:</w:t>
            </w:r>
            <w:r>
              <w:rPr>
                <w:sz w:val="17"/>
                <w:lang w:eastAsia="en-GB"/>
              </w:rPr>
              <w:t xml:space="preserve"> </w:t>
            </w:r>
          </w:p>
        </w:tc>
        <w:tc>
          <w:tcPr>
            <w:tcW w:w="7234" w:type="dxa"/>
          </w:tcPr>
          <w:p w:rsidR="002A0515" w:rsidRDefault="002A0515" w:rsidP="00A54BE4">
            <w:pPr>
              <w:pStyle w:val="TableText"/>
              <w:jc w:val="both"/>
              <w:rPr>
                <w:lang w:eastAsia="en-GB"/>
              </w:rPr>
            </w:pPr>
            <w:r>
              <w:rPr>
                <w:lang w:eastAsia="en-GB"/>
              </w:rPr>
              <w:t>To provide a comprehensive breakdown of exposures to both qualifying and non-qualifying CCPs and the respective RWAs, covering all types of credit risk exposures (including default risk exposures to the CCPs, credit risk exposures arising from initial margins posted, and default fund contributions made, to the CCPs).</w:t>
            </w:r>
          </w:p>
        </w:tc>
      </w:tr>
      <w:tr w:rsidR="002A0515" w:rsidTr="00A54BE4">
        <w:tc>
          <w:tcPr>
            <w:tcW w:w="2008" w:type="dxa"/>
          </w:tcPr>
          <w:p w:rsidR="002A0515" w:rsidRDefault="002A0515" w:rsidP="00A54BE4">
            <w:pPr>
              <w:spacing w:before="40" w:after="40"/>
              <w:rPr>
                <w:b/>
                <w:sz w:val="17"/>
                <w:lang w:eastAsia="en-GB"/>
              </w:rPr>
            </w:pPr>
            <w:r>
              <w:rPr>
                <w:b/>
                <w:sz w:val="17"/>
                <w:lang w:eastAsia="en-GB"/>
              </w:rPr>
              <w:t xml:space="preserve">Scope of application: </w:t>
            </w:r>
          </w:p>
        </w:tc>
        <w:tc>
          <w:tcPr>
            <w:tcW w:w="7234" w:type="dxa"/>
          </w:tcPr>
          <w:p w:rsidR="002A0515" w:rsidRDefault="002A0515" w:rsidP="00A54BE4">
            <w:pPr>
              <w:spacing w:before="40" w:after="40"/>
              <w:jc w:val="both"/>
              <w:rPr>
                <w:rFonts w:eastAsia="新細明體"/>
                <w:b/>
                <w:sz w:val="17"/>
                <w:lang w:eastAsia="en-GB"/>
              </w:rPr>
            </w:pPr>
            <w:r>
              <w:rPr>
                <w:rFonts w:eastAsia="新細明體"/>
                <w:sz w:val="17"/>
                <w:lang w:eastAsia="en-GB"/>
              </w:rPr>
              <w:t>The template is mandatory for all AIs</w:t>
            </w:r>
            <w:r>
              <w:t xml:space="preserve"> </w:t>
            </w:r>
            <w:r>
              <w:rPr>
                <w:rFonts w:eastAsia="新細明體"/>
                <w:sz w:val="17"/>
                <w:lang w:eastAsia="en-GB"/>
              </w:rPr>
              <w:t>incorporated in Hong Kong.</w:t>
            </w:r>
          </w:p>
        </w:tc>
      </w:tr>
      <w:tr w:rsidR="002A0515" w:rsidTr="00A54BE4">
        <w:tc>
          <w:tcPr>
            <w:tcW w:w="2008" w:type="dxa"/>
          </w:tcPr>
          <w:p w:rsidR="002A0515" w:rsidRDefault="002A0515" w:rsidP="00A54BE4">
            <w:pPr>
              <w:spacing w:before="40" w:after="40"/>
              <w:rPr>
                <w:b/>
                <w:sz w:val="17"/>
                <w:lang w:eastAsia="en-GB"/>
              </w:rPr>
            </w:pPr>
            <w:r>
              <w:rPr>
                <w:b/>
                <w:sz w:val="17"/>
                <w:lang w:eastAsia="en-GB"/>
              </w:rPr>
              <w:t xml:space="preserve">Content: </w:t>
            </w:r>
          </w:p>
        </w:tc>
        <w:tc>
          <w:tcPr>
            <w:tcW w:w="7234" w:type="dxa"/>
          </w:tcPr>
          <w:p w:rsidR="002A0515" w:rsidRDefault="002A0515" w:rsidP="00A54BE4">
            <w:pPr>
              <w:spacing w:before="40" w:after="40"/>
              <w:jc w:val="both"/>
              <w:rPr>
                <w:rFonts w:eastAsia="新細明體"/>
                <w:b/>
                <w:sz w:val="17"/>
                <w:lang w:eastAsia="en-GB"/>
              </w:rPr>
            </w:pPr>
            <w:r>
              <w:rPr>
                <w:rFonts w:eastAsia="新細明體"/>
                <w:sz w:val="17"/>
                <w:lang w:eastAsia="en-GB"/>
              </w:rPr>
              <w:t>Exposures to CCPs after recognized CRM, and RWA corresponding to the exposures to CCPs.</w:t>
            </w:r>
          </w:p>
        </w:tc>
      </w:tr>
      <w:tr w:rsidR="002A0515" w:rsidTr="00A54BE4">
        <w:tc>
          <w:tcPr>
            <w:tcW w:w="2008" w:type="dxa"/>
          </w:tcPr>
          <w:p w:rsidR="002A0515" w:rsidRDefault="002A0515" w:rsidP="00A54BE4">
            <w:pPr>
              <w:spacing w:before="40" w:after="40"/>
              <w:rPr>
                <w:sz w:val="17"/>
                <w:lang w:eastAsia="en-GB"/>
              </w:rPr>
            </w:pPr>
            <w:r>
              <w:rPr>
                <w:b/>
                <w:sz w:val="17"/>
                <w:lang w:eastAsia="en-GB"/>
              </w:rPr>
              <w:t>Frequency:</w:t>
            </w:r>
            <w:r>
              <w:rPr>
                <w:sz w:val="17"/>
                <w:lang w:eastAsia="en-GB"/>
              </w:rPr>
              <w:t xml:space="preserve"> </w:t>
            </w:r>
          </w:p>
        </w:tc>
        <w:tc>
          <w:tcPr>
            <w:tcW w:w="7234" w:type="dxa"/>
          </w:tcPr>
          <w:p w:rsidR="002A0515" w:rsidRDefault="002A0515" w:rsidP="00A54BE4">
            <w:pPr>
              <w:pStyle w:val="TableText"/>
              <w:jc w:val="both"/>
              <w:rPr>
                <w:lang w:eastAsia="en-GB"/>
              </w:rPr>
            </w:pPr>
            <w:r>
              <w:rPr>
                <w:lang w:eastAsia="en-GB"/>
              </w:rPr>
              <w:t>Semi-annual.</w:t>
            </w:r>
          </w:p>
        </w:tc>
      </w:tr>
      <w:tr w:rsidR="002A0515" w:rsidTr="00A54BE4">
        <w:tc>
          <w:tcPr>
            <w:tcW w:w="2008" w:type="dxa"/>
          </w:tcPr>
          <w:p w:rsidR="002A0515" w:rsidRDefault="002A0515" w:rsidP="00A54BE4">
            <w:pPr>
              <w:spacing w:before="40" w:after="40"/>
              <w:rPr>
                <w:sz w:val="17"/>
                <w:lang w:eastAsia="en-GB"/>
              </w:rPr>
            </w:pPr>
            <w:r>
              <w:rPr>
                <w:b/>
                <w:sz w:val="17"/>
                <w:lang w:eastAsia="en-GB"/>
              </w:rPr>
              <w:t>Format:</w:t>
            </w:r>
            <w:r>
              <w:rPr>
                <w:sz w:val="17"/>
                <w:lang w:eastAsia="en-GB"/>
              </w:rPr>
              <w:t xml:space="preserve"> </w:t>
            </w:r>
          </w:p>
        </w:tc>
        <w:tc>
          <w:tcPr>
            <w:tcW w:w="7234" w:type="dxa"/>
          </w:tcPr>
          <w:p w:rsidR="002A0515" w:rsidRDefault="002A0515" w:rsidP="00A54BE4">
            <w:pPr>
              <w:pStyle w:val="TableText"/>
              <w:jc w:val="both"/>
              <w:rPr>
                <w:lang w:eastAsia="en-GB"/>
              </w:rPr>
            </w:pPr>
            <w:r>
              <w:rPr>
                <w:lang w:eastAsia="en-GB"/>
              </w:rPr>
              <w:t>Fixed.  An AI should provide a breakdown of exposures to both qualifying and non-qualifying CCPs.</w:t>
            </w:r>
          </w:p>
        </w:tc>
      </w:tr>
      <w:tr w:rsidR="002A0515" w:rsidTr="00A54BE4">
        <w:tc>
          <w:tcPr>
            <w:tcW w:w="2008" w:type="dxa"/>
          </w:tcPr>
          <w:p w:rsidR="002A0515" w:rsidRDefault="002A0515" w:rsidP="00A54BE4">
            <w:pPr>
              <w:spacing w:before="40" w:after="40"/>
              <w:rPr>
                <w:b/>
                <w:sz w:val="17"/>
                <w:lang w:eastAsia="en-GB"/>
              </w:rPr>
            </w:pPr>
            <w:r>
              <w:rPr>
                <w:rFonts w:eastAsia="新細明體"/>
                <w:b/>
                <w:sz w:val="17"/>
                <w:szCs w:val="17"/>
                <w:lang w:eastAsia="en-GB"/>
              </w:rPr>
              <w:t>Accompanying narrative</w:t>
            </w:r>
            <w:r>
              <w:rPr>
                <w:rFonts w:eastAsia="新細明體"/>
                <w:sz w:val="17"/>
                <w:szCs w:val="17"/>
                <w:lang w:eastAsia="en-GB"/>
              </w:rPr>
              <w:t>:</w:t>
            </w:r>
          </w:p>
        </w:tc>
        <w:tc>
          <w:tcPr>
            <w:tcW w:w="7234" w:type="dxa"/>
          </w:tcPr>
          <w:p w:rsidR="002A0515" w:rsidRDefault="002A0515" w:rsidP="00A54BE4">
            <w:pPr>
              <w:pStyle w:val="TableText"/>
              <w:jc w:val="both"/>
              <w:rPr>
                <w:noProof/>
                <w:lang w:eastAsia="en-GB"/>
              </w:rPr>
            </w:pPr>
            <w:r>
              <w:rPr>
                <w:szCs w:val="17"/>
                <w:lang w:eastAsia="en-GB"/>
              </w:rPr>
              <w:t>An AI should supplement the template with a narrative commentary to explain any material movements in the current reporting period and the key drivers of such movements.</w:t>
            </w:r>
          </w:p>
        </w:tc>
      </w:tr>
      <w:tr w:rsidR="002A0515" w:rsidTr="00A54BE4">
        <w:tc>
          <w:tcPr>
            <w:tcW w:w="2008" w:type="dxa"/>
          </w:tcPr>
          <w:p w:rsidR="002A0515" w:rsidRDefault="002A0515" w:rsidP="00A54BE4">
            <w:pPr>
              <w:spacing w:before="40" w:after="40"/>
              <w:rPr>
                <w:rFonts w:eastAsia="新細明體"/>
                <w:b/>
                <w:sz w:val="17"/>
                <w:szCs w:val="17"/>
                <w:lang w:eastAsia="en-GB"/>
              </w:rPr>
            </w:pPr>
            <w:r>
              <w:rPr>
                <w:rFonts w:eastAsia="新細明體"/>
                <w:b/>
                <w:sz w:val="17"/>
                <w:szCs w:val="17"/>
                <w:lang w:eastAsia="en-GB"/>
              </w:rPr>
              <w:t>Corresponding BDR section:</w:t>
            </w:r>
          </w:p>
        </w:tc>
        <w:tc>
          <w:tcPr>
            <w:tcW w:w="7234" w:type="dxa"/>
          </w:tcPr>
          <w:p w:rsidR="002A0515" w:rsidRDefault="002A0515" w:rsidP="00A54BE4">
            <w:pPr>
              <w:pStyle w:val="TableText"/>
              <w:jc w:val="both"/>
              <w:rPr>
                <w:szCs w:val="17"/>
                <w:lang w:eastAsia="en-GB"/>
              </w:rPr>
            </w:pPr>
            <w:r>
              <w:rPr>
                <w:szCs w:val="17"/>
                <w:lang w:eastAsia="en-GB"/>
              </w:rPr>
              <w:t>16ZD</w:t>
            </w:r>
          </w:p>
        </w:tc>
      </w:tr>
    </w:tbl>
    <w:p w:rsidR="002A0515" w:rsidRDefault="002A0515" w:rsidP="002A0515">
      <w:pPr>
        <w:spacing w:before="40" w:after="40"/>
        <w:rPr>
          <w:sz w:val="22"/>
        </w:rPr>
      </w:pPr>
    </w:p>
    <w:tbl>
      <w:tblPr>
        <w:tblW w:w="9229" w:type="dxa"/>
        <w:tblInd w:w="-45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33"/>
        <w:gridCol w:w="5379"/>
        <w:gridCol w:w="1708"/>
        <w:gridCol w:w="1709"/>
      </w:tblGrid>
      <w:tr w:rsidR="002A0515" w:rsidTr="00A54BE4">
        <w:trPr>
          <w:trHeight w:val="56"/>
          <w:tblHeader/>
        </w:trPr>
        <w:tc>
          <w:tcPr>
            <w:tcW w:w="433" w:type="dxa"/>
            <w:tcBorders>
              <w:top w:val="nil"/>
              <w:left w:val="nil"/>
              <w:bottom w:val="nil"/>
              <w:right w:val="nil"/>
            </w:tcBorders>
            <w:vAlign w:val="center"/>
          </w:tcPr>
          <w:p w:rsidR="002A0515" w:rsidRDefault="002A0515" w:rsidP="00A54BE4">
            <w:pPr>
              <w:pStyle w:val="TableText"/>
              <w:snapToGrid w:val="0"/>
              <w:jc w:val="center"/>
              <w:rPr>
                <w:lang w:eastAsia="en-CA"/>
              </w:rPr>
            </w:pPr>
          </w:p>
        </w:tc>
        <w:tc>
          <w:tcPr>
            <w:tcW w:w="5379" w:type="dxa"/>
            <w:tcBorders>
              <w:top w:val="nil"/>
              <w:left w:val="nil"/>
              <w:bottom w:val="nil"/>
              <w:right w:val="single" w:sz="4" w:space="0" w:color="auto"/>
            </w:tcBorders>
            <w:noWrap/>
            <w:vAlign w:val="center"/>
          </w:tcPr>
          <w:p w:rsidR="002A0515" w:rsidRDefault="002A0515" w:rsidP="00A54BE4">
            <w:pPr>
              <w:pStyle w:val="TableText"/>
              <w:snapToGrid w:val="0"/>
              <w:jc w:val="center"/>
              <w:rPr>
                <w:lang w:eastAsia="en-CA"/>
              </w:rPr>
            </w:pPr>
          </w:p>
        </w:tc>
        <w:tc>
          <w:tcPr>
            <w:tcW w:w="1708" w:type="dxa"/>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bCs/>
                <w:lang w:eastAsia="en-CA"/>
              </w:rPr>
            </w:pPr>
            <w:r>
              <w:rPr>
                <w:bCs/>
                <w:lang w:eastAsia="en-CA"/>
              </w:rPr>
              <w:t>(a)</w:t>
            </w:r>
          </w:p>
        </w:tc>
        <w:tc>
          <w:tcPr>
            <w:tcW w:w="1709" w:type="dxa"/>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bCs/>
                <w:lang w:eastAsia="en-CA"/>
              </w:rPr>
            </w:pPr>
            <w:r>
              <w:rPr>
                <w:bCs/>
                <w:lang w:eastAsia="en-CA"/>
              </w:rPr>
              <w:t>(b)</w:t>
            </w:r>
          </w:p>
        </w:tc>
      </w:tr>
      <w:tr w:rsidR="002A0515" w:rsidTr="00A54BE4">
        <w:trPr>
          <w:trHeight w:val="70"/>
          <w:tblHeader/>
        </w:trPr>
        <w:tc>
          <w:tcPr>
            <w:tcW w:w="433" w:type="dxa"/>
            <w:tcBorders>
              <w:top w:val="nil"/>
              <w:left w:val="nil"/>
              <w:bottom w:val="single" w:sz="4" w:space="0" w:color="auto"/>
              <w:right w:val="nil"/>
            </w:tcBorders>
            <w:vAlign w:val="center"/>
          </w:tcPr>
          <w:p w:rsidR="002A0515" w:rsidRDefault="002A0515" w:rsidP="00A54BE4">
            <w:pPr>
              <w:pStyle w:val="TableText"/>
              <w:snapToGrid w:val="0"/>
              <w:jc w:val="center"/>
              <w:rPr>
                <w:lang w:eastAsia="en-CA"/>
              </w:rPr>
            </w:pPr>
          </w:p>
        </w:tc>
        <w:tc>
          <w:tcPr>
            <w:tcW w:w="5379" w:type="dxa"/>
            <w:tcBorders>
              <w:top w:val="nil"/>
              <w:left w:val="nil"/>
              <w:bottom w:val="single" w:sz="4" w:space="0" w:color="auto"/>
              <w:right w:val="single" w:sz="4" w:space="0" w:color="auto"/>
            </w:tcBorders>
            <w:noWrap/>
            <w:vAlign w:val="center"/>
          </w:tcPr>
          <w:p w:rsidR="002A0515" w:rsidRDefault="002A0515" w:rsidP="00A54BE4">
            <w:pPr>
              <w:pStyle w:val="TableText"/>
              <w:snapToGrid w:val="0"/>
              <w:jc w:val="center"/>
              <w:rPr>
                <w:lang w:eastAsia="en-CA"/>
              </w:rPr>
            </w:pPr>
          </w:p>
        </w:tc>
        <w:tc>
          <w:tcPr>
            <w:tcW w:w="1708" w:type="dxa"/>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bCs/>
                <w:noProof/>
                <w:lang w:eastAsia="en-CA"/>
              </w:rPr>
            </w:pPr>
            <w:r>
              <w:rPr>
                <w:bCs/>
                <w:lang w:eastAsia="en-CA"/>
              </w:rPr>
              <w:t>Exposure after CRM</w:t>
            </w:r>
          </w:p>
        </w:tc>
        <w:tc>
          <w:tcPr>
            <w:tcW w:w="1709" w:type="dxa"/>
            <w:tcBorders>
              <w:top w:val="single" w:sz="4" w:space="0" w:color="auto"/>
              <w:left w:val="single" w:sz="4" w:space="0" w:color="auto"/>
              <w:bottom w:val="single" w:sz="4" w:space="0" w:color="auto"/>
              <w:right w:val="single" w:sz="4" w:space="0" w:color="auto"/>
            </w:tcBorders>
            <w:vAlign w:val="center"/>
          </w:tcPr>
          <w:p w:rsidR="002A0515" w:rsidRDefault="002A0515" w:rsidP="00A54BE4">
            <w:pPr>
              <w:pStyle w:val="TableText"/>
              <w:snapToGrid w:val="0"/>
              <w:jc w:val="center"/>
              <w:rPr>
                <w:bCs/>
                <w:noProof/>
                <w:lang w:eastAsia="en-CA"/>
              </w:rPr>
            </w:pPr>
            <w:r>
              <w:rPr>
                <w:bCs/>
                <w:lang w:eastAsia="en-CA"/>
              </w:rPr>
              <w:t>RWA</w:t>
            </w:r>
          </w:p>
        </w:tc>
      </w:tr>
      <w:tr w:rsidR="002A0515" w:rsidTr="00A54BE4">
        <w:trPr>
          <w:trHeight w:val="315"/>
        </w:trPr>
        <w:tc>
          <w:tcPr>
            <w:tcW w:w="433" w:type="dxa"/>
            <w:tcBorders>
              <w:top w:val="single" w:sz="4" w:space="0" w:color="auto"/>
              <w:left w:val="nil"/>
              <w:bottom w:val="single" w:sz="4" w:space="0" w:color="BFBFBF"/>
              <w:right w:val="single" w:sz="4" w:space="0" w:color="auto"/>
            </w:tcBorders>
          </w:tcPr>
          <w:p w:rsidR="002A0515" w:rsidRDefault="002A0515" w:rsidP="00A54BE4">
            <w:pPr>
              <w:pStyle w:val="TableText"/>
              <w:snapToGrid w:val="0"/>
              <w:rPr>
                <w:b/>
                <w:bCs/>
                <w:lang w:eastAsia="en-CA"/>
              </w:rPr>
            </w:pPr>
            <w:r>
              <w:rPr>
                <w:b/>
                <w:bCs/>
                <w:lang w:eastAsia="en-CA"/>
              </w:rPr>
              <w:t>1</w:t>
            </w:r>
          </w:p>
        </w:tc>
        <w:tc>
          <w:tcPr>
            <w:tcW w:w="5379" w:type="dxa"/>
            <w:tcBorders>
              <w:top w:val="single" w:sz="4" w:space="0" w:color="auto"/>
              <w:left w:val="single" w:sz="4" w:space="0" w:color="auto"/>
              <w:bottom w:val="single" w:sz="4" w:space="0" w:color="BFBFBF"/>
              <w:right w:val="single" w:sz="4" w:space="0" w:color="auto"/>
            </w:tcBorders>
          </w:tcPr>
          <w:p w:rsidR="002A0515" w:rsidRDefault="002A0515" w:rsidP="00A54BE4">
            <w:pPr>
              <w:pStyle w:val="TableText"/>
              <w:snapToGrid w:val="0"/>
              <w:rPr>
                <w:b/>
                <w:bCs/>
                <w:lang w:eastAsia="en-CA"/>
              </w:rPr>
            </w:pPr>
            <w:r>
              <w:rPr>
                <w:b/>
                <w:bCs/>
                <w:lang w:eastAsia="en-CA"/>
              </w:rPr>
              <w:t>Exposures of the AI as clearing member or clearing client</w:t>
            </w:r>
            <w:bookmarkStart w:id="6" w:name="_Ref48754812"/>
            <w:r>
              <w:rPr>
                <w:rStyle w:val="FootnoteReference"/>
                <w:b/>
                <w:bCs/>
                <w:lang w:eastAsia="en-CA"/>
              </w:rPr>
              <w:footnoteReference w:id="5"/>
            </w:r>
            <w:bookmarkEnd w:id="6"/>
            <w:r>
              <w:rPr>
                <w:b/>
                <w:bCs/>
                <w:lang w:eastAsia="en-CA"/>
              </w:rPr>
              <w:t xml:space="preserve"> to qualifying CCPs (total)</w:t>
            </w:r>
          </w:p>
        </w:tc>
        <w:tc>
          <w:tcPr>
            <w:tcW w:w="1708" w:type="dxa"/>
            <w:tcBorders>
              <w:top w:val="single" w:sz="4" w:space="0" w:color="auto"/>
              <w:left w:val="single" w:sz="4" w:space="0" w:color="auto"/>
              <w:right w:val="single" w:sz="4" w:space="0" w:color="auto"/>
            </w:tcBorders>
            <w:shd w:val="clear" w:color="auto" w:fill="D9D9D9"/>
            <w:noWrap/>
            <w:vAlign w:val="bottom"/>
          </w:tcPr>
          <w:p w:rsidR="002A0515" w:rsidRDefault="002A0515" w:rsidP="00A54BE4">
            <w:pPr>
              <w:pStyle w:val="TableText"/>
              <w:snapToGrid w:val="0"/>
              <w:rPr>
                <w:lang w:eastAsia="en-CA"/>
              </w:rPr>
            </w:pPr>
            <w:r>
              <w:rPr>
                <w:lang w:eastAsia="en-CA"/>
              </w:rPr>
              <w:t> </w:t>
            </w:r>
          </w:p>
        </w:tc>
        <w:tc>
          <w:tcPr>
            <w:tcW w:w="1709" w:type="dxa"/>
            <w:tcBorders>
              <w:top w:val="single" w:sz="4" w:space="0" w:color="auto"/>
              <w:left w:val="single" w:sz="4" w:space="0" w:color="auto"/>
              <w:bottom w:val="single" w:sz="4" w:space="0" w:color="BFBFBF"/>
              <w:right w:val="single" w:sz="4" w:space="0" w:color="auto"/>
            </w:tcBorders>
            <w:noWrap/>
            <w:vAlign w:val="bottom"/>
          </w:tcPr>
          <w:p w:rsidR="002A0515" w:rsidRDefault="002A0515" w:rsidP="00A54BE4">
            <w:pPr>
              <w:pStyle w:val="TableText"/>
              <w:snapToGrid w:val="0"/>
              <w:rPr>
                <w:lang w:eastAsia="en-CA"/>
              </w:rPr>
            </w:pPr>
            <w:r>
              <w:rPr>
                <w:lang w:eastAsia="en-CA"/>
              </w:rPr>
              <w:t> </w:t>
            </w:r>
          </w:p>
        </w:tc>
      </w:tr>
      <w:tr w:rsidR="002A0515" w:rsidTr="00A54BE4">
        <w:trPr>
          <w:trHeight w:val="409"/>
        </w:trPr>
        <w:tc>
          <w:tcPr>
            <w:tcW w:w="433" w:type="dxa"/>
            <w:tcBorders>
              <w:top w:val="single" w:sz="4" w:space="0" w:color="BFBFBF"/>
              <w:left w:val="nil"/>
              <w:right w:val="single" w:sz="4" w:space="0" w:color="auto"/>
            </w:tcBorders>
          </w:tcPr>
          <w:p w:rsidR="002A0515" w:rsidRDefault="002A0515" w:rsidP="00A54BE4">
            <w:pPr>
              <w:pStyle w:val="TableText"/>
              <w:snapToGrid w:val="0"/>
              <w:rPr>
                <w:lang w:eastAsia="en-CA"/>
              </w:rPr>
            </w:pPr>
            <w:r>
              <w:rPr>
                <w:lang w:eastAsia="en-CA"/>
              </w:rPr>
              <w:t>2</w:t>
            </w:r>
          </w:p>
        </w:tc>
        <w:tc>
          <w:tcPr>
            <w:tcW w:w="5379" w:type="dxa"/>
            <w:tcBorders>
              <w:top w:val="single" w:sz="4" w:space="0" w:color="BFBFBF"/>
              <w:left w:val="single" w:sz="4" w:space="0" w:color="auto"/>
              <w:right w:val="single" w:sz="4" w:space="0" w:color="auto"/>
            </w:tcBorders>
          </w:tcPr>
          <w:p w:rsidR="002A0515" w:rsidRDefault="002A0515" w:rsidP="00A54BE4">
            <w:pPr>
              <w:pStyle w:val="TableText"/>
              <w:snapToGrid w:val="0"/>
              <w:rPr>
                <w:lang w:eastAsia="en-CA"/>
              </w:rPr>
            </w:pPr>
            <w:r>
              <w:rPr>
                <w:lang w:eastAsia="en-CA"/>
              </w:rPr>
              <w:t>Default risk exposures to qualifying CCPs (excluding items disclosed in rows 7 to 10), of which:</w:t>
            </w:r>
          </w:p>
        </w:tc>
        <w:tc>
          <w:tcPr>
            <w:tcW w:w="1708" w:type="dxa"/>
            <w:tcBorders>
              <w:left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c>
          <w:tcPr>
            <w:tcW w:w="1709" w:type="dxa"/>
            <w:tcBorders>
              <w:top w:val="single" w:sz="4" w:space="0" w:color="BFBFBF"/>
              <w:left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r>
      <w:tr w:rsidR="002A0515" w:rsidTr="00A54BE4">
        <w:trPr>
          <w:trHeight w:val="300"/>
        </w:trPr>
        <w:tc>
          <w:tcPr>
            <w:tcW w:w="433" w:type="dxa"/>
            <w:tcBorders>
              <w:left w:val="nil"/>
              <w:right w:val="single" w:sz="4" w:space="0" w:color="auto"/>
            </w:tcBorders>
          </w:tcPr>
          <w:p w:rsidR="002A0515" w:rsidRDefault="002A0515" w:rsidP="00A54BE4">
            <w:pPr>
              <w:pStyle w:val="TableText"/>
              <w:snapToGrid w:val="0"/>
              <w:rPr>
                <w:lang w:eastAsia="en-CA"/>
              </w:rPr>
            </w:pPr>
            <w:r>
              <w:rPr>
                <w:lang w:eastAsia="en-CA"/>
              </w:rPr>
              <w:t>3</w:t>
            </w:r>
          </w:p>
        </w:tc>
        <w:tc>
          <w:tcPr>
            <w:tcW w:w="5379" w:type="dxa"/>
            <w:tcBorders>
              <w:left w:val="single" w:sz="4" w:space="0" w:color="auto"/>
              <w:right w:val="single" w:sz="4" w:space="0" w:color="auto"/>
            </w:tcBorders>
          </w:tcPr>
          <w:p w:rsidR="002A0515" w:rsidRDefault="002A0515" w:rsidP="00A54BE4">
            <w:pPr>
              <w:pStyle w:val="TableText"/>
              <w:snapToGrid w:val="0"/>
              <w:rPr>
                <w:lang w:eastAsia="en-CA"/>
              </w:rPr>
            </w:pPr>
            <w:r>
              <w:rPr>
                <w:lang w:eastAsia="en-CA"/>
              </w:rPr>
              <w:t>(</w:t>
            </w:r>
            <w:proofErr w:type="spellStart"/>
            <w:r>
              <w:rPr>
                <w:lang w:eastAsia="en-CA"/>
              </w:rPr>
              <w:t>i</w:t>
            </w:r>
            <w:proofErr w:type="spellEnd"/>
            <w:r>
              <w:rPr>
                <w:lang w:eastAsia="en-CA"/>
              </w:rPr>
              <w:t>) OTC derivative transactions</w:t>
            </w:r>
          </w:p>
        </w:tc>
        <w:tc>
          <w:tcPr>
            <w:tcW w:w="1708" w:type="dxa"/>
            <w:tcBorders>
              <w:left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c>
          <w:tcPr>
            <w:tcW w:w="1709" w:type="dxa"/>
            <w:tcBorders>
              <w:left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r>
      <w:tr w:rsidR="002A0515" w:rsidTr="00A54BE4">
        <w:trPr>
          <w:trHeight w:val="300"/>
        </w:trPr>
        <w:tc>
          <w:tcPr>
            <w:tcW w:w="433" w:type="dxa"/>
            <w:tcBorders>
              <w:left w:val="nil"/>
              <w:right w:val="single" w:sz="4" w:space="0" w:color="auto"/>
            </w:tcBorders>
          </w:tcPr>
          <w:p w:rsidR="002A0515" w:rsidRDefault="002A0515" w:rsidP="00A54BE4">
            <w:pPr>
              <w:pStyle w:val="TableText"/>
              <w:snapToGrid w:val="0"/>
              <w:rPr>
                <w:lang w:eastAsia="en-CA"/>
              </w:rPr>
            </w:pPr>
            <w:r>
              <w:rPr>
                <w:lang w:eastAsia="en-CA"/>
              </w:rPr>
              <w:t>4</w:t>
            </w:r>
          </w:p>
        </w:tc>
        <w:tc>
          <w:tcPr>
            <w:tcW w:w="5379" w:type="dxa"/>
            <w:tcBorders>
              <w:left w:val="single" w:sz="4" w:space="0" w:color="auto"/>
              <w:right w:val="single" w:sz="4" w:space="0" w:color="auto"/>
            </w:tcBorders>
          </w:tcPr>
          <w:p w:rsidR="002A0515" w:rsidRDefault="002A0515" w:rsidP="00A54BE4">
            <w:pPr>
              <w:pStyle w:val="TableText"/>
              <w:snapToGrid w:val="0"/>
              <w:rPr>
                <w:lang w:eastAsia="en-CA"/>
              </w:rPr>
            </w:pPr>
            <w:r>
              <w:rPr>
                <w:lang w:eastAsia="en-CA"/>
              </w:rPr>
              <w:t>(ii) Exchange-traded derivative contracts</w:t>
            </w:r>
          </w:p>
        </w:tc>
        <w:tc>
          <w:tcPr>
            <w:tcW w:w="1708" w:type="dxa"/>
            <w:tcBorders>
              <w:left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c>
          <w:tcPr>
            <w:tcW w:w="1709" w:type="dxa"/>
            <w:tcBorders>
              <w:left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r>
      <w:tr w:rsidR="002A0515" w:rsidTr="00A54BE4">
        <w:trPr>
          <w:trHeight w:val="300"/>
        </w:trPr>
        <w:tc>
          <w:tcPr>
            <w:tcW w:w="433" w:type="dxa"/>
            <w:tcBorders>
              <w:left w:val="nil"/>
              <w:right w:val="single" w:sz="4" w:space="0" w:color="auto"/>
            </w:tcBorders>
          </w:tcPr>
          <w:p w:rsidR="002A0515" w:rsidRDefault="002A0515" w:rsidP="00A54BE4">
            <w:pPr>
              <w:pStyle w:val="TableText"/>
              <w:snapToGrid w:val="0"/>
              <w:rPr>
                <w:lang w:eastAsia="en-CA"/>
              </w:rPr>
            </w:pPr>
            <w:r>
              <w:rPr>
                <w:lang w:eastAsia="en-CA"/>
              </w:rPr>
              <w:t>5</w:t>
            </w:r>
          </w:p>
        </w:tc>
        <w:tc>
          <w:tcPr>
            <w:tcW w:w="5379" w:type="dxa"/>
            <w:tcBorders>
              <w:left w:val="single" w:sz="4" w:space="0" w:color="auto"/>
              <w:right w:val="single" w:sz="4" w:space="0" w:color="auto"/>
            </w:tcBorders>
          </w:tcPr>
          <w:p w:rsidR="002A0515" w:rsidRDefault="002A0515" w:rsidP="00A54BE4">
            <w:pPr>
              <w:pStyle w:val="TableText"/>
              <w:snapToGrid w:val="0"/>
              <w:rPr>
                <w:lang w:eastAsia="en-CA"/>
              </w:rPr>
            </w:pPr>
            <w:r>
              <w:rPr>
                <w:lang w:eastAsia="en-CA"/>
              </w:rPr>
              <w:t>(iii) Securities financing transactions</w:t>
            </w:r>
          </w:p>
        </w:tc>
        <w:tc>
          <w:tcPr>
            <w:tcW w:w="1708" w:type="dxa"/>
            <w:tcBorders>
              <w:left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c>
          <w:tcPr>
            <w:tcW w:w="1709" w:type="dxa"/>
            <w:tcBorders>
              <w:left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r>
      <w:tr w:rsidR="002A0515" w:rsidTr="00A54BE4">
        <w:trPr>
          <w:trHeight w:val="217"/>
        </w:trPr>
        <w:tc>
          <w:tcPr>
            <w:tcW w:w="433" w:type="dxa"/>
            <w:tcBorders>
              <w:left w:val="nil"/>
              <w:right w:val="single" w:sz="4" w:space="0" w:color="auto"/>
            </w:tcBorders>
          </w:tcPr>
          <w:p w:rsidR="002A0515" w:rsidRDefault="002A0515" w:rsidP="00A54BE4">
            <w:pPr>
              <w:pStyle w:val="TableText"/>
              <w:snapToGrid w:val="0"/>
              <w:rPr>
                <w:lang w:eastAsia="en-CA"/>
              </w:rPr>
            </w:pPr>
            <w:r>
              <w:rPr>
                <w:lang w:eastAsia="en-CA"/>
              </w:rPr>
              <w:t>6</w:t>
            </w:r>
          </w:p>
        </w:tc>
        <w:tc>
          <w:tcPr>
            <w:tcW w:w="5379" w:type="dxa"/>
            <w:tcBorders>
              <w:left w:val="single" w:sz="4" w:space="0" w:color="auto"/>
              <w:right w:val="single" w:sz="4" w:space="0" w:color="auto"/>
            </w:tcBorders>
          </w:tcPr>
          <w:p w:rsidR="002A0515" w:rsidRDefault="002A0515" w:rsidP="00A54BE4">
            <w:pPr>
              <w:pStyle w:val="TableText"/>
              <w:snapToGrid w:val="0"/>
              <w:rPr>
                <w:lang w:eastAsia="en-CA"/>
              </w:rPr>
            </w:pPr>
            <w:r>
              <w:rPr>
                <w:lang w:eastAsia="en-CA"/>
              </w:rPr>
              <w:t>(iv) Netting sets subject to valid cross-product netting agreements</w:t>
            </w:r>
          </w:p>
        </w:tc>
        <w:tc>
          <w:tcPr>
            <w:tcW w:w="1708" w:type="dxa"/>
            <w:tcBorders>
              <w:left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c>
          <w:tcPr>
            <w:tcW w:w="1709" w:type="dxa"/>
            <w:tcBorders>
              <w:left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r>
      <w:tr w:rsidR="002A0515" w:rsidTr="00A54BE4">
        <w:trPr>
          <w:trHeight w:val="300"/>
        </w:trPr>
        <w:tc>
          <w:tcPr>
            <w:tcW w:w="433" w:type="dxa"/>
            <w:tcBorders>
              <w:left w:val="nil"/>
              <w:right w:val="single" w:sz="4" w:space="0" w:color="auto"/>
            </w:tcBorders>
          </w:tcPr>
          <w:p w:rsidR="002A0515" w:rsidRDefault="002A0515" w:rsidP="00A54BE4">
            <w:pPr>
              <w:pStyle w:val="TableText"/>
              <w:snapToGrid w:val="0"/>
              <w:rPr>
                <w:lang w:eastAsia="en-CA"/>
              </w:rPr>
            </w:pPr>
            <w:r>
              <w:rPr>
                <w:lang w:eastAsia="en-CA"/>
              </w:rPr>
              <w:t>7</w:t>
            </w:r>
          </w:p>
        </w:tc>
        <w:tc>
          <w:tcPr>
            <w:tcW w:w="5379" w:type="dxa"/>
            <w:tcBorders>
              <w:left w:val="single" w:sz="4" w:space="0" w:color="auto"/>
              <w:right w:val="single" w:sz="4" w:space="0" w:color="auto"/>
            </w:tcBorders>
          </w:tcPr>
          <w:p w:rsidR="002A0515" w:rsidRDefault="002A0515" w:rsidP="00A54BE4">
            <w:pPr>
              <w:pStyle w:val="TableText"/>
              <w:snapToGrid w:val="0"/>
              <w:rPr>
                <w:lang w:eastAsia="en-CA"/>
              </w:rPr>
            </w:pPr>
            <w:r>
              <w:rPr>
                <w:lang w:eastAsia="en-CA"/>
              </w:rPr>
              <w:t>Segregated initial margin</w:t>
            </w:r>
          </w:p>
        </w:tc>
        <w:tc>
          <w:tcPr>
            <w:tcW w:w="1708" w:type="dxa"/>
            <w:tcBorders>
              <w:left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c>
          <w:tcPr>
            <w:tcW w:w="1709" w:type="dxa"/>
            <w:tcBorders>
              <w:left w:val="single" w:sz="4" w:space="0" w:color="auto"/>
              <w:right w:val="single" w:sz="4" w:space="0" w:color="auto"/>
            </w:tcBorders>
            <w:shd w:val="clear" w:color="auto" w:fill="D9D9D9"/>
            <w:noWrap/>
            <w:vAlign w:val="bottom"/>
          </w:tcPr>
          <w:p w:rsidR="002A0515" w:rsidRDefault="002A0515" w:rsidP="00A54BE4">
            <w:pPr>
              <w:pStyle w:val="TableText"/>
              <w:snapToGrid w:val="0"/>
              <w:rPr>
                <w:lang w:eastAsia="en-CA"/>
              </w:rPr>
            </w:pPr>
            <w:r>
              <w:rPr>
                <w:lang w:eastAsia="en-CA"/>
              </w:rPr>
              <w:t> </w:t>
            </w:r>
          </w:p>
        </w:tc>
      </w:tr>
      <w:tr w:rsidR="002A0515" w:rsidTr="00A54BE4">
        <w:trPr>
          <w:trHeight w:val="300"/>
        </w:trPr>
        <w:tc>
          <w:tcPr>
            <w:tcW w:w="433" w:type="dxa"/>
            <w:tcBorders>
              <w:left w:val="nil"/>
              <w:right w:val="single" w:sz="4" w:space="0" w:color="auto"/>
            </w:tcBorders>
          </w:tcPr>
          <w:p w:rsidR="002A0515" w:rsidRDefault="002A0515" w:rsidP="00A54BE4">
            <w:pPr>
              <w:pStyle w:val="TableText"/>
              <w:snapToGrid w:val="0"/>
              <w:rPr>
                <w:lang w:eastAsia="en-CA"/>
              </w:rPr>
            </w:pPr>
            <w:r>
              <w:rPr>
                <w:lang w:eastAsia="en-CA"/>
              </w:rPr>
              <w:t>8</w:t>
            </w:r>
          </w:p>
        </w:tc>
        <w:tc>
          <w:tcPr>
            <w:tcW w:w="5379" w:type="dxa"/>
            <w:tcBorders>
              <w:left w:val="single" w:sz="4" w:space="0" w:color="auto"/>
              <w:right w:val="single" w:sz="4" w:space="0" w:color="auto"/>
            </w:tcBorders>
          </w:tcPr>
          <w:p w:rsidR="002A0515" w:rsidRDefault="002A0515" w:rsidP="00A54BE4">
            <w:pPr>
              <w:pStyle w:val="TableText"/>
              <w:snapToGrid w:val="0"/>
              <w:rPr>
                <w:lang w:eastAsia="en-CA"/>
              </w:rPr>
            </w:pPr>
            <w:r>
              <w:rPr>
                <w:lang w:eastAsia="en-CA"/>
              </w:rPr>
              <w:t>Unsegregated initial margin</w:t>
            </w:r>
          </w:p>
        </w:tc>
        <w:tc>
          <w:tcPr>
            <w:tcW w:w="1708" w:type="dxa"/>
            <w:tcBorders>
              <w:left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c>
          <w:tcPr>
            <w:tcW w:w="1709" w:type="dxa"/>
            <w:tcBorders>
              <w:left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r>
      <w:tr w:rsidR="002A0515" w:rsidTr="00A54BE4">
        <w:trPr>
          <w:trHeight w:val="300"/>
        </w:trPr>
        <w:tc>
          <w:tcPr>
            <w:tcW w:w="433" w:type="dxa"/>
            <w:tcBorders>
              <w:left w:val="nil"/>
              <w:right w:val="single" w:sz="4" w:space="0" w:color="auto"/>
            </w:tcBorders>
          </w:tcPr>
          <w:p w:rsidR="002A0515" w:rsidRDefault="002A0515" w:rsidP="00A54BE4">
            <w:pPr>
              <w:pStyle w:val="TableText"/>
              <w:snapToGrid w:val="0"/>
              <w:rPr>
                <w:lang w:eastAsia="en-CA"/>
              </w:rPr>
            </w:pPr>
            <w:r>
              <w:rPr>
                <w:lang w:eastAsia="en-CA"/>
              </w:rPr>
              <w:t>9</w:t>
            </w:r>
          </w:p>
        </w:tc>
        <w:tc>
          <w:tcPr>
            <w:tcW w:w="5379" w:type="dxa"/>
            <w:tcBorders>
              <w:left w:val="single" w:sz="4" w:space="0" w:color="auto"/>
              <w:right w:val="single" w:sz="4" w:space="0" w:color="auto"/>
            </w:tcBorders>
          </w:tcPr>
          <w:p w:rsidR="002A0515" w:rsidRDefault="002A0515" w:rsidP="00A54BE4">
            <w:pPr>
              <w:pStyle w:val="TableText"/>
              <w:snapToGrid w:val="0"/>
              <w:rPr>
                <w:lang w:eastAsia="en-CA"/>
              </w:rPr>
            </w:pPr>
            <w:r>
              <w:rPr>
                <w:lang w:eastAsia="en-CA"/>
              </w:rPr>
              <w:t>Funded default fund contributions</w:t>
            </w:r>
          </w:p>
        </w:tc>
        <w:tc>
          <w:tcPr>
            <w:tcW w:w="1708" w:type="dxa"/>
            <w:tcBorders>
              <w:left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c>
          <w:tcPr>
            <w:tcW w:w="1709" w:type="dxa"/>
            <w:tcBorders>
              <w:left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r>
      <w:tr w:rsidR="002A0515" w:rsidTr="00A54BE4">
        <w:trPr>
          <w:trHeight w:val="300"/>
        </w:trPr>
        <w:tc>
          <w:tcPr>
            <w:tcW w:w="433" w:type="dxa"/>
            <w:tcBorders>
              <w:left w:val="nil"/>
              <w:bottom w:val="single" w:sz="4" w:space="0" w:color="auto"/>
              <w:right w:val="single" w:sz="4" w:space="0" w:color="auto"/>
            </w:tcBorders>
          </w:tcPr>
          <w:p w:rsidR="002A0515" w:rsidRDefault="002A0515" w:rsidP="00A54BE4">
            <w:pPr>
              <w:pStyle w:val="TableText"/>
              <w:snapToGrid w:val="0"/>
              <w:rPr>
                <w:lang w:eastAsia="en-CA"/>
              </w:rPr>
            </w:pPr>
            <w:r>
              <w:rPr>
                <w:lang w:eastAsia="en-CA"/>
              </w:rPr>
              <w:t>10</w:t>
            </w:r>
          </w:p>
        </w:tc>
        <w:tc>
          <w:tcPr>
            <w:tcW w:w="5379" w:type="dxa"/>
            <w:tcBorders>
              <w:left w:val="single" w:sz="4" w:space="0" w:color="auto"/>
              <w:bottom w:val="single" w:sz="4" w:space="0" w:color="auto"/>
              <w:right w:val="single" w:sz="4" w:space="0" w:color="auto"/>
            </w:tcBorders>
          </w:tcPr>
          <w:p w:rsidR="002A0515" w:rsidRDefault="002A0515" w:rsidP="00A54BE4">
            <w:pPr>
              <w:pStyle w:val="TableText"/>
              <w:snapToGrid w:val="0"/>
              <w:rPr>
                <w:lang w:eastAsia="en-CA"/>
              </w:rPr>
            </w:pPr>
            <w:r>
              <w:rPr>
                <w:lang w:eastAsia="en-CA"/>
              </w:rPr>
              <w:t>Unfunded default fund contributions</w:t>
            </w:r>
          </w:p>
        </w:tc>
        <w:tc>
          <w:tcPr>
            <w:tcW w:w="1708" w:type="dxa"/>
            <w:tcBorders>
              <w:left w:val="single" w:sz="4" w:space="0" w:color="auto"/>
              <w:bottom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c>
          <w:tcPr>
            <w:tcW w:w="1709" w:type="dxa"/>
            <w:tcBorders>
              <w:left w:val="single" w:sz="4" w:space="0" w:color="auto"/>
              <w:bottom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r>
      <w:tr w:rsidR="002A0515" w:rsidTr="00A54BE4">
        <w:trPr>
          <w:trHeight w:val="315"/>
        </w:trPr>
        <w:tc>
          <w:tcPr>
            <w:tcW w:w="433" w:type="dxa"/>
            <w:tcBorders>
              <w:top w:val="single" w:sz="4" w:space="0" w:color="auto"/>
              <w:left w:val="nil"/>
              <w:right w:val="single" w:sz="4" w:space="0" w:color="auto"/>
            </w:tcBorders>
          </w:tcPr>
          <w:p w:rsidR="002A0515" w:rsidRDefault="002A0515" w:rsidP="00A54BE4">
            <w:pPr>
              <w:pStyle w:val="TableText"/>
              <w:snapToGrid w:val="0"/>
              <w:rPr>
                <w:b/>
                <w:bCs/>
                <w:lang w:eastAsia="en-CA"/>
              </w:rPr>
            </w:pPr>
            <w:r>
              <w:rPr>
                <w:b/>
                <w:bCs/>
                <w:lang w:eastAsia="en-CA"/>
              </w:rPr>
              <w:t>11</w:t>
            </w:r>
          </w:p>
        </w:tc>
        <w:tc>
          <w:tcPr>
            <w:tcW w:w="5379" w:type="dxa"/>
            <w:tcBorders>
              <w:top w:val="single" w:sz="4" w:space="0" w:color="auto"/>
              <w:left w:val="single" w:sz="4" w:space="0" w:color="auto"/>
              <w:right w:val="single" w:sz="4" w:space="0" w:color="auto"/>
            </w:tcBorders>
            <w:noWrap/>
          </w:tcPr>
          <w:p w:rsidR="002A0515" w:rsidRDefault="002A0515" w:rsidP="00A54BE4">
            <w:pPr>
              <w:pStyle w:val="TableText"/>
              <w:snapToGrid w:val="0"/>
              <w:rPr>
                <w:b/>
                <w:bCs/>
                <w:lang w:eastAsia="en-CA"/>
              </w:rPr>
            </w:pPr>
            <w:r>
              <w:rPr>
                <w:b/>
                <w:bCs/>
                <w:lang w:eastAsia="en-CA"/>
              </w:rPr>
              <w:t xml:space="preserve">Exposures of the AI as clearing member </w:t>
            </w:r>
            <w:r w:rsidRPr="004F00A9">
              <w:rPr>
                <w:b/>
                <w:bCs/>
                <w:lang w:eastAsia="en-CA"/>
              </w:rPr>
              <w:t xml:space="preserve">or </w:t>
            </w:r>
            <w:r>
              <w:rPr>
                <w:b/>
                <w:bCs/>
                <w:lang w:eastAsia="en-CA"/>
              </w:rPr>
              <w:t xml:space="preserve">clearing </w:t>
            </w:r>
            <w:r w:rsidRPr="004F00A9">
              <w:rPr>
                <w:b/>
                <w:bCs/>
                <w:lang w:eastAsia="en-CA"/>
              </w:rPr>
              <w:t>client</w:t>
            </w:r>
            <w:r>
              <w:rPr>
                <w:b/>
                <w:bCs/>
                <w:lang w:eastAsia="en-CA"/>
              </w:rPr>
              <w:t xml:space="preserve"> to non-qualifying CCPs (total)</w:t>
            </w:r>
          </w:p>
        </w:tc>
        <w:tc>
          <w:tcPr>
            <w:tcW w:w="1708" w:type="dxa"/>
            <w:tcBorders>
              <w:top w:val="single" w:sz="4" w:space="0" w:color="auto"/>
              <w:left w:val="single" w:sz="4" w:space="0" w:color="auto"/>
              <w:right w:val="single" w:sz="4" w:space="0" w:color="auto"/>
            </w:tcBorders>
            <w:shd w:val="clear" w:color="auto" w:fill="D9D9D9"/>
            <w:noWrap/>
            <w:vAlign w:val="bottom"/>
          </w:tcPr>
          <w:p w:rsidR="002A0515" w:rsidRDefault="002A0515" w:rsidP="00A54BE4">
            <w:pPr>
              <w:pStyle w:val="TableText"/>
              <w:snapToGrid w:val="0"/>
              <w:rPr>
                <w:lang w:eastAsia="en-CA"/>
              </w:rPr>
            </w:pPr>
            <w:r>
              <w:rPr>
                <w:lang w:eastAsia="en-CA"/>
              </w:rPr>
              <w:t> </w:t>
            </w:r>
          </w:p>
        </w:tc>
        <w:tc>
          <w:tcPr>
            <w:tcW w:w="1709" w:type="dxa"/>
            <w:tcBorders>
              <w:top w:val="single" w:sz="4" w:space="0" w:color="auto"/>
              <w:left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r>
      <w:tr w:rsidR="002A0515" w:rsidTr="00A54BE4">
        <w:trPr>
          <w:trHeight w:val="347"/>
        </w:trPr>
        <w:tc>
          <w:tcPr>
            <w:tcW w:w="433" w:type="dxa"/>
            <w:tcBorders>
              <w:left w:val="nil"/>
              <w:right w:val="single" w:sz="4" w:space="0" w:color="auto"/>
            </w:tcBorders>
          </w:tcPr>
          <w:p w:rsidR="002A0515" w:rsidRDefault="002A0515" w:rsidP="00A54BE4">
            <w:pPr>
              <w:pStyle w:val="TableText"/>
              <w:snapToGrid w:val="0"/>
              <w:rPr>
                <w:lang w:eastAsia="en-CA"/>
              </w:rPr>
            </w:pPr>
            <w:r>
              <w:rPr>
                <w:lang w:eastAsia="en-CA"/>
              </w:rPr>
              <w:t>12</w:t>
            </w:r>
          </w:p>
        </w:tc>
        <w:tc>
          <w:tcPr>
            <w:tcW w:w="5379" w:type="dxa"/>
            <w:tcBorders>
              <w:left w:val="single" w:sz="4" w:space="0" w:color="auto"/>
              <w:right w:val="single" w:sz="4" w:space="0" w:color="auto"/>
            </w:tcBorders>
          </w:tcPr>
          <w:p w:rsidR="002A0515" w:rsidRDefault="002A0515" w:rsidP="00A54BE4">
            <w:pPr>
              <w:pStyle w:val="TableText"/>
              <w:snapToGrid w:val="0"/>
              <w:rPr>
                <w:lang w:eastAsia="en-CA"/>
              </w:rPr>
            </w:pPr>
            <w:r>
              <w:rPr>
                <w:lang w:eastAsia="en-CA"/>
              </w:rPr>
              <w:t>Default risk exposures to non-qualifying CCPs (excluding items disclosed in rows 17 to 20), of which:</w:t>
            </w:r>
          </w:p>
        </w:tc>
        <w:tc>
          <w:tcPr>
            <w:tcW w:w="1708" w:type="dxa"/>
            <w:tcBorders>
              <w:left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c>
          <w:tcPr>
            <w:tcW w:w="1709" w:type="dxa"/>
            <w:tcBorders>
              <w:left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r>
      <w:tr w:rsidR="002A0515" w:rsidTr="00A54BE4">
        <w:trPr>
          <w:trHeight w:val="300"/>
        </w:trPr>
        <w:tc>
          <w:tcPr>
            <w:tcW w:w="433" w:type="dxa"/>
            <w:tcBorders>
              <w:left w:val="nil"/>
              <w:right w:val="single" w:sz="4" w:space="0" w:color="auto"/>
            </w:tcBorders>
          </w:tcPr>
          <w:p w:rsidR="002A0515" w:rsidRDefault="002A0515" w:rsidP="00A54BE4">
            <w:pPr>
              <w:pStyle w:val="TableText"/>
              <w:snapToGrid w:val="0"/>
              <w:rPr>
                <w:lang w:eastAsia="en-CA"/>
              </w:rPr>
            </w:pPr>
            <w:r>
              <w:rPr>
                <w:lang w:eastAsia="en-CA"/>
              </w:rPr>
              <w:t>13</w:t>
            </w:r>
          </w:p>
        </w:tc>
        <w:tc>
          <w:tcPr>
            <w:tcW w:w="5379" w:type="dxa"/>
            <w:tcBorders>
              <w:left w:val="single" w:sz="4" w:space="0" w:color="auto"/>
              <w:right w:val="single" w:sz="4" w:space="0" w:color="auto"/>
            </w:tcBorders>
          </w:tcPr>
          <w:p w:rsidR="002A0515" w:rsidRDefault="002A0515" w:rsidP="00A54BE4">
            <w:pPr>
              <w:pStyle w:val="TableText"/>
              <w:snapToGrid w:val="0"/>
              <w:rPr>
                <w:lang w:eastAsia="en-CA"/>
              </w:rPr>
            </w:pPr>
            <w:r>
              <w:rPr>
                <w:lang w:eastAsia="en-CA"/>
              </w:rPr>
              <w:t>(</w:t>
            </w:r>
            <w:proofErr w:type="spellStart"/>
            <w:r>
              <w:rPr>
                <w:lang w:eastAsia="en-CA"/>
              </w:rPr>
              <w:t>i</w:t>
            </w:r>
            <w:proofErr w:type="spellEnd"/>
            <w:r>
              <w:rPr>
                <w:lang w:eastAsia="en-CA"/>
              </w:rPr>
              <w:t>) OTC derivative transactions</w:t>
            </w:r>
          </w:p>
        </w:tc>
        <w:tc>
          <w:tcPr>
            <w:tcW w:w="1708" w:type="dxa"/>
            <w:tcBorders>
              <w:left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c>
          <w:tcPr>
            <w:tcW w:w="1709" w:type="dxa"/>
            <w:tcBorders>
              <w:left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r>
      <w:tr w:rsidR="002A0515" w:rsidTr="00A54BE4">
        <w:trPr>
          <w:trHeight w:val="300"/>
        </w:trPr>
        <w:tc>
          <w:tcPr>
            <w:tcW w:w="433" w:type="dxa"/>
            <w:tcBorders>
              <w:left w:val="nil"/>
              <w:right w:val="single" w:sz="4" w:space="0" w:color="auto"/>
            </w:tcBorders>
          </w:tcPr>
          <w:p w:rsidR="002A0515" w:rsidRDefault="002A0515" w:rsidP="00A54BE4">
            <w:pPr>
              <w:pStyle w:val="TableText"/>
              <w:snapToGrid w:val="0"/>
              <w:rPr>
                <w:lang w:eastAsia="en-CA"/>
              </w:rPr>
            </w:pPr>
            <w:r>
              <w:rPr>
                <w:lang w:eastAsia="en-CA"/>
              </w:rPr>
              <w:t>14</w:t>
            </w:r>
          </w:p>
        </w:tc>
        <w:tc>
          <w:tcPr>
            <w:tcW w:w="5379" w:type="dxa"/>
            <w:tcBorders>
              <w:left w:val="single" w:sz="4" w:space="0" w:color="auto"/>
              <w:right w:val="single" w:sz="4" w:space="0" w:color="auto"/>
            </w:tcBorders>
          </w:tcPr>
          <w:p w:rsidR="002A0515" w:rsidRDefault="002A0515" w:rsidP="00A54BE4">
            <w:pPr>
              <w:pStyle w:val="TableText"/>
              <w:snapToGrid w:val="0"/>
              <w:rPr>
                <w:lang w:eastAsia="en-CA"/>
              </w:rPr>
            </w:pPr>
            <w:r>
              <w:rPr>
                <w:lang w:eastAsia="en-CA"/>
              </w:rPr>
              <w:t>(ii) Exchange-traded derivative contracts</w:t>
            </w:r>
          </w:p>
        </w:tc>
        <w:tc>
          <w:tcPr>
            <w:tcW w:w="1708" w:type="dxa"/>
            <w:tcBorders>
              <w:left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c>
          <w:tcPr>
            <w:tcW w:w="1709" w:type="dxa"/>
            <w:tcBorders>
              <w:left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r>
      <w:tr w:rsidR="002A0515" w:rsidTr="00A54BE4">
        <w:trPr>
          <w:trHeight w:val="300"/>
        </w:trPr>
        <w:tc>
          <w:tcPr>
            <w:tcW w:w="433" w:type="dxa"/>
            <w:tcBorders>
              <w:left w:val="nil"/>
              <w:right w:val="single" w:sz="4" w:space="0" w:color="auto"/>
            </w:tcBorders>
          </w:tcPr>
          <w:p w:rsidR="002A0515" w:rsidRDefault="002A0515" w:rsidP="00A54BE4">
            <w:pPr>
              <w:pStyle w:val="TableText"/>
              <w:snapToGrid w:val="0"/>
              <w:rPr>
                <w:lang w:eastAsia="en-CA"/>
              </w:rPr>
            </w:pPr>
            <w:r>
              <w:rPr>
                <w:lang w:eastAsia="en-CA"/>
              </w:rPr>
              <w:t>15</w:t>
            </w:r>
          </w:p>
        </w:tc>
        <w:tc>
          <w:tcPr>
            <w:tcW w:w="5379" w:type="dxa"/>
            <w:tcBorders>
              <w:left w:val="single" w:sz="4" w:space="0" w:color="auto"/>
              <w:right w:val="single" w:sz="4" w:space="0" w:color="auto"/>
            </w:tcBorders>
          </w:tcPr>
          <w:p w:rsidR="002A0515" w:rsidRDefault="002A0515" w:rsidP="00A54BE4">
            <w:pPr>
              <w:pStyle w:val="TableText"/>
              <w:snapToGrid w:val="0"/>
              <w:rPr>
                <w:lang w:eastAsia="en-CA"/>
              </w:rPr>
            </w:pPr>
            <w:r>
              <w:rPr>
                <w:lang w:eastAsia="en-CA"/>
              </w:rPr>
              <w:t>(iii) Securities financing transactions</w:t>
            </w:r>
          </w:p>
        </w:tc>
        <w:tc>
          <w:tcPr>
            <w:tcW w:w="1708" w:type="dxa"/>
            <w:tcBorders>
              <w:left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c>
          <w:tcPr>
            <w:tcW w:w="1709" w:type="dxa"/>
            <w:tcBorders>
              <w:left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r>
      <w:tr w:rsidR="002A0515" w:rsidTr="00A54BE4">
        <w:trPr>
          <w:trHeight w:val="81"/>
        </w:trPr>
        <w:tc>
          <w:tcPr>
            <w:tcW w:w="433" w:type="dxa"/>
            <w:tcBorders>
              <w:left w:val="nil"/>
              <w:right w:val="single" w:sz="4" w:space="0" w:color="auto"/>
            </w:tcBorders>
          </w:tcPr>
          <w:p w:rsidR="002A0515" w:rsidRDefault="002A0515" w:rsidP="00A54BE4">
            <w:pPr>
              <w:pStyle w:val="TableText"/>
              <w:snapToGrid w:val="0"/>
              <w:rPr>
                <w:lang w:eastAsia="en-CA"/>
              </w:rPr>
            </w:pPr>
            <w:r>
              <w:rPr>
                <w:lang w:eastAsia="en-CA"/>
              </w:rPr>
              <w:t>16</w:t>
            </w:r>
          </w:p>
        </w:tc>
        <w:tc>
          <w:tcPr>
            <w:tcW w:w="5379" w:type="dxa"/>
            <w:tcBorders>
              <w:left w:val="single" w:sz="4" w:space="0" w:color="auto"/>
              <w:right w:val="single" w:sz="4" w:space="0" w:color="auto"/>
            </w:tcBorders>
          </w:tcPr>
          <w:p w:rsidR="002A0515" w:rsidRDefault="002A0515" w:rsidP="00A54BE4">
            <w:pPr>
              <w:pStyle w:val="TableText"/>
              <w:snapToGrid w:val="0"/>
              <w:rPr>
                <w:lang w:eastAsia="en-CA"/>
              </w:rPr>
            </w:pPr>
            <w:r>
              <w:rPr>
                <w:lang w:eastAsia="en-CA"/>
              </w:rPr>
              <w:t>(iv) Netting sets subject to valid cross-product netting agreements</w:t>
            </w:r>
          </w:p>
        </w:tc>
        <w:tc>
          <w:tcPr>
            <w:tcW w:w="1708" w:type="dxa"/>
            <w:tcBorders>
              <w:left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c>
          <w:tcPr>
            <w:tcW w:w="1709" w:type="dxa"/>
            <w:tcBorders>
              <w:left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r>
      <w:tr w:rsidR="002A0515" w:rsidTr="00A54BE4">
        <w:trPr>
          <w:trHeight w:val="300"/>
        </w:trPr>
        <w:tc>
          <w:tcPr>
            <w:tcW w:w="433" w:type="dxa"/>
            <w:tcBorders>
              <w:left w:val="nil"/>
              <w:right w:val="single" w:sz="4" w:space="0" w:color="auto"/>
            </w:tcBorders>
          </w:tcPr>
          <w:p w:rsidR="002A0515" w:rsidRDefault="002A0515" w:rsidP="00A54BE4">
            <w:pPr>
              <w:pStyle w:val="TableText"/>
              <w:snapToGrid w:val="0"/>
              <w:rPr>
                <w:lang w:eastAsia="en-CA"/>
              </w:rPr>
            </w:pPr>
            <w:r>
              <w:rPr>
                <w:lang w:eastAsia="en-CA"/>
              </w:rPr>
              <w:t>17</w:t>
            </w:r>
          </w:p>
        </w:tc>
        <w:tc>
          <w:tcPr>
            <w:tcW w:w="5379" w:type="dxa"/>
            <w:tcBorders>
              <w:left w:val="single" w:sz="4" w:space="0" w:color="auto"/>
              <w:right w:val="single" w:sz="4" w:space="0" w:color="auto"/>
            </w:tcBorders>
          </w:tcPr>
          <w:p w:rsidR="002A0515" w:rsidRDefault="002A0515" w:rsidP="00A54BE4">
            <w:pPr>
              <w:pStyle w:val="TableText"/>
              <w:snapToGrid w:val="0"/>
              <w:rPr>
                <w:lang w:eastAsia="en-CA"/>
              </w:rPr>
            </w:pPr>
            <w:r>
              <w:rPr>
                <w:lang w:eastAsia="en-CA"/>
              </w:rPr>
              <w:t>Segregated initial margin</w:t>
            </w:r>
          </w:p>
        </w:tc>
        <w:tc>
          <w:tcPr>
            <w:tcW w:w="1708" w:type="dxa"/>
            <w:tcBorders>
              <w:left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c>
          <w:tcPr>
            <w:tcW w:w="1709" w:type="dxa"/>
            <w:tcBorders>
              <w:left w:val="single" w:sz="4" w:space="0" w:color="auto"/>
              <w:right w:val="single" w:sz="4" w:space="0" w:color="auto"/>
            </w:tcBorders>
            <w:shd w:val="clear" w:color="auto" w:fill="D9D9D9"/>
            <w:noWrap/>
            <w:vAlign w:val="bottom"/>
          </w:tcPr>
          <w:p w:rsidR="002A0515" w:rsidRDefault="002A0515" w:rsidP="00A54BE4">
            <w:pPr>
              <w:pStyle w:val="TableText"/>
              <w:snapToGrid w:val="0"/>
              <w:rPr>
                <w:lang w:eastAsia="en-CA"/>
              </w:rPr>
            </w:pPr>
            <w:r>
              <w:rPr>
                <w:lang w:eastAsia="en-CA"/>
              </w:rPr>
              <w:t> </w:t>
            </w:r>
          </w:p>
        </w:tc>
      </w:tr>
      <w:tr w:rsidR="002A0515" w:rsidTr="00A54BE4">
        <w:trPr>
          <w:trHeight w:val="300"/>
        </w:trPr>
        <w:tc>
          <w:tcPr>
            <w:tcW w:w="433" w:type="dxa"/>
            <w:tcBorders>
              <w:left w:val="nil"/>
              <w:right w:val="single" w:sz="4" w:space="0" w:color="auto"/>
            </w:tcBorders>
          </w:tcPr>
          <w:p w:rsidR="002A0515" w:rsidRDefault="002A0515" w:rsidP="00A54BE4">
            <w:pPr>
              <w:pStyle w:val="TableText"/>
              <w:snapToGrid w:val="0"/>
              <w:rPr>
                <w:lang w:eastAsia="en-CA"/>
              </w:rPr>
            </w:pPr>
            <w:r>
              <w:rPr>
                <w:lang w:eastAsia="en-CA"/>
              </w:rPr>
              <w:t>18</w:t>
            </w:r>
          </w:p>
        </w:tc>
        <w:tc>
          <w:tcPr>
            <w:tcW w:w="5379" w:type="dxa"/>
            <w:tcBorders>
              <w:left w:val="single" w:sz="4" w:space="0" w:color="auto"/>
              <w:right w:val="single" w:sz="4" w:space="0" w:color="auto"/>
            </w:tcBorders>
          </w:tcPr>
          <w:p w:rsidR="002A0515" w:rsidRDefault="002A0515" w:rsidP="00A54BE4">
            <w:pPr>
              <w:pStyle w:val="TableText"/>
              <w:snapToGrid w:val="0"/>
              <w:rPr>
                <w:lang w:eastAsia="en-CA"/>
              </w:rPr>
            </w:pPr>
            <w:r>
              <w:rPr>
                <w:lang w:eastAsia="en-CA"/>
              </w:rPr>
              <w:t>Unsegregated initial margin</w:t>
            </w:r>
          </w:p>
        </w:tc>
        <w:tc>
          <w:tcPr>
            <w:tcW w:w="1708" w:type="dxa"/>
            <w:tcBorders>
              <w:left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c>
          <w:tcPr>
            <w:tcW w:w="1709" w:type="dxa"/>
            <w:tcBorders>
              <w:left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r>
      <w:tr w:rsidR="002A0515" w:rsidTr="00A54BE4">
        <w:trPr>
          <w:trHeight w:val="300"/>
        </w:trPr>
        <w:tc>
          <w:tcPr>
            <w:tcW w:w="433" w:type="dxa"/>
            <w:tcBorders>
              <w:left w:val="nil"/>
              <w:bottom w:val="single" w:sz="4" w:space="0" w:color="BFBFBF"/>
              <w:right w:val="single" w:sz="4" w:space="0" w:color="auto"/>
            </w:tcBorders>
          </w:tcPr>
          <w:p w:rsidR="002A0515" w:rsidRDefault="002A0515" w:rsidP="00A54BE4">
            <w:pPr>
              <w:pStyle w:val="TableText"/>
              <w:snapToGrid w:val="0"/>
              <w:rPr>
                <w:lang w:eastAsia="en-CA"/>
              </w:rPr>
            </w:pPr>
            <w:r>
              <w:rPr>
                <w:lang w:eastAsia="en-CA"/>
              </w:rPr>
              <w:t>19</w:t>
            </w:r>
          </w:p>
        </w:tc>
        <w:tc>
          <w:tcPr>
            <w:tcW w:w="5379" w:type="dxa"/>
            <w:tcBorders>
              <w:left w:val="single" w:sz="4" w:space="0" w:color="auto"/>
              <w:bottom w:val="single" w:sz="4" w:space="0" w:color="BFBFBF"/>
              <w:right w:val="single" w:sz="4" w:space="0" w:color="auto"/>
            </w:tcBorders>
          </w:tcPr>
          <w:p w:rsidR="002A0515" w:rsidRDefault="002A0515" w:rsidP="00A54BE4">
            <w:pPr>
              <w:pStyle w:val="TableText"/>
              <w:snapToGrid w:val="0"/>
              <w:rPr>
                <w:lang w:eastAsia="en-CA"/>
              </w:rPr>
            </w:pPr>
            <w:r>
              <w:rPr>
                <w:lang w:eastAsia="en-CA"/>
              </w:rPr>
              <w:t>Funded default fund contributions</w:t>
            </w:r>
          </w:p>
        </w:tc>
        <w:tc>
          <w:tcPr>
            <w:tcW w:w="1708" w:type="dxa"/>
            <w:tcBorders>
              <w:left w:val="single" w:sz="4" w:space="0" w:color="auto"/>
              <w:bottom w:val="single" w:sz="4" w:space="0" w:color="BFBFBF"/>
              <w:right w:val="single" w:sz="4" w:space="0" w:color="auto"/>
            </w:tcBorders>
            <w:noWrap/>
            <w:vAlign w:val="bottom"/>
          </w:tcPr>
          <w:p w:rsidR="002A0515" w:rsidRDefault="002A0515" w:rsidP="00A54BE4">
            <w:pPr>
              <w:pStyle w:val="TableText"/>
              <w:snapToGrid w:val="0"/>
              <w:rPr>
                <w:lang w:eastAsia="en-CA"/>
              </w:rPr>
            </w:pPr>
            <w:r>
              <w:rPr>
                <w:lang w:eastAsia="en-CA"/>
              </w:rPr>
              <w:t> </w:t>
            </w:r>
          </w:p>
        </w:tc>
        <w:tc>
          <w:tcPr>
            <w:tcW w:w="1709" w:type="dxa"/>
            <w:tcBorders>
              <w:left w:val="single" w:sz="4" w:space="0" w:color="auto"/>
              <w:bottom w:val="single" w:sz="4" w:space="0" w:color="BFBFBF"/>
              <w:right w:val="single" w:sz="4" w:space="0" w:color="auto"/>
            </w:tcBorders>
            <w:noWrap/>
            <w:vAlign w:val="bottom"/>
          </w:tcPr>
          <w:p w:rsidR="002A0515" w:rsidRDefault="002A0515" w:rsidP="00A54BE4">
            <w:pPr>
              <w:pStyle w:val="TableText"/>
              <w:snapToGrid w:val="0"/>
              <w:rPr>
                <w:lang w:eastAsia="en-CA"/>
              </w:rPr>
            </w:pPr>
            <w:r>
              <w:rPr>
                <w:lang w:eastAsia="en-CA"/>
              </w:rPr>
              <w:t> </w:t>
            </w:r>
          </w:p>
        </w:tc>
      </w:tr>
      <w:tr w:rsidR="002A0515" w:rsidTr="00A54BE4">
        <w:trPr>
          <w:trHeight w:val="300"/>
        </w:trPr>
        <w:tc>
          <w:tcPr>
            <w:tcW w:w="433" w:type="dxa"/>
            <w:tcBorders>
              <w:left w:val="nil"/>
              <w:bottom w:val="single" w:sz="4" w:space="0" w:color="auto"/>
              <w:right w:val="single" w:sz="4" w:space="0" w:color="auto"/>
            </w:tcBorders>
          </w:tcPr>
          <w:p w:rsidR="002A0515" w:rsidRDefault="002A0515" w:rsidP="00A54BE4">
            <w:pPr>
              <w:pStyle w:val="TableText"/>
              <w:snapToGrid w:val="0"/>
              <w:rPr>
                <w:lang w:eastAsia="en-CA"/>
              </w:rPr>
            </w:pPr>
            <w:r>
              <w:rPr>
                <w:lang w:eastAsia="en-CA"/>
              </w:rPr>
              <w:t>20</w:t>
            </w:r>
          </w:p>
        </w:tc>
        <w:tc>
          <w:tcPr>
            <w:tcW w:w="5379" w:type="dxa"/>
            <w:tcBorders>
              <w:left w:val="single" w:sz="4" w:space="0" w:color="auto"/>
              <w:bottom w:val="single" w:sz="4" w:space="0" w:color="auto"/>
              <w:right w:val="single" w:sz="4" w:space="0" w:color="auto"/>
            </w:tcBorders>
          </w:tcPr>
          <w:p w:rsidR="002A0515" w:rsidRDefault="002A0515" w:rsidP="00A54BE4">
            <w:pPr>
              <w:pStyle w:val="TableText"/>
              <w:snapToGrid w:val="0"/>
              <w:rPr>
                <w:lang w:eastAsia="en-CA"/>
              </w:rPr>
            </w:pPr>
            <w:r>
              <w:rPr>
                <w:lang w:eastAsia="en-CA"/>
              </w:rPr>
              <w:t>Unfunded default fund contributions</w:t>
            </w:r>
          </w:p>
        </w:tc>
        <w:tc>
          <w:tcPr>
            <w:tcW w:w="1708" w:type="dxa"/>
            <w:tcBorders>
              <w:left w:val="single" w:sz="4" w:space="0" w:color="auto"/>
              <w:bottom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c>
          <w:tcPr>
            <w:tcW w:w="1709" w:type="dxa"/>
            <w:tcBorders>
              <w:left w:val="single" w:sz="4" w:space="0" w:color="auto"/>
              <w:bottom w:val="single" w:sz="4" w:space="0" w:color="auto"/>
              <w:right w:val="single" w:sz="4" w:space="0" w:color="auto"/>
            </w:tcBorders>
            <w:noWrap/>
            <w:vAlign w:val="bottom"/>
          </w:tcPr>
          <w:p w:rsidR="002A0515" w:rsidRDefault="002A0515" w:rsidP="00A54BE4">
            <w:pPr>
              <w:pStyle w:val="TableText"/>
              <w:snapToGrid w:val="0"/>
              <w:rPr>
                <w:lang w:eastAsia="en-CA"/>
              </w:rPr>
            </w:pPr>
            <w:r>
              <w:rPr>
                <w:lang w:eastAsia="en-CA"/>
              </w:rPr>
              <w:t> </w:t>
            </w:r>
          </w:p>
        </w:tc>
      </w:tr>
    </w:tbl>
    <w:p w:rsidR="002A0515" w:rsidRDefault="002A0515" w:rsidP="002A0515">
      <w:pPr>
        <w:spacing w:before="120" w:after="120"/>
        <w:ind w:leftChars="-283" w:left="-566"/>
        <w:rPr>
          <w:sz w:val="22"/>
        </w:rPr>
      </w:pP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8363"/>
      </w:tblGrid>
      <w:tr w:rsidR="002A0515" w:rsidTr="00A54BE4">
        <w:trPr>
          <w:tblHeader/>
        </w:trPr>
        <w:tc>
          <w:tcPr>
            <w:tcW w:w="9214" w:type="dxa"/>
            <w:gridSpan w:val="2"/>
            <w:shd w:val="clear" w:color="auto" w:fill="BFBFBF"/>
          </w:tcPr>
          <w:p w:rsidR="002A0515" w:rsidRDefault="002A0515" w:rsidP="00A54BE4">
            <w:pPr>
              <w:spacing w:before="40" w:after="40"/>
              <w:jc w:val="both"/>
              <w:rPr>
                <w:rFonts w:eastAsia="新細明體"/>
                <w:b/>
                <w:sz w:val="17"/>
                <w:szCs w:val="17"/>
                <w:lang w:eastAsia="en-GB"/>
              </w:rPr>
            </w:pPr>
            <w:r>
              <w:rPr>
                <w:rFonts w:eastAsia="新細明體"/>
                <w:b/>
                <w:sz w:val="17"/>
                <w:szCs w:val="17"/>
                <w:lang w:eastAsia="en-GB"/>
              </w:rPr>
              <w:t>Explanatory Note</w:t>
            </w:r>
          </w:p>
        </w:tc>
      </w:tr>
      <w:tr w:rsidR="002A0515" w:rsidTr="00A54BE4">
        <w:trPr>
          <w:trHeight w:val="153"/>
        </w:trPr>
        <w:tc>
          <w:tcPr>
            <w:tcW w:w="9214" w:type="dxa"/>
            <w:gridSpan w:val="2"/>
            <w:shd w:val="clear" w:color="auto" w:fill="F2F2F2"/>
          </w:tcPr>
          <w:p w:rsidR="002A0515" w:rsidRDefault="002A0515" w:rsidP="00A54BE4">
            <w:pPr>
              <w:spacing w:before="40" w:after="40"/>
              <w:jc w:val="both"/>
              <w:rPr>
                <w:rFonts w:eastAsia="新細明體"/>
                <w:b/>
                <w:sz w:val="17"/>
                <w:szCs w:val="17"/>
                <w:lang w:eastAsia="en-GB"/>
              </w:rPr>
            </w:pPr>
            <w:r>
              <w:rPr>
                <w:rFonts w:eastAsia="新細明體"/>
                <w:b/>
                <w:sz w:val="17"/>
                <w:szCs w:val="17"/>
                <w:lang w:eastAsia="en-GB"/>
              </w:rPr>
              <w:t>Columns</w:t>
            </w:r>
          </w:p>
        </w:tc>
      </w:tr>
      <w:tr w:rsidR="002A0515" w:rsidTr="00A54BE4">
        <w:trPr>
          <w:trHeight w:val="373"/>
        </w:trPr>
        <w:tc>
          <w:tcPr>
            <w:tcW w:w="851"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(a)</w:t>
            </w:r>
          </w:p>
        </w:tc>
        <w:tc>
          <w:tcPr>
            <w:tcW w:w="8363" w:type="dxa"/>
          </w:tcPr>
          <w:p w:rsidR="002A0515" w:rsidRDefault="002A0515" w:rsidP="00A54BE4">
            <w:pPr>
              <w:pStyle w:val="TableText"/>
              <w:keepNext/>
              <w:jc w:val="both"/>
              <w:rPr>
                <w:lang w:eastAsia="en-GB"/>
              </w:rPr>
            </w:pPr>
            <w:r>
              <w:rPr>
                <w:i/>
                <w:lang w:eastAsia="en-GB"/>
              </w:rPr>
              <w:t>Exposure after CRM</w:t>
            </w:r>
            <w:r>
              <w:rPr>
                <w:lang w:eastAsia="en-GB"/>
              </w:rPr>
              <w:t xml:space="preserve">: </w:t>
            </w:r>
          </w:p>
          <w:p w:rsidR="002A0515" w:rsidRPr="00481688" w:rsidRDefault="002A0515" w:rsidP="002A0515">
            <w:pPr>
              <w:pStyle w:val="ListParagraph"/>
              <w:keepLines/>
              <w:widowControl w:val="0"/>
              <w:numPr>
                <w:ilvl w:val="0"/>
                <w:numId w:val="25"/>
              </w:numPr>
              <w:spacing w:before="20" w:after="20"/>
              <w:ind w:leftChars="0" w:left="317" w:hanging="317"/>
              <w:jc w:val="both"/>
              <w:rPr>
                <w:rFonts w:cs="Segoe UI"/>
                <w:szCs w:val="17"/>
              </w:rPr>
            </w:pPr>
            <w:r w:rsidRPr="00481688">
              <w:rPr>
                <w:rFonts w:cs="Segoe UI"/>
                <w:sz w:val="17"/>
                <w:szCs w:val="17"/>
              </w:rPr>
              <w:t xml:space="preserve">For rows 2 to 6 and 12 to 16, the amount should be the “outstanding default risk exposure” or “default risk exposure”, as the case may be, as defined under the BCR, for the derivative contracts or SFTs calculated in accordance with </w:t>
            </w:r>
            <w:r w:rsidRPr="00481688">
              <w:rPr>
                <w:rFonts w:cs="Segoe UI"/>
                <w:sz w:val="17"/>
                <w:szCs w:val="17"/>
                <w:lang w:eastAsia="en-GB"/>
              </w:rPr>
              <w:t xml:space="preserve">Part 6A of </w:t>
            </w:r>
            <w:r w:rsidRPr="00481688">
              <w:rPr>
                <w:rFonts w:cs="Segoe UI"/>
                <w:sz w:val="17"/>
                <w:szCs w:val="17"/>
              </w:rPr>
              <w:t xml:space="preserve">the BCR.  For any SFTs subject to </w:t>
            </w:r>
            <w:r w:rsidRPr="00481688">
              <w:rPr>
                <w:rFonts w:cs="Segoe UI"/>
                <w:sz w:val="17"/>
                <w:szCs w:val="17"/>
                <w:lang w:eastAsia="en-GB"/>
              </w:rPr>
              <w:t>section 226MJ of</w:t>
            </w:r>
            <w:r w:rsidRPr="00481688">
              <w:rPr>
                <w:rFonts w:cs="Segoe UI"/>
                <w:sz w:val="17"/>
                <w:szCs w:val="17"/>
              </w:rPr>
              <w:t xml:space="preserve"> the </w:t>
            </w:r>
            <w:r w:rsidRPr="00481688">
              <w:rPr>
                <w:rFonts w:cs="Segoe UI"/>
                <w:sz w:val="17"/>
                <w:szCs w:val="17"/>
                <w:lang w:eastAsia="en-GB"/>
              </w:rPr>
              <w:t xml:space="preserve">BCR where the CRM effect of any recognized collateral received under the SFTs </w:t>
            </w:r>
            <w:r w:rsidRPr="00481688">
              <w:rPr>
                <w:rFonts w:cs="Segoe UI"/>
                <w:sz w:val="17"/>
                <w:szCs w:val="17"/>
              </w:rPr>
              <w:t xml:space="preserve">is </w:t>
            </w:r>
            <w:r w:rsidRPr="00481688">
              <w:rPr>
                <w:rFonts w:cs="Segoe UI"/>
                <w:sz w:val="17"/>
                <w:szCs w:val="17"/>
                <w:lang w:eastAsia="en-GB"/>
              </w:rPr>
              <w:t xml:space="preserve">taken into account </w:t>
            </w:r>
            <w:r w:rsidRPr="00481688">
              <w:rPr>
                <w:rFonts w:cs="Segoe UI"/>
                <w:sz w:val="17"/>
                <w:szCs w:val="17"/>
              </w:rPr>
              <w:t xml:space="preserve">by using the </w:t>
            </w:r>
            <w:r w:rsidRPr="00481688">
              <w:rPr>
                <w:rFonts w:cs="Segoe UI"/>
                <w:sz w:val="17"/>
                <w:szCs w:val="17"/>
                <w:lang w:eastAsia="en-GB"/>
              </w:rPr>
              <w:t>comprehensive</w:t>
            </w:r>
            <w:r w:rsidRPr="00481688">
              <w:rPr>
                <w:rFonts w:cs="Segoe UI"/>
                <w:sz w:val="17"/>
                <w:szCs w:val="17"/>
              </w:rPr>
              <w:t xml:space="preserve"> approach</w:t>
            </w:r>
            <w:r w:rsidRPr="00481688">
              <w:rPr>
                <w:rFonts w:cs="Segoe UI"/>
                <w:sz w:val="17"/>
                <w:szCs w:val="17"/>
                <w:lang w:eastAsia="en-GB"/>
              </w:rPr>
              <w:t xml:space="preserve"> under Part 4 of the BCR</w:t>
            </w:r>
            <w:r w:rsidRPr="00481688">
              <w:rPr>
                <w:rFonts w:cs="Segoe UI"/>
                <w:sz w:val="17"/>
                <w:szCs w:val="17"/>
              </w:rPr>
              <w:t xml:space="preserve">, the amount disclosed should be the </w:t>
            </w:r>
            <w:r w:rsidRPr="00481688">
              <w:rPr>
                <w:rFonts w:cs="Segoe UI"/>
                <w:sz w:val="17"/>
                <w:szCs w:val="17"/>
                <w:lang w:eastAsia="en-GB"/>
              </w:rPr>
              <w:t>net credit exposure</w:t>
            </w:r>
            <w:r w:rsidRPr="00481688">
              <w:rPr>
                <w:rFonts w:cs="Segoe UI"/>
                <w:sz w:val="17"/>
                <w:szCs w:val="17"/>
              </w:rPr>
              <w:t xml:space="preserve"> calculated </w:t>
            </w:r>
            <w:r w:rsidRPr="00481688">
              <w:rPr>
                <w:rFonts w:cs="Segoe UI"/>
                <w:sz w:val="17"/>
                <w:szCs w:val="17"/>
                <w:lang w:eastAsia="en-GB"/>
              </w:rPr>
              <w:t>in accordance with section 88 of the BCR</w:t>
            </w:r>
            <w:r w:rsidRPr="00481688">
              <w:rPr>
                <w:rFonts w:cs="Segoe UI"/>
                <w:sz w:val="17"/>
                <w:szCs w:val="17"/>
              </w:rPr>
              <w:t>.</w:t>
            </w:r>
          </w:p>
          <w:p w:rsidR="002A0515" w:rsidRDefault="002A0515" w:rsidP="002A0515">
            <w:pPr>
              <w:pStyle w:val="ListParagraph"/>
              <w:keepLines/>
              <w:widowControl w:val="0"/>
              <w:numPr>
                <w:ilvl w:val="0"/>
                <w:numId w:val="25"/>
              </w:numPr>
              <w:spacing w:before="20" w:after="20"/>
              <w:ind w:leftChars="0" w:left="317" w:hanging="317"/>
              <w:jc w:val="both"/>
              <w:rPr>
                <w:szCs w:val="17"/>
              </w:rPr>
            </w:pPr>
            <w:r w:rsidRPr="00481688">
              <w:rPr>
                <w:rFonts w:cs="Segoe UI"/>
                <w:sz w:val="17"/>
                <w:szCs w:val="17"/>
              </w:rPr>
              <w:t>For rows 7 to 10 and 17 to 20, the amount should be the amount of the initial margin posted or the amount of default fund contribution made or committed by the AI.</w:t>
            </w:r>
          </w:p>
        </w:tc>
      </w:tr>
      <w:tr w:rsidR="002A0515" w:rsidTr="00A54BE4">
        <w:trPr>
          <w:trHeight w:val="373"/>
        </w:trPr>
        <w:tc>
          <w:tcPr>
            <w:tcW w:w="851"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(b)</w:t>
            </w:r>
          </w:p>
        </w:tc>
        <w:tc>
          <w:tcPr>
            <w:tcW w:w="8363" w:type="dxa"/>
          </w:tcPr>
          <w:p w:rsidR="002A0515" w:rsidRDefault="002A0515" w:rsidP="00A54BE4">
            <w:pPr>
              <w:pStyle w:val="TableText"/>
              <w:keepNext/>
              <w:jc w:val="both"/>
              <w:rPr>
                <w:szCs w:val="17"/>
              </w:rPr>
            </w:pPr>
            <w:r>
              <w:rPr>
                <w:i/>
                <w:szCs w:val="17"/>
              </w:rPr>
              <w:t>RWA</w:t>
            </w:r>
            <w:r>
              <w:rPr>
                <w:szCs w:val="17"/>
              </w:rPr>
              <w:t>: the RWA calculated in accordance with Division 4, Part 6A of the BCR</w:t>
            </w:r>
            <w:r>
              <w:rPr>
                <w:rFonts w:cs="Segoe UI"/>
                <w:szCs w:val="17"/>
                <w:lang w:eastAsia="en-GB"/>
              </w:rPr>
              <w:t>.</w:t>
            </w:r>
          </w:p>
        </w:tc>
      </w:tr>
      <w:tr w:rsidR="002A0515" w:rsidTr="00A54BE4">
        <w:trPr>
          <w:trHeight w:val="373"/>
        </w:trPr>
        <w:tc>
          <w:tcPr>
            <w:tcW w:w="9214" w:type="dxa"/>
            <w:gridSpan w:val="2"/>
            <w:shd w:val="clear" w:color="auto" w:fill="F2F2F2"/>
          </w:tcPr>
          <w:p w:rsidR="002A0515" w:rsidRDefault="002A0515" w:rsidP="00A54BE4">
            <w:pPr>
              <w:spacing w:before="40" w:after="40"/>
              <w:jc w:val="both"/>
              <w:rPr>
                <w:i/>
                <w:szCs w:val="17"/>
              </w:rPr>
            </w:pPr>
            <w:r>
              <w:rPr>
                <w:rFonts w:eastAsia="新細明體"/>
                <w:b/>
                <w:sz w:val="17"/>
                <w:szCs w:val="17"/>
                <w:lang w:eastAsia="en-GB"/>
              </w:rPr>
              <w:t>Rows</w:t>
            </w:r>
          </w:p>
        </w:tc>
      </w:tr>
      <w:tr w:rsidR="002A0515" w:rsidTr="00A54BE4">
        <w:trPr>
          <w:trHeight w:val="373"/>
        </w:trPr>
        <w:tc>
          <w:tcPr>
            <w:tcW w:w="851"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 &amp; 11</w:t>
            </w:r>
          </w:p>
        </w:tc>
        <w:tc>
          <w:tcPr>
            <w:tcW w:w="8363" w:type="dxa"/>
          </w:tcPr>
          <w:p w:rsidR="002A0515" w:rsidRDefault="002A0515" w:rsidP="00A54BE4">
            <w:pPr>
              <w:pStyle w:val="TableNote"/>
              <w:keepNext/>
              <w:rPr>
                <w:i/>
                <w:szCs w:val="17"/>
              </w:rPr>
            </w:pPr>
            <w:r>
              <w:rPr>
                <w:rFonts w:cs="Segoe UI"/>
                <w:i/>
                <w:sz w:val="17"/>
                <w:szCs w:val="17"/>
                <w:lang w:eastAsia="en-GB"/>
              </w:rPr>
              <w:t>Exposures of the AI as clearing member or clearing client to qualifying CCPs / non-qualifying CCPs (total)</w:t>
            </w:r>
            <w:r>
              <w:rPr>
                <w:rFonts w:cs="Segoe UI"/>
                <w:sz w:val="17"/>
                <w:szCs w:val="17"/>
                <w:lang w:eastAsia="en-GB"/>
              </w:rPr>
              <w:t>: for column (b), the value in row 1 should equal the sum of values in rows 2, 8, 9 and 10; the value in row 11 should equal the sum of values in rows 12, 18, 19 and 20.  Column (a) should be left blank.</w:t>
            </w:r>
          </w:p>
        </w:tc>
      </w:tr>
      <w:tr w:rsidR="002A0515" w:rsidTr="00A54BE4">
        <w:trPr>
          <w:trHeight w:val="373"/>
        </w:trPr>
        <w:tc>
          <w:tcPr>
            <w:tcW w:w="851"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 &amp; 12</w:t>
            </w:r>
          </w:p>
        </w:tc>
        <w:tc>
          <w:tcPr>
            <w:tcW w:w="8363" w:type="dxa"/>
          </w:tcPr>
          <w:p w:rsidR="002A0515" w:rsidRDefault="002A0515" w:rsidP="00A54BE4">
            <w:pPr>
              <w:pStyle w:val="TableText"/>
              <w:keepNext/>
              <w:jc w:val="both"/>
              <w:rPr>
                <w:rFonts w:cs="Segoe UI"/>
                <w:szCs w:val="17"/>
                <w:lang w:eastAsia="en-GB"/>
              </w:rPr>
            </w:pPr>
            <w:r>
              <w:rPr>
                <w:rFonts w:cs="Segoe UI"/>
                <w:i/>
                <w:szCs w:val="17"/>
                <w:lang w:eastAsia="en-GB"/>
              </w:rPr>
              <w:t>Default risk exposures to qualifying CCPs / non-qualifying CCPs (excluding items disclosed in rows 7 to 10 / rows 17 to 20</w:t>
            </w:r>
            <w:r>
              <w:rPr>
                <w:rFonts w:cs="Segoe UI"/>
                <w:szCs w:val="17"/>
                <w:lang w:eastAsia="en-GB"/>
              </w:rPr>
              <w:t xml:space="preserve">): the default risk exposures disclosed should include all exposures that are, or regarded as, default risk exposures to qualifying CCPs or to non-qualifying CCPs in accordance with the requirements set out in Division 4, Part 6A of the BCR. </w:t>
            </w:r>
          </w:p>
          <w:p w:rsidR="002A0515" w:rsidRDefault="002A0515" w:rsidP="00A54BE4">
            <w:pPr>
              <w:pStyle w:val="TableText"/>
              <w:keepNext/>
              <w:jc w:val="both"/>
              <w:rPr>
                <w:rFonts w:cs="Segoe UI"/>
                <w:szCs w:val="17"/>
                <w:lang w:eastAsia="en-GB"/>
              </w:rPr>
            </w:pPr>
            <w:r>
              <w:rPr>
                <w:rFonts w:cs="Segoe UI"/>
                <w:szCs w:val="17"/>
                <w:lang w:eastAsia="en-GB"/>
              </w:rPr>
              <w:t>The values in row 2 should equal the sum of values in rows 3 to 6; the value in row 12 should equal the sum of values in rows 13 to 16.</w:t>
            </w:r>
          </w:p>
        </w:tc>
      </w:tr>
      <w:tr w:rsidR="002A0515" w:rsidTr="00A54BE4">
        <w:trPr>
          <w:trHeight w:val="373"/>
        </w:trPr>
        <w:tc>
          <w:tcPr>
            <w:tcW w:w="851"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3 &amp; 13</w:t>
            </w:r>
          </w:p>
        </w:tc>
        <w:tc>
          <w:tcPr>
            <w:tcW w:w="8363" w:type="dxa"/>
          </w:tcPr>
          <w:p w:rsidR="002A0515" w:rsidRDefault="002A0515" w:rsidP="00A54BE4">
            <w:pPr>
              <w:pStyle w:val="TableText"/>
              <w:keepNext/>
              <w:jc w:val="both"/>
              <w:rPr>
                <w:rFonts w:cs="Segoe UI"/>
                <w:szCs w:val="17"/>
                <w:lang w:eastAsia="en-GB"/>
              </w:rPr>
            </w:pPr>
            <w:r>
              <w:rPr>
                <w:rFonts w:cs="Segoe UI"/>
                <w:i/>
                <w:szCs w:val="17"/>
                <w:lang w:eastAsia="en-GB"/>
              </w:rPr>
              <w:t>(</w:t>
            </w:r>
            <w:proofErr w:type="spellStart"/>
            <w:r>
              <w:rPr>
                <w:rFonts w:cs="Segoe UI"/>
                <w:i/>
                <w:szCs w:val="17"/>
                <w:lang w:eastAsia="en-GB"/>
              </w:rPr>
              <w:t>i</w:t>
            </w:r>
            <w:proofErr w:type="spellEnd"/>
            <w:r>
              <w:rPr>
                <w:rFonts w:cs="Segoe UI"/>
                <w:i/>
                <w:szCs w:val="17"/>
                <w:lang w:eastAsia="en-GB"/>
              </w:rPr>
              <w:t>) OTC derivative transactions</w:t>
            </w:r>
            <w:r>
              <w:rPr>
                <w:rFonts w:cs="Segoe UI"/>
                <w:szCs w:val="17"/>
                <w:lang w:eastAsia="en-GB"/>
              </w:rPr>
              <w:t>: this has the meaning given to it by the BCR.</w:t>
            </w:r>
          </w:p>
        </w:tc>
      </w:tr>
      <w:tr w:rsidR="002A0515" w:rsidTr="00A54BE4">
        <w:trPr>
          <w:trHeight w:val="373"/>
        </w:trPr>
        <w:tc>
          <w:tcPr>
            <w:tcW w:w="851"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4 &amp; 14</w:t>
            </w:r>
          </w:p>
        </w:tc>
        <w:tc>
          <w:tcPr>
            <w:tcW w:w="8363" w:type="dxa"/>
          </w:tcPr>
          <w:p w:rsidR="002A0515" w:rsidRDefault="002A0515" w:rsidP="00A54BE4">
            <w:pPr>
              <w:pStyle w:val="TableText"/>
              <w:keepNext/>
              <w:jc w:val="both"/>
              <w:rPr>
                <w:rFonts w:cs="Segoe UI"/>
                <w:szCs w:val="17"/>
                <w:lang w:eastAsia="en-GB"/>
              </w:rPr>
            </w:pPr>
            <w:r>
              <w:rPr>
                <w:rFonts w:cs="Segoe UI"/>
                <w:i/>
                <w:szCs w:val="17"/>
                <w:lang w:eastAsia="en-GB"/>
              </w:rPr>
              <w:t>(ii) Exchange-traded derivative contracts</w:t>
            </w:r>
            <w:r>
              <w:rPr>
                <w:rFonts w:cs="Segoe UI"/>
                <w:szCs w:val="17"/>
                <w:lang w:eastAsia="en-GB"/>
              </w:rPr>
              <w:t xml:space="preserve">: a derivative contract other than an OTC derivative transaction.  </w:t>
            </w:r>
          </w:p>
        </w:tc>
      </w:tr>
      <w:tr w:rsidR="002A0515" w:rsidTr="00A54BE4">
        <w:trPr>
          <w:trHeight w:val="373"/>
        </w:trPr>
        <w:tc>
          <w:tcPr>
            <w:tcW w:w="851"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5 &amp; 15</w:t>
            </w:r>
          </w:p>
        </w:tc>
        <w:tc>
          <w:tcPr>
            <w:tcW w:w="8363" w:type="dxa"/>
          </w:tcPr>
          <w:p w:rsidR="002A0515" w:rsidRDefault="002A0515" w:rsidP="00A54BE4">
            <w:pPr>
              <w:pStyle w:val="TableText"/>
              <w:keepNext/>
              <w:jc w:val="both"/>
              <w:rPr>
                <w:rFonts w:cs="Segoe UI"/>
                <w:szCs w:val="17"/>
                <w:lang w:eastAsia="en-GB"/>
              </w:rPr>
            </w:pPr>
            <w:r>
              <w:rPr>
                <w:rFonts w:cs="Segoe UI"/>
                <w:i/>
                <w:szCs w:val="17"/>
                <w:lang w:eastAsia="en-GB"/>
              </w:rPr>
              <w:t>(iii) Securities financing transactions</w:t>
            </w:r>
            <w:r>
              <w:rPr>
                <w:rFonts w:cs="Segoe UI"/>
                <w:szCs w:val="17"/>
                <w:lang w:eastAsia="en-GB"/>
              </w:rPr>
              <w:t>: this has the meaning given to it by the BCR.</w:t>
            </w:r>
          </w:p>
        </w:tc>
      </w:tr>
      <w:tr w:rsidR="002A0515" w:rsidTr="00A54BE4">
        <w:trPr>
          <w:trHeight w:val="373"/>
        </w:trPr>
        <w:tc>
          <w:tcPr>
            <w:tcW w:w="851"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6 &amp; 16</w:t>
            </w:r>
          </w:p>
        </w:tc>
        <w:tc>
          <w:tcPr>
            <w:tcW w:w="8363" w:type="dxa"/>
          </w:tcPr>
          <w:p w:rsidR="002A0515" w:rsidRDefault="002A0515" w:rsidP="00A54BE4">
            <w:pPr>
              <w:pStyle w:val="TableText"/>
              <w:keepNext/>
              <w:jc w:val="both"/>
              <w:rPr>
                <w:rFonts w:cs="Segoe UI"/>
                <w:szCs w:val="17"/>
                <w:lang w:eastAsia="en-GB"/>
              </w:rPr>
            </w:pPr>
            <w:r>
              <w:rPr>
                <w:rFonts w:cs="Segoe UI"/>
                <w:i/>
                <w:szCs w:val="17"/>
                <w:lang w:eastAsia="en-GB"/>
              </w:rPr>
              <w:t>(iv) Netting sets subject to valid cross-product netting agreements</w:t>
            </w:r>
            <w:r>
              <w:rPr>
                <w:rFonts w:cs="Segoe UI"/>
                <w:szCs w:val="17"/>
                <w:lang w:eastAsia="en-GB"/>
              </w:rPr>
              <w:t>: netting set as defined by the BCR where the netting could be done according to a valid cross-product netting agreement.</w:t>
            </w:r>
          </w:p>
        </w:tc>
      </w:tr>
      <w:tr w:rsidR="002A0515" w:rsidTr="00A54BE4">
        <w:trPr>
          <w:trHeight w:val="373"/>
        </w:trPr>
        <w:tc>
          <w:tcPr>
            <w:tcW w:w="851"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7 &amp; 17</w:t>
            </w:r>
          </w:p>
        </w:tc>
        <w:tc>
          <w:tcPr>
            <w:tcW w:w="8363" w:type="dxa"/>
          </w:tcPr>
          <w:p w:rsidR="002A0515" w:rsidRDefault="002A0515" w:rsidP="00A54BE4">
            <w:pPr>
              <w:spacing w:before="60" w:after="120"/>
              <w:jc w:val="both"/>
              <w:rPr>
                <w:rFonts w:cs="Segoe UI"/>
                <w:sz w:val="17"/>
                <w:szCs w:val="17"/>
                <w:lang w:eastAsia="en-GB"/>
              </w:rPr>
            </w:pPr>
            <w:r>
              <w:rPr>
                <w:rFonts w:cs="Segoe UI"/>
                <w:i/>
                <w:sz w:val="17"/>
                <w:szCs w:val="17"/>
                <w:lang w:eastAsia="en-GB"/>
              </w:rPr>
              <w:t>Segregated initial margin</w:t>
            </w:r>
            <w:r>
              <w:rPr>
                <w:rFonts w:cs="Segoe UI"/>
                <w:sz w:val="17"/>
                <w:szCs w:val="17"/>
                <w:lang w:eastAsia="en-GB"/>
              </w:rPr>
              <w:t>: the initial margin held in a bankruptcy remote manner.  For the purposes of this template, initial margin does not include contributions to a CCP for mutualised loss-sharing arrangements (i.e. in cases where a CCP uses initial margin to mutualise losses among the clearing members, such margin will be treated as a default fund exposure).</w:t>
            </w:r>
          </w:p>
        </w:tc>
      </w:tr>
      <w:tr w:rsidR="002A0515" w:rsidTr="00A54BE4">
        <w:trPr>
          <w:trHeight w:val="373"/>
        </w:trPr>
        <w:tc>
          <w:tcPr>
            <w:tcW w:w="851"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8 &amp; 18</w:t>
            </w:r>
          </w:p>
        </w:tc>
        <w:tc>
          <w:tcPr>
            <w:tcW w:w="8363" w:type="dxa"/>
          </w:tcPr>
          <w:p w:rsidR="002A0515" w:rsidRDefault="002A0515" w:rsidP="00A54BE4">
            <w:pPr>
              <w:pStyle w:val="TableText"/>
              <w:keepNext/>
              <w:jc w:val="both"/>
              <w:rPr>
                <w:rFonts w:cs="Segoe UI"/>
                <w:szCs w:val="17"/>
                <w:lang w:eastAsia="en-GB"/>
              </w:rPr>
            </w:pPr>
            <w:r>
              <w:rPr>
                <w:rFonts w:cs="Segoe UI"/>
                <w:i/>
                <w:szCs w:val="17"/>
                <w:lang w:eastAsia="en-GB"/>
              </w:rPr>
              <w:t>Unsegregated initial margin</w:t>
            </w:r>
            <w:r>
              <w:rPr>
                <w:rFonts w:cs="Segoe UI"/>
                <w:szCs w:val="17"/>
                <w:lang w:eastAsia="en-GB"/>
              </w:rPr>
              <w:t>: it means the initial margin not held in a bankruptcy remote manner.  Similar to the above, for the purposes of this template, initial margin does not include contributions to a CCP for mutualised loss-sharing arrangements.</w:t>
            </w:r>
          </w:p>
        </w:tc>
      </w:tr>
      <w:tr w:rsidR="002A0515" w:rsidTr="00A54BE4">
        <w:trPr>
          <w:trHeight w:val="373"/>
        </w:trPr>
        <w:tc>
          <w:tcPr>
            <w:tcW w:w="851"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9 &amp; 19</w:t>
            </w:r>
          </w:p>
        </w:tc>
        <w:tc>
          <w:tcPr>
            <w:tcW w:w="8363" w:type="dxa"/>
          </w:tcPr>
          <w:p w:rsidR="002A0515" w:rsidRDefault="002A0515" w:rsidP="00A54BE4">
            <w:pPr>
              <w:pStyle w:val="TableNote"/>
              <w:keepNext/>
              <w:rPr>
                <w:rFonts w:cs="Segoe UI"/>
                <w:sz w:val="17"/>
                <w:szCs w:val="17"/>
                <w:lang w:eastAsia="en-GB"/>
              </w:rPr>
            </w:pPr>
            <w:r>
              <w:rPr>
                <w:rFonts w:cs="Segoe UI"/>
                <w:i/>
                <w:sz w:val="17"/>
                <w:szCs w:val="17"/>
                <w:lang w:eastAsia="en-GB"/>
              </w:rPr>
              <w:t>Funded default fund contributions</w:t>
            </w:r>
            <w:r>
              <w:rPr>
                <w:rFonts w:cs="Segoe UI"/>
                <w:sz w:val="17"/>
                <w:szCs w:val="17"/>
                <w:lang w:eastAsia="en-GB"/>
              </w:rPr>
              <w:t>: the meaning of this term should be in line with that of “default fund contribution” under the BCR and the usage of “funded default fund contribution” in Division 4, Part 6A of the BCR.</w:t>
            </w:r>
          </w:p>
        </w:tc>
      </w:tr>
      <w:tr w:rsidR="002A0515" w:rsidTr="00A54BE4">
        <w:trPr>
          <w:trHeight w:val="373"/>
        </w:trPr>
        <w:tc>
          <w:tcPr>
            <w:tcW w:w="851" w:type="dxa"/>
          </w:tcPr>
          <w:p w:rsidR="002A0515" w:rsidRDefault="002A0515" w:rsidP="00A54BE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10 &amp; 20</w:t>
            </w:r>
          </w:p>
        </w:tc>
        <w:tc>
          <w:tcPr>
            <w:tcW w:w="8363" w:type="dxa"/>
          </w:tcPr>
          <w:p w:rsidR="002A0515" w:rsidRDefault="002A0515" w:rsidP="00A54BE4">
            <w:pPr>
              <w:pStyle w:val="TableNote"/>
              <w:keepNext/>
              <w:rPr>
                <w:rFonts w:cs="Segoe UI"/>
                <w:sz w:val="17"/>
                <w:szCs w:val="17"/>
                <w:lang w:eastAsia="en-GB"/>
              </w:rPr>
            </w:pPr>
            <w:r>
              <w:rPr>
                <w:rFonts w:cs="Segoe UI"/>
                <w:i/>
                <w:sz w:val="17"/>
                <w:szCs w:val="17"/>
                <w:lang w:eastAsia="en-GB"/>
              </w:rPr>
              <w:t>Unfunded default fund contributions</w:t>
            </w:r>
            <w:r>
              <w:rPr>
                <w:rFonts w:cs="Segoe UI"/>
                <w:sz w:val="17"/>
                <w:szCs w:val="17"/>
                <w:lang w:eastAsia="en-GB"/>
              </w:rPr>
              <w:t>: the meaning of this term should be in line with that of “default fund contribution” under the BCR and the usage of “unfunded default fund contribution” in Division 4, Part 6A of the BCR.</w:t>
            </w:r>
          </w:p>
        </w:tc>
      </w:tr>
    </w:tbl>
    <w:p w:rsidR="00A132E4" w:rsidRDefault="00A132E4" w:rsidP="007C29DB">
      <w:pPr>
        <w:rPr>
          <w:sz w:val="22"/>
        </w:rPr>
      </w:pPr>
    </w:p>
    <w:sectPr w:rsidR="00A132E4" w:rsidSect="007C29DB">
      <w:headerReference w:type="default" r:id="rId24"/>
      <w:footerReference w:type="default" r:id="rId25"/>
      <w:pgSz w:w="11906" w:h="16838" w:code="9"/>
      <w:pgMar w:top="1440" w:right="1797" w:bottom="1440" w:left="1797" w:header="851" w:footer="737"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BE4" w:rsidRDefault="00A54BE4">
      <w:r>
        <w:separator/>
      </w:r>
    </w:p>
  </w:endnote>
  <w:endnote w:type="continuationSeparator" w:id="0">
    <w:p w:rsidR="00A54BE4" w:rsidRDefault="00A54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plified Arabic Fixed">
    <w:altName w:val="Courier New"/>
    <w:charset w:val="00"/>
    <w:family w:val="modern"/>
    <w:pitch w:val="fixed"/>
    <w:sig w:usb0="00000000" w:usb1="00000000" w:usb2="00000000" w:usb3="00000000" w:csb0="0000004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BE4" w:rsidRDefault="00A54BE4">
    <w:pPr>
      <w:pStyle w:val="Footer"/>
      <w:tabs>
        <w:tab w:val="clear" w:pos="4153"/>
        <w:tab w:val="clear" w:pos="8306"/>
        <w:tab w:val="center" w:pos="4156"/>
        <w:tab w:val="center" w:pos="6979"/>
        <w:tab w:val="right" w:pos="8312"/>
      </w:tabs>
      <w:rPr>
        <w:rFonts w:ascii="Arial" w:hAnsi="Arial" w:cs="Arial"/>
      </w:rPr>
    </w:pPr>
    <w:r>
      <w:t>Summary of disclosure templates and tables</w:t>
    </w:r>
    <w:r>
      <w:tab/>
    </w:r>
    <w:r>
      <w:tab/>
    </w: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sidR="00AC6DA4">
      <w:rPr>
        <w:rFonts w:ascii="Arial" w:hAnsi="Arial" w:cs="Arial"/>
        <w:noProof/>
      </w:rPr>
      <w:t>8</w:t>
    </w:r>
    <w:r>
      <w:rPr>
        <w:rFonts w:ascii="Arial" w:hAnsi="Arial" w:cs="Arial"/>
        <w:noProof/>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BE4" w:rsidRDefault="00A54BE4">
    <w:pPr>
      <w:pStyle w:val="Footer"/>
      <w:tabs>
        <w:tab w:val="clear" w:pos="4153"/>
        <w:tab w:val="clear" w:pos="8306"/>
        <w:tab w:val="left" w:pos="1403"/>
        <w:tab w:val="center" w:pos="4156"/>
        <w:tab w:val="right" w:pos="8312"/>
      </w:tabs>
      <w:rPr>
        <w:rFonts w:ascii="Arial" w:hAnsi="Arial" w:cs="Arial"/>
      </w:rPr>
    </w:pPr>
    <w:r>
      <w:t>Part IV – CCR2</w:t>
    </w:r>
    <w:r>
      <w:tab/>
    </w:r>
    <w:r>
      <w:tab/>
    </w: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sidR="00AC6DA4">
      <w:rPr>
        <w:rFonts w:ascii="Arial" w:hAnsi="Arial" w:cs="Arial"/>
        <w:noProof/>
      </w:rPr>
      <w:t>34</w:t>
    </w:r>
    <w:r>
      <w:rPr>
        <w:rFonts w:ascii="Arial" w:hAnsi="Arial" w:cs="Arial"/>
        <w:noProof/>
      </w:rPr>
      <w:fldChar w:fldCharType="end"/>
    </w:r>
    <w:r>
      <w:rPr>
        <w:rFonts w:ascii="Arial" w:hAnsi="Arial" w:cs="Arial"/>
        <w:noProof/>
      </w:rPr>
      <w:tab/>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BE4" w:rsidRDefault="00A54BE4">
    <w:pPr>
      <w:pStyle w:val="Footer"/>
      <w:tabs>
        <w:tab w:val="clear" w:pos="4153"/>
        <w:tab w:val="clear" w:pos="8306"/>
        <w:tab w:val="left" w:pos="1403"/>
        <w:tab w:val="center" w:pos="4156"/>
        <w:tab w:val="right" w:pos="8312"/>
      </w:tabs>
      <w:rPr>
        <w:rFonts w:ascii="Arial" w:hAnsi="Arial" w:cs="Arial"/>
      </w:rPr>
    </w:pPr>
    <w:r>
      <w:t>Part IV – CCR5</w:t>
    </w:r>
    <w:r>
      <w:tab/>
    </w:r>
    <w:r>
      <w:tab/>
    </w: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sidR="00AC6DA4">
      <w:rPr>
        <w:rFonts w:ascii="Arial" w:hAnsi="Arial" w:cs="Arial"/>
        <w:noProof/>
      </w:rPr>
      <w:t>36</w:t>
    </w:r>
    <w:r>
      <w:rPr>
        <w:rFonts w:ascii="Arial" w:hAnsi="Arial" w:cs="Arial"/>
        <w:noProof/>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BE4" w:rsidRDefault="00A54BE4">
    <w:pPr>
      <w:pStyle w:val="Footer"/>
      <w:tabs>
        <w:tab w:val="clear" w:pos="4153"/>
        <w:tab w:val="clear" w:pos="8306"/>
        <w:tab w:val="left" w:pos="1403"/>
        <w:tab w:val="center" w:pos="4156"/>
        <w:tab w:val="right" w:pos="8312"/>
      </w:tabs>
      <w:rPr>
        <w:rFonts w:ascii="Arial" w:hAnsi="Arial" w:cs="Arial"/>
      </w:rPr>
    </w:pPr>
    <w:r>
      <w:t>Part IV – CCR6</w:t>
    </w:r>
    <w:r>
      <w:tab/>
    </w:r>
    <w:r>
      <w:tab/>
    </w: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sidR="00AC6DA4">
      <w:rPr>
        <w:rFonts w:ascii="Arial" w:hAnsi="Arial" w:cs="Arial"/>
        <w:noProof/>
      </w:rPr>
      <w:t>37</w:t>
    </w:r>
    <w:r>
      <w:rPr>
        <w:rFonts w:ascii="Arial" w:hAnsi="Arial" w:cs="Arial"/>
        <w:noProof/>
      </w:rPr>
      <w:fldChar w:fldCharType="end"/>
    </w:r>
    <w:r>
      <w:rPr>
        <w:rFonts w:ascii="Arial" w:hAnsi="Arial" w:cs="Arial"/>
        <w:noProof/>
      </w:rPr>
      <w:tab/>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BE4" w:rsidRDefault="00A54BE4" w:rsidP="00AC6DA4">
    <w:pPr>
      <w:pStyle w:val="Footer"/>
      <w:tabs>
        <w:tab w:val="left" w:pos="1403"/>
      </w:tabs>
      <w:rPr>
        <w:rFonts w:ascii="Arial" w:hAnsi="Arial" w:cs="Arial"/>
      </w:rPr>
    </w:pPr>
    <w:r>
      <w:t>Part IV – CCR7</w:t>
    </w:r>
    <w:r>
      <w:tab/>
    </w:r>
    <w:r>
      <w:tab/>
    </w: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sidR="00AC6DA4">
      <w:rPr>
        <w:rFonts w:ascii="Arial" w:hAnsi="Arial" w:cs="Arial"/>
        <w:noProof/>
      </w:rPr>
      <w:t>39</w:t>
    </w:r>
    <w:r>
      <w:rPr>
        <w:rFonts w:ascii="Arial" w:hAnsi="Arial" w:cs="Arial"/>
        <w:noProof/>
      </w:rPr>
      <w:fldChar w:fldCharType="end"/>
    </w:r>
    <w:r>
      <w:rPr>
        <w:rFonts w:ascii="Arial" w:hAnsi="Arial" w:cs="Arial"/>
        <w:noProof/>
      </w:rPr>
      <w:tab/>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BE4" w:rsidRPr="00F36443" w:rsidRDefault="00804342" w:rsidP="00A54BE4">
    <w:pPr>
      <w:pStyle w:val="Footer"/>
    </w:pPr>
    <w:r>
      <w:t>Part IV – CCR8</w:t>
    </w:r>
    <w:r>
      <w:tab/>
    </w: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sidR="00AC6DA4">
      <w:rPr>
        <w:rFonts w:ascii="Arial" w:hAnsi="Arial" w:cs="Arial"/>
        <w:noProof/>
      </w:rPr>
      <w:t>42</w:t>
    </w:r>
    <w:r>
      <w:rPr>
        <w:rFonts w:ascii="Arial" w:hAnsi="Arial" w:cs="Arial"/>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BE4" w:rsidRDefault="00A54BE4">
    <w:pPr>
      <w:pStyle w:val="Footer"/>
    </w:pPr>
    <w:r>
      <w:t>Part I – OV1</w:t>
    </w:r>
    <w:r>
      <w:ptab w:relativeTo="margin" w:alignment="center" w:leader="none"/>
    </w:r>
    <w:r w:rsidRPr="009D2A25">
      <w:rPr>
        <w:rFonts w:ascii="Arial" w:hAnsi="Arial" w:cs="Arial"/>
      </w:rPr>
      <w:fldChar w:fldCharType="begin"/>
    </w:r>
    <w:r w:rsidRPr="009D2A25">
      <w:rPr>
        <w:rFonts w:ascii="Arial" w:hAnsi="Arial" w:cs="Arial"/>
      </w:rPr>
      <w:instrText xml:space="preserve"> PAGE   \* MERGEFORMAT </w:instrText>
    </w:r>
    <w:r w:rsidRPr="009D2A25">
      <w:rPr>
        <w:rFonts w:ascii="Arial" w:hAnsi="Arial" w:cs="Arial"/>
      </w:rPr>
      <w:fldChar w:fldCharType="separate"/>
    </w:r>
    <w:r w:rsidR="00AC6DA4">
      <w:rPr>
        <w:rFonts w:ascii="Arial" w:hAnsi="Arial" w:cs="Arial"/>
        <w:noProof/>
      </w:rPr>
      <w:t>14</w:t>
    </w:r>
    <w:r w:rsidRPr="009D2A25">
      <w:rPr>
        <w:rFonts w:ascii="Arial" w:hAnsi="Arial" w:cs="Arial"/>
        <w:noProof/>
      </w:rPr>
      <w:fldChar w:fldCharType="end"/>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BE4" w:rsidRDefault="00A54BE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BE4" w:rsidRDefault="00A54BE4">
    <w:pPr>
      <w:pStyle w:val="Footer"/>
    </w:pPr>
    <w:r>
      <w:t>Part IIC – LR1</w:t>
    </w:r>
    <w:r>
      <w:tab/>
    </w:r>
    <w:r w:rsidRPr="009D2A25">
      <w:rPr>
        <w:rFonts w:ascii="Arial" w:hAnsi="Arial" w:cs="Arial"/>
      </w:rPr>
      <w:fldChar w:fldCharType="begin"/>
    </w:r>
    <w:r w:rsidRPr="009D2A25">
      <w:rPr>
        <w:rFonts w:ascii="Arial" w:hAnsi="Arial" w:cs="Arial"/>
      </w:rPr>
      <w:instrText xml:space="preserve"> PAGE   \* MERGEFORMAT </w:instrText>
    </w:r>
    <w:r w:rsidRPr="009D2A25">
      <w:rPr>
        <w:rFonts w:ascii="Arial" w:hAnsi="Arial" w:cs="Arial"/>
      </w:rPr>
      <w:fldChar w:fldCharType="separate"/>
    </w:r>
    <w:r w:rsidR="00AC6DA4">
      <w:rPr>
        <w:rFonts w:ascii="Arial" w:hAnsi="Arial" w:cs="Arial"/>
        <w:noProof/>
      </w:rPr>
      <w:t>17</w:t>
    </w:r>
    <w:r w:rsidRPr="009D2A25">
      <w:rPr>
        <w:rFonts w:ascii="Arial" w:hAnsi="Arial" w:cs="Arial"/>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BE4" w:rsidRDefault="00A54BE4" w:rsidP="00A54BE4">
    <w:pPr>
      <w:pStyle w:val="Footer"/>
    </w:pPr>
    <w:r>
      <w:t>Part IIC – LR2</w:t>
    </w:r>
    <w:r>
      <w:ptab w:relativeTo="margin" w:alignment="center" w:leader="none"/>
    </w:r>
    <w:r w:rsidRPr="009D2A25">
      <w:rPr>
        <w:rFonts w:ascii="Arial" w:hAnsi="Arial" w:cs="Arial"/>
      </w:rPr>
      <w:fldChar w:fldCharType="begin"/>
    </w:r>
    <w:r w:rsidRPr="009D2A25">
      <w:rPr>
        <w:rFonts w:ascii="Arial" w:hAnsi="Arial" w:cs="Arial"/>
      </w:rPr>
      <w:instrText xml:space="preserve"> PAGE   \* MERGEFORMAT </w:instrText>
    </w:r>
    <w:r w:rsidRPr="009D2A25">
      <w:rPr>
        <w:rFonts w:ascii="Arial" w:hAnsi="Arial" w:cs="Arial"/>
      </w:rPr>
      <w:fldChar w:fldCharType="separate"/>
    </w:r>
    <w:r>
      <w:rPr>
        <w:rFonts w:ascii="Arial" w:hAnsi="Arial" w:cs="Arial"/>
        <w:noProof/>
      </w:rPr>
      <w:t>4</w:t>
    </w:r>
    <w:r w:rsidRPr="009D2A25">
      <w:rPr>
        <w:rFonts w:ascii="Arial" w:hAnsi="Arial" w:cs="Arial"/>
        <w:noProof/>
      </w:rPr>
      <w:fldChar w:fldCharType="end"/>
    </w:r>
    <w:r>
      <w:ptab w:relativeTo="margin" w:alignment="right" w:leader="none"/>
    </w:r>
  </w:p>
  <w:p w:rsidR="00A54BE4" w:rsidRDefault="00A54BE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BE4" w:rsidRDefault="00A54BE4" w:rsidP="00A54BE4">
    <w:pPr>
      <w:pStyle w:val="Footer"/>
    </w:pPr>
    <w:r>
      <w:t>Part IIC – LR2</w:t>
    </w:r>
    <w:r>
      <w:ptab w:relativeTo="margin" w:alignment="center" w:leader="none"/>
    </w:r>
    <w:r w:rsidRPr="009D2A25">
      <w:rPr>
        <w:rFonts w:ascii="Arial" w:hAnsi="Arial" w:cs="Arial"/>
      </w:rPr>
      <w:fldChar w:fldCharType="begin"/>
    </w:r>
    <w:r w:rsidRPr="009D2A25">
      <w:rPr>
        <w:rFonts w:ascii="Arial" w:hAnsi="Arial" w:cs="Arial"/>
      </w:rPr>
      <w:instrText xml:space="preserve"> PAGE   \* MERGEFORMAT </w:instrText>
    </w:r>
    <w:r w:rsidRPr="009D2A25">
      <w:rPr>
        <w:rFonts w:ascii="Arial" w:hAnsi="Arial" w:cs="Arial"/>
      </w:rPr>
      <w:fldChar w:fldCharType="separate"/>
    </w:r>
    <w:r w:rsidR="00AC6DA4">
      <w:rPr>
        <w:rFonts w:ascii="Arial" w:hAnsi="Arial" w:cs="Arial"/>
        <w:noProof/>
      </w:rPr>
      <w:t>18</w:t>
    </w:r>
    <w:r w:rsidRPr="009D2A25">
      <w:rPr>
        <w:rFonts w:ascii="Arial" w:hAnsi="Arial" w:cs="Arial"/>
        <w:noProof/>
      </w:rPr>
      <w:fldChar w:fldCharType="end"/>
    </w:r>
    <w:r>
      <w:ptab w:relativeTo="margin" w:alignment="right" w:leader="none"/>
    </w:r>
  </w:p>
  <w:p w:rsidR="00A54BE4" w:rsidRDefault="00A54BE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BE4" w:rsidRDefault="00A54BE4">
    <w:pPr>
      <w:pStyle w:val="Footer"/>
    </w:pPr>
    <w:r>
      <w:t>Part IIC – LR2</w:t>
    </w:r>
    <w:r>
      <w:ptab w:relativeTo="margin" w:alignment="center" w:leader="none"/>
    </w:r>
    <w:r w:rsidRPr="009D2A25">
      <w:rPr>
        <w:rFonts w:ascii="Arial" w:hAnsi="Arial" w:cs="Arial"/>
      </w:rPr>
      <w:fldChar w:fldCharType="begin"/>
    </w:r>
    <w:r w:rsidRPr="009D2A25">
      <w:rPr>
        <w:rFonts w:ascii="Arial" w:hAnsi="Arial" w:cs="Arial"/>
      </w:rPr>
      <w:instrText xml:space="preserve"> PAGE   \* MERGEFORMAT </w:instrText>
    </w:r>
    <w:r w:rsidRPr="009D2A25">
      <w:rPr>
        <w:rFonts w:ascii="Arial" w:hAnsi="Arial" w:cs="Arial"/>
      </w:rPr>
      <w:fldChar w:fldCharType="separate"/>
    </w:r>
    <w:r w:rsidR="00AC6DA4">
      <w:rPr>
        <w:rFonts w:ascii="Arial" w:hAnsi="Arial" w:cs="Arial"/>
        <w:noProof/>
      </w:rPr>
      <w:t>22</w:t>
    </w:r>
    <w:r w:rsidRPr="009D2A25">
      <w:rPr>
        <w:rFonts w:ascii="Arial" w:hAnsi="Arial" w:cs="Arial"/>
        <w:noProof/>
      </w:rPr>
      <w:fldChar w:fldCharType="end"/>
    </w:r>
    <w:r>
      <w:ptab w:relativeTo="margin" w:alignment="right" w:leader="none"/>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BE4" w:rsidRPr="000C01F2" w:rsidRDefault="00A54BE4" w:rsidP="00A54BE4">
    <w:pPr>
      <w:pStyle w:val="Footer"/>
      <w:rPr>
        <w:caps/>
        <w:noProof/>
      </w:rPr>
    </w:pPr>
    <w:r w:rsidRPr="000C01F2">
      <w:t>P</w:t>
    </w:r>
    <w:r>
      <w:t>art IID – LIQ2</w:t>
    </w:r>
    <w:r>
      <w:tab/>
    </w:r>
    <w:r w:rsidRPr="000C01F2">
      <w:rPr>
        <w:caps/>
      </w:rPr>
      <w:fldChar w:fldCharType="begin"/>
    </w:r>
    <w:r w:rsidRPr="000C01F2">
      <w:rPr>
        <w:caps/>
      </w:rPr>
      <w:instrText xml:space="preserve"> PAGE   \* MERGEFORMAT </w:instrText>
    </w:r>
    <w:r w:rsidRPr="000C01F2">
      <w:rPr>
        <w:caps/>
      </w:rPr>
      <w:fldChar w:fldCharType="separate"/>
    </w:r>
    <w:r w:rsidR="00AC6DA4">
      <w:rPr>
        <w:caps/>
        <w:noProof/>
      </w:rPr>
      <w:t>26</w:t>
    </w:r>
    <w:r w:rsidRPr="000C01F2">
      <w:rPr>
        <w:caps/>
        <w:noProof/>
      </w:rPr>
      <w:fldChar w:fldCharType="end"/>
    </w:r>
  </w:p>
  <w:p w:rsidR="00A54BE4" w:rsidRDefault="00A54BE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BE4" w:rsidRDefault="00A54BE4" w:rsidP="00A54BE4">
    <w:pPr>
      <w:pStyle w:val="Footer"/>
      <w:tabs>
        <w:tab w:val="clear" w:pos="4153"/>
        <w:tab w:val="clear" w:pos="8306"/>
        <w:tab w:val="left" w:pos="1403"/>
        <w:tab w:val="center" w:pos="4156"/>
        <w:tab w:val="right" w:pos="8312"/>
      </w:tabs>
      <w:rPr>
        <w:rFonts w:ascii="Arial" w:hAnsi="Arial" w:cs="Arial"/>
      </w:rPr>
    </w:pPr>
    <w:r>
      <w:t>Part IV –CCR1</w:t>
    </w:r>
    <w:r>
      <w:tab/>
    </w:r>
    <w:r>
      <w:tab/>
    </w: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sidR="00AC6DA4">
      <w:rPr>
        <w:rFonts w:ascii="Arial" w:hAnsi="Arial" w:cs="Arial"/>
        <w:noProof/>
      </w:rPr>
      <w:t>32</w:t>
    </w:r>
    <w:r>
      <w:rPr>
        <w:rFonts w:ascii="Arial" w:hAnsi="Arial" w:cs="Arial"/>
        <w:noProof/>
      </w:rPr>
      <w:fldChar w:fldCharType="end"/>
    </w:r>
    <w:r>
      <w:rPr>
        <w:rFonts w:ascii="Arial" w:hAnsi="Arial" w:cs="Arial"/>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BE4" w:rsidRDefault="00A54BE4">
      <w:r>
        <w:separator/>
      </w:r>
    </w:p>
  </w:footnote>
  <w:footnote w:type="continuationSeparator" w:id="0">
    <w:p w:rsidR="00A54BE4" w:rsidRDefault="00A54BE4">
      <w:r>
        <w:continuationSeparator/>
      </w:r>
    </w:p>
  </w:footnote>
  <w:footnote w:id="1">
    <w:p w:rsidR="00A54BE4" w:rsidRPr="000301D4" w:rsidRDefault="00A54BE4" w:rsidP="000301D4">
      <w:pPr>
        <w:tabs>
          <w:tab w:val="left" w:pos="142"/>
        </w:tabs>
        <w:ind w:left="142" w:hangingChars="71" w:hanging="142"/>
        <w:jc w:val="both"/>
        <w:rPr>
          <w:rFonts w:cs="Segoe UI"/>
        </w:rPr>
      </w:pPr>
      <w:r>
        <w:rPr>
          <w:rStyle w:val="FootnoteReference"/>
        </w:rPr>
        <w:footnoteRef/>
      </w:r>
      <w:r>
        <w:t xml:space="preserve"> </w:t>
      </w:r>
      <w:r>
        <w:rPr>
          <w:rFonts w:cs="Segoe UI"/>
        </w:rPr>
        <w:t>This summary of disclosure templates and tables should be read in conjunction with that published alongside the Phase I and Phase II templates and tables on 21 March 2019. (</w:t>
      </w:r>
      <w:hyperlink r:id="rId1" w:history="1">
        <w:r w:rsidRPr="00DD009D">
          <w:rPr>
            <w:rStyle w:val="Hyperlink"/>
            <w:rFonts w:cs="Segoe UI"/>
          </w:rPr>
          <w:t>https://www.hkma.gov.hk/media/eng/doc/key-information/guidelines-and-circular/2019/20190321e1.pdf</w:t>
        </w:r>
      </w:hyperlink>
      <w:r>
        <w:rPr>
          <w:rFonts w:cs="Segoe UI"/>
        </w:rPr>
        <w:t>)</w:t>
      </w:r>
    </w:p>
  </w:footnote>
  <w:footnote w:id="2">
    <w:p w:rsidR="00A54BE4" w:rsidRDefault="00A54BE4" w:rsidP="00A4439D">
      <w:pPr>
        <w:jc w:val="both"/>
        <w:rPr>
          <w:rFonts w:eastAsiaTheme="minorEastAsia" w:cs="Segoe UI"/>
          <w:lang w:eastAsia="zh-TW"/>
        </w:rPr>
      </w:pPr>
      <w:r>
        <w:rPr>
          <w:rStyle w:val="FootnoteReference"/>
        </w:rPr>
        <w:footnoteRef/>
      </w:r>
      <w:r>
        <w:t xml:space="preserve"> </w:t>
      </w:r>
      <w:r>
        <w:rPr>
          <w:rFonts w:cs="Segoe UI"/>
        </w:rPr>
        <w:t>‘L’ denotes a disclosure template/table applicable to locally incorporated AIs; ‘O’ denotes a disclosure template/table applicable to overseas incorporated AIs.</w:t>
      </w:r>
    </w:p>
    <w:p w:rsidR="00A54BE4" w:rsidRDefault="00A54BE4">
      <w:pPr>
        <w:pStyle w:val="FootnoteText"/>
      </w:pPr>
    </w:p>
  </w:footnote>
  <w:footnote w:id="3">
    <w:p w:rsidR="00A54BE4" w:rsidRPr="00DF2BE8" w:rsidRDefault="00A54BE4" w:rsidP="00613FAA">
      <w:pPr>
        <w:pStyle w:val="FootnoteText"/>
        <w:widowControl w:val="0"/>
        <w:tabs>
          <w:tab w:val="clear" w:pos="397"/>
        </w:tabs>
        <w:snapToGrid w:val="0"/>
        <w:spacing w:before="0" w:after="120"/>
        <w:ind w:left="0" w:firstLine="0"/>
        <w:rPr>
          <w:rStyle w:val="FootnoteReference"/>
          <w:rFonts w:cs="Segoe UI"/>
          <w:szCs w:val="16"/>
          <w:vertAlign w:val="baseline"/>
          <w:lang w:val="en-US" w:eastAsia="zh-TW"/>
        </w:rPr>
      </w:pPr>
      <w:r w:rsidRPr="00613FAA">
        <w:rPr>
          <w:rStyle w:val="FootnoteReference"/>
          <w:rFonts w:asciiTheme="minorHAnsi" w:hAnsiTheme="minorHAnsi" w:cstheme="minorHAnsi"/>
          <w:sz w:val="17"/>
          <w:szCs w:val="17"/>
          <w:lang w:val="en-US" w:eastAsia="zh-TW"/>
        </w:rPr>
        <w:footnoteRef/>
      </w:r>
      <w:r w:rsidRPr="00613FAA">
        <w:rPr>
          <w:rStyle w:val="FootnoteReference"/>
          <w:rFonts w:asciiTheme="minorHAnsi" w:hAnsiTheme="minorHAnsi" w:cstheme="minorHAnsi"/>
          <w:sz w:val="17"/>
          <w:szCs w:val="17"/>
          <w:lang w:val="en-US" w:eastAsia="zh-TW"/>
        </w:rPr>
        <w:t xml:space="preserve"> </w:t>
      </w:r>
      <w:r w:rsidRPr="00DF2BE8">
        <w:rPr>
          <w:rStyle w:val="FootnoteReference"/>
          <w:rFonts w:cs="Segoe UI"/>
          <w:szCs w:val="16"/>
          <w:vertAlign w:val="baseline"/>
          <w:lang w:val="en-US" w:eastAsia="zh-TW"/>
        </w:rPr>
        <w:t>For “SFTs” reported in columns (e) and (f), the collateral used is defined as referring to both legs of the transaction.  For example, an AI transfers securities to a third party, which in turn posts collateral to the AI.  The AI should report both legs of the transaction in the template; on one hand the collateral received is reported in column (e), on the other hand the collateral posted by the AI is reported in column (f).</w:t>
      </w:r>
    </w:p>
  </w:footnote>
  <w:footnote w:id="4">
    <w:p w:rsidR="00A54BE4" w:rsidRPr="00DF2BE8" w:rsidRDefault="00A54BE4" w:rsidP="00613FAA">
      <w:pPr>
        <w:pStyle w:val="FootnoteText"/>
        <w:widowControl w:val="0"/>
        <w:tabs>
          <w:tab w:val="clear" w:pos="397"/>
        </w:tabs>
        <w:snapToGrid w:val="0"/>
        <w:spacing w:before="0"/>
        <w:ind w:left="0" w:firstLine="0"/>
        <w:rPr>
          <w:rStyle w:val="FootnoteReference"/>
          <w:rFonts w:cs="Segoe UI"/>
          <w:szCs w:val="16"/>
          <w:lang w:val="en-US" w:eastAsia="zh-TW"/>
        </w:rPr>
      </w:pPr>
      <w:r w:rsidRPr="00DF2BE8">
        <w:rPr>
          <w:rStyle w:val="FootnoteReference"/>
          <w:rFonts w:eastAsiaTheme="minorEastAsia" w:cs="Segoe UI"/>
          <w:kern w:val="2"/>
          <w:szCs w:val="16"/>
          <w:lang w:val="en-US" w:eastAsia="zh-TW"/>
        </w:rPr>
        <w:footnoteRef/>
      </w:r>
      <w:r w:rsidRPr="00DF2BE8">
        <w:rPr>
          <w:rStyle w:val="FootnoteReference"/>
          <w:rFonts w:eastAsiaTheme="minorEastAsia" w:cs="Segoe UI"/>
          <w:kern w:val="2"/>
          <w:szCs w:val="16"/>
          <w:lang w:val="en-US" w:eastAsia="zh-TW"/>
        </w:rPr>
        <w:t xml:space="preserve"> </w:t>
      </w:r>
      <w:r w:rsidRPr="00DF2BE8">
        <w:rPr>
          <w:rStyle w:val="FootnoteReference"/>
          <w:rFonts w:cs="Segoe UI"/>
          <w:szCs w:val="16"/>
          <w:vertAlign w:val="baseline"/>
          <w:lang w:val="en-US" w:eastAsia="zh-TW"/>
        </w:rPr>
        <w:t>“Domestic currency” refers to the AI’s reporting currency (not the currency / currencies in which the derivative contract or SFT is denominated).</w:t>
      </w:r>
      <w:r w:rsidRPr="00DF2BE8">
        <w:rPr>
          <w:rStyle w:val="FootnoteReference"/>
          <w:rFonts w:cs="Segoe UI"/>
          <w:szCs w:val="16"/>
          <w:lang w:val="en-US" w:eastAsia="zh-TW"/>
        </w:rPr>
        <w:t xml:space="preserve"> </w:t>
      </w:r>
    </w:p>
  </w:footnote>
  <w:footnote w:id="5">
    <w:p w:rsidR="00A54BE4" w:rsidRPr="00804342" w:rsidRDefault="00A54BE4" w:rsidP="00804342">
      <w:pPr>
        <w:pStyle w:val="FootnoteText"/>
        <w:widowControl w:val="0"/>
        <w:tabs>
          <w:tab w:val="clear" w:pos="397"/>
        </w:tabs>
        <w:snapToGrid w:val="0"/>
        <w:spacing w:before="0"/>
        <w:ind w:left="0" w:firstLine="0"/>
        <w:rPr>
          <w:rStyle w:val="FootnoteReference"/>
          <w:rFonts w:asciiTheme="minorHAnsi" w:eastAsiaTheme="minorEastAsia" w:hAnsiTheme="minorHAnsi" w:cstheme="minorHAnsi"/>
          <w:kern w:val="2"/>
          <w:vertAlign w:val="baseline"/>
          <w:lang w:val="en-US" w:eastAsia="zh-TW"/>
        </w:rPr>
      </w:pPr>
      <w:r w:rsidRPr="00DF2BE8">
        <w:rPr>
          <w:rStyle w:val="FootnoteReference"/>
          <w:rFonts w:eastAsiaTheme="minorEastAsia" w:cs="Segoe UI"/>
          <w:kern w:val="2"/>
          <w:szCs w:val="16"/>
          <w:lang w:val="en-US" w:eastAsia="zh-TW"/>
        </w:rPr>
        <w:footnoteRef/>
      </w:r>
      <w:r w:rsidRPr="00DF2BE8">
        <w:rPr>
          <w:rStyle w:val="FootnoteReference"/>
          <w:rFonts w:eastAsiaTheme="minorEastAsia" w:cs="Segoe UI"/>
          <w:kern w:val="2"/>
          <w:szCs w:val="16"/>
          <w:lang w:val="en-US" w:eastAsia="zh-TW"/>
        </w:rPr>
        <w:t xml:space="preserve"> </w:t>
      </w:r>
      <w:r w:rsidRPr="00DF2BE8">
        <w:rPr>
          <w:rStyle w:val="FootnoteReference"/>
          <w:rFonts w:eastAsiaTheme="minorEastAsia" w:cs="Segoe UI"/>
          <w:kern w:val="2"/>
          <w:szCs w:val="16"/>
          <w:vertAlign w:val="baseline"/>
          <w:lang w:val="en-US" w:eastAsia="zh-TW"/>
        </w:rPr>
        <w:t>“Clearing client” here may mean a direct client, or an indirect client within a multi-level client structure, as applicable.  These terms have the meaning given by the BCR.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BE4" w:rsidRDefault="00A54B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BE4" w:rsidRDefault="00A54B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BE4" w:rsidRDefault="00A54B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BE4" w:rsidRPr="00F36443" w:rsidRDefault="00A54BE4" w:rsidP="00A54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5C5D"/>
    <w:multiLevelType w:val="hybridMultilevel"/>
    <w:tmpl w:val="33629920"/>
    <w:lvl w:ilvl="0" w:tplc="D28022EC">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1F7C92"/>
    <w:multiLevelType w:val="hybridMultilevel"/>
    <w:tmpl w:val="D6843CE8"/>
    <w:lvl w:ilvl="0" w:tplc="22F09EBA">
      <w:start w:val="1"/>
      <w:numFmt w:val="lowerLetter"/>
      <w:lvlText w:val="(%1)"/>
      <w:lvlJc w:val="left"/>
      <w:pPr>
        <w:ind w:left="916" w:hanging="480"/>
      </w:pPr>
      <w:rPr>
        <w:rFonts w:hint="default"/>
      </w:rPr>
    </w:lvl>
    <w:lvl w:ilvl="1" w:tplc="08090001">
      <w:start w:val="1"/>
      <w:numFmt w:val="bullet"/>
      <w:lvlText w:val=""/>
      <w:lvlJc w:val="left"/>
      <w:pPr>
        <w:ind w:left="1396" w:hanging="480"/>
      </w:pPr>
      <w:rPr>
        <w:rFonts w:ascii="Symbol" w:hAnsi="Symbol" w:hint="default"/>
      </w:rPr>
    </w:lvl>
    <w:lvl w:ilvl="2" w:tplc="0409001B" w:tentative="1">
      <w:start w:val="1"/>
      <w:numFmt w:val="lowerRoman"/>
      <w:lvlText w:val="%3."/>
      <w:lvlJc w:val="right"/>
      <w:pPr>
        <w:ind w:left="1876" w:hanging="480"/>
      </w:pPr>
    </w:lvl>
    <w:lvl w:ilvl="3" w:tplc="0409000F" w:tentative="1">
      <w:start w:val="1"/>
      <w:numFmt w:val="decimal"/>
      <w:lvlText w:val="%4."/>
      <w:lvlJc w:val="left"/>
      <w:pPr>
        <w:ind w:left="2356" w:hanging="480"/>
      </w:pPr>
    </w:lvl>
    <w:lvl w:ilvl="4" w:tplc="04090019" w:tentative="1">
      <w:start w:val="1"/>
      <w:numFmt w:val="ideographTraditional"/>
      <w:lvlText w:val="%5、"/>
      <w:lvlJc w:val="left"/>
      <w:pPr>
        <w:ind w:left="2836" w:hanging="480"/>
      </w:pPr>
    </w:lvl>
    <w:lvl w:ilvl="5" w:tplc="0409001B" w:tentative="1">
      <w:start w:val="1"/>
      <w:numFmt w:val="lowerRoman"/>
      <w:lvlText w:val="%6."/>
      <w:lvlJc w:val="right"/>
      <w:pPr>
        <w:ind w:left="3316" w:hanging="480"/>
      </w:pPr>
    </w:lvl>
    <w:lvl w:ilvl="6" w:tplc="0409000F" w:tentative="1">
      <w:start w:val="1"/>
      <w:numFmt w:val="decimal"/>
      <w:lvlText w:val="%7."/>
      <w:lvlJc w:val="left"/>
      <w:pPr>
        <w:ind w:left="3796" w:hanging="480"/>
      </w:pPr>
    </w:lvl>
    <w:lvl w:ilvl="7" w:tplc="04090019" w:tentative="1">
      <w:start w:val="1"/>
      <w:numFmt w:val="ideographTraditional"/>
      <w:lvlText w:val="%8、"/>
      <w:lvlJc w:val="left"/>
      <w:pPr>
        <w:ind w:left="4276" w:hanging="480"/>
      </w:pPr>
    </w:lvl>
    <w:lvl w:ilvl="8" w:tplc="0409001B" w:tentative="1">
      <w:start w:val="1"/>
      <w:numFmt w:val="lowerRoman"/>
      <w:lvlText w:val="%9."/>
      <w:lvlJc w:val="right"/>
      <w:pPr>
        <w:ind w:left="4756" w:hanging="480"/>
      </w:pPr>
    </w:lvl>
  </w:abstractNum>
  <w:abstractNum w:abstractNumId="2" w15:restartNumberingAfterBreak="0">
    <w:nsid w:val="03395A98"/>
    <w:multiLevelType w:val="hybridMultilevel"/>
    <w:tmpl w:val="46E06164"/>
    <w:lvl w:ilvl="0" w:tplc="6706C998">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46412D"/>
    <w:multiLevelType w:val="hybridMultilevel"/>
    <w:tmpl w:val="91F85D8A"/>
    <w:lvl w:ilvl="0" w:tplc="A51C8C86">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74F13A5"/>
    <w:multiLevelType w:val="hybridMultilevel"/>
    <w:tmpl w:val="A888FAE6"/>
    <w:lvl w:ilvl="0" w:tplc="4B8E1ECA">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7B7175A"/>
    <w:multiLevelType w:val="hybridMultilevel"/>
    <w:tmpl w:val="F36642CE"/>
    <w:lvl w:ilvl="0" w:tplc="E18065E2">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9540CE4"/>
    <w:multiLevelType w:val="hybridMultilevel"/>
    <w:tmpl w:val="89C823F2"/>
    <w:lvl w:ilvl="0" w:tplc="9886C126">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A4E7A49"/>
    <w:multiLevelType w:val="hybridMultilevel"/>
    <w:tmpl w:val="4544B568"/>
    <w:lvl w:ilvl="0" w:tplc="BCBE667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B7D7DB2"/>
    <w:multiLevelType w:val="hybridMultilevel"/>
    <w:tmpl w:val="E32EE3AE"/>
    <w:lvl w:ilvl="0" w:tplc="C158FDD2">
      <w:start w:val="1"/>
      <w:numFmt w:val="low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0C775081"/>
    <w:multiLevelType w:val="hybridMultilevel"/>
    <w:tmpl w:val="4A609880"/>
    <w:lvl w:ilvl="0" w:tplc="C158FDD2">
      <w:start w:val="1"/>
      <w:numFmt w:val="low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0E79701C"/>
    <w:multiLevelType w:val="hybridMultilevel"/>
    <w:tmpl w:val="2574370E"/>
    <w:lvl w:ilvl="0" w:tplc="E7C6201C">
      <w:start w:val="1"/>
      <w:numFmt w:val="lowerRoman"/>
      <w:lvlText w:val="(%1)"/>
      <w:lvlJc w:val="left"/>
      <w:pPr>
        <w:ind w:left="1120" w:hanging="72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1" w15:restartNumberingAfterBreak="0">
    <w:nsid w:val="0F002F88"/>
    <w:multiLevelType w:val="hybridMultilevel"/>
    <w:tmpl w:val="35E29C5A"/>
    <w:lvl w:ilvl="0" w:tplc="C9766C4E">
      <w:start w:val="1"/>
      <w:numFmt w:val="lowerRoman"/>
      <w:lvlText w:val="(%1)"/>
      <w:lvlJc w:val="left"/>
      <w:pPr>
        <w:ind w:left="-206" w:hanging="360"/>
      </w:pPr>
      <w:rPr>
        <w:rFonts w:hint="eastAsia"/>
        <w:i/>
      </w:rPr>
    </w:lvl>
    <w:lvl w:ilvl="1" w:tplc="04090019" w:tentative="1">
      <w:start w:val="1"/>
      <w:numFmt w:val="ideographTraditional"/>
      <w:lvlText w:val="%2、"/>
      <w:lvlJc w:val="left"/>
      <w:pPr>
        <w:ind w:left="394" w:hanging="480"/>
      </w:pPr>
    </w:lvl>
    <w:lvl w:ilvl="2" w:tplc="0409001B" w:tentative="1">
      <w:start w:val="1"/>
      <w:numFmt w:val="lowerRoman"/>
      <w:lvlText w:val="%3."/>
      <w:lvlJc w:val="right"/>
      <w:pPr>
        <w:ind w:left="874" w:hanging="480"/>
      </w:pPr>
    </w:lvl>
    <w:lvl w:ilvl="3" w:tplc="0409000F" w:tentative="1">
      <w:start w:val="1"/>
      <w:numFmt w:val="decimal"/>
      <w:lvlText w:val="%4."/>
      <w:lvlJc w:val="left"/>
      <w:pPr>
        <w:ind w:left="1354" w:hanging="480"/>
      </w:pPr>
    </w:lvl>
    <w:lvl w:ilvl="4" w:tplc="04090019" w:tentative="1">
      <w:start w:val="1"/>
      <w:numFmt w:val="ideographTraditional"/>
      <w:lvlText w:val="%5、"/>
      <w:lvlJc w:val="left"/>
      <w:pPr>
        <w:ind w:left="1834" w:hanging="480"/>
      </w:pPr>
    </w:lvl>
    <w:lvl w:ilvl="5" w:tplc="0409001B" w:tentative="1">
      <w:start w:val="1"/>
      <w:numFmt w:val="lowerRoman"/>
      <w:lvlText w:val="%6."/>
      <w:lvlJc w:val="right"/>
      <w:pPr>
        <w:ind w:left="2314" w:hanging="480"/>
      </w:pPr>
    </w:lvl>
    <w:lvl w:ilvl="6" w:tplc="0409000F" w:tentative="1">
      <w:start w:val="1"/>
      <w:numFmt w:val="decimal"/>
      <w:lvlText w:val="%7."/>
      <w:lvlJc w:val="left"/>
      <w:pPr>
        <w:ind w:left="2794" w:hanging="480"/>
      </w:pPr>
    </w:lvl>
    <w:lvl w:ilvl="7" w:tplc="04090019" w:tentative="1">
      <w:start w:val="1"/>
      <w:numFmt w:val="ideographTraditional"/>
      <w:lvlText w:val="%8、"/>
      <w:lvlJc w:val="left"/>
      <w:pPr>
        <w:ind w:left="3274" w:hanging="480"/>
      </w:pPr>
    </w:lvl>
    <w:lvl w:ilvl="8" w:tplc="0409001B" w:tentative="1">
      <w:start w:val="1"/>
      <w:numFmt w:val="lowerRoman"/>
      <w:lvlText w:val="%9."/>
      <w:lvlJc w:val="right"/>
      <w:pPr>
        <w:ind w:left="3754" w:hanging="480"/>
      </w:pPr>
    </w:lvl>
  </w:abstractNum>
  <w:abstractNum w:abstractNumId="12" w15:restartNumberingAfterBreak="0">
    <w:nsid w:val="1031647E"/>
    <w:multiLevelType w:val="hybridMultilevel"/>
    <w:tmpl w:val="02EA3CCE"/>
    <w:lvl w:ilvl="0" w:tplc="DD5A4066">
      <w:start w:val="1"/>
      <w:numFmt w:val="bullet"/>
      <w:lvlText w:val="•"/>
      <w:lvlJc w:val="left"/>
      <w:pPr>
        <w:ind w:left="480" w:hanging="480"/>
      </w:pPr>
      <w:rPr>
        <w:rFonts w:ascii="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10EF4487"/>
    <w:multiLevelType w:val="hybridMultilevel"/>
    <w:tmpl w:val="6944E1AA"/>
    <w:lvl w:ilvl="0" w:tplc="C158FDD2">
      <w:start w:val="1"/>
      <w:numFmt w:val="low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17C7020"/>
    <w:multiLevelType w:val="hybridMultilevel"/>
    <w:tmpl w:val="06507728"/>
    <w:lvl w:ilvl="0" w:tplc="C0BCA6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50A61B5"/>
    <w:multiLevelType w:val="hybridMultilevel"/>
    <w:tmpl w:val="4B60104C"/>
    <w:lvl w:ilvl="0" w:tplc="5DDC3EB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5DB2C26"/>
    <w:multiLevelType w:val="hybridMultilevel"/>
    <w:tmpl w:val="34BA2B44"/>
    <w:lvl w:ilvl="0" w:tplc="C90427C8">
      <w:start w:val="1"/>
      <w:numFmt w:val="decimal"/>
      <w:lvlText w:val="%1"/>
      <w:lvlJc w:val="left"/>
      <w:pPr>
        <w:ind w:left="360" w:hanging="360"/>
      </w:pPr>
      <w:rPr>
        <w:rFonts w:hint="eastAsia"/>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17B12473"/>
    <w:multiLevelType w:val="hybridMultilevel"/>
    <w:tmpl w:val="EB84AA14"/>
    <w:lvl w:ilvl="0" w:tplc="06F6715A">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18CD2F08"/>
    <w:multiLevelType w:val="hybridMultilevel"/>
    <w:tmpl w:val="94ECD124"/>
    <w:lvl w:ilvl="0" w:tplc="3682660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1C257CCA"/>
    <w:multiLevelType w:val="hybridMultilevel"/>
    <w:tmpl w:val="32D44C62"/>
    <w:lvl w:ilvl="0" w:tplc="0966F6B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1D7075F1"/>
    <w:multiLevelType w:val="hybridMultilevel"/>
    <w:tmpl w:val="19B235CA"/>
    <w:lvl w:ilvl="0" w:tplc="D0CA924C">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1DF872F6"/>
    <w:multiLevelType w:val="hybridMultilevel"/>
    <w:tmpl w:val="DCA2C10C"/>
    <w:lvl w:ilvl="0" w:tplc="5CE2D70E">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1E763D01"/>
    <w:multiLevelType w:val="hybridMultilevel"/>
    <w:tmpl w:val="5F861582"/>
    <w:lvl w:ilvl="0" w:tplc="B7A60CB8">
      <w:start w:val="1"/>
      <w:numFmt w:val="bullet"/>
      <w:lvlText w:val=""/>
      <w:lvlJc w:val="left"/>
      <w:pPr>
        <w:ind w:left="360" w:hanging="360"/>
      </w:pPr>
      <w:rPr>
        <w:rFonts w:ascii="Wingdings" w:eastAsia="Times New Roman" w:hAnsi="Wingdings" w:cs="Times New Roman" w:hint="default"/>
        <w:color w:val="00000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1ED03739"/>
    <w:multiLevelType w:val="hybridMultilevel"/>
    <w:tmpl w:val="EB108256"/>
    <w:lvl w:ilvl="0" w:tplc="55F02D6C">
      <w:start w:val="1"/>
      <w:numFmt w:val="lowerRoman"/>
      <w:lvlText w:val="(%1)"/>
      <w:lvlJc w:val="left"/>
      <w:pPr>
        <w:ind w:left="720" w:hanging="720"/>
      </w:pPr>
      <w:rPr>
        <w:rFonts w:hint="default"/>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1EFF62DC"/>
    <w:multiLevelType w:val="hybridMultilevel"/>
    <w:tmpl w:val="D90E91C0"/>
    <w:lvl w:ilvl="0" w:tplc="08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209939AE"/>
    <w:multiLevelType w:val="hybridMultilevel"/>
    <w:tmpl w:val="EF285A80"/>
    <w:lvl w:ilvl="0" w:tplc="DD5A4066">
      <w:start w:val="1"/>
      <w:numFmt w:val="bullet"/>
      <w:lvlText w:val="•"/>
      <w:lvlJc w:val="left"/>
      <w:pPr>
        <w:ind w:left="480" w:hanging="480"/>
      </w:pPr>
      <w:rPr>
        <w:rFonts w:ascii="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23411E5F"/>
    <w:multiLevelType w:val="hybridMultilevel"/>
    <w:tmpl w:val="2574370E"/>
    <w:lvl w:ilvl="0" w:tplc="E7C6201C">
      <w:start w:val="1"/>
      <w:numFmt w:val="lowerRoman"/>
      <w:lvlText w:val="(%1)"/>
      <w:lvlJc w:val="left"/>
      <w:pPr>
        <w:ind w:left="1120" w:hanging="72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27" w15:restartNumberingAfterBreak="0">
    <w:nsid w:val="2381567F"/>
    <w:multiLevelType w:val="hybridMultilevel"/>
    <w:tmpl w:val="B00C68AC"/>
    <w:lvl w:ilvl="0" w:tplc="D8A4CEBC">
      <w:start w:val="1"/>
      <w:numFmt w:val="lowerLetter"/>
      <w:lvlText w:val="(%1)"/>
      <w:lvlJc w:val="left"/>
      <w:pPr>
        <w:ind w:left="-206" w:hanging="360"/>
      </w:pPr>
      <w:rPr>
        <w:rFonts w:hint="default"/>
      </w:rPr>
    </w:lvl>
    <w:lvl w:ilvl="1" w:tplc="04090019" w:tentative="1">
      <w:start w:val="1"/>
      <w:numFmt w:val="ideographTraditional"/>
      <w:lvlText w:val="%2、"/>
      <w:lvlJc w:val="left"/>
      <w:pPr>
        <w:ind w:left="394" w:hanging="480"/>
      </w:pPr>
    </w:lvl>
    <w:lvl w:ilvl="2" w:tplc="0409001B" w:tentative="1">
      <w:start w:val="1"/>
      <w:numFmt w:val="lowerRoman"/>
      <w:lvlText w:val="%3."/>
      <w:lvlJc w:val="right"/>
      <w:pPr>
        <w:ind w:left="874" w:hanging="480"/>
      </w:pPr>
    </w:lvl>
    <w:lvl w:ilvl="3" w:tplc="0409000F" w:tentative="1">
      <w:start w:val="1"/>
      <w:numFmt w:val="decimal"/>
      <w:lvlText w:val="%4."/>
      <w:lvlJc w:val="left"/>
      <w:pPr>
        <w:ind w:left="1354" w:hanging="480"/>
      </w:pPr>
    </w:lvl>
    <w:lvl w:ilvl="4" w:tplc="04090019" w:tentative="1">
      <w:start w:val="1"/>
      <w:numFmt w:val="ideographTraditional"/>
      <w:lvlText w:val="%5、"/>
      <w:lvlJc w:val="left"/>
      <w:pPr>
        <w:ind w:left="1834" w:hanging="480"/>
      </w:pPr>
    </w:lvl>
    <w:lvl w:ilvl="5" w:tplc="0409001B" w:tentative="1">
      <w:start w:val="1"/>
      <w:numFmt w:val="lowerRoman"/>
      <w:lvlText w:val="%6."/>
      <w:lvlJc w:val="right"/>
      <w:pPr>
        <w:ind w:left="2314" w:hanging="480"/>
      </w:pPr>
    </w:lvl>
    <w:lvl w:ilvl="6" w:tplc="0409000F" w:tentative="1">
      <w:start w:val="1"/>
      <w:numFmt w:val="decimal"/>
      <w:lvlText w:val="%7."/>
      <w:lvlJc w:val="left"/>
      <w:pPr>
        <w:ind w:left="2794" w:hanging="480"/>
      </w:pPr>
    </w:lvl>
    <w:lvl w:ilvl="7" w:tplc="04090019" w:tentative="1">
      <w:start w:val="1"/>
      <w:numFmt w:val="ideographTraditional"/>
      <w:lvlText w:val="%8、"/>
      <w:lvlJc w:val="left"/>
      <w:pPr>
        <w:ind w:left="3274" w:hanging="480"/>
      </w:pPr>
    </w:lvl>
    <w:lvl w:ilvl="8" w:tplc="0409001B" w:tentative="1">
      <w:start w:val="1"/>
      <w:numFmt w:val="lowerRoman"/>
      <w:lvlText w:val="%9."/>
      <w:lvlJc w:val="right"/>
      <w:pPr>
        <w:ind w:left="3754" w:hanging="480"/>
      </w:pPr>
    </w:lvl>
  </w:abstractNum>
  <w:abstractNum w:abstractNumId="28" w15:restartNumberingAfterBreak="0">
    <w:nsid w:val="23E77DCC"/>
    <w:multiLevelType w:val="hybridMultilevel"/>
    <w:tmpl w:val="926E3262"/>
    <w:lvl w:ilvl="0" w:tplc="C158FDD2">
      <w:start w:val="1"/>
      <w:numFmt w:val="low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24447E4D"/>
    <w:multiLevelType w:val="hybridMultilevel"/>
    <w:tmpl w:val="85BAC182"/>
    <w:lvl w:ilvl="0" w:tplc="336AD26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24661859"/>
    <w:multiLevelType w:val="hybridMultilevel"/>
    <w:tmpl w:val="915E4DB4"/>
    <w:lvl w:ilvl="0" w:tplc="40DEF5FE">
      <w:start w:val="1"/>
      <w:numFmt w:val="bullet"/>
      <w:lvlText w:val=""/>
      <w:lvlJc w:val="left"/>
      <w:pPr>
        <w:ind w:left="360" w:hanging="360"/>
      </w:pPr>
      <w:rPr>
        <w:rFonts w:ascii="Wingdings" w:eastAsia="Times New Roman" w:hAnsi="Wingdings" w:cs="Times New Roman" w:hint="default"/>
        <w:color w:val="00000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24E04C4A"/>
    <w:multiLevelType w:val="hybridMultilevel"/>
    <w:tmpl w:val="C07C0000"/>
    <w:lvl w:ilvl="0" w:tplc="962EF62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25154C1A"/>
    <w:multiLevelType w:val="hybridMultilevel"/>
    <w:tmpl w:val="2574370E"/>
    <w:lvl w:ilvl="0" w:tplc="E7C6201C">
      <w:start w:val="1"/>
      <w:numFmt w:val="lowerRoman"/>
      <w:lvlText w:val="(%1)"/>
      <w:lvlJc w:val="left"/>
      <w:pPr>
        <w:ind w:left="1120" w:hanging="72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33" w15:restartNumberingAfterBreak="0">
    <w:nsid w:val="26665250"/>
    <w:multiLevelType w:val="hybridMultilevel"/>
    <w:tmpl w:val="2E9ED40A"/>
    <w:lvl w:ilvl="0" w:tplc="C158FDD2">
      <w:start w:val="1"/>
      <w:numFmt w:val="low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28A3414F"/>
    <w:multiLevelType w:val="hybridMultilevel"/>
    <w:tmpl w:val="627210EA"/>
    <w:lvl w:ilvl="0" w:tplc="DD5A4066">
      <w:start w:val="1"/>
      <w:numFmt w:val="bullet"/>
      <w:lvlText w:val="•"/>
      <w:lvlJc w:val="left"/>
      <w:pPr>
        <w:ind w:left="480" w:hanging="480"/>
      </w:pPr>
      <w:rPr>
        <w:rFonts w:ascii="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2B2C62EA"/>
    <w:multiLevelType w:val="hybridMultilevel"/>
    <w:tmpl w:val="F5A07B26"/>
    <w:lvl w:ilvl="0" w:tplc="C158FDD2">
      <w:start w:val="1"/>
      <w:numFmt w:val="low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31BD5EEA"/>
    <w:multiLevelType w:val="hybridMultilevel"/>
    <w:tmpl w:val="0E3C8944"/>
    <w:lvl w:ilvl="0" w:tplc="71AA265C">
      <w:start w:val="1"/>
      <w:numFmt w:val="low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31CE75C3"/>
    <w:multiLevelType w:val="hybridMultilevel"/>
    <w:tmpl w:val="0996435E"/>
    <w:lvl w:ilvl="0" w:tplc="0966F6B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31F131A5"/>
    <w:multiLevelType w:val="hybridMultilevel"/>
    <w:tmpl w:val="E27A1512"/>
    <w:lvl w:ilvl="0" w:tplc="9E9A14C4">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33186387"/>
    <w:multiLevelType w:val="hybridMultilevel"/>
    <w:tmpl w:val="C5EECB72"/>
    <w:lvl w:ilvl="0" w:tplc="CFFEFE78">
      <w:start w:val="1"/>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33D82505"/>
    <w:multiLevelType w:val="hybridMultilevel"/>
    <w:tmpl w:val="73B08AF4"/>
    <w:lvl w:ilvl="0" w:tplc="9EBAF35A">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350C55C9"/>
    <w:multiLevelType w:val="hybridMultilevel"/>
    <w:tmpl w:val="91B0ADCE"/>
    <w:lvl w:ilvl="0" w:tplc="0966F6B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15:restartNumberingAfterBreak="0">
    <w:nsid w:val="353D287E"/>
    <w:multiLevelType w:val="hybridMultilevel"/>
    <w:tmpl w:val="BD4EE1C4"/>
    <w:lvl w:ilvl="0" w:tplc="68922D5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358C71D8"/>
    <w:multiLevelType w:val="hybridMultilevel"/>
    <w:tmpl w:val="0D328D58"/>
    <w:lvl w:ilvl="0" w:tplc="0966F6B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4" w15:restartNumberingAfterBreak="0">
    <w:nsid w:val="37EB7B5F"/>
    <w:multiLevelType w:val="hybridMultilevel"/>
    <w:tmpl w:val="B4325370"/>
    <w:lvl w:ilvl="0" w:tplc="FF3648FE">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392E690E"/>
    <w:multiLevelType w:val="hybridMultilevel"/>
    <w:tmpl w:val="34BA2B44"/>
    <w:lvl w:ilvl="0" w:tplc="C90427C8">
      <w:start w:val="1"/>
      <w:numFmt w:val="decimal"/>
      <w:lvlText w:val="%1"/>
      <w:lvlJc w:val="left"/>
      <w:pPr>
        <w:ind w:left="360" w:hanging="360"/>
      </w:pPr>
      <w:rPr>
        <w:rFonts w:hint="eastAsia"/>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3A2F6DE0"/>
    <w:multiLevelType w:val="hybridMultilevel"/>
    <w:tmpl w:val="604CA0DC"/>
    <w:lvl w:ilvl="0" w:tplc="1774294A">
      <w:start w:val="1"/>
      <w:numFmt w:val="upperLetter"/>
      <w:lvlText w:val="%1."/>
      <w:lvlJc w:val="left"/>
      <w:pPr>
        <w:ind w:left="417" w:hanging="360"/>
      </w:pPr>
      <w:rPr>
        <w:rFonts w:hint="eastAsia"/>
        <w:sz w:val="17"/>
      </w:rPr>
    </w:lvl>
    <w:lvl w:ilvl="1" w:tplc="04090019" w:tentative="1">
      <w:start w:val="1"/>
      <w:numFmt w:val="ideographTraditional"/>
      <w:lvlText w:val="%2、"/>
      <w:lvlJc w:val="left"/>
      <w:pPr>
        <w:ind w:left="1017" w:hanging="480"/>
      </w:pPr>
    </w:lvl>
    <w:lvl w:ilvl="2" w:tplc="0409001B" w:tentative="1">
      <w:start w:val="1"/>
      <w:numFmt w:val="lowerRoman"/>
      <w:lvlText w:val="%3."/>
      <w:lvlJc w:val="right"/>
      <w:pPr>
        <w:ind w:left="1497" w:hanging="480"/>
      </w:pPr>
    </w:lvl>
    <w:lvl w:ilvl="3" w:tplc="0409000F" w:tentative="1">
      <w:start w:val="1"/>
      <w:numFmt w:val="decimal"/>
      <w:lvlText w:val="%4."/>
      <w:lvlJc w:val="left"/>
      <w:pPr>
        <w:ind w:left="1977" w:hanging="480"/>
      </w:pPr>
    </w:lvl>
    <w:lvl w:ilvl="4" w:tplc="04090019" w:tentative="1">
      <w:start w:val="1"/>
      <w:numFmt w:val="ideographTraditional"/>
      <w:lvlText w:val="%5、"/>
      <w:lvlJc w:val="left"/>
      <w:pPr>
        <w:ind w:left="2457" w:hanging="480"/>
      </w:pPr>
    </w:lvl>
    <w:lvl w:ilvl="5" w:tplc="0409001B" w:tentative="1">
      <w:start w:val="1"/>
      <w:numFmt w:val="lowerRoman"/>
      <w:lvlText w:val="%6."/>
      <w:lvlJc w:val="right"/>
      <w:pPr>
        <w:ind w:left="2937" w:hanging="480"/>
      </w:pPr>
    </w:lvl>
    <w:lvl w:ilvl="6" w:tplc="0409000F" w:tentative="1">
      <w:start w:val="1"/>
      <w:numFmt w:val="decimal"/>
      <w:lvlText w:val="%7."/>
      <w:lvlJc w:val="left"/>
      <w:pPr>
        <w:ind w:left="3417" w:hanging="480"/>
      </w:pPr>
    </w:lvl>
    <w:lvl w:ilvl="7" w:tplc="04090019" w:tentative="1">
      <w:start w:val="1"/>
      <w:numFmt w:val="ideographTraditional"/>
      <w:lvlText w:val="%8、"/>
      <w:lvlJc w:val="left"/>
      <w:pPr>
        <w:ind w:left="3897" w:hanging="480"/>
      </w:pPr>
    </w:lvl>
    <w:lvl w:ilvl="8" w:tplc="0409001B" w:tentative="1">
      <w:start w:val="1"/>
      <w:numFmt w:val="lowerRoman"/>
      <w:lvlText w:val="%9."/>
      <w:lvlJc w:val="right"/>
      <w:pPr>
        <w:ind w:left="4377" w:hanging="480"/>
      </w:pPr>
    </w:lvl>
  </w:abstractNum>
  <w:abstractNum w:abstractNumId="47" w15:restartNumberingAfterBreak="0">
    <w:nsid w:val="3AAA5A30"/>
    <w:multiLevelType w:val="hybridMultilevel"/>
    <w:tmpl w:val="37923116"/>
    <w:lvl w:ilvl="0" w:tplc="C90427C8">
      <w:start w:val="1"/>
      <w:numFmt w:val="decimal"/>
      <w:lvlText w:val="%1"/>
      <w:lvlJc w:val="left"/>
      <w:pPr>
        <w:ind w:left="510" w:hanging="360"/>
      </w:pPr>
      <w:rPr>
        <w:rFonts w:hint="eastAsia"/>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48" w15:restartNumberingAfterBreak="0">
    <w:nsid w:val="3B7F4895"/>
    <w:multiLevelType w:val="hybridMultilevel"/>
    <w:tmpl w:val="FDCC180E"/>
    <w:lvl w:ilvl="0" w:tplc="0A5A6F7A">
      <w:start w:val="1"/>
      <w:numFmt w:val="upperRoman"/>
      <w:lvlText w:val="%1."/>
      <w:lvlJc w:val="left"/>
      <w:pPr>
        <w:ind w:left="154" w:hanging="720"/>
      </w:pPr>
      <w:rPr>
        <w:rFonts w:hint="default"/>
      </w:rPr>
    </w:lvl>
    <w:lvl w:ilvl="1" w:tplc="04090019" w:tentative="1">
      <w:start w:val="1"/>
      <w:numFmt w:val="ideographTraditional"/>
      <w:lvlText w:val="%2、"/>
      <w:lvlJc w:val="left"/>
      <w:pPr>
        <w:ind w:left="394" w:hanging="480"/>
      </w:pPr>
    </w:lvl>
    <w:lvl w:ilvl="2" w:tplc="0409001B" w:tentative="1">
      <w:start w:val="1"/>
      <w:numFmt w:val="lowerRoman"/>
      <w:lvlText w:val="%3."/>
      <w:lvlJc w:val="right"/>
      <w:pPr>
        <w:ind w:left="874" w:hanging="480"/>
      </w:pPr>
    </w:lvl>
    <w:lvl w:ilvl="3" w:tplc="0409000F" w:tentative="1">
      <w:start w:val="1"/>
      <w:numFmt w:val="decimal"/>
      <w:lvlText w:val="%4."/>
      <w:lvlJc w:val="left"/>
      <w:pPr>
        <w:ind w:left="1354" w:hanging="480"/>
      </w:pPr>
    </w:lvl>
    <w:lvl w:ilvl="4" w:tplc="04090019" w:tentative="1">
      <w:start w:val="1"/>
      <w:numFmt w:val="ideographTraditional"/>
      <w:lvlText w:val="%5、"/>
      <w:lvlJc w:val="left"/>
      <w:pPr>
        <w:ind w:left="1834" w:hanging="480"/>
      </w:pPr>
    </w:lvl>
    <w:lvl w:ilvl="5" w:tplc="0409001B" w:tentative="1">
      <w:start w:val="1"/>
      <w:numFmt w:val="lowerRoman"/>
      <w:lvlText w:val="%6."/>
      <w:lvlJc w:val="right"/>
      <w:pPr>
        <w:ind w:left="2314" w:hanging="480"/>
      </w:pPr>
    </w:lvl>
    <w:lvl w:ilvl="6" w:tplc="0409000F" w:tentative="1">
      <w:start w:val="1"/>
      <w:numFmt w:val="decimal"/>
      <w:lvlText w:val="%7."/>
      <w:lvlJc w:val="left"/>
      <w:pPr>
        <w:ind w:left="2794" w:hanging="480"/>
      </w:pPr>
    </w:lvl>
    <w:lvl w:ilvl="7" w:tplc="04090019" w:tentative="1">
      <w:start w:val="1"/>
      <w:numFmt w:val="ideographTraditional"/>
      <w:lvlText w:val="%8、"/>
      <w:lvlJc w:val="left"/>
      <w:pPr>
        <w:ind w:left="3274" w:hanging="480"/>
      </w:pPr>
    </w:lvl>
    <w:lvl w:ilvl="8" w:tplc="0409001B" w:tentative="1">
      <w:start w:val="1"/>
      <w:numFmt w:val="lowerRoman"/>
      <w:lvlText w:val="%9."/>
      <w:lvlJc w:val="right"/>
      <w:pPr>
        <w:ind w:left="3754" w:hanging="480"/>
      </w:pPr>
    </w:lvl>
  </w:abstractNum>
  <w:abstractNum w:abstractNumId="49" w15:restartNumberingAfterBreak="0">
    <w:nsid w:val="3CA67095"/>
    <w:multiLevelType w:val="hybridMultilevel"/>
    <w:tmpl w:val="A48CF78C"/>
    <w:lvl w:ilvl="0" w:tplc="C158FDD2">
      <w:start w:val="1"/>
      <w:numFmt w:val="low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42992195"/>
    <w:multiLevelType w:val="hybridMultilevel"/>
    <w:tmpl w:val="B14EA0EC"/>
    <w:lvl w:ilvl="0" w:tplc="DD56F0BA">
      <w:start w:val="1"/>
      <w:numFmt w:val="lowerRoman"/>
      <w:lvlText w:val="(%1)"/>
      <w:lvlJc w:val="left"/>
      <w:pPr>
        <w:ind w:left="724" w:hanging="720"/>
      </w:pPr>
      <w:rPr>
        <w:rFonts w:eastAsia="新細明體" w:cs="Segoe UI" w:hint="default"/>
        <w:color w:val="000000"/>
      </w:rPr>
    </w:lvl>
    <w:lvl w:ilvl="1" w:tplc="04090019" w:tentative="1">
      <w:start w:val="1"/>
      <w:numFmt w:val="ideographTraditional"/>
      <w:lvlText w:val="%2、"/>
      <w:lvlJc w:val="left"/>
      <w:pPr>
        <w:ind w:left="964" w:hanging="480"/>
      </w:pPr>
    </w:lvl>
    <w:lvl w:ilvl="2" w:tplc="0409001B" w:tentative="1">
      <w:start w:val="1"/>
      <w:numFmt w:val="lowerRoman"/>
      <w:lvlText w:val="%3."/>
      <w:lvlJc w:val="right"/>
      <w:pPr>
        <w:ind w:left="1444" w:hanging="480"/>
      </w:pPr>
    </w:lvl>
    <w:lvl w:ilvl="3" w:tplc="0409000F" w:tentative="1">
      <w:start w:val="1"/>
      <w:numFmt w:val="decimal"/>
      <w:lvlText w:val="%4."/>
      <w:lvlJc w:val="left"/>
      <w:pPr>
        <w:ind w:left="1924" w:hanging="480"/>
      </w:pPr>
    </w:lvl>
    <w:lvl w:ilvl="4" w:tplc="04090019" w:tentative="1">
      <w:start w:val="1"/>
      <w:numFmt w:val="ideographTraditional"/>
      <w:lvlText w:val="%5、"/>
      <w:lvlJc w:val="left"/>
      <w:pPr>
        <w:ind w:left="2404" w:hanging="480"/>
      </w:pPr>
    </w:lvl>
    <w:lvl w:ilvl="5" w:tplc="0409001B" w:tentative="1">
      <w:start w:val="1"/>
      <w:numFmt w:val="lowerRoman"/>
      <w:lvlText w:val="%6."/>
      <w:lvlJc w:val="right"/>
      <w:pPr>
        <w:ind w:left="2884" w:hanging="480"/>
      </w:pPr>
    </w:lvl>
    <w:lvl w:ilvl="6" w:tplc="0409000F" w:tentative="1">
      <w:start w:val="1"/>
      <w:numFmt w:val="decimal"/>
      <w:lvlText w:val="%7."/>
      <w:lvlJc w:val="left"/>
      <w:pPr>
        <w:ind w:left="3364" w:hanging="480"/>
      </w:pPr>
    </w:lvl>
    <w:lvl w:ilvl="7" w:tplc="04090019" w:tentative="1">
      <w:start w:val="1"/>
      <w:numFmt w:val="ideographTraditional"/>
      <w:lvlText w:val="%8、"/>
      <w:lvlJc w:val="left"/>
      <w:pPr>
        <w:ind w:left="3844" w:hanging="480"/>
      </w:pPr>
    </w:lvl>
    <w:lvl w:ilvl="8" w:tplc="0409001B" w:tentative="1">
      <w:start w:val="1"/>
      <w:numFmt w:val="lowerRoman"/>
      <w:lvlText w:val="%9."/>
      <w:lvlJc w:val="right"/>
      <w:pPr>
        <w:ind w:left="4324" w:hanging="480"/>
      </w:pPr>
    </w:lvl>
  </w:abstractNum>
  <w:abstractNum w:abstractNumId="51" w15:restartNumberingAfterBreak="0">
    <w:nsid w:val="42EF0385"/>
    <w:multiLevelType w:val="hybridMultilevel"/>
    <w:tmpl w:val="38269250"/>
    <w:lvl w:ilvl="0" w:tplc="CF7A17C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449D6B56"/>
    <w:multiLevelType w:val="hybridMultilevel"/>
    <w:tmpl w:val="E5EADA42"/>
    <w:lvl w:ilvl="0" w:tplc="C158FDD2">
      <w:start w:val="1"/>
      <w:numFmt w:val="lowerRoman"/>
      <w:lvlText w:val="(%1)"/>
      <w:lvlJc w:val="left"/>
      <w:pPr>
        <w:ind w:left="480" w:hanging="480"/>
      </w:pPr>
      <w:rPr>
        <w:rFonts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3" w15:restartNumberingAfterBreak="0">
    <w:nsid w:val="45906095"/>
    <w:multiLevelType w:val="hybridMultilevel"/>
    <w:tmpl w:val="0C98875A"/>
    <w:lvl w:ilvl="0" w:tplc="4F18B7AE">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477C2E4E"/>
    <w:multiLevelType w:val="hybridMultilevel"/>
    <w:tmpl w:val="5FAEE9DE"/>
    <w:lvl w:ilvl="0" w:tplc="107A6F04">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49767335"/>
    <w:multiLevelType w:val="hybridMultilevel"/>
    <w:tmpl w:val="B866CEBA"/>
    <w:lvl w:ilvl="0" w:tplc="592E8B68">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4CEC5137"/>
    <w:multiLevelType w:val="hybridMultilevel"/>
    <w:tmpl w:val="04FE06B4"/>
    <w:lvl w:ilvl="0" w:tplc="C158FDD2">
      <w:start w:val="1"/>
      <w:numFmt w:val="low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4F22111D"/>
    <w:multiLevelType w:val="hybridMultilevel"/>
    <w:tmpl w:val="779403EC"/>
    <w:lvl w:ilvl="0" w:tplc="44083D2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505A4E6D"/>
    <w:multiLevelType w:val="hybridMultilevel"/>
    <w:tmpl w:val="01D2499A"/>
    <w:lvl w:ilvl="0" w:tplc="0966F6B2">
      <w:start w:val="1"/>
      <w:numFmt w:val="bullet"/>
      <w:lvlText w:val=""/>
      <w:lvlJc w:val="left"/>
      <w:pPr>
        <w:ind w:left="572" w:hanging="480"/>
      </w:pPr>
      <w:rPr>
        <w:rFonts w:ascii="Wingdings" w:hAnsi="Wingdings" w:hint="default"/>
      </w:rPr>
    </w:lvl>
    <w:lvl w:ilvl="1" w:tplc="04090003" w:tentative="1">
      <w:start w:val="1"/>
      <w:numFmt w:val="bullet"/>
      <w:lvlText w:val=""/>
      <w:lvlJc w:val="left"/>
      <w:pPr>
        <w:ind w:left="1052" w:hanging="480"/>
      </w:pPr>
      <w:rPr>
        <w:rFonts w:ascii="Wingdings" w:hAnsi="Wingdings" w:hint="default"/>
      </w:rPr>
    </w:lvl>
    <w:lvl w:ilvl="2" w:tplc="04090005" w:tentative="1">
      <w:start w:val="1"/>
      <w:numFmt w:val="bullet"/>
      <w:lvlText w:val=""/>
      <w:lvlJc w:val="left"/>
      <w:pPr>
        <w:ind w:left="1532" w:hanging="480"/>
      </w:pPr>
      <w:rPr>
        <w:rFonts w:ascii="Wingdings" w:hAnsi="Wingdings" w:hint="default"/>
      </w:rPr>
    </w:lvl>
    <w:lvl w:ilvl="3" w:tplc="04090001" w:tentative="1">
      <w:start w:val="1"/>
      <w:numFmt w:val="bullet"/>
      <w:lvlText w:val=""/>
      <w:lvlJc w:val="left"/>
      <w:pPr>
        <w:ind w:left="2012" w:hanging="480"/>
      </w:pPr>
      <w:rPr>
        <w:rFonts w:ascii="Wingdings" w:hAnsi="Wingdings" w:hint="default"/>
      </w:rPr>
    </w:lvl>
    <w:lvl w:ilvl="4" w:tplc="04090003" w:tentative="1">
      <w:start w:val="1"/>
      <w:numFmt w:val="bullet"/>
      <w:lvlText w:val=""/>
      <w:lvlJc w:val="left"/>
      <w:pPr>
        <w:ind w:left="2492" w:hanging="480"/>
      </w:pPr>
      <w:rPr>
        <w:rFonts w:ascii="Wingdings" w:hAnsi="Wingdings" w:hint="default"/>
      </w:rPr>
    </w:lvl>
    <w:lvl w:ilvl="5" w:tplc="04090005" w:tentative="1">
      <w:start w:val="1"/>
      <w:numFmt w:val="bullet"/>
      <w:lvlText w:val=""/>
      <w:lvlJc w:val="left"/>
      <w:pPr>
        <w:ind w:left="2972" w:hanging="480"/>
      </w:pPr>
      <w:rPr>
        <w:rFonts w:ascii="Wingdings" w:hAnsi="Wingdings" w:hint="default"/>
      </w:rPr>
    </w:lvl>
    <w:lvl w:ilvl="6" w:tplc="04090001" w:tentative="1">
      <w:start w:val="1"/>
      <w:numFmt w:val="bullet"/>
      <w:lvlText w:val=""/>
      <w:lvlJc w:val="left"/>
      <w:pPr>
        <w:ind w:left="3452" w:hanging="480"/>
      </w:pPr>
      <w:rPr>
        <w:rFonts w:ascii="Wingdings" w:hAnsi="Wingdings" w:hint="default"/>
      </w:rPr>
    </w:lvl>
    <w:lvl w:ilvl="7" w:tplc="04090003" w:tentative="1">
      <w:start w:val="1"/>
      <w:numFmt w:val="bullet"/>
      <w:lvlText w:val=""/>
      <w:lvlJc w:val="left"/>
      <w:pPr>
        <w:ind w:left="3932" w:hanging="480"/>
      </w:pPr>
      <w:rPr>
        <w:rFonts w:ascii="Wingdings" w:hAnsi="Wingdings" w:hint="default"/>
      </w:rPr>
    </w:lvl>
    <w:lvl w:ilvl="8" w:tplc="04090005" w:tentative="1">
      <w:start w:val="1"/>
      <w:numFmt w:val="bullet"/>
      <w:lvlText w:val=""/>
      <w:lvlJc w:val="left"/>
      <w:pPr>
        <w:ind w:left="4412" w:hanging="480"/>
      </w:pPr>
      <w:rPr>
        <w:rFonts w:ascii="Wingdings" w:hAnsi="Wingdings" w:hint="default"/>
      </w:rPr>
    </w:lvl>
  </w:abstractNum>
  <w:abstractNum w:abstractNumId="59" w15:restartNumberingAfterBreak="0">
    <w:nsid w:val="520F632F"/>
    <w:multiLevelType w:val="hybridMultilevel"/>
    <w:tmpl w:val="EAE870E2"/>
    <w:lvl w:ilvl="0" w:tplc="A42A752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15:restartNumberingAfterBreak="0">
    <w:nsid w:val="521B103A"/>
    <w:multiLevelType w:val="hybridMultilevel"/>
    <w:tmpl w:val="5562225C"/>
    <w:lvl w:ilvl="0" w:tplc="01580DD0">
      <w:start w:val="1"/>
      <w:numFmt w:val="lowerRoman"/>
      <w:lvlText w:val="(%1)"/>
      <w:lvlJc w:val="left"/>
      <w:pPr>
        <w:ind w:left="720" w:hanging="72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521E076D"/>
    <w:multiLevelType w:val="hybridMultilevel"/>
    <w:tmpl w:val="696E20D8"/>
    <w:lvl w:ilvl="0" w:tplc="F1829464">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15:restartNumberingAfterBreak="0">
    <w:nsid w:val="56C62520"/>
    <w:multiLevelType w:val="hybridMultilevel"/>
    <w:tmpl w:val="69E2730E"/>
    <w:lvl w:ilvl="0" w:tplc="7EB8EF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15:restartNumberingAfterBreak="0">
    <w:nsid w:val="57301839"/>
    <w:multiLevelType w:val="hybridMultilevel"/>
    <w:tmpl w:val="F4F2B05A"/>
    <w:lvl w:ilvl="0" w:tplc="C0528BE2">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5A8F5718"/>
    <w:multiLevelType w:val="hybridMultilevel"/>
    <w:tmpl w:val="7AE4F4FC"/>
    <w:lvl w:ilvl="0" w:tplc="F6F0FE5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5AD84D3C"/>
    <w:multiLevelType w:val="hybridMultilevel"/>
    <w:tmpl w:val="20B648F0"/>
    <w:lvl w:ilvl="0" w:tplc="A698B158">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 w15:restartNumberingAfterBreak="0">
    <w:nsid w:val="5CAE3861"/>
    <w:multiLevelType w:val="hybridMultilevel"/>
    <w:tmpl w:val="357AF872"/>
    <w:lvl w:ilvl="0" w:tplc="7E26F720">
      <w:start w:val="1"/>
      <w:numFmt w:val="decimal"/>
      <w:lvlText w:val="(%1)"/>
      <w:lvlJc w:val="left"/>
      <w:pPr>
        <w:ind w:left="375" w:hanging="37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15:restartNumberingAfterBreak="0">
    <w:nsid w:val="5CD35F05"/>
    <w:multiLevelType w:val="hybridMultilevel"/>
    <w:tmpl w:val="29C495CA"/>
    <w:lvl w:ilvl="0" w:tplc="08090001">
      <w:start w:val="1"/>
      <w:numFmt w:val="bullet"/>
      <w:lvlText w:val=""/>
      <w:lvlJc w:val="left"/>
      <w:pPr>
        <w:ind w:left="840" w:hanging="480"/>
      </w:pPr>
      <w:rPr>
        <w:rFonts w:ascii="Symbol" w:hAnsi="Symbo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8" w15:restartNumberingAfterBreak="0">
    <w:nsid w:val="5FBB6008"/>
    <w:multiLevelType w:val="hybridMultilevel"/>
    <w:tmpl w:val="982C65BC"/>
    <w:lvl w:ilvl="0" w:tplc="B4E0A286">
      <w:start w:val="1"/>
      <w:numFmt w:val="bullet"/>
      <w:pStyle w:val="Bulletpoint"/>
      <w:lvlText w:val=""/>
      <w:lvlJc w:val="left"/>
      <w:pPr>
        <w:tabs>
          <w:tab w:val="num" w:pos="851"/>
        </w:tabs>
        <w:ind w:left="851" w:hanging="851"/>
      </w:pPr>
      <w:rPr>
        <w:rFonts w:ascii="Symbol" w:hAnsi="Symbol" w:hint="default"/>
        <w:color w:val="auto"/>
      </w:rPr>
    </w:lvl>
    <w:lvl w:ilvl="1" w:tplc="B602E818">
      <w:start w:val="1"/>
      <w:numFmt w:val="bullet"/>
      <w:lvlText w:val="–"/>
      <w:lvlJc w:val="left"/>
      <w:pPr>
        <w:tabs>
          <w:tab w:val="num" w:pos="851"/>
        </w:tabs>
        <w:ind w:left="851" w:hanging="851"/>
      </w:pPr>
      <w:rPr>
        <w:rFonts w:ascii="Arial" w:hAnsi="Arial"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6319076E"/>
    <w:multiLevelType w:val="hybridMultilevel"/>
    <w:tmpl w:val="42923738"/>
    <w:lvl w:ilvl="0" w:tplc="0966F6B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 w15:restartNumberingAfterBreak="0">
    <w:nsid w:val="638F2A07"/>
    <w:multiLevelType w:val="hybridMultilevel"/>
    <w:tmpl w:val="8AA2FFC6"/>
    <w:lvl w:ilvl="0" w:tplc="5F4ECB66">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65EA7E8B"/>
    <w:multiLevelType w:val="hybridMultilevel"/>
    <w:tmpl w:val="F3187B34"/>
    <w:lvl w:ilvl="0" w:tplc="31E0C688">
      <w:start w:val="1"/>
      <w:numFmt w:val="bullet"/>
      <w:lvlText w:val="-"/>
      <w:lvlJc w:val="left"/>
      <w:pPr>
        <w:ind w:left="360" w:hanging="360"/>
      </w:pPr>
      <w:rPr>
        <w:rFonts w:ascii="Simplified Arabic Fixed" w:hAnsi="Simplified Arabic Fixed" w:hint="default"/>
        <w:b/>
        <w:i w:val="0"/>
        <w:sz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67B97AC7"/>
    <w:multiLevelType w:val="hybridMultilevel"/>
    <w:tmpl w:val="CB424E0A"/>
    <w:lvl w:ilvl="0" w:tplc="9E28EC4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3" w15:restartNumberingAfterBreak="0">
    <w:nsid w:val="6A702515"/>
    <w:multiLevelType w:val="hybridMultilevel"/>
    <w:tmpl w:val="C4FEC448"/>
    <w:lvl w:ilvl="0" w:tplc="81DAF460">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15:restartNumberingAfterBreak="0">
    <w:nsid w:val="6B764CF4"/>
    <w:multiLevelType w:val="hybridMultilevel"/>
    <w:tmpl w:val="714E5374"/>
    <w:lvl w:ilvl="0" w:tplc="FDB4A5DC">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15:restartNumberingAfterBreak="0">
    <w:nsid w:val="6CBF36AF"/>
    <w:multiLevelType w:val="hybridMultilevel"/>
    <w:tmpl w:val="2AB27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6F0558D4"/>
    <w:multiLevelType w:val="hybridMultilevel"/>
    <w:tmpl w:val="8CD068B4"/>
    <w:lvl w:ilvl="0" w:tplc="3A145A1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15:restartNumberingAfterBreak="0">
    <w:nsid w:val="704B375D"/>
    <w:multiLevelType w:val="hybridMultilevel"/>
    <w:tmpl w:val="16564374"/>
    <w:lvl w:ilvl="0" w:tplc="05B8CADC">
      <w:start w:val="1"/>
      <w:numFmt w:val="lowerRoman"/>
      <w:lvlText w:val="(%1)"/>
      <w:lvlJc w:val="left"/>
      <w:pPr>
        <w:ind w:left="720" w:hanging="720"/>
      </w:pPr>
      <w:rPr>
        <w:rFonts w:hint="default"/>
        <w:i/>
        <w:sz w:val="17"/>
        <w:szCs w:val="17"/>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15:restartNumberingAfterBreak="0">
    <w:nsid w:val="707B01CA"/>
    <w:multiLevelType w:val="hybridMultilevel"/>
    <w:tmpl w:val="36305FB0"/>
    <w:lvl w:ilvl="0" w:tplc="5260A7D6">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15:restartNumberingAfterBreak="0">
    <w:nsid w:val="70D9043F"/>
    <w:multiLevelType w:val="hybridMultilevel"/>
    <w:tmpl w:val="269EC038"/>
    <w:lvl w:ilvl="0" w:tplc="A1BAC98A">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15:restartNumberingAfterBreak="0">
    <w:nsid w:val="719A67CA"/>
    <w:multiLevelType w:val="hybridMultilevel"/>
    <w:tmpl w:val="7568AD1A"/>
    <w:lvl w:ilvl="0" w:tplc="A81852F8">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15:restartNumberingAfterBreak="0">
    <w:nsid w:val="720278E0"/>
    <w:multiLevelType w:val="hybridMultilevel"/>
    <w:tmpl w:val="443AAFD4"/>
    <w:lvl w:ilvl="0" w:tplc="6650A7C8">
      <w:start w:val="1"/>
      <w:numFmt w:val="lowerRoman"/>
      <w:lvlText w:val="(%1)"/>
      <w:lvlJc w:val="left"/>
      <w:pPr>
        <w:ind w:left="1120" w:hanging="72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82" w15:restartNumberingAfterBreak="0">
    <w:nsid w:val="72F333C8"/>
    <w:multiLevelType w:val="hybridMultilevel"/>
    <w:tmpl w:val="F5D448AC"/>
    <w:lvl w:ilvl="0" w:tplc="55A04860">
      <w:start w:val="9"/>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15:restartNumberingAfterBreak="0">
    <w:nsid w:val="73CC1F16"/>
    <w:multiLevelType w:val="hybridMultilevel"/>
    <w:tmpl w:val="0BF4F8A2"/>
    <w:lvl w:ilvl="0" w:tplc="08B44082">
      <w:numFmt w:val="bullet"/>
      <w:lvlText w:val="-"/>
      <w:lvlJc w:val="left"/>
      <w:pPr>
        <w:ind w:left="360" w:hanging="360"/>
      </w:pPr>
      <w:rPr>
        <w:rFonts w:ascii="Segoe UI" w:eastAsia="Times New Roman" w:hAnsi="Segoe UI" w:cs="Segoe U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4" w15:restartNumberingAfterBreak="0">
    <w:nsid w:val="73D8098E"/>
    <w:multiLevelType w:val="hybridMultilevel"/>
    <w:tmpl w:val="578E4812"/>
    <w:lvl w:ilvl="0" w:tplc="F09659A0">
      <w:start w:val="1"/>
      <w:numFmt w:val="upperLetter"/>
      <w:lvlText w:val="%1."/>
      <w:lvlJc w:val="left"/>
      <w:pPr>
        <w:ind w:left="417" w:hanging="360"/>
      </w:pPr>
      <w:rPr>
        <w:rFonts w:hint="eastAsia"/>
        <w:sz w:val="17"/>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75EF1209"/>
    <w:multiLevelType w:val="hybridMultilevel"/>
    <w:tmpl w:val="EE827D00"/>
    <w:lvl w:ilvl="0" w:tplc="22F09EBA">
      <w:start w:val="1"/>
      <w:numFmt w:val="lowerLetter"/>
      <w:lvlText w:val="(%1)"/>
      <w:lvlJc w:val="left"/>
      <w:pPr>
        <w:ind w:left="916" w:hanging="480"/>
      </w:pPr>
      <w:rPr>
        <w:rFonts w:hint="default"/>
      </w:rPr>
    </w:lvl>
    <w:lvl w:ilvl="1" w:tplc="08090001">
      <w:start w:val="1"/>
      <w:numFmt w:val="bullet"/>
      <w:lvlText w:val=""/>
      <w:lvlJc w:val="left"/>
      <w:pPr>
        <w:ind w:left="1396" w:hanging="480"/>
      </w:pPr>
      <w:rPr>
        <w:rFonts w:ascii="Symbol" w:hAnsi="Symbol" w:hint="default"/>
      </w:rPr>
    </w:lvl>
    <w:lvl w:ilvl="2" w:tplc="0409001B" w:tentative="1">
      <w:start w:val="1"/>
      <w:numFmt w:val="lowerRoman"/>
      <w:lvlText w:val="%3."/>
      <w:lvlJc w:val="right"/>
      <w:pPr>
        <w:ind w:left="1876" w:hanging="480"/>
      </w:pPr>
    </w:lvl>
    <w:lvl w:ilvl="3" w:tplc="0409000F" w:tentative="1">
      <w:start w:val="1"/>
      <w:numFmt w:val="decimal"/>
      <w:lvlText w:val="%4."/>
      <w:lvlJc w:val="left"/>
      <w:pPr>
        <w:ind w:left="2356" w:hanging="480"/>
      </w:pPr>
    </w:lvl>
    <w:lvl w:ilvl="4" w:tplc="04090019" w:tentative="1">
      <w:start w:val="1"/>
      <w:numFmt w:val="ideographTraditional"/>
      <w:lvlText w:val="%5、"/>
      <w:lvlJc w:val="left"/>
      <w:pPr>
        <w:ind w:left="2836" w:hanging="480"/>
      </w:pPr>
    </w:lvl>
    <w:lvl w:ilvl="5" w:tplc="0409001B" w:tentative="1">
      <w:start w:val="1"/>
      <w:numFmt w:val="lowerRoman"/>
      <w:lvlText w:val="%6."/>
      <w:lvlJc w:val="right"/>
      <w:pPr>
        <w:ind w:left="3316" w:hanging="480"/>
      </w:pPr>
    </w:lvl>
    <w:lvl w:ilvl="6" w:tplc="0409000F" w:tentative="1">
      <w:start w:val="1"/>
      <w:numFmt w:val="decimal"/>
      <w:lvlText w:val="%7."/>
      <w:lvlJc w:val="left"/>
      <w:pPr>
        <w:ind w:left="3796" w:hanging="480"/>
      </w:pPr>
    </w:lvl>
    <w:lvl w:ilvl="7" w:tplc="04090019" w:tentative="1">
      <w:start w:val="1"/>
      <w:numFmt w:val="ideographTraditional"/>
      <w:lvlText w:val="%8、"/>
      <w:lvlJc w:val="left"/>
      <w:pPr>
        <w:ind w:left="4276" w:hanging="480"/>
      </w:pPr>
    </w:lvl>
    <w:lvl w:ilvl="8" w:tplc="0409001B" w:tentative="1">
      <w:start w:val="1"/>
      <w:numFmt w:val="lowerRoman"/>
      <w:lvlText w:val="%9."/>
      <w:lvlJc w:val="right"/>
      <w:pPr>
        <w:ind w:left="4756" w:hanging="480"/>
      </w:pPr>
    </w:lvl>
  </w:abstractNum>
  <w:abstractNum w:abstractNumId="86" w15:restartNumberingAfterBreak="0">
    <w:nsid w:val="76EE6501"/>
    <w:multiLevelType w:val="hybridMultilevel"/>
    <w:tmpl w:val="D04A2140"/>
    <w:lvl w:ilvl="0" w:tplc="8F24C01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15:restartNumberingAfterBreak="0">
    <w:nsid w:val="77281889"/>
    <w:multiLevelType w:val="hybridMultilevel"/>
    <w:tmpl w:val="415CC944"/>
    <w:lvl w:ilvl="0" w:tplc="DCF659D2">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15:restartNumberingAfterBreak="0">
    <w:nsid w:val="773C7C44"/>
    <w:multiLevelType w:val="hybridMultilevel"/>
    <w:tmpl w:val="E57ECAE2"/>
    <w:lvl w:ilvl="0" w:tplc="8C983CC6">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9" w15:restartNumberingAfterBreak="0">
    <w:nsid w:val="77B116DC"/>
    <w:multiLevelType w:val="hybridMultilevel"/>
    <w:tmpl w:val="72E4F7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0" w15:restartNumberingAfterBreak="0">
    <w:nsid w:val="7B606943"/>
    <w:multiLevelType w:val="hybridMultilevel"/>
    <w:tmpl w:val="E3003D50"/>
    <w:lvl w:ilvl="0" w:tplc="C90427C8">
      <w:start w:val="1"/>
      <w:numFmt w:val="decimal"/>
      <w:lvlText w:val="%1"/>
      <w:lvlJc w:val="left"/>
      <w:pPr>
        <w:ind w:left="360" w:hanging="360"/>
      </w:pPr>
      <w:rPr>
        <w:rFonts w:hint="eastAsia"/>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1" w15:restartNumberingAfterBreak="0">
    <w:nsid w:val="7BC4613C"/>
    <w:multiLevelType w:val="hybridMultilevel"/>
    <w:tmpl w:val="2574370E"/>
    <w:lvl w:ilvl="0" w:tplc="E7C6201C">
      <w:start w:val="1"/>
      <w:numFmt w:val="lowerRoman"/>
      <w:lvlText w:val="(%1)"/>
      <w:lvlJc w:val="left"/>
      <w:pPr>
        <w:ind w:left="1120" w:hanging="72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92" w15:restartNumberingAfterBreak="0">
    <w:nsid w:val="7C244903"/>
    <w:multiLevelType w:val="hybridMultilevel"/>
    <w:tmpl w:val="41C0CC06"/>
    <w:lvl w:ilvl="0" w:tplc="2BEC7E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15:restartNumberingAfterBreak="0">
    <w:nsid w:val="7F1218D4"/>
    <w:multiLevelType w:val="hybridMultilevel"/>
    <w:tmpl w:val="80A4B8E2"/>
    <w:lvl w:ilvl="0" w:tplc="DD5A4066">
      <w:start w:val="1"/>
      <w:numFmt w:val="bullet"/>
      <w:lvlText w:val="•"/>
      <w:lvlJc w:val="left"/>
      <w:pPr>
        <w:ind w:left="480" w:hanging="480"/>
      </w:pPr>
      <w:rPr>
        <w:rFonts w:ascii="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3"/>
  </w:num>
  <w:num w:numId="2">
    <w:abstractNumId w:val="74"/>
  </w:num>
  <w:num w:numId="3">
    <w:abstractNumId w:val="78"/>
  </w:num>
  <w:num w:numId="4">
    <w:abstractNumId w:val="49"/>
  </w:num>
  <w:num w:numId="5">
    <w:abstractNumId w:val="80"/>
  </w:num>
  <w:num w:numId="6">
    <w:abstractNumId w:val="33"/>
  </w:num>
  <w:num w:numId="7">
    <w:abstractNumId w:val="82"/>
  </w:num>
  <w:num w:numId="8">
    <w:abstractNumId w:val="69"/>
  </w:num>
  <w:num w:numId="9">
    <w:abstractNumId w:val="18"/>
  </w:num>
  <w:num w:numId="10">
    <w:abstractNumId w:val="68"/>
  </w:num>
  <w:num w:numId="11">
    <w:abstractNumId w:val="48"/>
  </w:num>
  <w:num w:numId="12">
    <w:abstractNumId w:val="57"/>
  </w:num>
  <w:num w:numId="13">
    <w:abstractNumId w:val="56"/>
  </w:num>
  <w:num w:numId="14">
    <w:abstractNumId w:val="91"/>
  </w:num>
  <w:num w:numId="15">
    <w:abstractNumId w:val="50"/>
  </w:num>
  <w:num w:numId="16">
    <w:abstractNumId w:val="35"/>
  </w:num>
  <w:num w:numId="17">
    <w:abstractNumId w:val="28"/>
  </w:num>
  <w:num w:numId="18">
    <w:abstractNumId w:val="9"/>
  </w:num>
  <w:num w:numId="19">
    <w:abstractNumId w:val="8"/>
  </w:num>
  <w:num w:numId="20">
    <w:abstractNumId w:val="21"/>
  </w:num>
  <w:num w:numId="21">
    <w:abstractNumId w:val="58"/>
  </w:num>
  <w:num w:numId="22">
    <w:abstractNumId w:val="41"/>
  </w:num>
  <w:num w:numId="23">
    <w:abstractNumId w:val="43"/>
  </w:num>
  <w:num w:numId="24">
    <w:abstractNumId w:val="37"/>
  </w:num>
  <w:num w:numId="25">
    <w:abstractNumId w:val="19"/>
  </w:num>
  <w:num w:numId="26">
    <w:abstractNumId w:val="7"/>
  </w:num>
  <w:num w:numId="27">
    <w:abstractNumId w:val="27"/>
  </w:num>
  <w:num w:numId="28">
    <w:abstractNumId w:val="2"/>
  </w:num>
  <w:num w:numId="29">
    <w:abstractNumId w:val="65"/>
  </w:num>
  <w:num w:numId="30">
    <w:abstractNumId w:val="89"/>
  </w:num>
  <w:num w:numId="31">
    <w:abstractNumId w:val="5"/>
  </w:num>
  <w:num w:numId="32">
    <w:abstractNumId w:val="73"/>
  </w:num>
  <w:num w:numId="33">
    <w:abstractNumId w:val="32"/>
  </w:num>
  <w:num w:numId="34">
    <w:abstractNumId w:val="30"/>
  </w:num>
  <w:num w:numId="35">
    <w:abstractNumId w:val="22"/>
  </w:num>
  <w:num w:numId="36">
    <w:abstractNumId w:val="24"/>
  </w:num>
  <w:num w:numId="37">
    <w:abstractNumId w:val="39"/>
  </w:num>
  <w:num w:numId="38">
    <w:abstractNumId w:val="10"/>
  </w:num>
  <w:num w:numId="39">
    <w:abstractNumId w:val="12"/>
  </w:num>
  <w:num w:numId="40">
    <w:abstractNumId w:val="26"/>
  </w:num>
  <w:num w:numId="41">
    <w:abstractNumId w:val="67"/>
  </w:num>
  <w:num w:numId="42">
    <w:abstractNumId w:val="75"/>
  </w:num>
  <w:num w:numId="43">
    <w:abstractNumId w:val="17"/>
  </w:num>
  <w:num w:numId="44">
    <w:abstractNumId w:val="40"/>
  </w:num>
  <w:num w:numId="45">
    <w:abstractNumId w:val="31"/>
  </w:num>
  <w:num w:numId="46">
    <w:abstractNumId w:val="93"/>
  </w:num>
  <w:num w:numId="47">
    <w:abstractNumId w:val="88"/>
  </w:num>
  <w:num w:numId="48">
    <w:abstractNumId w:val="46"/>
  </w:num>
  <w:num w:numId="49">
    <w:abstractNumId w:val="63"/>
  </w:num>
  <w:num w:numId="50">
    <w:abstractNumId w:val="51"/>
  </w:num>
  <w:num w:numId="51">
    <w:abstractNumId w:val="29"/>
  </w:num>
  <w:num w:numId="52">
    <w:abstractNumId w:val="44"/>
  </w:num>
  <w:num w:numId="53">
    <w:abstractNumId w:val="14"/>
  </w:num>
  <w:num w:numId="54">
    <w:abstractNumId w:val="81"/>
  </w:num>
  <w:num w:numId="55">
    <w:abstractNumId w:val="66"/>
  </w:num>
  <w:num w:numId="56">
    <w:abstractNumId w:val="92"/>
  </w:num>
  <w:num w:numId="57">
    <w:abstractNumId w:val="77"/>
  </w:num>
  <w:num w:numId="58">
    <w:abstractNumId w:val="34"/>
  </w:num>
  <w:num w:numId="59">
    <w:abstractNumId w:val="62"/>
  </w:num>
  <w:num w:numId="60">
    <w:abstractNumId w:val="36"/>
  </w:num>
  <w:num w:numId="61">
    <w:abstractNumId w:val="11"/>
  </w:num>
  <w:num w:numId="62">
    <w:abstractNumId w:val="23"/>
  </w:num>
  <w:num w:numId="63">
    <w:abstractNumId w:val="72"/>
  </w:num>
  <w:num w:numId="64">
    <w:abstractNumId w:val="20"/>
  </w:num>
  <w:num w:numId="65">
    <w:abstractNumId w:val="4"/>
  </w:num>
  <w:num w:numId="66">
    <w:abstractNumId w:val="1"/>
  </w:num>
  <w:num w:numId="67">
    <w:abstractNumId w:val="53"/>
  </w:num>
  <w:num w:numId="68">
    <w:abstractNumId w:val="85"/>
  </w:num>
  <w:num w:numId="69">
    <w:abstractNumId w:val="15"/>
  </w:num>
  <w:num w:numId="70">
    <w:abstractNumId w:val="0"/>
  </w:num>
  <w:num w:numId="71">
    <w:abstractNumId w:val="76"/>
  </w:num>
  <w:num w:numId="72">
    <w:abstractNumId w:val="38"/>
  </w:num>
  <w:num w:numId="73">
    <w:abstractNumId w:val="61"/>
  </w:num>
  <w:num w:numId="74">
    <w:abstractNumId w:val="79"/>
  </w:num>
  <w:num w:numId="75">
    <w:abstractNumId w:val="87"/>
  </w:num>
  <w:num w:numId="76">
    <w:abstractNumId w:val="70"/>
  </w:num>
  <w:num w:numId="77">
    <w:abstractNumId w:val="52"/>
  </w:num>
  <w:num w:numId="78">
    <w:abstractNumId w:val="3"/>
  </w:num>
  <w:num w:numId="79">
    <w:abstractNumId w:val="59"/>
  </w:num>
  <w:num w:numId="80">
    <w:abstractNumId w:val="25"/>
  </w:num>
  <w:num w:numId="81">
    <w:abstractNumId w:val="60"/>
  </w:num>
  <w:num w:numId="82">
    <w:abstractNumId w:val="84"/>
  </w:num>
  <w:num w:numId="83">
    <w:abstractNumId w:val="6"/>
  </w:num>
  <w:num w:numId="84">
    <w:abstractNumId w:val="42"/>
  </w:num>
  <w:num w:numId="85">
    <w:abstractNumId w:val="54"/>
  </w:num>
  <w:num w:numId="86">
    <w:abstractNumId w:val="55"/>
  </w:num>
  <w:num w:numId="87">
    <w:abstractNumId w:val="86"/>
  </w:num>
  <w:num w:numId="88">
    <w:abstractNumId w:val="45"/>
  </w:num>
  <w:num w:numId="89">
    <w:abstractNumId w:val="16"/>
  </w:num>
  <w:num w:numId="90">
    <w:abstractNumId w:val="47"/>
  </w:num>
  <w:num w:numId="91">
    <w:abstractNumId w:val="90"/>
  </w:num>
  <w:num w:numId="92">
    <w:abstractNumId w:val="64"/>
  </w:num>
  <w:num w:numId="93">
    <w:abstractNumId w:val="71"/>
  </w:num>
  <w:num w:numId="94">
    <w:abstractNumId w:val="83"/>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bordersDoNotSurroundHeader/>
  <w:bordersDoNotSurroundFooter/>
  <w:proofState w:spelling="clean" w:grammar="clean"/>
  <w:defaultTabStop w:val="480"/>
  <w:drawingGridHorizontalSpacing w:val="100"/>
  <w:displayHorizontalDrawingGridEvery w:val="0"/>
  <w:displayVerticalDrawingGridEvery w:val="2"/>
  <w:characterSpacingControl w:val="compressPunctuation"/>
  <w:hdrShapeDefaults>
    <o:shapedefaults v:ext="edit" spidmax="296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FDC"/>
    <w:rsid w:val="0001463A"/>
    <w:rsid w:val="000301D4"/>
    <w:rsid w:val="000665DA"/>
    <w:rsid w:val="00076778"/>
    <w:rsid w:val="00082C1A"/>
    <w:rsid w:val="000A7BEB"/>
    <w:rsid w:val="000B662C"/>
    <w:rsid w:val="000D2B04"/>
    <w:rsid w:val="000E2735"/>
    <w:rsid w:val="00131329"/>
    <w:rsid w:val="001449B5"/>
    <w:rsid w:val="00154B59"/>
    <w:rsid w:val="00162100"/>
    <w:rsid w:val="001648F7"/>
    <w:rsid w:val="00184B4C"/>
    <w:rsid w:val="001B44D3"/>
    <w:rsid w:val="001B61CF"/>
    <w:rsid w:val="0020369A"/>
    <w:rsid w:val="00207F7D"/>
    <w:rsid w:val="00233D40"/>
    <w:rsid w:val="002360D1"/>
    <w:rsid w:val="0024178E"/>
    <w:rsid w:val="0024427A"/>
    <w:rsid w:val="00244AE8"/>
    <w:rsid w:val="00250D68"/>
    <w:rsid w:val="00251181"/>
    <w:rsid w:val="0028399F"/>
    <w:rsid w:val="002A0515"/>
    <w:rsid w:val="002A569A"/>
    <w:rsid w:val="002A64AF"/>
    <w:rsid w:val="002C15D1"/>
    <w:rsid w:val="002C3E66"/>
    <w:rsid w:val="002C7BCF"/>
    <w:rsid w:val="00320E8E"/>
    <w:rsid w:val="00336E23"/>
    <w:rsid w:val="00341C20"/>
    <w:rsid w:val="003824E1"/>
    <w:rsid w:val="0039707A"/>
    <w:rsid w:val="003B25D3"/>
    <w:rsid w:val="003B6A66"/>
    <w:rsid w:val="003E3745"/>
    <w:rsid w:val="003E63C5"/>
    <w:rsid w:val="0041150E"/>
    <w:rsid w:val="0044385B"/>
    <w:rsid w:val="00452C1B"/>
    <w:rsid w:val="004871A2"/>
    <w:rsid w:val="004D7DEA"/>
    <w:rsid w:val="004F2155"/>
    <w:rsid w:val="004F7DD9"/>
    <w:rsid w:val="005001D9"/>
    <w:rsid w:val="00587623"/>
    <w:rsid w:val="005A561D"/>
    <w:rsid w:val="005B43F3"/>
    <w:rsid w:val="00600548"/>
    <w:rsid w:val="006057B8"/>
    <w:rsid w:val="006076DB"/>
    <w:rsid w:val="00613FAA"/>
    <w:rsid w:val="0064032A"/>
    <w:rsid w:val="00646201"/>
    <w:rsid w:val="006843CC"/>
    <w:rsid w:val="00687BD0"/>
    <w:rsid w:val="006D0075"/>
    <w:rsid w:val="006D7A93"/>
    <w:rsid w:val="007136E5"/>
    <w:rsid w:val="00716FD3"/>
    <w:rsid w:val="00732B57"/>
    <w:rsid w:val="00732F39"/>
    <w:rsid w:val="00747F8B"/>
    <w:rsid w:val="00753F9C"/>
    <w:rsid w:val="00756650"/>
    <w:rsid w:val="007722D6"/>
    <w:rsid w:val="007727CA"/>
    <w:rsid w:val="007762B8"/>
    <w:rsid w:val="00776A16"/>
    <w:rsid w:val="007A787C"/>
    <w:rsid w:val="007C29DB"/>
    <w:rsid w:val="007E252D"/>
    <w:rsid w:val="008000E7"/>
    <w:rsid w:val="00804342"/>
    <w:rsid w:val="00827203"/>
    <w:rsid w:val="00843534"/>
    <w:rsid w:val="0087169A"/>
    <w:rsid w:val="0089690D"/>
    <w:rsid w:val="008B775D"/>
    <w:rsid w:val="008D6C05"/>
    <w:rsid w:val="008E526C"/>
    <w:rsid w:val="008F60A0"/>
    <w:rsid w:val="009105FB"/>
    <w:rsid w:val="00924DF0"/>
    <w:rsid w:val="009732DC"/>
    <w:rsid w:val="009A68E3"/>
    <w:rsid w:val="009B23C9"/>
    <w:rsid w:val="009C48C5"/>
    <w:rsid w:val="009D6AD2"/>
    <w:rsid w:val="009F49C2"/>
    <w:rsid w:val="00A132E4"/>
    <w:rsid w:val="00A16BB4"/>
    <w:rsid w:val="00A37B5D"/>
    <w:rsid w:val="00A4439D"/>
    <w:rsid w:val="00A525D9"/>
    <w:rsid w:val="00A54BE4"/>
    <w:rsid w:val="00A7437E"/>
    <w:rsid w:val="00AC3728"/>
    <w:rsid w:val="00AC6DA4"/>
    <w:rsid w:val="00AF6A0F"/>
    <w:rsid w:val="00B040DE"/>
    <w:rsid w:val="00B05160"/>
    <w:rsid w:val="00B15E71"/>
    <w:rsid w:val="00B24B0B"/>
    <w:rsid w:val="00B4317F"/>
    <w:rsid w:val="00B5613C"/>
    <w:rsid w:val="00B75E2F"/>
    <w:rsid w:val="00B8067E"/>
    <w:rsid w:val="00B83B64"/>
    <w:rsid w:val="00B945D4"/>
    <w:rsid w:val="00BC4B9D"/>
    <w:rsid w:val="00BE3D4E"/>
    <w:rsid w:val="00BF2ECC"/>
    <w:rsid w:val="00C03796"/>
    <w:rsid w:val="00C05D72"/>
    <w:rsid w:val="00C16FBD"/>
    <w:rsid w:val="00C639E1"/>
    <w:rsid w:val="00C66FB8"/>
    <w:rsid w:val="00C75E48"/>
    <w:rsid w:val="00C91900"/>
    <w:rsid w:val="00CA71C3"/>
    <w:rsid w:val="00CB1F85"/>
    <w:rsid w:val="00CB2A34"/>
    <w:rsid w:val="00CC1D92"/>
    <w:rsid w:val="00CE0A0A"/>
    <w:rsid w:val="00CE1D6C"/>
    <w:rsid w:val="00CE2D98"/>
    <w:rsid w:val="00D20E91"/>
    <w:rsid w:val="00D47E81"/>
    <w:rsid w:val="00D53F3E"/>
    <w:rsid w:val="00D61FDC"/>
    <w:rsid w:val="00D74C1E"/>
    <w:rsid w:val="00D85383"/>
    <w:rsid w:val="00DA4712"/>
    <w:rsid w:val="00DF2BE8"/>
    <w:rsid w:val="00E31EFD"/>
    <w:rsid w:val="00E54AE7"/>
    <w:rsid w:val="00E64299"/>
    <w:rsid w:val="00E82EE0"/>
    <w:rsid w:val="00EB00BF"/>
    <w:rsid w:val="00EB0C0A"/>
    <w:rsid w:val="00EC2E6A"/>
    <w:rsid w:val="00EC4B7F"/>
    <w:rsid w:val="00EC5CFB"/>
    <w:rsid w:val="00ED7101"/>
    <w:rsid w:val="00EF16EC"/>
    <w:rsid w:val="00EF6DCA"/>
    <w:rsid w:val="00F02408"/>
    <w:rsid w:val="00F26436"/>
    <w:rsid w:val="00F32ED5"/>
    <w:rsid w:val="00F46D3E"/>
    <w:rsid w:val="00F52EAA"/>
    <w:rsid w:val="00F823BC"/>
    <w:rsid w:val="00FB7C15"/>
    <w:rsid w:val="00FD19CC"/>
    <w:rsid w:val="00FF538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15:chartTrackingRefBased/>
  <w15:docId w15:val="{B7316E66-E9A6-4E8A-8C26-E996D23C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GB"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Segoe UI" w:eastAsia="Times New Roman" w:hAnsi="Segoe UI"/>
      <w:lang w:eastAsia="en-US"/>
    </w:rPr>
  </w:style>
  <w:style w:type="paragraph" w:styleId="Heading1">
    <w:name w:val="heading 1"/>
    <w:basedOn w:val="Normal"/>
    <w:next w:val="Normal"/>
    <w:qFormat/>
    <w:pPr>
      <w:keepNext/>
      <w:keepLines/>
      <w:tabs>
        <w:tab w:val="left" w:pos="794"/>
      </w:tabs>
      <w:spacing w:before="600" w:after="360"/>
      <w:outlineLvl w:val="0"/>
    </w:pPr>
    <w:rPr>
      <w:color w:val="AA322F"/>
      <w:sz w:val="28"/>
    </w:rPr>
  </w:style>
  <w:style w:type="paragraph" w:styleId="Heading2">
    <w:name w:val="heading 2"/>
    <w:basedOn w:val="Normal"/>
    <w:next w:val="Normal"/>
    <w:qFormat/>
    <w:pPr>
      <w:keepNext/>
      <w:spacing w:line="720" w:lineRule="auto"/>
      <w:outlineLvl w:val="1"/>
    </w:pPr>
    <w:rPr>
      <w:rFonts w:ascii="Cambria" w:eastAsia="新細明體" w:hAnsi="Cambria"/>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Chars="200" w:left="480"/>
    </w:pPr>
  </w:style>
  <w:style w:type="character" w:customStyle="1" w:styleId="Heading1Char">
    <w:name w:val="Heading 1 Char"/>
    <w:rPr>
      <w:rFonts w:ascii="Segoe UI" w:eastAsia="Times New Roman" w:hAnsi="Segoe UI" w:cs="Times New Roman"/>
      <w:color w:val="AA322F"/>
      <w:kern w:val="0"/>
      <w:sz w:val="28"/>
      <w:szCs w:val="20"/>
      <w:lang w:val="en-GB" w:eastAsia="en-US"/>
    </w:rPr>
  </w:style>
  <w:style w:type="paragraph" w:styleId="Header">
    <w:name w:val="header"/>
    <w:basedOn w:val="Normal"/>
    <w:unhideWhenUsed/>
    <w:pPr>
      <w:tabs>
        <w:tab w:val="center" w:pos="4153"/>
        <w:tab w:val="right" w:pos="8306"/>
      </w:tabs>
      <w:snapToGrid w:val="0"/>
    </w:pPr>
  </w:style>
  <w:style w:type="character" w:customStyle="1" w:styleId="HeaderChar">
    <w:name w:val="Header Char"/>
    <w:rPr>
      <w:rFonts w:ascii="Segoe UI" w:eastAsia="Times New Roman" w:hAnsi="Segoe UI" w:cs="Times New Roman"/>
      <w:kern w:val="0"/>
      <w:sz w:val="20"/>
      <w:szCs w:val="20"/>
      <w:lang w:val="en-GB" w:eastAsia="en-US"/>
    </w:rPr>
  </w:style>
  <w:style w:type="paragraph" w:styleId="Footer">
    <w:name w:val="footer"/>
    <w:basedOn w:val="Normal"/>
    <w:unhideWhenUsed/>
    <w:pPr>
      <w:tabs>
        <w:tab w:val="center" w:pos="4153"/>
        <w:tab w:val="right" w:pos="8306"/>
      </w:tabs>
      <w:snapToGrid w:val="0"/>
    </w:pPr>
  </w:style>
  <w:style w:type="character" w:customStyle="1" w:styleId="FooterChar">
    <w:name w:val="Footer Char"/>
    <w:rPr>
      <w:rFonts w:ascii="Segoe UI" w:eastAsia="Times New Roman" w:hAnsi="Segoe UI" w:cs="Times New Roman"/>
      <w:kern w:val="0"/>
      <w:sz w:val="20"/>
      <w:szCs w:val="20"/>
      <w:lang w:val="en-GB" w:eastAsia="en-US"/>
    </w:rPr>
  </w:style>
  <w:style w:type="paragraph" w:styleId="BalloonText">
    <w:name w:val="Balloon Text"/>
    <w:basedOn w:val="Normal"/>
    <w:semiHidden/>
    <w:unhideWhenUsed/>
    <w:rPr>
      <w:rFonts w:ascii="Cambria" w:eastAsia="新細明體" w:hAnsi="Cambria"/>
      <w:sz w:val="16"/>
      <w:szCs w:val="16"/>
    </w:rPr>
  </w:style>
  <w:style w:type="character" w:customStyle="1" w:styleId="BalloonTextChar">
    <w:name w:val="Balloon Text Char"/>
    <w:semiHidden/>
    <w:rPr>
      <w:rFonts w:ascii="Cambria" w:eastAsia="新細明體" w:hAnsi="Cambria" w:cs="Times New Roman"/>
      <w:kern w:val="0"/>
      <w:sz w:val="16"/>
      <w:szCs w:val="16"/>
      <w:lang w:val="en-GB" w:eastAsia="en-US"/>
    </w:rPr>
  </w:style>
  <w:style w:type="character" w:styleId="CommentReference">
    <w:name w:val="annotation reference"/>
    <w:semiHidden/>
    <w:unhideWhenUsed/>
    <w:rPr>
      <w:sz w:val="18"/>
      <w:szCs w:val="18"/>
    </w:rPr>
  </w:style>
  <w:style w:type="paragraph" w:styleId="CommentText">
    <w:name w:val="annotation text"/>
    <w:basedOn w:val="Normal"/>
    <w:unhideWhenUsed/>
  </w:style>
  <w:style w:type="character" w:customStyle="1" w:styleId="CommentTextChar">
    <w:name w:val="Comment Text Char"/>
    <w:rPr>
      <w:rFonts w:ascii="Segoe UI" w:eastAsia="Times New Roman" w:hAnsi="Segoe UI" w:cs="Times New Roman"/>
      <w:kern w:val="0"/>
      <w:sz w:val="20"/>
      <w:szCs w:val="20"/>
      <w:lang w:val="en-GB" w:eastAsia="en-US"/>
    </w:rPr>
  </w:style>
  <w:style w:type="paragraph" w:styleId="CommentSubject">
    <w:name w:val="annotation subject"/>
    <w:basedOn w:val="CommentText"/>
    <w:next w:val="CommentText"/>
    <w:semiHidden/>
    <w:unhideWhenUsed/>
    <w:rPr>
      <w:b/>
      <w:bCs/>
    </w:rPr>
  </w:style>
  <w:style w:type="character" w:customStyle="1" w:styleId="CommentSubjectChar">
    <w:name w:val="Comment Subject Char"/>
    <w:semiHidden/>
    <w:rPr>
      <w:rFonts w:ascii="Segoe UI" w:eastAsia="Times New Roman" w:hAnsi="Segoe UI" w:cs="Times New Roman"/>
      <w:b/>
      <w:bCs/>
      <w:kern w:val="0"/>
      <w:sz w:val="20"/>
      <w:szCs w:val="20"/>
      <w:lang w:val="en-GB" w:eastAsia="en-US"/>
    </w:rPr>
  </w:style>
  <w:style w:type="paragraph" w:styleId="FootnoteText">
    <w:name w:val="footnote text"/>
    <w:basedOn w:val="Normal"/>
    <w:pPr>
      <w:tabs>
        <w:tab w:val="left" w:pos="397"/>
      </w:tabs>
      <w:spacing w:before="120"/>
      <w:ind w:left="397" w:hanging="397"/>
      <w:jc w:val="both"/>
    </w:pPr>
    <w:rPr>
      <w:sz w:val="16"/>
    </w:rPr>
  </w:style>
  <w:style w:type="character" w:customStyle="1" w:styleId="FootnoteTextChar">
    <w:name w:val="Footnote Text Char"/>
    <w:rPr>
      <w:rFonts w:ascii="Segoe UI" w:eastAsia="Times New Roman" w:hAnsi="Segoe UI" w:cs="Times New Roman"/>
      <w:kern w:val="0"/>
      <w:sz w:val="16"/>
      <w:szCs w:val="20"/>
      <w:lang w:val="en-GB" w:eastAsia="en-US"/>
    </w:rPr>
  </w:style>
  <w:style w:type="character" w:styleId="FootnoteReference">
    <w:name w:val="footnote reference"/>
    <w:rPr>
      <w:rFonts w:ascii="Segoe UI" w:hAnsi="Segoe UI" w:cs="Times New Roman"/>
      <w:vertAlign w:val="superscript"/>
    </w:rPr>
  </w:style>
  <w:style w:type="character" w:styleId="Hyperlink">
    <w:name w:val="Hyperlink"/>
    <w:basedOn w:val="DefaultParagraphFont"/>
    <w:uiPriority w:val="99"/>
    <w:unhideWhenUsed/>
    <w:rsid w:val="00A132E4"/>
    <w:rPr>
      <w:color w:val="0563C1" w:themeColor="hyperlink"/>
      <w:u w:val="single"/>
    </w:rPr>
  </w:style>
  <w:style w:type="paragraph" w:customStyle="1" w:styleId="TableText">
    <w:name w:val="TableText"/>
    <w:basedOn w:val="Normal"/>
    <w:pPr>
      <w:spacing w:before="40" w:after="40"/>
    </w:pPr>
    <w:rPr>
      <w:sz w:val="17"/>
    </w:rPr>
  </w:style>
  <w:style w:type="paragraph" w:customStyle="1" w:styleId="TableNote">
    <w:name w:val="TableNote"/>
    <w:basedOn w:val="Normal"/>
    <w:pPr>
      <w:spacing w:before="60" w:after="120"/>
      <w:jc w:val="both"/>
    </w:pPr>
    <w:rPr>
      <w:sz w:val="15"/>
    </w:rPr>
  </w:style>
  <w:style w:type="paragraph" w:customStyle="1" w:styleId="BoxTitle">
    <w:name w:val="BoxTitle"/>
    <w:basedOn w:val="Normal"/>
    <w:next w:val="Normal"/>
    <w:pPr>
      <w:keepNext/>
      <w:keepLines/>
      <w:spacing w:before="240" w:line="240" w:lineRule="exact"/>
      <w:outlineLvl w:val="0"/>
    </w:pPr>
    <w:rPr>
      <w:rFonts w:eastAsia="新細明體"/>
      <w:sz w:val="24"/>
    </w:rPr>
  </w:style>
  <w:style w:type="paragraph" w:customStyle="1" w:styleId="Bulletpoint">
    <w:name w:val="Bullet point"/>
    <w:basedOn w:val="Normal"/>
    <w:qFormat/>
    <w:pPr>
      <w:numPr>
        <w:numId w:val="10"/>
      </w:numPr>
      <w:tabs>
        <w:tab w:val="left" w:pos="794"/>
        <w:tab w:val="left" w:pos="1191"/>
      </w:tabs>
      <w:spacing w:after="120"/>
      <w:ind w:left="794" w:hanging="794"/>
      <w:jc w:val="both"/>
    </w:pPr>
    <w:rPr>
      <w:noProof/>
      <w:lang w:eastAsia="en-GB"/>
    </w:rPr>
  </w:style>
  <w:style w:type="paragraph" w:customStyle="1" w:styleId="IndentedHeading2">
    <w:name w:val="Indented Heading 2"/>
    <w:basedOn w:val="Heading2"/>
    <w:next w:val="Normal"/>
    <w:qFormat/>
    <w:pPr>
      <w:tabs>
        <w:tab w:val="left" w:pos="794"/>
      </w:tabs>
      <w:spacing w:before="360" w:after="240" w:line="240" w:lineRule="auto"/>
      <w:ind w:left="794" w:hanging="794"/>
    </w:pPr>
    <w:rPr>
      <w:rFonts w:ascii="Segoe UI" w:eastAsia="Times New Roman" w:hAnsi="Segoe UI"/>
      <w:b w:val="0"/>
      <w:bCs w:val="0"/>
      <w:color w:val="AA322F"/>
      <w:sz w:val="24"/>
      <w:szCs w:val="20"/>
      <w:lang w:eastAsia="en-GB"/>
    </w:rPr>
  </w:style>
  <w:style w:type="character" w:customStyle="1" w:styleId="Heading2Char">
    <w:name w:val="Heading 2 Char"/>
    <w:rPr>
      <w:rFonts w:ascii="Cambria" w:eastAsia="新細明體" w:hAnsi="Cambria" w:cs="Times New Roman"/>
      <w:b/>
      <w:bCs/>
      <w:kern w:val="0"/>
      <w:sz w:val="48"/>
      <w:szCs w:val="48"/>
      <w:lang w:val="en-GB" w:eastAsia="en-US"/>
    </w:rPr>
  </w:style>
  <w:style w:type="paragraph" w:customStyle="1" w:styleId="Default">
    <w:name w:val="Default"/>
    <w:pPr>
      <w:widowControl w:val="0"/>
      <w:autoSpaceDE w:val="0"/>
      <w:autoSpaceDN w:val="0"/>
      <w:adjustRightInd w:val="0"/>
    </w:pPr>
    <w:rPr>
      <w:rFonts w:ascii="Segoe UI" w:hAnsi="Segoe UI" w:cs="Segoe UI"/>
      <w:color w:val="000000"/>
      <w:sz w:val="24"/>
      <w:szCs w:val="24"/>
      <w:lang w:val="en-US" w:eastAsia="zh-TW"/>
    </w:rPr>
  </w:style>
  <w:style w:type="table" w:styleId="TableGrid">
    <w:name w:val="Table Grid"/>
    <w:basedOn w:val="TableNormal"/>
    <w:uiPriority w:val="59"/>
    <w:rsid w:val="002A0515"/>
    <w:rPr>
      <w:rFonts w:asciiTheme="minorHAnsi" w:eastAsiaTheme="minorEastAsia" w:hAnsiTheme="minorHAnsi" w:cstheme="minorBidi"/>
      <w:kern w:val="2"/>
      <w:sz w:val="24"/>
      <w:szCs w:val="22"/>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A0515"/>
    <w:rPr>
      <w:rFonts w:asciiTheme="minorHAnsi" w:eastAsiaTheme="minorEastAsia" w:hAnsiTheme="minorHAnsi" w:cstheme="minorBidi"/>
      <w:kern w:val="2"/>
      <w:sz w:val="24"/>
      <w:szCs w:val="22"/>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A0515"/>
    <w:rPr>
      <w:rFonts w:asciiTheme="minorHAnsi" w:eastAsiaTheme="minorEastAsia" w:hAnsiTheme="minorHAnsi" w:cstheme="minorBidi"/>
      <w:kern w:val="2"/>
      <w:sz w:val="24"/>
      <w:szCs w:val="22"/>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A0515"/>
    <w:rPr>
      <w:rFonts w:ascii="Segoe UI" w:eastAsia="Times New Roman" w:hAnsi="Segoe U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8.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footer" Target="footer12.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hkma.gov.hk/media/eng/doc/key-information/guidelines-and-circular/2019/20190321e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0B0BB-5F9F-4E95-994D-C6B897E07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42</Pages>
  <Words>11099</Words>
  <Characters>63269</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Summary of disclosure templates and tables</vt:lpstr>
    </vt:vector>
  </TitlesOfParts>
  <Company>Hong Kong Monetary Authority</Company>
  <LinksUpToDate>false</LinksUpToDate>
  <CharactersWithSpaces>74220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disclosure templates and tables</dc:title>
  <dc:subject/>
  <dc:creator>BPB</dc:creator>
  <cp:keywords/>
  <cp:lastModifiedBy>BPB2</cp:lastModifiedBy>
  <cp:revision>3</cp:revision>
  <cp:lastPrinted>2021-06-02T08:12:00Z</cp:lastPrinted>
  <dcterms:created xsi:type="dcterms:W3CDTF">2021-06-02T08:55:00Z</dcterms:created>
  <dcterms:modified xsi:type="dcterms:W3CDTF">2021-06-02T09:23:00Z</dcterms:modified>
</cp:coreProperties>
</file>