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55D" w:rsidRPr="003F155D" w:rsidRDefault="003F155D" w:rsidP="003F155D">
      <w:pPr>
        <w:widowControl/>
        <w:rPr>
          <w:rFonts w:ascii="Segoe UI" w:eastAsia="Times New Roman" w:hAnsi="Segoe UI" w:cs="Times New Roman"/>
          <w:color w:val="AA322F"/>
          <w:kern w:val="0"/>
          <w:sz w:val="28"/>
          <w:szCs w:val="20"/>
          <w:lang w:val="en-GB" w:eastAsia="en-US"/>
        </w:rPr>
      </w:pPr>
      <w:bookmarkStart w:id="0" w:name="_Toc404328151"/>
      <w:r w:rsidRPr="003F155D">
        <w:rPr>
          <w:rFonts w:ascii="Segoe UI" w:eastAsia="Times New Roman" w:hAnsi="Segoe UI" w:cs="Times New Roman"/>
          <w:color w:val="AA322F"/>
          <w:kern w:val="0"/>
          <w:sz w:val="28"/>
          <w:szCs w:val="20"/>
          <w:lang w:val="en-GB" w:eastAsia="en-US"/>
        </w:rPr>
        <w:t>Summary of LAC disclosure templates</w:t>
      </w:r>
    </w:p>
    <w:tbl>
      <w:tblPr>
        <w:tblW w:w="1417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7"/>
        <w:gridCol w:w="4961"/>
        <w:gridCol w:w="1417"/>
        <w:gridCol w:w="1418"/>
        <w:gridCol w:w="1276"/>
        <w:gridCol w:w="1417"/>
        <w:gridCol w:w="1559"/>
      </w:tblGrid>
      <w:tr w:rsidR="003F155D" w:rsidRPr="003F155D" w:rsidTr="00297CA5">
        <w:trPr>
          <w:trHeight w:val="244"/>
          <w:tblHeader/>
        </w:trPr>
        <w:tc>
          <w:tcPr>
            <w:tcW w:w="2127" w:type="dxa"/>
            <w:vMerge w:val="restart"/>
            <w:tcBorders>
              <w:top w:val="single" w:sz="12" w:space="0" w:color="auto"/>
              <w:left w:val="nil"/>
              <w:right w:val="single" w:sz="12" w:space="0" w:color="auto"/>
            </w:tcBorders>
            <w:shd w:val="clear" w:color="auto" w:fill="BFBFBF"/>
            <w:vAlign w:val="center"/>
          </w:tcPr>
          <w:p w:rsidR="003F155D" w:rsidRPr="003F155D" w:rsidRDefault="003F155D" w:rsidP="003F155D">
            <w:pPr>
              <w:widowControl/>
              <w:tabs>
                <w:tab w:val="left" w:pos="794"/>
              </w:tabs>
              <w:jc w:val="center"/>
              <w:rPr>
                <w:rFonts w:ascii="Segoe UI" w:eastAsia="Times New Roman" w:hAnsi="Segoe UI" w:cs="Segoe UI"/>
                <w:b/>
                <w:kern w:val="0"/>
                <w:sz w:val="20"/>
                <w:szCs w:val="20"/>
                <w:lang w:val="en-GB" w:eastAsia="en-GB"/>
              </w:rPr>
            </w:pPr>
            <w:r w:rsidRPr="003F155D">
              <w:rPr>
                <w:rFonts w:ascii="Segoe UI" w:eastAsia="Times New Roman" w:hAnsi="Segoe UI" w:cs="Segoe UI"/>
                <w:b/>
                <w:kern w:val="0"/>
                <w:sz w:val="20"/>
                <w:szCs w:val="20"/>
                <w:lang w:val="en-GB" w:eastAsia="en-GB"/>
              </w:rPr>
              <w:t>Disclosure requirement</w:t>
            </w:r>
          </w:p>
        </w:tc>
        <w:tc>
          <w:tcPr>
            <w:tcW w:w="4961" w:type="dxa"/>
            <w:vMerge w:val="restart"/>
            <w:tcBorders>
              <w:top w:val="single" w:sz="12" w:space="0" w:color="auto"/>
              <w:left w:val="single" w:sz="12" w:space="0" w:color="auto"/>
              <w:right w:val="single" w:sz="12" w:space="0" w:color="auto"/>
            </w:tcBorders>
            <w:shd w:val="clear" w:color="auto" w:fill="BFBFBF"/>
            <w:vAlign w:val="center"/>
          </w:tcPr>
          <w:p w:rsidR="003F155D" w:rsidRPr="003F155D" w:rsidRDefault="003F155D" w:rsidP="003F155D">
            <w:pPr>
              <w:widowControl/>
              <w:tabs>
                <w:tab w:val="left" w:pos="794"/>
              </w:tabs>
              <w:jc w:val="center"/>
              <w:rPr>
                <w:rFonts w:ascii="Segoe UI" w:eastAsia="Times New Roman" w:hAnsi="Segoe UI" w:cs="Segoe UI"/>
                <w:b/>
                <w:kern w:val="0"/>
                <w:sz w:val="20"/>
                <w:szCs w:val="20"/>
                <w:lang w:val="en-GB" w:eastAsia="en-GB"/>
              </w:rPr>
            </w:pPr>
            <w:r w:rsidRPr="003F155D">
              <w:rPr>
                <w:rFonts w:ascii="Segoe UI" w:eastAsia="Times New Roman" w:hAnsi="Segoe UI" w:cs="Segoe UI"/>
                <w:b/>
                <w:kern w:val="0"/>
                <w:sz w:val="20"/>
                <w:szCs w:val="20"/>
                <w:lang w:val="en-GB" w:eastAsia="en-GB"/>
              </w:rPr>
              <w:t>Templates</w:t>
            </w:r>
          </w:p>
        </w:tc>
        <w:tc>
          <w:tcPr>
            <w:tcW w:w="1417" w:type="dxa"/>
            <w:vMerge w:val="restart"/>
            <w:tcBorders>
              <w:top w:val="single" w:sz="12" w:space="0" w:color="auto"/>
              <w:left w:val="single" w:sz="12" w:space="0" w:color="auto"/>
              <w:right w:val="single" w:sz="12" w:space="0" w:color="auto"/>
            </w:tcBorders>
            <w:shd w:val="clear" w:color="auto" w:fill="BFBFBF"/>
            <w:vAlign w:val="center"/>
          </w:tcPr>
          <w:p w:rsidR="003F155D" w:rsidRPr="003F155D" w:rsidDel="005558EF" w:rsidRDefault="003F155D" w:rsidP="003F155D">
            <w:pPr>
              <w:widowControl/>
              <w:jc w:val="center"/>
              <w:rPr>
                <w:rFonts w:ascii="Segoe UI" w:eastAsia="Times New Roman" w:hAnsi="Segoe UI" w:cs="Segoe UI"/>
                <w:b/>
                <w:kern w:val="0"/>
                <w:sz w:val="18"/>
                <w:szCs w:val="18"/>
                <w:lang w:val="en-GB" w:eastAsia="en-GB"/>
              </w:rPr>
            </w:pPr>
            <w:r w:rsidRPr="003F155D">
              <w:rPr>
                <w:rFonts w:ascii="Segoe UI" w:eastAsia="Times New Roman" w:hAnsi="Segoe UI" w:cs="Segoe UI"/>
                <w:b/>
                <w:kern w:val="0"/>
                <w:sz w:val="20"/>
                <w:szCs w:val="20"/>
                <w:lang w:val="en-GB" w:eastAsia="en-GB"/>
              </w:rPr>
              <w:t>Applicability* [</w:t>
            </w:r>
            <w:r w:rsidRPr="003F155D">
              <w:rPr>
                <w:rFonts w:ascii="Segoe UI" w:eastAsia="Times New Roman" w:hAnsi="Segoe UI" w:cs="Segoe UI"/>
                <w:b/>
                <w:kern w:val="0"/>
                <w:sz w:val="18"/>
                <w:szCs w:val="18"/>
                <w:lang w:val="en-GB" w:eastAsia="en-GB"/>
              </w:rPr>
              <w:t>RE/MS]</w:t>
            </w:r>
          </w:p>
          <w:p w:rsidR="003F155D" w:rsidRPr="003F155D" w:rsidRDefault="003F155D" w:rsidP="003F155D">
            <w:pPr>
              <w:widowControl/>
              <w:jc w:val="center"/>
              <w:rPr>
                <w:rFonts w:ascii="Segoe UI" w:eastAsia="Times New Roman" w:hAnsi="Segoe UI" w:cs="Segoe UI"/>
                <w:b/>
                <w:kern w:val="0"/>
                <w:sz w:val="20"/>
                <w:szCs w:val="20"/>
                <w:lang w:val="en-GB" w:eastAsia="en-GB"/>
              </w:rPr>
            </w:pPr>
          </w:p>
        </w:tc>
        <w:tc>
          <w:tcPr>
            <w:tcW w:w="2694" w:type="dxa"/>
            <w:gridSpan w:val="2"/>
            <w:tcBorders>
              <w:top w:val="single" w:sz="12" w:space="0" w:color="auto"/>
              <w:left w:val="single" w:sz="12" w:space="0" w:color="auto"/>
              <w:bottom w:val="single" w:sz="12" w:space="0" w:color="auto"/>
              <w:right w:val="single" w:sz="12" w:space="0" w:color="auto"/>
            </w:tcBorders>
            <w:shd w:val="clear" w:color="auto" w:fill="BFBFBF"/>
            <w:vAlign w:val="center"/>
          </w:tcPr>
          <w:p w:rsidR="003F155D" w:rsidRPr="003F155D" w:rsidRDefault="003F155D" w:rsidP="003F155D">
            <w:pPr>
              <w:widowControl/>
              <w:jc w:val="center"/>
              <w:rPr>
                <w:rFonts w:ascii="Segoe UI" w:eastAsia="Times New Roman" w:hAnsi="Segoe UI" w:cs="Segoe UI"/>
                <w:b/>
                <w:kern w:val="0"/>
                <w:sz w:val="20"/>
                <w:szCs w:val="20"/>
                <w:lang w:val="en-GB" w:eastAsia="en-GB"/>
              </w:rPr>
            </w:pPr>
            <w:r w:rsidRPr="003F155D">
              <w:rPr>
                <w:rFonts w:ascii="Segoe UI" w:eastAsia="Times New Roman" w:hAnsi="Segoe UI" w:cs="Segoe UI"/>
                <w:b/>
                <w:kern w:val="0"/>
                <w:sz w:val="20"/>
                <w:szCs w:val="20"/>
                <w:lang w:val="en-GB" w:eastAsia="en-GB"/>
              </w:rPr>
              <w:t>Format</w:t>
            </w:r>
          </w:p>
        </w:tc>
        <w:tc>
          <w:tcPr>
            <w:tcW w:w="2976" w:type="dxa"/>
            <w:gridSpan w:val="2"/>
            <w:tcBorders>
              <w:top w:val="single" w:sz="12" w:space="0" w:color="auto"/>
              <w:left w:val="single" w:sz="12" w:space="0" w:color="auto"/>
              <w:bottom w:val="single" w:sz="12" w:space="0" w:color="auto"/>
              <w:right w:val="single" w:sz="12" w:space="0" w:color="auto"/>
            </w:tcBorders>
            <w:shd w:val="clear" w:color="auto" w:fill="BFBFBF"/>
            <w:vAlign w:val="center"/>
          </w:tcPr>
          <w:p w:rsidR="003F155D" w:rsidRPr="003F155D" w:rsidRDefault="003F155D" w:rsidP="003F155D">
            <w:pPr>
              <w:widowControl/>
              <w:jc w:val="center"/>
              <w:rPr>
                <w:rFonts w:ascii="Segoe UI" w:eastAsia="Times New Roman" w:hAnsi="Segoe UI" w:cs="Segoe UI"/>
                <w:b/>
                <w:kern w:val="0"/>
                <w:sz w:val="20"/>
                <w:szCs w:val="20"/>
                <w:lang w:val="en-GB" w:eastAsia="en-GB"/>
              </w:rPr>
            </w:pPr>
            <w:r w:rsidRPr="003F155D">
              <w:rPr>
                <w:rFonts w:ascii="Segoe UI" w:eastAsia="Times New Roman" w:hAnsi="Segoe UI" w:cs="Segoe UI"/>
                <w:b/>
                <w:kern w:val="0"/>
                <w:sz w:val="20"/>
                <w:szCs w:val="20"/>
                <w:lang w:val="en-GB" w:eastAsia="en-GB"/>
              </w:rPr>
              <w:t>Frequency of disclosure</w:t>
            </w:r>
          </w:p>
        </w:tc>
      </w:tr>
      <w:tr w:rsidR="003F155D" w:rsidRPr="003F155D" w:rsidTr="0054071E">
        <w:trPr>
          <w:trHeight w:val="283"/>
          <w:tblHeader/>
        </w:trPr>
        <w:tc>
          <w:tcPr>
            <w:tcW w:w="2127" w:type="dxa"/>
            <w:vMerge/>
            <w:tcBorders>
              <w:left w:val="nil"/>
              <w:bottom w:val="single" w:sz="12" w:space="0" w:color="auto"/>
              <w:right w:val="single" w:sz="12" w:space="0" w:color="auto"/>
            </w:tcBorders>
            <w:shd w:val="clear" w:color="auto" w:fill="BFBFBF"/>
          </w:tcPr>
          <w:p w:rsidR="003F155D" w:rsidRPr="003F155D" w:rsidRDefault="003F155D" w:rsidP="003F155D">
            <w:pPr>
              <w:widowControl/>
              <w:tabs>
                <w:tab w:val="left" w:pos="794"/>
              </w:tabs>
              <w:jc w:val="center"/>
              <w:rPr>
                <w:rFonts w:ascii="Segoe UI" w:eastAsia="Times New Roman" w:hAnsi="Segoe UI" w:cs="Segoe UI"/>
                <w:b/>
                <w:kern w:val="0"/>
                <w:sz w:val="20"/>
                <w:szCs w:val="20"/>
                <w:lang w:val="en-GB" w:eastAsia="en-GB"/>
              </w:rPr>
            </w:pPr>
          </w:p>
        </w:tc>
        <w:tc>
          <w:tcPr>
            <w:tcW w:w="4961" w:type="dxa"/>
            <w:vMerge/>
            <w:tcBorders>
              <w:left w:val="single" w:sz="12" w:space="0" w:color="auto"/>
              <w:bottom w:val="single" w:sz="12" w:space="0" w:color="auto"/>
              <w:right w:val="single" w:sz="12" w:space="0" w:color="auto"/>
            </w:tcBorders>
            <w:shd w:val="clear" w:color="auto" w:fill="BFBFBF"/>
            <w:vAlign w:val="center"/>
          </w:tcPr>
          <w:p w:rsidR="003F155D" w:rsidRPr="003F155D" w:rsidRDefault="003F155D" w:rsidP="003F155D">
            <w:pPr>
              <w:widowControl/>
              <w:tabs>
                <w:tab w:val="left" w:pos="794"/>
              </w:tabs>
              <w:jc w:val="center"/>
              <w:rPr>
                <w:rFonts w:ascii="Segoe UI" w:eastAsia="Times New Roman" w:hAnsi="Segoe UI" w:cs="Segoe UI"/>
                <w:b/>
                <w:kern w:val="0"/>
                <w:sz w:val="20"/>
                <w:szCs w:val="20"/>
                <w:lang w:val="en-GB" w:eastAsia="en-GB"/>
              </w:rPr>
            </w:pPr>
          </w:p>
        </w:tc>
        <w:tc>
          <w:tcPr>
            <w:tcW w:w="1417" w:type="dxa"/>
            <w:vMerge/>
            <w:tcBorders>
              <w:left w:val="single" w:sz="12" w:space="0" w:color="auto"/>
              <w:bottom w:val="single" w:sz="12" w:space="0" w:color="auto"/>
              <w:right w:val="single" w:sz="12" w:space="0" w:color="auto"/>
            </w:tcBorders>
            <w:shd w:val="clear" w:color="auto" w:fill="BFBFBF"/>
            <w:vAlign w:val="center"/>
          </w:tcPr>
          <w:p w:rsidR="003F155D" w:rsidRPr="003F155D" w:rsidRDefault="003F155D" w:rsidP="003F155D">
            <w:pPr>
              <w:widowControl/>
              <w:jc w:val="center"/>
              <w:rPr>
                <w:rFonts w:ascii="Segoe UI" w:eastAsia="Times New Roman" w:hAnsi="Segoe UI" w:cs="Segoe UI"/>
                <w:b/>
                <w:kern w:val="0"/>
                <w:sz w:val="20"/>
                <w:szCs w:val="20"/>
                <w:lang w:val="en-GB" w:eastAsia="en-GB"/>
              </w:rPr>
            </w:pPr>
          </w:p>
        </w:tc>
        <w:tc>
          <w:tcPr>
            <w:tcW w:w="1418" w:type="dxa"/>
            <w:tcBorders>
              <w:top w:val="single" w:sz="12" w:space="0" w:color="auto"/>
              <w:left w:val="single" w:sz="12" w:space="0" w:color="auto"/>
              <w:bottom w:val="single" w:sz="12" w:space="0" w:color="auto"/>
            </w:tcBorders>
            <w:shd w:val="clear" w:color="auto" w:fill="BFBFBF"/>
            <w:vAlign w:val="center"/>
          </w:tcPr>
          <w:p w:rsidR="003F155D" w:rsidRPr="003F155D" w:rsidRDefault="003F155D" w:rsidP="003F155D">
            <w:pPr>
              <w:widowControl/>
              <w:jc w:val="center"/>
              <w:rPr>
                <w:rFonts w:ascii="Segoe UI" w:eastAsia="Times New Roman" w:hAnsi="Segoe UI" w:cs="Segoe UI"/>
                <w:b/>
                <w:kern w:val="0"/>
                <w:sz w:val="20"/>
                <w:szCs w:val="20"/>
                <w:lang w:val="en-GB" w:eastAsia="en-GB"/>
              </w:rPr>
            </w:pPr>
            <w:r w:rsidRPr="003F155D">
              <w:rPr>
                <w:rFonts w:ascii="Segoe UI" w:eastAsia="Times New Roman" w:hAnsi="Segoe UI" w:cs="Segoe UI"/>
                <w:b/>
                <w:kern w:val="0"/>
                <w:sz w:val="20"/>
                <w:szCs w:val="20"/>
                <w:lang w:val="en-GB" w:eastAsia="en-GB"/>
              </w:rPr>
              <w:t>Fixed</w:t>
            </w:r>
          </w:p>
        </w:tc>
        <w:tc>
          <w:tcPr>
            <w:tcW w:w="1276" w:type="dxa"/>
            <w:tcBorders>
              <w:top w:val="single" w:sz="12" w:space="0" w:color="auto"/>
              <w:bottom w:val="single" w:sz="12" w:space="0" w:color="auto"/>
              <w:right w:val="single" w:sz="12" w:space="0" w:color="auto"/>
            </w:tcBorders>
            <w:shd w:val="clear" w:color="auto" w:fill="BFBFBF"/>
            <w:vAlign w:val="center"/>
          </w:tcPr>
          <w:p w:rsidR="003F155D" w:rsidRPr="003F155D" w:rsidRDefault="003F155D" w:rsidP="003F155D">
            <w:pPr>
              <w:widowControl/>
              <w:jc w:val="center"/>
              <w:rPr>
                <w:rFonts w:ascii="Segoe UI" w:eastAsia="Times New Roman" w:hAnsi="Segoe UI" w:cs="Segoe UI"/>
                <w:b/>
                <w:kern w:val="0"/>
                <w:sz w:val="20"/>
                <w:szCs w:val="20"/>
                <w:lang w:val="en-GB" w:eastAsia="en-GB"/>
              </w:rPr>
            </w:pPr>
            <w:r w:rsidRPr="003F155D">
              <w:rPr>
                <w:rFonts w:ascii="Segoe UI" w:eastAsia="Times New Roman" w:hAnsi="Segoe UI" w:cs="Segoe UI"/>
                <w:b/>
                <w:kern w:val="0"/>
                <w:sz w:val="20"/>
                <w:szCs w:val="20"/>
                <w:lang w:val="en-GB" w:eastAsia="en-GB"/>
              </w:rPr>
              <w:t>Flexible</w:t>
            </w:r>
          </w:p>
        </w:tc>
        <w:tc>
          <w:tcPr>
            <w:tcW w:w="1417" w:type="dxa"/>
            <w:tcBorders>
              <w:top w:val="single" w:sz="12" w:space="0" w:color="auto"/>
              <w:left w:val="single" w:sz="12" w:space="0" w:color="auto"/>
              <w:bottom w:val="single" w:sz="12" w:space="0" w:color="auto"/>
            </w:tcBorders>
            <w:shd w:val="clear" w:color="auto" w:fill="BFBFBF"/>
            <w:vAlign w:val="center"/>
          </w:tcPr>
          <w:p w:rsidR="003F155D" w:rsidRPr="003F155D" w:rsidRDefault="003F155D" w:rsidP="003F155D">
            <w:pPr>
              <w:widowControl/>
              <w:jc w:val="center"/>
              <w:rPr>
                <w:rFonts w:ascii="Segoe UI" w:eastAsia="Times New Roman" w:hAnsi="Segoe UI" w:cs="Segoe UI"/>
                <w:b/>
                <w:kern w:val="0"/>
                <w:sz w:val="20"/>
                <w:szCs w:val="20"/>
                <w:lang w:val="en-GB" w:eastAsia="en-GB"/>
              </w:rPr>
            </w:pPr>
            <w:r w:rsidRPr="003F155D">
              <w:rPr>
                <w:rFonts w:ascii="Segoe UI" w:eastAsia="Times New Roman" w:hAnsi="Segoe UI" w:cs="Segoe UI"/>
                <w:b/>
                <w:kern w:val="0"/>
                <w:sz w:val="20"/>
                <w:szCs w:val="20"/>
                <w:lang w:val="en-GB" w:eastAsia="en-GB"/>
              </w:rPr>
              <w:t>Quarterly</w:t>
            </w:r>
          </w:p>
        </w:tc>
        <w:tc>
          <w:tcPr>
            <w:tcW w:w="1559" w:type="dxa"/>
            <w:tcBorders>
              <w:top w:val="single" w:sz="12" w:space="0" w:color="auto"/>
              <w:bottom w:val="single" w:sz="12" w:space="0" w:color="auto"/>
              <w:right w:val="single" w:sz="12" w:space="0" w:color="auto"/>
            </w:tcBorders>
            <w:shd w:val="clear" w:color="auto" w:fill="BFBFBF"/>
            <w:vAlign w:val="center"/>
          </w:tcPr>
          <w:p w:rsidR="003F155D" w:rsidRPr="003F155D" w:rsidRDefault="003F155D" w:rsidP="003F155D">
            <w:pPr>
              <w:widowControl/>
              <w:jc w:val="center"/>
              <w:rPr>
                <w:rFonts w:ascii="Segoe UI" w:eastAsia="Times New Roman" w:hAnsi="Segoe UI" w:cs="Segoe UI"/>
                <w:b/>
                <w:kern w:val="0"/>
                <w:sz w:val="20"/>
                <w:szCs w:val="20"/>
                <w:lang w:val="en-GB" w:eastAsia="en-GB"/>
              </w:rPr>
            </w:pPr>
            <w:r w:rsidRPr="003F155D">
              <w:rPr>
                <w:rFonts w:ascii="Segoe UI" w:eastAsia="Times New Roman" w:hAnsi="Segoe UI" w:cs="Segoe UI"/>
                <w:b/>
                <w:kern w:val="0"/>
                <w:sz w:val="20"/>
                <w:szCs w:val="20"/>
                <w:lang w:val="en-GB" w:eastAsia="en-GB"/>
              </w:rPr>
              <w:t>Semi-</w:t>
            </w:r>
          </w:p>
          <w:p w:rsidR="003F155D" w:rsidRPr="003F155D" w:rsidRDefault="003F155D" w:rsidP="003F155D">
            <w:pPr>
              <w:widowControl/>
              <w:jc w:val="center"/>
              <w:rPr>
                <w:rFonts w:ascii="Segoe UI" w:eastAsia="Times New Roman" w:hAnsi="Segoe UI" w:cs="Segoe UI"/>
                <w:b/>
                <w:kern w:val="0"/>
                <w:sz w:val="20"/>
                <w:szCs w:val="20"/>
                <w:lang w:val="en-GB" w:eastAsia="en-GB"/>
              </w:rPr>
            </w:pPr>
            <w:r w:rsidRPr="003F155D">
              <w:rPr>
                <w:rFonts w:ascii="Segoe UI" w:eastAsia="Times New Roman" w:hAnsi="Segoe UI" w:cs="Segoe UI"/>
                <w:b/>
                <w:kern w:val="0"/>
                <w:sz w:val="20"/>
                <w:szCs w:val="20"/>
                <w:lang w:val="en-GB" w:eastAsia="en-GB"/>
              </w:rPr>
              <w:t>annual</w:t>
            </w:r>
          </w:p>
        </w:tc>
      </w:tr>
      <w:tr w:rsidR="003F155D" w:rsidRPr="003F155D" w:rsidTr="0054071E">
        <w:trPr>
          <w:cantSplit/>
          <w:trHeight w:val="283"/>
        </w:trPr>
        <w:tc>
          <w:tcPr>
            <w:tcW w:w="2127" w:type="dxa"/>
            <w:vMerge w:val="restart"/>
            <w:tcBorders>
              <w:left w:val="nil"/>
              <w:right w:val="single" w:sz="12" w:space="0" w:color="auto"/>
            </w:tcBorders>
          </w:tcPr>
          <w:p w:rsidR="003F155D" w:rsidRPr="003F155D" w:rsidRDefault="003F155D" w:rsidP="003F155D">
            <w:pPr>
              <w:widowControl/>
              <w:rPr>
                <w:rFonts w:ascii="Segoe UI" w:eastAsia="Times New Roman" w:hAnsi="Segoe UI" w:cs="Segoe UI"/>
                <w:kern w:val="0"/>
                <w:sz w:val="20"/>
                <w:szCs w:val="20"/>
                <w:lang w:val="en-GB" w:eastAsia="en-GB"/>
              </w:rPr>
            </w:pPr>
            <w:r w:rsidRPr="003F155D">
              <w:rPr>
                <w:rFonts w:ascii="Segoe UI" w:eastAsia="Times New Roman" w:hAnsi="Segoe UI" w:cs="Segoe UI"/>
                <w:kern w:val="0"/>
                <w:sz w:val="20"/>
                <w:szCs w:val="20"/>
                <w:lang w:val="en-GB" w:eastAsia="en-GB"/>
              </w:rPr>
              <w:t>Key metrics of loss-absorbing capacity</w:t>
            </w:r>
          </w:p>
        </w:tc>
        <w:tc>
          <w:tcPr>
            <w:tcW w:w="4961" w:type="dxa"/>
            <w:tcBorders>
              <w:top w:val="single" w:sz="12" w:space="0" w:color="auto"/>
              <w:left w:val="single" w:sz="12" w:space="0" w:color="auto"/>
              <w:bottom w:val="single" w:sz="2" w:space="0" w:color="A6A6A6" w:themeColor="background1" w:themeShade="A6"/>
              <w:right w:val="single" w:sz="12" w:space="0" w:color="auto"/>
            </w:tcBorders>
            <w:shd w:val="clear" w:color="auto" w:fill="auto"/>
          </w:tcPr>
          <w:p w:rsidR="003F155D" w:rsidRPr="003F155D" w:rsidRDefault="003F155D" w:rsidP="003F155D">
            <w:pPr>
              <w:widowControl/>
              <w:rPr>
                <w:rFonts w:ascii="Segoe UI" w:eastAsia="Times New Roman" w:hAnsi="Segoe UI" w:cs="Segoe UI"/>
                <w:kern w:val="0"/>
                <w:sz w:val="20"/>
                <w:szCs w:val="20"/>
                <w:lang w:eastAsia="en-GB"/>
              </w:rPr>
            </w:pPr>
            <w:r w:rsidRPr="003F155D">
              <w:rPr>
                <w:rFonts w:ascii="Segoe UI" w:eastAsia="Times New Roman" w:hAnsi="Segoe UI" w:cs="Segoe UI"/>
                <w:kern w:val="0"/>
                <w:sz w:val="20"/>
                <w:szCs w:val="20"/>
                <w:lang w:val="en-GB" w:eastAsia="en-GB"/>
              </w:rPr>
              <w:t>Template KM2: Key metrics – LAC requirements for resolution entities (at LAC consolidation group level)</w:t>
            </w:r>
          </w:p>
        </w:tc>
        <w:tc>
          <w:tcPr>
            <w:tcW w:w="1417" w:type="dxa"/>
            <w:tcBorders>
              <w:top w:val="single" w:sz="12" w:space="0" w:color="auto"/>
              <w:left w:val="single" w:sz="12" w:space="0" w:color="auto"/>
              <w:bottom w:val="single" w:sz="2" w:space="0" w:color="A6A6A6" w:themeColor="background1" w:themeShade="A6"/>
              <w:right w:val="single" w:sz="12" w:space="0" w:color="auto"/>
            </w:tcBorders>
            <w:shd w:val="clear" w:color="auto" w:fill="auto"/>
            <w:vAlign w:val="center"/>
          </w:tcPr>
          <w:p w:rsidR="003F155D" w:rsidRPr="003F155D" w:rsidRDefault="003F155D" w:rsidP="003F155D">
            <w:pPr>
              <w:widowControl/>
              <w:jc w:val="center"/>
              <w:rPr>
                <w:rFonts w:ascii="Segoe UI" w:eastAsia="Times New Roman" w:hAnsi="Segoe UI" w:cs="Segoe UI"/>
                <w:kern w:val="0"/>
                <w:sz w:val="20"/>
                <w:szCs w:val="20"/>
                <w:lang w:val="en-GB" w:eastAsia="en-GB"/>
              </w:rPr>
            </w:pPr>
            <w:r w:rsidRPr="003F155D">
              <w:rPr>
                <w:rFonts w:ascii="Segoe UI" w:eastAsia="Times New Roman" w:hAnsi="Segoe UI" w:cs="Segoe UI"/>
                <w:kern w:val="0"/>
                <w:sz w:val="20"/>
                <w:szCs w:val="20"/>
                <w:lang w:val="en-GB" w:eastAsia="en-GB"/>
              </w:rPr>
              <w:t>RE</w:t>
            </w:r>
          </w:p>
        </w:tc>
        <w:tc>
          <w:tcPr>
            <w:tcW w:w="1418" w:type="dxa"/>
            <w:tcBorders>
              <w:top w:val="single" w:sz="12" w:space="0" w:color="auto"/>
              <w:left w:val="single" w:sz="12" w:space="0" w:color="auto"/>
              <w:bottom w:val="single" w:sz="2" w:space="0" w:color="A6A6A6" w:themeColor="background1" w:themeShade="A6"/>
            </w:tcBorders>
            <w:shd w:val="clear" w:color="auto" w:fill="auto"/>
            <w:vAlign w:val="center"/>
          </w:tcPr>
          <w:p w:rsidR="003F155D" w:rsidRPr="003F155D" w:rsidRDefault="003F155D" w:rsidP="003F155D">
            <w:pPr>
              <w:widowControl/>
              <w:jc w:val="center"/>
              <w:rPr>
                <w:rFonts w:ascii="Segoe UI" w:eastAsia="Times New Roman" w:hAnsi="Segoe UI" w:cs="Segoe UI"/>
                <w:kern w:val="0"/>
                <w:sz w:val="20"/>
                <w:szCs w:val="20"/>
                <w:lang w:val="en-GB" w:eastAsia="en-GB"/>
              </w:rPr>
            </w:pPr>
            <w:r w:rsidRPr="003F155D">
              <w:rPr>
                <w:rFonts w:ascii="Segoe UI" w:eastAsia="Times New Roman" w:hAnsi="Segoe UI" w:cs="Segoe UI"/>
                <w:kern w:val="0"/>
                <w:sz w:val="20"/>
                <w:szCs w:val="20"/>
                <w:lang w:val="en-GB" w:eastAsia="en-GB"/>
              </w:rPr>
              <w:sym w:font="Wingdings 2" w:char="F050"/>
            </w:r>
          </w:p>
        </w:tc>
        <w:tc>
          <w:tcPr>
            <w:tcW w:w="1276" w:type="dxa"/>
            <w:tcBorders>
              <w:top w:val="single" w:sz="12" w:space="0" w:color="auto"/>
              <w:bottom w:val="single" w:sz="2" w:space="0" w:color="A6A6A6" w:themeColor="background1" w:themeShade="A6"/>
              <w:right w:val="single" w:sz="12" w:space="0" w:color="auto"/>
            </w:tcBorders>
            <w:shd w:val="clear" w:color="auto" w:fill="auto"/>
            <w:vAlign w:val="center"/>
          </w:tcPr>
          <w:p w:rsidR="003F155D" w:rsidRPr="003F155D" w:rsidRDefault="003F155D" w:rsidP="003F155D">
            <w:pPr>
              <w:widowControl/>
              <w:jc w:val="center"/>
              <w:rPr>
                <w:rFonts w:ascii="Segoe UI" w:eastAsia="Times New Roman" w:hAnsi="Segoe UI" w:cs="Segoe UI"/>
                <w:kern w:val="0"/>
                <w:sz w:val="20"/>
                <w:szCs w:val="20"/>
                <w:lang w:val="en-GB" w:eastAsia="en-GB"/>
              </w:rPr>
            </w:pPr>
          </w:p>
        </w:tc>
        <w:tc>
          <w:tcPr>
            <w:tcW w:w="1417" w:type="dxa"/>
            <w:tcBorders>
              <w:top w:val="single" w:sz="12" w:space="0" w:color="auto"/>
              <w:left w:val="single" w:sz="12" w:space="0" w:color="auto"/>
              <w:bottom w:val="single" w:sz="2" w:space="0" w:color="A6A6A6" w:themeColor="background1" w:themeShade="A6"/>
            </w:tcBorders>
            <w:shd w:val="clear" w:color="auto" w:fill="auto"/>
            <w:vAlign w:val="center"/>
          </w:tcPr>
          <w:p w:rsidR="003F155D" w:rsidRPr="003F155D" w:rsidRDefault="003F155D" w:rsidP="003F155D">
            <w:pPr>
              <w:widowControl/>
              <w:jc w:val="center"/>
              <w:rPr>
                <w:rFonts w:ascii="Segoe UI" w:eastAsia="Times New Roman" w:hAnsi="Segoe UI" w:cs="Segoe UI"/>
                <w:kern w:val="0"/>
                <w:sz w:val="20"/>
                <w:szCs w:val="20"/>
                <w:lang w:val="en-GB" w:eastAsia="en-GB"/>
              </w:rPr>
            </w:pPr>
            <w:r w:rsidRPr="003F155D">
              <w:rPr>
                <w:rFonts w:ascii="Segoe UI" w:eastAsia="Times New Roman" w:hAnsi="Segoe UI" w:cs="Segoe UI"/>
                <w:kern w:val="0"/>
                <w:sz w:val="20"/>
                <w:szCs w:val="20"/>
                <w:lang w:val="en-GB" w:eastAsia="en-GB"/>
              </w:rPr>
              <w:sym w:font="Wingdings 2" w:char="F050"/>
            </w:r>
          </w:p>
        </w:tc>
        <w:tc>
          <w:tcPr>
            <w:tcW w:w="1559" w:type="dxa"/>
            <w:tcBorders>
              <w:top w:val="single" w:sz="12" w:space="0" w:color="auto"/>
              <w:bottom w:val="single" w:sz="2" w:space="0" w:color="A6A6A6" w:themeColor="background1" w:themeShade="A6"/>
              <w:right w:val="single" w:sz="12" w:space="0" w:color="auto"/>
            </w:tcBorders>
            <w:shd w:val="clear" w:color="auto" w:fill="auto"/>
            <w:vAlign w:val="center"/>
          </w:tcPr>
          <w:p w:rsidR="003F155D" w:rsidRPr="003F155D" w:rsidRDefault="003F155D" w:rsidP="003F155D">
            <w:pPr>
              <w:widowControl/>
              <w:rPr>
                <w:rFonts w:ascii="Segoe UI" w:eastAsia="Times New Roman" w:hAnsi="Segoe UI" w:cs="Segoe UI"/>
                <w:kern w:val="0"/>
                <w:sz w:val="20"/>
                <w:szCs w:val="20"/>
                <w:lang w:val="en-GB" w:eastAsia="en-GB"/>
              </w:rPr>
            </w:pPr>
          </w:p>
        </w:tc>
      </w:tr>
      <w:tr w:rsidR="003F155D" w:rsidRPr="003F155D" w:rsidTr="0054071E">
        <w:trPr>
          <w:cantSplit/>
          <w:trHeight w:val="283"/>
        </w:trPr>
        <w:tc>
          <w:tcPr>
            <w:tcW w:w="2127" w:type="dxa"/>
            <w:vMerge/>
            <w:tcBorders>
              <w:left w:val="nil"/>
              <w:bottom w:val="single" w:sz="12" w:space="0" w:color="auto"/>
              <w:right w:val="single" w:sz="12" w:space="0" w:color="auto"/>
            </w:tcBorders>
          </w:tcPr>
          <w:p w:rsidR="003F155D" w:rsidRPr="003F155D" w:rsidRDefault="003F155D" w:rsidP="003F155D">
            <w:pPr>
              <w:widowControl/>
              <w:rPr>
                <w:rFonts w:ascii="Segoe UI" w:eastAsia="Times New Roman" w:hAnsi="Segoe UI" w:cs="Segoe UI"/>
                <w:kern w:val="0"/>
                <w:sz w:val="20"/>
                <w:szCs w:val="20"/>
                <w:lang w:val="en-GB" w:eastAsia="en-GB"/>
              </w:rPr>
            </w:pPr>
          </w:p>
        </w:tc>
        <w:tc>
          <w:tcPr>
            <w:tcW w:w="4961" w:type="dxa"/>
            <w:tcBorders>
              <w:top w:val="single" w:sz="2" w:space="0" w:color="A6A6A6" w:themeColor="background1" w:themeShade="A6"/>
              <w:left w:val="single" w:sz="12" w:space="0" w:color="auto"/>
              <w:bottom w:val="single" w:sz="4" w:space="0" w:color="BFBFBF" w:themeColor="background1" w:themeShade="BF"/>
              <w:right w:val="single" w:sz="12" w:space="0" w:color="auto"/>
            </w:tcBorders>
            <w:shd w:val="clear" w:color="auto" w:fill="auto"/>
          </w:tcPr>
          <w:p w:rsidR="003F155D" w:rsidRPr="003F155D" w:rsidRDefault="003F155D" w:rsidP="003F155D">
            <w:pPr>
              <w:widowControl/>
              <w:rPr>
                <w:rFonts w:ascii="Segoe UI" w:eastAsia="Times New Roman" w:hAnsi="Segoe UI" w:cs="Segoe UI"/>
                <w:kern w:val="0"/>
                <w:sz w:val="20"/>
                <w:szCs w:val="20"/>
                <w:lang w:val="en-GB" w:eastAsia="en-GB"/>
              </w:rPr>
            </w:pPr>
            <w:r w:rsidRPr="003F155D">
              <w:rPr>
                <w:rFonts w:ascii="Segoe UI" w:eastAsia="Times New Roman" w:hAnsi="Segoe UI" w:cs="Segoe UI"/>
                <w:kern w:val="0"/>
                <w:sz w:val="20"/>
                <w:szCs w:val="20"/>
                <w:lang w:val="en-GB" w:eastAsia="en-GB"/>
              </w:rPr>
              <w:t>Template KM2(A): Key metrics – LAC requirements for material subsidiaries (at LAC consolidation group level)</w:t>
            </w:r>
          </w:p>
        </w:tc>
        <w:tc>
          <w:tcPr>
            <w:tcW w:w="1417" w:type="dxa"/>
            <w:tcBorders>
              <w:top w:val="single" w:sz="2" w:space="0" w:color="A6A6A6" w:themeColor="background1" w:themeShade="A6"/>
              <w:left w:val="single" w:sz="12" w:space="0" w:color="auto"/>
              <w:bottom w:val="single" w:sz="4" w:space="0" w:color="BFBFBF" w:themeColor="background1" w:themeShade="BF"/>
              <w:right w:val="single" w:sz="12" w:space="0" w:color="auto"/>
            </w:tcBorders>
          </w:tcPr>
          <w:p w:rsidR="003F155D" w:rsidRPr="003F155D" w:rsidRDefault="003F155D" w:rsidP="003F155D">
            <w:pPr>
              <w:widowControl/>
              <w:jc w:val="center"/>
              <w:rPr>
                <w:rFonts w:ascii="Segoe UI" w:eastAsia="Times New Roman" w:hAnsi="Segoe UI" w:cs="Segoe UI"/>
                <w:noProof/>
                <w:kern w:val="0"/>
                <w:sz w:val="20"/>
                <w:szCs w:val="20"/>
                <w:lang w:val="en-GB" w:eastAsia="en-GB"/>
              </w:rPr>
            </w:pPr>
            <w:r w:rsidRPr="003F155D">
              <w:rPr>
                <w:rFonts w:ascii="Segoe UI" w:eastAsia="Times New Roman" w:hAnsi="Segoe UI" w:cs="Segoe UI"/>
                <w:noProof/>
                <w:kern w:val="0"/>
                <w:sz w:val="20"/>
                <w:szCs w:val="20"/>
                <w:lang w:val="en-GB" w:eastAsia="en-GB"/>
              </w:rPr>
              <w:t>MS</w:t>
            </w:r>
          </w:p>
        </w:tc>
        <w:tc>
          <w:tcPr>
            <w:tcW w:w="1418" w:type="dxa"/>
            <w:tcBorders>
              <w:top w:val="single" w:sz="2" w:space="0" w:color="A6A6A6" w:themeColor="background1" w:themeShade="A6"/>
              <w:left w:val="single" w:sz="12" w:space="0" w:color="auto"/>
              <w:bottom w:val="single" w:sz="4" w:space="0" w:color="BFBFBF" w:themeColor="background1" w:themeShade="BF"/>
            </w:tcBorders>
          </w:tcPr>
          <w:p w:rsidR="003F155D" w:rsidRPr="003F155D" w:rsidRDefault="003F155D" w:rsidP="003F155D">
            <w:pPr>
              <w:widowControl/>
              <w:jc w:val="center"/>
              <w:rPr>
                <w:rFonts w:ascii="Segoe UI" w:eastAsia="Times New Roman" w:hAnsi="Segoe UI" w:cs="Segoe UI"/>
                <w:kern w:val="0"/>
                <w:sz w:val="20"/>
                <w:szCs w:val="20"/>
                <w:lang w:val="en-GB" w:eastAsia="en-GB"/>
              </w:rPr>
            </w:pPr>
            <w:r w:rsidRPr="003F155D">
              <w:rPr>
                <w:rFonts w:ascii="Segoe UI" w:eastAsia="Times New Roman" w:hAnsi="Segoe UI" w:cs="Segoe UI"/>
                <w:kern w:val="0"/>
                <w:sz w:val="20"/>
                <w:szCs w:val="20"/>
                <w:lang w:val="en-GB" w:eastAsia="en-GB"/>
              </w:rPr>
              <w:sym w:font="Wingdings 2" w:char="F050"/>
            </w:r>
          </w:p>
        </w:tc>
        <w:tc>
          <w:tcPr>
            <w:tcW w:w="1276" w:type="dxa"/>
            <w:tcBorders>
              <w:top w:val="single" w:sz="2" w:space="0" w:color="A6A6A6" w:themeColor="background1" w:themeShade="A6"/>
              <w:bottom w:val="single" w:sz="4" w:space="0" w:color="BFBFBF" w:themeColor="background1" w:themeShade="BF"/>
              <w:right w:val="single" w:sz="12" w:space="0" w:color="auto"/>
            </w:tcBorders>
          </w:tcPr>
          <w:p w:rsidR="003F155D" w:rsidRPr="003F155D" w:rsidRDefault="003F155D" w:rsidP="003F155D">
            <w:pPr>
              <w:widowControl/>
              <w:jc w:val="center"/>
              <w:rPr>
                <w:rFonts w:ascii="Segoe UI" w:eastAsia="Times New Roman" w:hAnsi="Segoe UI" w:cs="Segoe UI"/>
                <w:kern w:val="0"/>
                <w:sz w:val="20"/>
                <w:szCs w:val="20"/>
                <w:lang w:val="en-GB" w:eastAsia="en-GB"/>
              </w:rPr>
            </w:pPr>
          </w:p>
        </w:tc>
        <w:tc>
          <w:tcPr>
            <w:tcW w:w="1417" w:type="dxa"/>
            <w:tcBorders>
              <w:top w:val="single" w:sz="2" w:space="0" w:color="A6A6A6" w:themeColor="background1" w:themeShade="A6"/>
              <w:left w:val="single" w:sz="12" w:space="0" w:color="auto"/>
              <w:bottom w:val="single" w:sz="4" w:space="0" w:color="BFBFBF" w:themeColor="background1" w:themeShade="BF"/>
            </w:tcBorders>
          </w:tcPr>
          <w:p w:rsidR="003F155D" w:rsidRPr="003F155D" w:rsidRDefault="003F155D" w:rsidP="003F155D">
            <w:pPr>
              <w:widowControl/>
              <w:jc w:val="center"/>
              <w:rPr>
                <w:rFonts w:ascii="Segoe UI" w:eastAsia="Times New Roman" w:hAnsi="Segoe UI" w:cs="Segoe UI"/>
                <w:kern w:val="0"/>
                <w:sz w:val="20"/>
                <w:szCs w:val="20"/>
                <w:lang w:val="en-GB" w:eastAsia="en-GB"/>
              </w:rPr>
            </w:pPr>
            <w:r w:rsidRPr="003F155D">
              <w:rPr>
                <w:rFonts w:ascii="Segoe UI" w:eastAsia="Times New Roman" w:hAnsi="Segoe UI" w:cs="Segoe UI"/>
                <w:kern w:val="0"/>
                <w:sz w:val="20"/>
                <w:szCs w:val="20"/>
                <w:lang w:val="en-GB" w:eastAsia="en-GB"/>
              </w:rPr>
              <w:sym w:font="Wingdings 2" w:char="F050"/>
            </w:r>
          </w:p>
        </w:tc>
        <w:tc>
          <w:tcPr>
            <w:tcW w:w="1559" w:type="dxa"/>
            <w:tcBorders>
              <w:top w:val="single" w:sz="2" w:space="0" w:color="A6A6A6" w:themeColor="background1" w:themeShade="A6"/>
              <w:bottom w:val="single" w:sz="4" w:space="0" w:color="BFBFBF" w:themeColor="background1" w:themeShade="BF"/>
              <w:right w:val="single" w:sz="12" w:space="0" w:color="auto"/>
            </w:tcBorders>
          </w:tcPr>
          <w:p w:rsidR="003F155D" w:rsidRPr="003F155D" w:rsidRDefault="003F155D" w:rsidP="003F155D">
            <w:pPr>
              <w:widowControl/>
              <w:jc w:val="center"/>
              <w:rPr>
                <w:rFonts w:ascii="Segoe UI" w:eastAsia="Times New Roman" w:hAnsi="Segoe UI" w:cs="Segoe UI"/>
                <w:kern w:val="0"/>
                <w:sz w:val="20"/>
                <w:szCs w:val="20"/>
                <w:lang w:val="en-GB" w:eastAsia="en-GB"/>
              </w:rPr>
            </w:pPr>
          </w:p>
        </w:tc>
      </w:tr>
      <w:tr w:rsidR="003F155D" w:rsidRPr="003F155D" w:rsidTr="0054071E">
        <w:trPr>
          <w:cantSplit/>
          <w:trHeight w:val="283"/>
        </w:trPr>
        <w:tc>
          <w:tcPr>
            <w:tcW w:w="2127" w:type="dxa"/>
            <w:vMerge/>
            <w:tcBorders>
              <w:left w:val="nil"/>
              <w:bottom w:val="single" w:sz="12" w:space="0" w:color="auto"/>
              <w:right w:val="single" w:sz="12" w:space="0" w:color="auto"/>
            </w:tcBorders>
          </w:tcPr>
          <w:p w:rsidR="003F155D" w:rsidRPr="003F155D" w:rsidRDefault="003F155D" w:rsidP="003F155D">
            <w:pPr>
              <w:widowControl/>
              <w:rPr>
                <w:rFonts w:ascii="Segoe UI" w:eastAsia="Times New Roman" w:hAnsi="Segoe UI" w:cs="Segoe UI"/>
                <w:kern w:val="0"/>
                <w:sz w:val="20"/>
                <w:szCs w:val="20"/>
                <w:lang w:val="en-GB" w:eastAsia="en-GB"/>
              </w:rPr>
            </w:pPr>
          </w:p>
        </w:tc>
        <w:tc>
          <w:tcPr>
            <w:tcW w:w="4961" w:type="dxa"/>
            <w:tcBorders>
              <w:top w:val="single" w:sz="4" w:space="0" w:color="BFBFBF" w:themeColor="background1" w:themeShade="BF"/>
              <w:left w:val="single" w:sz="12" w:space="0" w:color="auto"/>
              <w:bottom w:val="single" w:sz="12" w:space="0" w:color="auto"/>
              <w:right w:val="single" w:sz="12" w:space="0" w:color="auto"/>
            </w:tcBorders>
            <w:shd w:val="clear" w:color="auto" w:fill="auto"/>
          </w:tcPr>
          <w:p w:rsidR="003F155D" w:rsidRPr="003F155D" w:rsidRDefault="003F155D" w:rsidP="003F155D">
            <w:pPr>
              <w:widowControl/>
              <w:rPr>
                <w:rFonts w:ascii="Segoe UI" w:eastAsia="Times New Roman" w:hAnsi="Segoe UI" w:cs="Segoe UI"/>
                <w:kern w:val="0"/>
                <w:sz w:val="20"/>
                <w:szCs w:val="20"/>
                <w:lang w:eastAsia="en-GB"/>
              </w:rPr>
            </w:pPr>
            <w:r w:rsidRPr="003F155D">
              <w:rPr>
                <w:rFonts w:ascii="Segoe UI" w:eastAsia="Times New Roman" w:hAnsi="Segoe UI" w:cs="Segoe UI"/>
                <w:kern w:val="0"/>
                <w:sz w:val="20"/>
                <w:szCs w:val="20"/>
                <w:lang w:val="en-GB" w:eastAsia="en-GB"/>
              </w:rPr>
              <w:t>Template KM2(B): Key metrics – TLAC requirements for non-HK resolution entity (at resolution group level)</w:t>
            </w:r>
          </w:p>
        </w:tc>
        <w:tc>
          <w:tcPr>
            <w:tcW w:w="1417" w:type="dxa"/>
            <w:tcBorders>
              <w:top w:val="single" w:sz="4" w:space="0" w:color="BFBFBF" w:themeColor="background1" w:themeShade="BF"/>
              <w:left w:val="single" w:sz="12" w:space="0" w:color="auto"/>
              <w:bottom w:val="single" w:sz="12" w:space="0" w:color="auto"/>
              <w:right w:val="single" w:sz="12" w:space="0" w:color="auto"/>
            </w:tcBorders>
          </w:tcPr>
          <w:p w:rsidR="003F155D" w:rsidRPr="003F155D" w:rsidRDefault="003F155D" w:rsidP="003F155D">
            <w:pPr>
              <w:widowControl/>
              <w:jc w:val="center"/>
              <w:rPr>
                <w:rFonts w:ascii="Segoe UI" w:eastAsia="Times New Roman" w:hAnsi="Segoe UI" w:cs="Segoe UI"/>
                <w:noProof/>
                <w:kern w:val="0"/>
                <w:sz w:val="20"/>
                <w:szCs w:val="20"/>
                <w:lang w:val="en-GB" w:eastAsia="en-GB"/>
              </w:rPr>
            </w:pPr>
            <w:r w:rsidRPr="003F155D">
              <w:rPr>
                <w:rFonts w:ascii="Segoe UI" w:eastAsia="Times New Roman" w:hAnsi="Segoe UI" w:cs="Segoe UI"/>
                <w:noProof/>
                <w:kern w:val="0"/>
                <w:sz w:val="20"/>
                <w:szCs w:val="20"/>
                <w:lang w:val="en-GB" w:eastAsia="en-GB"/>
              </w:rPr>
              <w:t>MS</w:t>
            </w:r>
          </w:p>
        </w:tc>
        <w:tc>
          <w:tcPr>
            <w:tcW w:w="1418" w:type="dxa"/>
            <w:tcBorders>
              <w:top w:val="single" w:sz="4" w:space="0" w:color="BFBFBF" w:themeColor="background1" w:themeShade="BF"/>
              <w:left w:val="single" w:sz="12" w:space="0" w:color="auto"/>
              <w:bottom w:val="single" w:sz="12" w:space="0" w:color="auto"/>
            </w:tcBorders>
          </w:tcPr>
          <w:p w:rsidR="003F155D" w:rsidRPr="003F155D" w:rsidRDefault="003F155D" w:rsidP="003F155D">
            <w:pPr>
              <w:widowControl/>
              <w:jc w:val="center"/>
              <w:rPr>
                <w:rFonts w:ascii="Segoe UI" w:eastAsia="Times New Roman" w:hAnsi="Segoe UI" w:cs="Segoe UI"/>
                <w:noProof/>
                <w:kern w:val="0"/>
                <w:sz w:val="20"/>
                <w:szCs w:val="20"/>
                <w:lang w:val="en-GB" w:eastAsia="en-GB"/>
              </w:rPr>
            </w:pPr>
            <w:r w:rsidRPr="003F155D">
              <w:rPr>
                <w:rFonts w:ascii="Segoe UI" w:eastAsia="Times New Roman" w:hAnsi="Segoe UI" w:cs="Segoe UI"/>
                <w:kern w:val="0"/>
                <w:sz w:val="20"/>
                <w:szCs w:val="20"/>
                <w:lang w:val="en-GB" w:eastAsia="en-GB"/>
              </w:rPr>
              <w:sym w:font="Wingdings 2" w:char="F050"/>
            </w:r>
          </w:p>
        </w:tc>
        <w:tc>
          <w:tcPr>
            <w:tcW w:w="1276" w:type="dxa"/>
            <w:tcBorders>
              <w:top w:val="single" w:sz="4" w:space="0" w:color="BFBFBF" w:themeColor="background1" w:themeShade="BF"/>
              <w:bottom w:val="single" w:sz="12" w:space="0" w:color="auto"/>
              <w:right w:val="single" w:sz="12" w:space="0" w:color="auto"/>
            </w:tcBorders>
          </w:tcPr>
          <w:p w:rsidR="003F155D" w:rsidRPr="003F155D" w:rsidRDefault="003F155D" w:rsidP="003F155D">
            <w:pPr>
              <w:widowControl/>
              <w:jc w:val="center"/>
              <w:rPr>
                <w:rFonts w:ascii="Segoe UI" w:eastAsia="Times New Roman" w:hAnsi="Segoe UI" w:cs="Segoe UI"/>
                <w:kern w:val="0"/>
                <w:sz w:val="20"/>
                <w:szCs w:val="20"/>
                <w:lang w:val="en-GB" w:eastAsia="en-GB"/>
              </w:rPr>
            </w:pPr>
          </w:p>
        </w:tc>
        <w:tc>
          <w:tcPr>
            <w:tcW w:w="1417" w:type="dxa"/>
            <w:tcBorders>
              <w:top w:val="single" w:sz="4" w:space="0" w:color="BFBFBF" w:themeColor="background1" w:themeShade="BF"/>
              <w:left w:val="single" w:sz="12" w:space="0" w:color="auto"/>
              <w:bottom w:val="single" w:sz="12" w:space="0" w:color="auto"/>
            </w:tcBorders>
          </w:tcPr>
          <w:p w:rsidR="003F155D" w:rsidRPr="003F155D" w:rsidRDefault="003F155D" w:rsidP="003F155D">
            <w:pPr>
              <w:widowControl/>
              <w:jc w:val="center"/>
              <w:rPr>
                <w:rFonts w:ascii="Segoe UI" w:eastAsia="Times New Roman" w:hAnsi="Segoe UI" w:cs="Segoe UI"/>
                <w:noProof/>
                <w:kern w:val="0"/>
                <w:sz w:val="20"/>
                <w:szCs w:val="20"/>
                <w:lang w:val="en-GB" w:eastAsia="en-GB"/>
              </w:rPr>
            </w:pPr>
            <w:r w:rsidRPr="003F155D">
              <w:rPr>
                <w:rFonts w:ascii="Segoe UI" w:eastAsia="Times New Roman" w:hAnsi="Segoe UI" w:cs="Segoe UI"/>
                <w:kern w:val="0"/>
                <w:sz w:val="20"/>
                <w:szCs w:val="20"/>
                <w:lang w:val="en-GB" w:eastAsia="en-GB"/>
              </w:rPr>
              <w:sym w:font="Wingdings 2" w:char="F050"/>
            </w:r>
          </w:p>
        </w:tc>
        <w:tc>
          <w:tcPr>
            <w:tcW w:w="1559" w:type="dxa"/>
            <w:tcBorders>
              <w:top w:val="single" w:sz="4" w:space="0" w:color="BFBFBF" w:themeColor="background1" w:themeShade="BF"/>
              <w:bottom w:val="single" w:sz="12" w:space="0" w:color="auto"/>
              <w:right w:val="single" w:sz="12" w:space="0" w:color="auto"/>
            </w:tcBorders>
          </w:tcPr>
          <w:p w:rsidR="003F155D" w:rsidRPr="003F155D" w:rsidRDefault="003F155D" w:rsidP="003F155D">
            <w:pPr>
              <w:widowControl/>
              <w:jc w:val="center"/>
              <w:rPr>
                <w:rFonts w:ascii="Segoe UI" w:eastAsia="Times New Roman" w:hAnsi="Segoe UI" w:cs="Segoe UI"/>
                <w:kern w:val="0"/>
                <w:sz w:val="20"/>
                <w:szCs w:val="20"/>
                <w:lang w:val="en-GB" w:eastAsia="en-GB"/>
              </w:rPr>
            </w:pPr>
          </w:p>
        </w:tc>
      </w:tr>
      <w:tr w:rsidR="003F155D" w:rsidRPr="003F155D" w:rsidTr="0054071E">
        <w:trPr>
          <w:cantSplit/>
          <w:trHeight w:val="1820"/>
        </w:trPr>
        <w:tc>
          <w:tcPr>
            <w:tcW w:w="2127" w:type="dxa"/>
            <w:tcBorders>
              <w:top w:val="single" w:sz="12" w:space="0" w:color="auto"/>
              <w:left w:val="nil"/>
              <w:bottom w:val="single" w:sz="12" w:space="0" w:color="auto"/>
              <w:right w:val="single" w:sz="12" w:space="0" w:color="auto"/>
            </w:tcBorders>
          </w:tcPr>
          <w:p w:rsidR="003F155D" w:rsidRPr="003F155D" w:rsidRDefault="003F155D" w:rsidP="003F155D">
            <w:pPr>
              <w:widowControl/>
              <w:rPr>
                <w:rFonts w:ascii="Segoe UI" w:eastAsia="Times New Roman" w:hAnsi="Segoe UI" w:cs="Segoe UI"/>
                <w:kern w:val="0"/>
                <w:sz w:val="20"/>
                <w:szCs w:val="20"/>
                <w:lang w:val="en-GB" w:eastAsia="en-GB"/>
              </w:rPr>
            </w:pPr>
            <w:r w:rsidRPr="003F155D">
              <w:rPr>
                <w:rFonts w:ascii="Segoe UI" w:eastAsia="Times New Roman" w:hAnsi="Segoe UI" w:cs="Segoe UI"/>
                <w:kern w:val="0"/>
                <w:sz w:val="20"/>
                <w:szCs w:val="20"/>
                <w:lang w:val="en-GB" w:eastAsia="en-GB"/>
              </w:rPr>
              <w:t>Main features of regulatory capital instruments and non-capital LAC debt instruments</w:t>
            </w:r>
          </w:p>
        </w:tc>
        <w:tc>
          <w:tcPr>
            <w:tcW w:w="4961" w:type="dxa"/>
            <w:tcBorders>
              <w:top w:val="single" w:sz="12" w:space="0" w:color="auto"/>
              <w:left w:val="single" w:sz="12" w:space="0" w:color="auto"/>
              <w:right w:val="single" w:sz="12" w:space="0" w:color="auto"/>
            </w:tcBorders>
            <w:shd w:val="clear" w:color="auto" w:fill="auto"/>
          </w:tcPr>
          <w:p w:rsidR="003F155D" w:rsidRPr="003F155D" w:rsidRDefault="003F155D" w:rsidP="003F155D">
            <w:pPr>
              <w:widowControl/>
              <w:rPr>
                <w:rFonts w:ascii="Segoe UI" w:eastAsia="Times New Roman" w:hAnsi="Segoe UI" w:cs="Segoe UI"/>
                <w:kern w:val="0"/>
                <w:sz w:val="20"/>
                <w:szCs w:val="20"/>
                <w:lang w:eastAsia="en-GB"/>
              </w:rPr>
            </w:pPr>
            <w:r w:rsidRPr="003F155D">
              <w:rPr>
                <w:rFonts w:ascii="Segoe UI" w:eastAsia="Times New Roman" w:hAnsi="Segoe UI" w:cs="Segoe UI"/>
                <w:kern w:val="0"/>
                <w:sz w:val="20"/>
                <w:szCs w:val="20"/>
                <w:lang w:val="en-GB" w:eastAsia="en-GB"/>
              </w:rPr>
              <w:t>Template CCA(A): Main features of regulatory capital instruments and non-capital LAC debt instruments</w:t>
            </w:r>
          </w:p>
        </w:tc>
        <w:tc>
          <w:tcPr>
            <w:tcW w:w="1417" w:type="dxa"/>
            <w:tcBorders>
              <w:top w:val="single" w:sz="12" w:space="0" w:color="auto"/>
              <w:left w:val="single" w:sz="12" w:space="0" w:color="auto"/>
              <w:right w:val="single" w:sz="12" w:space="0" w:color="auto"/>
            </w:tcBorders>
          </w:tcPr>
          <w:p w:rsidR="003F155D" w:rsidRPr="003F155D" w:rsidRDefault="003F155D" w:rsidP="003F155D">
            <w:pPr>
              <w:widowControl/>
              <w:jc w:val="center"/>
              <w:rPr>
                <w:rFonts w:ascii="Segoe UI" w:eastAsia="Times New Roman" w:hAnsi="Segoe UI" w:cs="Segoe UI"/>
                <w:kern w:val="0"/>
                <w:sz w:val="20"/>
                <w:szCs w:val="20"/>
                <w:lang w:val="en-GB" w:eastAsia="en-GB"/>
              </w:rPr>
            </w:pPr>
            <w:r w:rsidRPr="003F155D">
              <w:rPr>
                <w:rFonts w:ascii="Segoe UI" w:eastAsia="Times New Roman" w:hAnsi="Segoe UI" w:cs="Segoe UI"/>
                <w:kern w:val="0"/>
                <w:sz w:val="20"/>
                <w:szCs w:val="20"/>
                <w:lang w:val="en-GB" w:eastAsia="en-GB"/>
              </w:rPr>
              <w:t>RE &amp; MS</w:t>
            </w:r>
          </w:p>
        </w:tc>
        <w:tc>
          <w:tcPr>
            <w:tcW w:w="1418" w:type="dxa"/>
            <w:tcBorders>
              <w:top w:val="single" w:sz="12" w:space="0" w:color="auto"/>
              <w:left w:val="single" w:sz="12" w:space="0" w:color="auto"/>
            </w:tcBorders>
          </w:tcPr>
          <w:p w:rsidR="003F155D" w:rsidRPr="003F155D" w:rsidRDefault="003F155D" w:rsidP="003F155D">
            <w:pPr>
              <w:widowControl/>
              <w:jc w:val="center"/>
              <w:rPr>
                <w:rFonts w:ascii="Segoe UI" w:eastAsia="Times New Roman" w:hAnsi="Segoe UI" w:cs="Segoe UI"/>
                <w:noProof/>
                <w:kern w:val="0"/>
                <w:sz w:val="20"/>
                <w:szCs w:val="20"/>
                <w:lang w:val="en-GB" w:eastAsia="en-GB"/>
              </w:rPr>
            </w:pPr>
          </w:p>
        </w:tc>
        <w:tc>
          <w:tcPr>
            <w:tcW w:w="1276" w:type="dxa"/>
            <w:tcBorders>
              <w:top w:val="single" w:sz="12" w:space="0" w:color="auto"/>
              <w:right w:val="single" w:sz="12" w:space="0" w:color="auto"/>
            </w:tcBorders>
          </w:tcPr>
          <w:p w:rsidR="003F155D" w:rsidRPr="003F155D" w:rsidRDefault="003F155D" w:rsidP="003F155D">
            <w:pPr>
              <w:widowControl/>
              <w:jc w:val="center"/>
              <w:rPr>
                <w:rFonts w:ascii="Segoe UI" w:eastAsia="Times New Roman" w:hAnsi="Segoe UI" w:cs="Segoe UI"/>
                <w:noProof/>
                <w:kern w:val="0"/>
                <w:sz w:val="20"/>
                <w:szCs w:val="20"/>
                <w:lang w:val="en-GB" w:eastAsia="en-GB"/>
              </w:rPr>
            </w:pPr>
            <w:r w:rsidRPr="003F155D">
              <w:rPr>
                <w:rFonts w:ascii="Segoe UI" w:eastAsia="Times New Roman" w:hAnsi="Segoe UI" w:cs="Segoe UI"/>
                <w:kern w:val="0"/>
                <w:sz w:val="20"/>
                <w:szCs w:val="20"/>
                <w:lang w:val="en-GB" w:eastAsia="en-GB"/>
              </w:rPr>
              <w:sym w:font="Wingdings 2" w:char="F050"/>
            </w:r>
          </w:p>
        </w:tc>
        <w:tc>
          <w:tcPr>
            <w:tcW w:w="1417" w:type="dxa"/>
            <w:tcBorders>
              <w:top w:val="single" w:sz="12" w:space="0" w:color="auto"/>
              <w:left w:val="single" w:sz="12" w:space="0" w:color="auto"/>
            </w:tcBorders>
          </w:tcPr>
          <w:p w:rsidR="003F155D" w:rsidRPr="003F155D" w:rsidRDefault="003F155D" w:rsidP="003F155D">
            <w:pPr>
              <w:widowControl/>
              <w:jc w:val="center"/>
              <w:rPr>
                <w:rFonts w:ascii="Segoe UI" w:eastAsia="Times New Roman" w:hAnsi="Segoe UI" w:cs="Segoe UI"/>
                <w:kern w:val="0"/>
                <w:sz w:val="20"/>
                <w:szCs w:val="20"/>
                <w:lang w:val="en-GB" w:eastAsia="en-GB"/>
              </w:rPr>
            </w:pPr>
          </w:p>
        </w:tc>
        <w:tc>
          <w:tcPr>
            <w:tcW w:w="1559" w:type="dxa"/>
            <w:tcBorders>
              <w:top w:val="single" w:sz="12" w:space="0" w:color="auto"/>
              <w:right w:val="single" w:sz="12" w:space="0" w:color="auto"/>
            </w:tcBorders>
          </w:tcPr>
          <w:p w:rsidR="003F155D" w:rsidRPr="003F155D" w:rsidRDefault="003F155D" w:rsidP="003F155D">
            <w:pPr>
              <w:widowControl/>
              <w:jc w:val="center"/>
              <w:rPr>
                <w:rFonts w:ascii="Segoe UI" w:eastAsia="Times New Roman" w:hAnsi="Segoe UI" w:cs="Segoe UI"/>
                <w:kern w:val="0"/>
                <w:sz w:val="20"/>
                <w:szCs w:val="20"/>
                <w:lang w:val="en-GB" w:eastAsia="en-GB"/>
              </w:rPr>
            </w:pPr>
            <w:r w:rsidRPr="003F155D">
              <w:rPr>
                <w:rFonts w:ascii="Segoe UI" w:eastAsia="Times New Roman" w:hAnsi="Segoe UI" w:cs="Segoe UI"/>
                <w:kern w:val="0"/>
                <w:sz w:val="20"/>
                <w:szCs w:val="20"/>
                <w:lang w:val="en-GB" w:eastAsia="en-GB"/>
              </w:rPr>
              <w:sym w:font="Wingdings 2" w:char="F050"/>
            </w:r>
          </w:p>
        </w:tc>
      </w:tr>
      <w:tr w:rsidR="003F155D" w:rsidRPr="003F155D" w:rsidTr="0054071E">
        <w:trPr>
          <w:cantSplit/>
          <w:trHeight w:val="200"/>
        </w:trPr>
        <w:tc>
          <w:tcPr>
            <w:tcW w:w="2127" w:type="dxa"/>
            <w:vMerge w:val="restart"/>
            <w:tcBorders>
              <w:top w:val="single" w:sz="12" w:space="0" w:color="auto"/>
              <w:left w:val="nil"/>
              <w:bottom w:val="single" w:sz="12" w:space="0" w:color="auto"/>
              <w:right w:val="single" w:sz="12" w:space="0" w:color="auto"/>
            </w:tcBorders>
          </w:tcPr>
          <w:p w:rsidR="003F155D" w:rsidRPr="003F155D" w:rsidRDefault="003F155D" w:rsidP="003F155D">
            <w:pPr>
              <w:widowControl/>
              <w:rPr>
                <w:rFonts w:ascii="Segoe UI" w:eastAsia="Times New Roman" w:hAnsi="Segoe UI" w:cs="Segoe UI"/>
                <w:kern w:val="0"/>
                <w:sz w:val="20"/>
                <w:szCs w:val="20"/>
                <w:lang w:val="en-GB" w:eastAsia="en-GB"/>
              </w:rPr>
            </w:pPr>
            <w:r w:rsidRPr="003F155D">
              <w:rPr>
                <w:rFonts w:ascii="Segoe UI" w:eastAsia="Times New Roman" w:hAnsi="Segoe UI" w:cs="Segoe UI"/>
                <w:kern w:val="0"/>
                <w:sz w:val="20"/>
                <w:szCs w:val="20"/>
                <w:lang w:val="en-GB" w:eastAsia="en-GB"/>
              </w:rPr>
              <w:t>Composition of loss-absorbing capacity</w:t>
            </w:r>
          </w:p>
        </w:tc>
        <w:tc>
          <w:tcPr>
            <w:tcW w:w="4961" w:type="dxa"/>
            <w:tcBorders>
              <w:top w:val="single" w:sz="12" w:space="0" w:color="auto"/>
              <w:left w:val="single" w:sz="12" w:space="0" w:color="auto"/>
              <w:bottom w:val="single" w:sz="2" w:space="0" w:color="A6A6A6" w:themeColor="background1" w:themeShade="A6"/>
              <w:right w:val="single" w:sz="12" w:space="0" w:color="auto"/>
            </w:tcBorders>
            <w:shd w:val="clear" w:color="auto" w:fill="auto"/>
          </w:tcPr>
          <w:p w:rsidR="003F155D" w:rsidRPr="003F155D" w:rsidRDefault="003F155D" w:rsidP="003F155D">
            <w:pPr>
              <w:widowControl/>
              <w:rPr>
                <w:rFonts w:ascii="Segoe UI" w:eastAsia="Times New Roman" w:hAnsi="Segoe UI" w:cs="Segoe UI"/>
                <w:kern w:val="0"/>
                <w:sz w:val="20"/>
                <w:szCs w:val="20"/>
                <w:lang w:eastAsia="en-GB"/>
              </w:rPr>
            </w:pPr>
            <w:r w:rsidRPr="003F155D">
              <w:rPr>
                <w:rFonts w:ascii="Segoe UI" w:eastAsia="Times New Roman" w:hAnsi="Segoe UI" w:cs="Segoe UI"/>
                <w:kern w:val="0"/>
                <w:sz w:val="20"/>
                <w:szCs w:val="20"/>
                <w:lang w:eastAsia="en-GB"/>
              </w:rPr>
              <w:t xml:space="preserve">Template TLAC1: LAC composition of resolution entity (at LAC consolidation group level) </w:t>
            </w:r>
          </w:p>
        </w:tc>
        <w:tc>
          <w:tcPr>
            <w:tcW w:w="1417" w:type="dxa"/>
            <w:tcBorders>
              <w:top w:val="single" w:sz="12" w:space="0" w:color="auto"/>
              <w:left w:val="single" w:sz="12" w:space="0" w:color="auto"/>
              <w:bottom w:val="single" w:sz="2" w:space="0" w:color="A6A6A6" w:themeColor="background1" w:themeShade="A6"/>
              <w:right w:val="single" w:sz="12" w:space="0" w:color="auto"/>
            </w:tcBorders>
          </w:tcPr>
          <w:p w:rsidR="003F155D" w:rsidRPr="003F155D" w:rsidRDefault="003F155D" w:rsidP="003F155D">
            <w:pPr>
              <w:widowControl/>
              <w:jc w:val="center"/>
              <w:rPr>
                <w:rFonts w:ascii="Segoe UI" w:eastAsia="Times New Roman" w:hAnsi="Segoe UI" w:cs="Segoe UI"/>
                <w:kern w:val="0"/>
                <w:sz w:val="20"/>
                <w:szCs w:val="20"/>
                <w:lang w:val="en-GB" w:eastAsia="en-GB"/>
              </w:rPr>
            </w:pPr>
            <w:r w:rsidRPr="003F155D">
              <w:rPr>
                <w:rFonts w:ascii="Segoe UI" w:eastAsia="Times New Roman" w:hAnsi="Segoe UI" w:cs="Segoe UI"/>
                <w:kern w:val="0"/>
                <w:sz w:val="20"/>
                <w:szCs w:val="20"/>
                <w:lang w:val="en-GB" w:eastAsia="en-GB"/>
              </w:rPr>
              <w:t>RE</w:t>
            </w:r>
          </w:p>
        </w:tc>
        <w:tc>
          <w:tcPr>
            <w:tcW w:w="1418" w:type="dxa"/>
            <w:tcBorders>
              <w:top w:val="single" w:sz="12" w:space="0" w:color="auto"/>
              <w:left w:val="single" w:sz="12" w:space="0" w:color="auto"/>
              <w:bottom w:val="single" w:sz="2" w:space="0" w:color="A6A6A6" w:themeColor="background1" w:themeShade="A6"/>
            </w:tcBorders>
          </w:tcPr>
          <w:p w:rsidR="003F155D" w:rsidRPr="003F155D" w:rsidRDefault="003F155D" w:rsidP="003F155D">
            <w:pPr>
              <w:widowControl/>
              <w:jc w:val="center"/>
              <w:rPr>
                <w:rFonts w:ascii="Segoe UI" w:eastAsia="Times New Roman" w:hAnsi="Segoe UI" w:cs="Segoe UI"/>
                <w:noProof/>
                <w:kern w:val="0"/>
                <w:sz w:val="20"/>
                <w:szCs w:val="20"/>
                <w:lang w:val="en-GB" w:eastAsia="en-GB"/>
              </w:rPr>
            </w:pPr>
            <w:r w:rsidRPr="003F155D">
              <w:rPr>
                <w:rFonts w:ascii="Segoe UI" w:eastAsia="Times New Roman" w:hAnsi="Segoe UI" w:cs="Segoe UI"/>
                <w:kern w:val="0"/>
                <w:sz w:val="20"/>
                <w:szCs w:val="20"/>
                <w:lang w:val="en-GB" w:eastAsia="en-GB"/>
              </w:rPr>
              <w:sym w:font="Wingdings 2" w:char="F050"/>
            </w:r>
          </w:p>
        </w:tc>
        <w:tc>
          <w:tcPr>
            <w:tcW w:w="1276" w:type="dxa"/>
            <w:tcBorders>
              <w:top w:val="single" w:sz="12" w:space="0" w:color="auto"/>
              <w:bottom w:val="single" w:sz="2" w:space="0" w:color="A6A6A6" w:themeColor="background1" w:themeShade="A6"/>
              <w:right w:val="single" w:sz="12" w:space="0" w:color="auto"/>
            </w:tcBorders>
          </w:tcPr>
          <w:p w:rsidR="003F155D" w:rsidRPr="003F155D" w:rsidRDefault="003F155D" w:rsidP="003F155D">
            <w:pPr>
              <w:widowControl/>
              <w:jc w:val="center"/>
              <w:rPr>
                <w:rFonts w:ascii="Segoe UI" w:eastAsia="Times New Roman" w:hAnsi="Segoe UI" w:cs="Segoe UI"/>
                <w:noProof/>
                <w:kern w:val="0"/>
                <w:sz w:val="20"/>
                <w:szCs w:val="20"/>
                <w:lang w:val="en-GB" w:eastAsia="en-GB"/>
              </w:rPr>
            </w:pPr>
          </w:p>
        </w:tc>
        <w:tc>
          <w:tcPr>
            <w:tcW w:w="1417" w:type="dxa"/>
            <w:tcBorders>
              <w:top w:val="single" w:sz="12" w:space="0" w:color="auto"/>
              <w:left w:val="single" w:sz="12" w:space="0" w:color="auto"/>
              <w:bottom w:val="single" w:sz="2" w:space="0" w:color="A6A6A6" w:themeColor="background1" w:themeShade="A6"/>
            </w:tcBorders>
          </w:tcPr>
          <w:p w:rsidR="003F155D" w:rsidRPr="003F155D" w:rsidRDefault="003F155D" w:rsidP="003F155D">
            <w:pPr>
              <w:widowControl/>
              <w:jc w:val="center"/>
              <w:rPr>
                <w:rFonts w:ascii="Segoe UI" w:eastAsia="Times New Roman" w:hAnsi="Segoe UI" w:cs="Segoe UI"/>
                <w:kern w:val="0"/>
                <w:sz w:val="20"/>
                <w:szCs w:val="20"/>
                <w:lang w:val="en-GB" w:eastAsia="en-GB"/>
              </w:rPr>
            </w:pPr>
          </w:p>
        </w:tc>
        <w:tc>
          <w:tcPr>
            <w:tcW w:w="1559" w:type="dxa"/>
            <w:tcBorders>
              <w:top w:val="single" w:sz="12" w:space="0" w:color="auto"/>
              <w:bottom w:val="single" w:sz="2" w:space="0" w:color="A6A6A6" w:themeColor="background1" w:themeShade="A6"/>
              <w:right w:val="single" w:sz="12" w:space="0" w:color="auto"/>
            </w:tcBorders>
          </w:tcPr>
          <w:p w:rsidR="003F155D" w:rsidRPr="003F155D" w:rsidRDefault="003F155D" w:rsidP="003F155D">
            <w:pPr>
              <w:widowControl/>
              <w:jc w:val="center"/>
              <w:rPr>
                <w:rFonts w:ascii="Segoe UI" w:eastAsia="Times New Roman" w:hAnsi="Segoe UI" w:cs="Segoe UI"/>
                <w:noProof/>
                <w:kern w:val="0"/>
                <w:sz w:val="20"/>
                <w:szCs w:val="20"/>
                <w:lang w:val="en-GB" w:eastAsia="en-GB"/>
              </w:rPr>
            </w:pPr>
            <w:r w:rsidRPr="003F155D">
              <w:rPr>
                <w:rFonts w:ascii="Segoe UI" w:eastAsia="Times New Roman" w:hAnsi="Segoe UI" w:cs="Segoe UI"/>
                <w:kern w:val="0"/>
                <w:sz w:val="20"/>
                <w:szCs w:val="20"/>
                <w:lang w:val="en-GB" w:eastAsia="en-GB"/>
              </w:rPr>
              <w:sym w:font="Wingdings 2" w:char="F050"/>
            </w:r>
          </w:p>
        </w:tc>
      </w:tr>
      <w:tr w:rsidR="003F155D" w:rsidRPr="003F155D" w:rsidTr="0054071E">
        <w:trPr>
          <w:cantSplit/>
          <w:trHeight w:val="200"/>
        </w:trPr>
        <w:tc>
          <w:tcPr>
            <w:tcW w:w="2127" w:type="dxa"/>
            <w:vMerge/>
            <w:tcBorders>
              <w:left w:val="nil"/>
              <w:bottom w:val="single" w:sz="12" w:space="0" w:color="auto"/>
              <w:right w:val="single" w:sz="12" w:space="0" w:color="auto"/>
            </w:tcBorders>
          </w:tcPr>
          <w:p w:rsidR="003F155D" w:rsidRPr="003F155D" w:rsidRDefault="003F155D" w:rsidP="003F155D">
            <w:pPr>
              <w:widowControl/>
              <w:rPr>
                <w:rFonts w:ascii="Segoe UI" w:eastAsia="Times New Roman" w:hAnsi="Segoe UI" w:cs="Segoe UI"/>
                <w:kern w:val="0"/>
                <w:sz w:val="20"/>
                <w:szCs w:val="20"/>
                <w:lang w:val="en-GB" w:eastAsia="en-GB"/>
              </w:rPr>
            </w:pPr>
          </w:p>
        </w:tc>
        <w:tc>
          <w:tcPr>
            <w:tcW w:w="4961" w:type="dxa"/>
            <w:tcBorders>
              <w:top w:val="single" w:sz="2" w:space="0" w:color="A6A6A6" w:themeColor="background1" w:themeShade="A6"/>
              <w:left w:val="single" w:sz="12" w:space="0" w:color="auto"/>
              <w:bottom w:val="single" w:sz="12" w:space="0" w:color="auto"/>
              <w:right w:val="single" w:sz="12" w:space="0" w:color="auto"/>
            </w:tcBorders>
            <w:shd w:val="clear" w:color="auto" w:fill="auto"/>
          </w:tcPr>
          <w:p w:rsidR="003F155D" w:rsidRPr="003F155D" w:rsidRDefault="003F155D" w:rsidP="003F155D">
            <w:pPr>
              <w:widowControl/>
              <w:rPr>
                <w:rFonts w:ascii="Segoe UI" w:eastAsia="Times New Roman" w:hAnsi="Segoe UI" w:cs="Segoe UI"/>
                <w:kern w:val="0"/>
                <w:sz w:val="20"/>
                <w:szCs w:val="20"/>
                <w:lang w:eastAsia="en-GB"/>
              </w:rPr>
            </w:pPr>
            <w:r w:rsidRPr="003F155D">
              <w:rPr>
                <w:rFonts w:ascii="Segoe UI" w:eastAsia="Times New Roman" w:hAnsi="Segoe UI" w:cs="Segoe UI"/>
                <w:kern w:val="0"/>
                <w:sz w:val="20"/>
                <w:szCs w:val="20"/>
                <w:lang w:eastAsia="en-GB"/>
              </w:rPr>
              <w:t>Template TLAC1(A): LAC composition of material subsidiary (at LAC consolidation group level)</w:t>
            </w:r>
          </w:p>
        </w:tc>
        <w:tc>
          <w:tcPr>
            <w:tcW w:w="1417" w:type="dxa"/>
            <w:tcBorders>
              <w:top w:val="single" w:sz="2" w:space="0" w:color="A6A6A6" w:themeColor="background1" w:themeShade="A6"/>
              <w:left w:val="single" w:sz="12" w:space="0" w:color="auto"/>
              <w:bottom w:val="single" w:sz="12" w:space="0" w:color="auto"/>
              <w:right w:val="single" w:sz="12" w:space="0" w:color="auto"/>
            </w:tcBorders>
          </w:tcPr>
          <w:p w:rsidR="003F155D" w:rsidRPr="003F155D" w:rsidRDefault="003F155D" w:rsidP="003F155D">
            <w:pPr>
              <w:widowControl/>
              <w:jc w:val="center"/>
              <w:rPr>
                <w:rFonts w:ascii="Segoe UI" w:eastAsia="Times New Roman" w:hAnsi="Segoe UI" w:cs="Segoe UI"/>
                <w:kern w:val="0"/>
                <w:sz w:val="20"/>
                <w:szCs w:val="20"/>
                <w:lang w:val="en-GB" w:eastAsia="en-GB"/>
              </w:rPr>
            </w:pPr>
            <w:r w:rsidRPr="003F155D">
              <w:rPr>
                <w:rFonts w:ascii="Segoe UI" w:eastAsia="Times New Roman" w:hAnsi="Segoe UI" w:cs="Segoe UI"/>
                <w:kern w:val="0"/>
                <w:sz w:val="20"/>
                <w:szCs w:val="20"/>
                <w:lang w:val="en-GB" w:eastAsia="en-GB"/>
              </w:rPr>
              <w:t>MS</w:t>
            </w:r>
          </w:p>
        </w:tc>
        <w:tc>
          <w:tcPr>
            <w:tcW w:w="1418" w:type="dxa"/>
            <w:tcBorders>
              <w:top w:val="single" w:sz="2" w:space="0" w:color="A6A6A6" w:themeColor="background1" w:themeShade="A6"/>
              <w:left w:val="single" w:sz="12" w:space="0" w:color="auto"/>
              <w:bottom w:val="single" w:sz="12" w:space="0" w:color="auto"/>
            </w:tcBorders>
          </w:tcPr>
          <w:p w:rsidR="003F155D" w:rsidRPr="003F155D" w:rsidRDefault="003F155D" w:rsidP="003F155D">
            <w:pPr>
              <w:widowControl/>
              <w:jc w:val="center"/>
              <w:rPr>
                <w:rFonts w:ascii="Segoe UI" w:eastAsia="Times New Roman" w:hAnsi="Segoe UI" w:cs="Segoe UI"/>
                <w:kern w:val="0"/>
                <w:sz w:val="20"/>
                <w:szCs w:val="20"/>
                <w:lang w:val="en-GB" w:eastAsia="en-GB"/>
              </w:rPr>
            </w:pPr>
            <w:r w:rsidRPr="003F155D">
              <w:rPr>
                <w:rFonts w:ascii="Segoe UI" w:eastAsia="Times New Roman" w:hAnsi="Segoe UI" w:cs="Segoe UI"/>
                <w:kern w:val="0"/>
                <w:sz w:val="20"/>
                <w:szCs w:val="20"/>
                <w:lang w:val="en-GB" w:eastAsia="en-GB"/>
              </w:rPr>
              <w:sym w:font="Wingdings 2" w:char="F050"/>
            </w:r>
          </w:p>
        </w:tc>
        <w:tc>
          <w:tcPr>
            <w:tcW w:w="1276" w:type="dxa"/>
            <w:tcBorders>
              <w:top w:val="single" w:sz="2" w:space="0" w:color="A6A6A6" w:themeColor="background1" w:themeShade="A6"/>
              <w:bottom w:val="single" w:sz="12" w:space="0" w:color="auto"/>
              <w:right w:val="single" w:sz="12" w:space="0" w:color="auto"/>
            </w:tcBorders>
          </w:tcPr>
          <w:p w:rsidR="003F155D" w:rsidRPr="003F155D" w:rsidRDefault="003F155D" w:rsidP="003F155D">
            <w:pPr>
              <w:widowControl/>
              <w:jc w:val="center"/>
              <w:rPr>
                <w:rFonts w:ascii="Segoe UI" w:eastAsia="Times New Roman" w:hAnsi="Segoe UI" w:cs="Segoe UI"/>
                <w:noProof/>
                <w:kern w:val="0"/>
                <w:sz w:val="20"/>
                <w:szCs w:val="20"/>
                <w:lang w:val="en-GB" w:eastAsia="en-GB"/>
              </w:rPr>
            </w:pPr>
          </w:p>
        </w:tc>
        <w:tc>
          <w:tcPr>
            <w:tcW w:w="1417" w:type="dxa"/>
            <w:tcBorders>
              <w:top w:val="single" w:sz="2" w:space="0" w:color="A6A6A6" w:themeColor="background1" w:themeShade="A6"/>
              <w:left w:val="single" w:sz="12" w:space="0" w:color="auto"/>
              <w:bottom w:val="single" w:sz="12" w:space="0" w:color="auto"/>
            </w:tcBorders>
          </w:tcPr>
          <w:p w:rsidR="003F155D" w:rsidRPr="003F155D" w:rsidRDefault="003F155D" w:rsidP="003F155D">
            <w:pPr>
              <w:widowControl/>
              <w:jc w:val="center"/>
              <w:rPr>
                <w:rFonts w:ascii="Segoe UI" w:eastAsia="Times New Roman" w:hAnsi="Segoe UI" w:cs="Segoe UI"/>
                <w:kern w:val="0"/>
                <w:sz w:val="20"/>
                <w:szCs w:val="20"/>
                <w:lang w:val="en-GB" w:eastAsia="en-GB"/>
              </w:rPr>
            </w:pPr>
          </w:p>
        </w:tc>
        <w:tc>
          <w:tcPr>
            <w:tcW w:w="1559" w:type="dxa"/>
            <w:tcBorders>
              <w:top w:val="single" w:sz="2" w:space="0" w:color="A6A6A6" w:themeColor="background1" w:themeShade="A6"/>
              <w:bottom w:val="single" w:sz="12" w:space="0" w:color="auto"/>
              <w:right w:val="single" w:sz="12" w:space="0" w:color="auto"/>
            </w:tcBorders>
          </w:tcPr>
          <w:p w:rsidR="003F155D" w:rsidRPr="003F155D" w:rsidRDefault="003F155D" w:rsidP="003F155D">
            <w:pPr>
              <w:widowControl/>
              <w:jc w:val="center"/>
              <w:rPr>
                <w:rFonts w:ascii="Segoe UI" w:eastAsia="Times New Roman" w:hAnsi="Segoe UI" w:cs="Segoe UI"/>
                <w:noProof/>
                <w:kern w:val="0"/>
                <w:sz w:val="20"/>
                <w:szCs w:val="20"/>
                <w:lang w:val="en-GB" w:eastAsia="en-GB"/>
              </w:rPr>
            </w:pPr>
            <w:r w:rsidRPr="003F155D">
              <w:rPr>
                <w:rFonts w:ascii="Segoe UI" w:eastAsia="Times New Roman" w:hAnsi="Segoe UI" w:cs="Segoe UI"/>
                <w:kern w:val="0"/>
                <w:sz w:val="20"/>
                <w:szCs w:val="20"/>
                <w:lang w:val="en-GB" w:eastAsia="en-GB"/>
              </w:rPr>
              <w:sym w:font="Wingdings 2" w:char="F050"/>
            </w:r>
          </w:p>
        </w:tc>
      </w:tr>
      <w:tr w:rsidR="003F155D" w:rsidRPr="003F155D" w:rsidTr="0054071E">
        <w:trPr>
          <w:cantSplit/>
          <w:trHeight w:val="392"/>
        </w:trPr>
        <w:tc>
          <w:tcPr>
            <w:tcW w:w="2127" w:type="dxa"/>
            <w:vMerge w:val="restart"/>
            <w:tcBorders>
              <w:top w:val="single" w:sz="12" w:space="0" w:color="auto"/>
              <w:left w:val="nil"/>
              <w:right w:val="single" w:sz="12" w:space="0" w:color="auto"/>
            </w:tcBorders>
          </w:tcPr>
          <w:p w:rsidR="003F155D" w:rsidRPr="003F155D" w:rsidRDefault="003F155D" w:rsidP="003F155D">
            <w:pPr>
              <w:widowControl/>
              <w:rPr>
                <w:rFonts w:ascii="Segoe UI" w:eastAsia="Times New Roman" w:hAnsi="Segoe UI" w:cs="Segoe UI"/>
                <w:kern w:val="0"/>
                <w:sz w:val="20"/>
                <w:szCs w:val="20"/>
                <w:lang w:val="en-GB" w:eastAsia="en-GB"/>
              </w:rPr>
            </w:pPr>
            <w:r w:rsidRPr="003F155D">
              <w:rPr>
                <w:rFonts w:ascii="Segoe UI" w:eastAsia="Times New Roman" w:hAnsi="Segoe UI" w:cs="Segoe UI"/>
                <w:kern w:val="0"/>
                <w:sz w:val="20"/>
                <w:szCs w:val="20"/>
                <w:lang w:val="en-GB" w:eastAsia="en-GB"/>
              </w:rPr>
              <w:lastRenderedPageBreak/>
              <w:t>Creditor ranking</w:t>
            </w:r>
          </w:p>
        </w:tc>
        <w:tc>
          <w:tcPr>
            <w:tcW w:w="4961" w:type="dxa"/>
            <w:tcBorders>
              <w:top w:val="single" w:sz="12" w:space="0" w:color="auto"/>
              <w:left w:val="single" w:sz="12" w:space="0" w:color="auto"/>
              <w:bottom w:val="single" w:sz="2" w:space="0" w:color="A6A6A6" w:themeColor="background1" w:themeShade="A6"/>
              <w:right w:val="single" w:sz="12" w:space="0" w:color="auto"/>
            </w:tcBorders>
            <w:shd w:val="clear" w:color="auto" w:fill="auto"/>
          </w:tcPr>
          <w:p w:rsidR="003F155D" w:rsidRPr="003F155D" w:rsidRDefault="003F155D" w:rsidP="003F155D">
            <w:pPr>
              <w:widowControl/>
              <w:rPr>
                <w:rFonts w:ascii="Segoe UI" w:eastAsia="Times New Roman" w:hAnsi="Segoe UI" w:cs="Segoe UI"/>
                <w:noProof/>
                <w:kern w:val="0"/>
                <w:sz w:val="20"/>
                <w:szCs w:val="20"/>
                <w:lang w:eastAsia="en-GB"/>
              </w:rPr>
            </w:pPr>
            <w:r w:rsidRPr="003F155D">
              <w:rPr>
                <w:rFonts w:ascii="Segoe UI" w:eastAsia="Times New Roman" w:hAnsi="Segoe UI" w:cs="Segoe UI"/>
                <w:kern w:val="0"/>
                <w:sz w:val="20"/>
                <w:szCs w:val="20"/>
                <w:lang w:val="en-GB" w:eastAsia="en-GB"/>
              </w:rPr>
              <w:t>Template TLAC2: Material subsidiary – creditor ranking at legal entity level</w:t>
            </w:r>
          </w:p>
        </w:tc>
        <w:tc>
          <w:tcPr>
            <w:tcW w:w="1417" w:type="dxa"/>
            <w:tcBorders>
              <w:top w:val="single" w:sz="12" w:space="0" w:color="auto"/>
              <w:left w:val="single" w:sz="12" w:space="0" w:color="auto"/>
              <w:bottom w:val="single" w:sz="2" w:space="0" w:color="A6A6A6" w:themeColor="background1" w:themeShade="A6"/>
              <w:right w:val="single" w:sz="12" w:space="0" w:color="auto"/>
            </w:tcBorders>
            <w:shd w:val="clear" w:color="auto" w:fill="auto"/>
          </w:tcPr>
          <w:p w:rsidR="003F155D" w:rsidRPr="003F155D" w:rsidRDefault="003F155D" w:rsidP="003F155D">
            <w:pPr>
              <w:widowControl/>
              <w:jc w:val="center"/>
              <w:rPr>
                <w:rFonts w:ascii="Segoe UI" w:eastAsia="Times New Roman" w:hAnsi="Segoe UI" w:cs="Segoe UI"/>
                <w:kern w:val="0"/>
                <w:sz w:val="20"/>
                <w:szCs w:val="20"/>
                <w:lang w:val="en-GB" w:eastAsia="en-GB"/>
              </w:rPr>
            </w:pPr>
            <w:r w:rsidRPr="003F155D">
              <w:rPr>
                <w:rFonts w:ascii="Segoe UI" w:eastAsia="Times New Roman" w:hAnsi="Segoe UI" w:cs="Segoe UI"/>
                <w:kern w:val="0"/>
                <w:sz w:val="20"/>
                <w:szCs w:val="20"/>
                <w:lang w:val="en-GB" w:eastAsia="en-GB"/>
              </w:rPr>
              <w:t>MS</w:t>
            </w:r>
          </w:p>
        </w:tc>
        <w:tc>
          <w:tcPr>
            <w:tcW w:w="1418" w:type="dxa"/>
            <w:tcBorders>
              <w:top w:val="single" w:sz="12" w:space="0" w:color="auto"/>
              <w:left w:val="single" w:sz="12" w:space="0" w:color="auto"/>
              <w:bottom w:val="single" w:sz="2" w:space="0" w:color="A6A6A6" w:themeColor="background1" w:themeShade="A6"/>
            </w:tcBorders>
            <w:shd w:val="clear" w:color="auto" w:fill="auto"/>
          </w:tcPr>
          <w:p w:rsidR="003F155D" w:rsidRPr="003F155D" w:rsidRDefault="003F155D" w:rsidP="003F155D">
            <w:pPr>
              <w:widowControl/>
              <w:jc w:val="center"/>
              <w:rPr>
                <w:rFonts w:ascii="Segoe UI" w:eastAsia="Times New Roman" w:hAnsi="Segoe UI" w:cs="Segoe UI"/>
                <w:kern w:val="0"/>
                <w:sz w:val="20"/>
                <w:szCs w:val="20"/>
                <w:lang w:val="en-GB" w:eastAsia="en-GB"/>
              </w:rPr>
            </w:pPr>
            <w:r w:rsidRPr="003F155D">
              <w:rPr>
                <w:rFonts w:ascii="Segoe UI" w:eastAsia="Times New Roman" w:hAnsi="Segoe UI" w:cs="Segoe UI"/>
                <w:kern w:val="0"/>
                <w:sz w:val="20"/>
                <w:szCs w:val="20"/>
                <w:lang w:val="en-GB" w:eastAsia="en-GB"/>
              </w:rPr>
              <w:sym w:font="Wingdings 2" w:char="F050"/>
            </w:r>
          </w:p>
        </w:tc>
        <w:tc>
          <w:tcPr>
            <w:tcW w:w="1276" w:type="dxa"/>
            <w:tcBorders>
              <w:top w:val="single" w:sz="12" w:space="0" w:color="auto"/>
              <w:bottom w:val="single" w:sz="2" w:space="0" w:color="A6A6A6" w:themeColor="background1" w:themeShade="A6"/>
              <w:right w:val="single" w:sz="12" w:space="0" w:color="auto"/>
            </w:tcBorders>
            <w:shd w:val="clear" w:color="auto" w:fill="auto"/>
          </w:tcPr>
          <w:p w:rsidR="003F155D" w:rsidRPr="003F155D" w:rsidRDefault="003F155D" w:rsidP="003F155D">
            <w:pPr>
              <w:widowControl/>
              <w:jc w:val="center"/>
              <w:rPr>
                <w:rFonts w:ascii="Segoe UI" w:eastAsia="Times New Roman" w:hAnsi="Segoe UI" w:cs="Segoe UI"/>
                <w:noProof/>
                <w:kern w:val="0"/>
                <w:sz w:val="20"/>
                <w:szCs w:val="20"/>
                <w:lang w:val="en-GB" w:eastAsia="en-GB"/>
              </w:rPr>
            </w:pPr>
          </w:p>
        </w:tc>
        <w:tc>
          <w:tcPr>
            <w:tcW w:w="1417" w:type="dxa"/>
            <w:tcBorders>
              <w:top w:val="single" w:sz="12" w:space="0" w:color="auto"/>
              <w:left w:val="single" w:sz="12" w:space="0" w:color="auto"/>
              <w:bottom w:val="single" w:sz="2" w:space="0" w:color="A6A6A6" w:themeColor="background1" w:themeShade="A6"/>
            </w:tcBorders>
            <w:shd w:val="clear" w:color="auto" w:fill="auto"/>
          </w:tcPr>
          <w:p w:rsidR="003F155D" w:rsidRPr="003F155D" w:rsidRDefault="003F155D" w:rsidP="003F155D">
            <w:pPr>
              <w:widowControl/>
              <w:jc w:val="center"/>
              <w:rPr>
                <w:rFonts w:ascii="Segoe UI" w:eastAsia="Times New Roman" w:hAnsi="Segoe UI" w:cs="Segoe UI"/>
                <w:kern w:val="0"/>
                <w:sz w:val="20"/>
                <w:szCs w:val="20"/>
                <w:lang w:val="en-GB" w:eastAsia="en-GB"/>
              </w:rPr>
            </w:pPr>
          </w:p>
        </w:tc>
        <w:tc>
          <w:tcPr>
            <w:tcW w:w="1559" w:type="dxa"/>
            <w:tcBorders>
              <w:top w:val="single" w:sz="12" w:space="0" w:color="auto"/>
              <w:bottom w:val="single" w:sz="2" w:space="0" w:color="A6A6A6" w:themeColor="background1" w:themeShade="A6"/>
              <w:right w:val="single" w:sz="12" w:space="0" w:color="auto"/>
            </w:tcBorders>
            <w:shd w:val="clear" w:color="auto" w:fill="auto"/>
          </w:tcPr>
          <w:p w:rsidR="003F155D" w:rsidRPr="003F155D" w:rsidRDefault="003F155D" w:rsidP="003F155D">
            <w:pPr>
              <w:widowControl/>
              <w:jc w:val="center"/>
              <w:rPr>
                <w:rFonts w:ascii="Segoe UI" w:eastAsia="Times New Roman" w:hAnsi="Segoe UI" w:cs="Segoe UI"/>
                <w:kern w:val="0"/>
                <w:sz w:val="20"/>
                <w:szCs w:val="20"/>
                <w:lang w:val="en-GB" w:eastAsia="en-GB"/>
              </w:rPr>
            </w:pPr>
            <w:r w:rsidRPr="003F155D">
              <w:rPr>
                <w:rFonts w:ascii="Segoe UI" w:eastAsia="Times New Roman" w:hAnsi="Segoe UI" w:cs="Segoe UI"/>
                <w:kern w:val="0"/>
                <w:sz w:val="20"/>
                <w:szCs w:val="20"/>
                <w:lang w:val="en-GB" w:eastAsia="en-GB"/>
              </w:rPr>
              <w:sym w:font="Wingdings 2" w:char="F050"/>
            </w:r>
          </w:p>
        </w:tc>
      </w:tr>
      <w:tr w:rsidR="003F155D" w:rsidRPr="003F155D" w:rsidTr="0054071E">
        <w:trPr>
          <w:cantSplit/>
          <w:trHeight w:val="834"/>
        </w:trPr>
        <w:tc>
          <w:tcPr>
            <w:tcW w:w="2127" w:type="dxa"/>
            <w:vMerge/>
            <w:tcBorders>
              <w:left w:val="nil"/>
              <w:bottom w:val="single" w:sz="12" w:space="0" w:color="auto"/>
              <w:right w:val="single" w:sz="12" w:space="0" w:color="auto"/>
            </w:tcBorders>
          </w:tcPr>
          <w:p w:rsidR="003F155D" w:rsidRPr="003F155D" w:rsidRDefault="003F155D" w:rsidP="003F155D">
            <w:pPr>
              <w:widowControl/>
              <w:rPr>
                <w:rFonts w:ascii="Segoe UI" w:eastAsia="Times New Roman" w:hAnsi="Segoe UI" w:cs="Segoe UI"/>
                <w:kern w:val="0"/>
                <w:sz w:val="20"/>
                <w:szCs w:val="20"/>
                <w:lang w:val="en-GB" w:eastAsia="en-GB"/>
              </w:rPr>
            </w:pPr>
          </w:p>
        </w:tc>
        <w:tc>
          <w:tcPr>
            <w:tcW w:w="4961" w:type="dxa"/>
            <w:tcBorders>
              <w:top w:val="single" w:sz="2" w:space="0" w:color="A6A6A6" w:themeColor="background1" w:themeShade="A6"/>
              <w:left w:val="single" w:sz="12" w:space="0" w:color="auto"/>
              <w:bottom w:val="single" w:sz="12" w:space="0" w:color="auto"/>
              <w:right w:val="single" w:sz="12" w:space="0" w:color="auto"/>
            </w:tcBorders>
            <w:shd w:val="clear" w:color="auto" w:fill="auto"/>
          </w:tcPr>
          <w:p w:rsidR="003F155D" w:rsidRPr="003F155D" w:rsidRDefault="003F155D" w:rsidP="003F155D">
            <w:pPr>
              <w:widowControl/>
              <w:rPr>
                <w:rFonts w:ascii="Segoe UI" w:eastAsia="Times New Roman" w:hAnsi="Segoe UI" w:cs="Segoe UI"/>
                <w:noProof/>
                <w:kern w:val="0"/>
                <w:sz w:val="20"/>
                <w:szCs w:val="20"/>
                <w:lang w:val="en-GB" w:eastAsia="en-GB"/>
              </w:rPr>
            </w:pPr>
            <w:r w:rsidRPr="003F155D">
              <w:rPr>
                <w:rFonts w:ascii="Segoe UI" w:eastAsia="Times New Roman" w:hAnsi="Segoe UI" w:cs="Segoe UI"/>
                <w:kern w:val="0"/>
                <w:sz w:val="20"/>
                <w:szCs w:val="20"/>
                <w:lang w:val="en-GB" w:eastAsia="en-GB"/>
              </w:rPr>
              <w:t>Template TLAC3: Resolution entity – creditor ranking at legal entity level</w:t>
            </w:r>
          </w:p>
        </w:tc>
        <w:tc>
          <w:tcPr>
            <w:tcW w:w="1417" w:type="dxa"/>
            <w:tcBorders>
              <w:top w:val="single" w:sz="2" w:space="0" w:color="A6A6A6" w:themeColor="background1" w:themeShade="A6"/>
              <w:left w:val="single" w:sz="12" w:space="0" w:color="auto"/>
              <w:bottom w:val="single" w:sz="12" w:space="0" w:color="auto"/>
              <w:right w:val="single" w:sz="12" w:space="0" w:color="auto"/>
            </w:tcBorders>
            <w:shd w:val="clear" w:color="auto" w:fill="auto"/>
          </w:tcPr>
          <w:p w:rsidR="003F155D" w:rsidRPr="003F155D" w:rsidRDefault="003F155D" w:rsidP="003F155D">
            <w:pPr>
              <w:widowControl/>
              <w:jc w:val="center"/>
              <w:rPr>
                <w:rFonts w:ascii="Segoe UI" w:eastAsia="Times New Roman" w:hAnsi="Segoe UI" w:cs="Segoe UI"/>
                <w:noProof/>
                <w:kern w:val="0"/>
                <w:sz w:val="20"/>
                <w:szCs w:val="20"/>
                <w:lang w:val="en-GB" w:eastAsia="en-GB"/>
              </w:rPr>
            </w:pPr>
            <w:r w:rsidRPr="003F155D">
              <w:rPr>
                <w:rFonts w:ascii="Segoe UI" w:eastAsia="Times New Roman" w:hAnsi="Segoe UI" w:cs="Segoe UI"/>
                <w:noProof/>
                <w:kern w:val="0"/>
                <w:sz w:val="20"/>
                <w:szCs w:val="20"/>
                <w:lang w:val="en-GB" w:eastAsia="en-GB"/>
              </w:rPr>
              <w:t>RE</w:t>
            </w:r>
          </w:p>
        </w:tc>
        <w:tc>
          <w:tcPr>
            <w:tcW w:w="1418" w:type="dxa"/>
            <w:tcBorders>
              <w:top w:val="single" w:sz="2" w:space="0" w:color="A6A6A6" w:themeColor="background1" w:themeShade="A6"/>
              <w:left w:val="single" w:sz="12" w:space="0" w:color="auto"/>
              <w:bottom w:val="single" w:sz="12" w:space="0" w:color="auto"/>
            </w:tcBorders>
            <w:shd w:val="clear" w:color="auto" w:fill="auto"/>
          </w:tcPr>
          <w:p w:rsidR="003F155D" w:rsidRPr="003F155D" w:rsidRDefault="003F155D" w:rsidP="003F155D">
            <w:pPr>
              <w:widowControl/>
              <w:jc w:val="center"/>
              <w:rPr>
                <w:rFonts w:ascii="Segoe UI" w:eastAsia="Times New Roman" w:hAnsi="Segoe UI" w:cs="Segoe UI"/>
                <w:noProof/>
                <w:kern w:val="0"/>
                <w:sz w:val="20"/>
                <w:szCs w:val="20"/>
                <w:lang w:val="en-GB" w:eastAsia="en-GB"/>
              </w:rPr>
            </w:pPr>
            <w:r w:rsidRPr="003F155D">
              <w:rPr>
                <w:rFonts w:ascii="Segoe UI" w:eastAsia="Times New Roman" w:hAnsi="Segoe UI" w:cs="Segoe UI"/>
                <w:kern w:val="0"/>
                <w:sz w:val="20"/>
                <w:szCs w:val="20"/>
                <w:lang w:val="en-GB" w:eastAsia="en-GB"/>
              </w:rPr>
              <w:sym w:font="Wingdings 2" w:char="F050"/>
            </w:r>
          </w:p>
        </w:tc>
        <w:tc>
          <w:tcPr>
            <w:tcW w:w="1276" w:type="dxa"/>
            <w:tcBorders>
              <w:top w:val="single" w:sz="2" w:space="0" w:color="A6A6A6" w:themeColor="background1" w:themeShade="A6"/>
              <w:bottom w:val="single" w:sz="12" w:space="0" w:color="auto"/>
              <w:right w:val="single" w:sz="12" w:space="0" w:color="auto"/>
            </w:tcBorders>
            <w:shd w:val="clear" w:color="auto" w:fill="auto"/>
          </w:tcPr>
          <w:p w:rsidR="003F155D" w:rsidRPr="003F155D" w:rsidRDefault="003F155D" w:rsidP="003F155D">
            <w:pPr>
              <w:widowControl/>
              <w:jc w:val="center"/>
              <w:rPr>
                <w:rFonts w:ascii="Segoe UI" w:eastAsia="Times New Roman" w:hAnsi="Segoe UI" w:cs="Segoe UI"/>
                <w:kern w:val="0"/>
                <w:sz w:val="20"/>
                <w:szCs w:val="20"/>
                <w:lang w:val="en-GB" w:eastAsia="en-GB"/>
              </w:rPr>
            </w:pPr>
          </w:p>
        </w:tc>
        <w:tc>
          <w:tcPr>
            <w:tcW w:w="1417" w:type="dxa"/>
            <w:tcBorders>
              <w:top w:val="single" w:sz="2" w:space="0" w:color="A6A6A6" w:themeColor="background1" w:themeShade="A6"/>
              <w:left w:val="single" w:sz="12" w:space="0" w:color="auto"/>
              <w:bottom w:val="single" w:sz="12" w:space="0" w:color="auto"/>
            </w:tcBorders>
            <w:shd w:val="clear" w:color="auto" w:fill="auto"/>
          </w:tcPr>
          <w:p w:rsidR="003F155D" w:rsidRPr="003F155D" w:rsidRDefault="003F155D" w:rsidP="003F155D">
            <w:pPr>
              <w:widowControl/>
              <w:jc w:val="center"/>
              <w:rPr>
                <w:rFonts w:ascii="Segoe UI" w:eastAsia="Times New Roman" w:hAnsi="Segoe UI" w:cs="Segoe UI"/>
                <w:kern w:val="0"/>
                <w:sz w:val="20"/>
                <w:szCs w:val="20"/>
                <w:lang w:val="en-GB" w:eastAsia="en-GB"/>
              </w:rPr>
            </w:pPr>
          </w:p>
        </w:tc>
        <w:tc>
          <w:tcPr>
            <w:tcW w:w="1559" w:type="dxa"/>
            <w:tcBorders>
              <w:top w:val="single" w:sz="2" w:space="0" w:color="A6A6A6" w:themeColor="background1" w:themeShade="A6"/>
              <w:bottom w:val="single" w:sz="12" w:space="0" w:color="auto"/>
              <w:right w:val="single" w:sz="12" w:space="0" w:color="auto"/>
            </w:tcBorders>
            <w:shd w:val="clear" w:color="auto" w:fill="auto"/>
          </w:tcPr>
          <w:p w:rsidR="003F155D" w:rsidRPr="003F155D" w:rsidRDefault="003F155D" w:rsidP="003F155D">
            <w:pPr>
              <w:widowControl/>
              <w:jc w:val="center"/>
              <w:rPr>
                <w:rFonts w:ascii="Segoe UI" w:eastAsia="Times New Roman" w:hAnsi="Segoe UI" w:cs="Segoe UI"/>
                <w:noProof/>
                <w:kern w:val="0"/>
                <w:sz w:val="20"/>
                <w:szCs w:val="20"/>
                <w:lang w:val="en-GB" w:eastAsia="en-GB"/>
              </w:rPr>
            </w:pPr>
            <w:r w:rsidRPr="003F155D">
              <w:rPr>
                <w:rFonts w:ascii="Segoe UI" w:eastAsia="Times New Roman" w:hAnsi="Segoe UI" w:cs="Segoe UI"/>
                <w:kern w:val="0"/>
                <w:sz w:val="20"/>
                <w:szCs w:val="20"/>
                <w:lang w:val="en-GB" w:eastAsia="en-GB"/>
              </w:rPr>
              <w:sym w:font="Wingdings 2" w:char="F050"/>
            </w:r>
          </w:p>
        </w:tc>
      </w:tr>
      <w:tr w:rsidR="003F155D" w:rsidRPr="003F155D" w:rsidTr="0054071E">
        <w:trPr>
          <w:cantSplit/>
          <w:trHeight w:val="257"/>
        </w:trPr>
        <w:tc>
          <w:tcPr>
            <w:tcW w:w="14175" w:type="dxa"/>
            <w:gridSpan w:val="7"/>
            <w:tcBorders>
              <w:top w:val="single" w:sz="12" w:space="0" w:color="auto"/>
              <w:left w:val="nil"/>
              <w:bottom w:val="single" w:sz="4" w:space="0" w:color="D9D9D9" w:themeColor="background1" w:themeShade="D9"/>
              <w:right w:val="single" w:sz="4" w:space="0" w:color="BFBFBF" w:themeColor="background1" w:themeShade="BF"/>
            </w:tcBorders>
          </w:tcPr>
          <w:p w:rsidR="003F155D" w:rsidRPr="003F155D" w:rsidRDefault="003F155D" w:rsidP="003F155D">
            <w:pPr>
              <w:widowControl/>
              <w:jc w:val="both"/>
              <w:rPr>
                <w:rFonts w:ascii="Segoe UI" w:hAnsi="Segoe UI" w:cs="Segoe UI"/>
                <w:kern w:val="0"/>
                <w:sz w:val="20"/>
                <w:szCs w:val="20"/>
                <w:lang w:val="en-GB"/>
              </w:rPr>
            </w:pPr>
            <w:r w:rsidRPr="003F155D">
              <w:rPr>
                <w:rFonts w:ascii="Segoe UI" w:eastAsia="Times New Roman" w:hAnsi="Segoe UI" w:cs="Segoe UI"/>
                <w:kern w:val="0"/>
                <w:sz w:val="20"/>
                <w:szCs w:val="20"/>
                <w:lang w:val="en-GB" w:eastAsia="en-US"/>
              </w:rPr>
              <w:t>*</w:t>
            </w:r>
            <w:r w:rsidRPr="003F155D">
              <w:rPr>
                <w:rFonts w:ascii="Segoe UI" w:eastAsia="Times New Roman" w:hAnsi="Segoe UI" w:cs="Segoe UI"/>
                <w:kern w:val="0"/>
                <w:sz w:val="20"/>
                <w:szCs w:val="20"/>
                <w:lang w:val="en-GB" w:eastAsia="en-US"/>
              </w:rPr>
              <w:tab/>
              <w:t>‘RE’ denotes applicable to resolution entities under the Financial Institutions (Resolution) (Loss-absorbing Capacity Requirements – Banking Sector) Rules; ‘MS’ denotes applicable to material subsidiaries under the Rules.</w:t>
            </w:r>
          </w:p>
        </w:tc>
      </w:tr>
      <w:bookmarkEnd w:id="0"/>
    </w:tbl>
    <w:p w:rsidR="003F155D" w:rsidRPr="003F155D" w:rsidRDefault="003F155D" w:rsidP="003F155D">
      <w:pPr>
        <w:widowControl/>
        <w:rPr>
          <w:rFonts w:ascii="Segoe UI" w:eastAsia="Times New Roman" w:hAnsi="Segoe UI" w:cs="Times New Roman"/>
          <w:kern w:val="0"/>
          <w:sz w:val="20"/>
          <w:szCs w:val="20"/>
          <w:lang w:val="en-GB" w:eastAsia="en-US"/>
        </w:rPr>
      </w:pPr>
    </w:p>
    <w:p w:rsidR="00390D70" w:rsidRDefault="00390D70">
      <w:pPr>
        <w:rPr>
          <w:lang w:val="en-GB"/>
        </w:rPr>
      </w:pPr>
    </w:p>
    <w:p w:rsidR="003F155D" w:rsidRDefault="003F155D">
      <w:pPr>
        <w:rPr>
          <w:lang w:val="en-GB"/>
        </w:rPr>
        <w:sectPr w:rsidR="003F155D" w:rsidSect="00297CA5">
          <w:footerReference w:type="default" r:id="rId9"/>
          <w:pgSz w:w="16838" w:h="11906" w:orient="landscape"/>
          <w:pgMar w:top="1800" w:right="1440" w:bottom="1800" w:left="1440" w:header="851" w:footer="751" w:gutter="0"/>
          <w:cols w:space="425"/>
          <w:docGrid w:type="lines" w:linePitch="360"/>
        </w:sectPr>
      </w:pPr>
    </w:p>
    <w:tbl>
      <w:tblPr>
        <w:tblW w:w="9242" w:type="dxa"/>
        <w:tblInd w:w="-459" w:type="dxa"/>
        <w:tblBorders>
          <w:top w:val="single" w:sz="4" w:space="0" w:color="auto"/>
          <w:bottom w:val="single" w:sz="4" w:space="0" w:color="auto"/>
          <w:insideH w:val="single" w:sz="4" w:space="0" w:color="auto"/>
          <w:insideV w:val="single" w:sz="4" w:space="0" w:color="auto"/>
        </w:tblBorders>
        <w:tblLook w:val="00A0" w:firstRow="1" w:lastRow="0" w:firstColumn="1" w:lastColumn="0" w:noHBand="0" w:noVBand="0"/>
      </w:tblPr>
      <w:tblGrid>
        <w:gridCol w:w="2127"/>
        <w:gridCol w:w="7115"/>
      </w:tblGrid>
      <w:tr w:rsidR="003F155D" w:rsidRPr="003F155D" w:rsidTr="00297CA5">
        <w:tc>
          <w:tcPr>
            <w:tcW w:w="9242" w:type="dxa"/>
            <w:gridSpan w:val="2"/>
            <w:tcBorders>
              <w:top w:val="nil"/>
            </w:tcBorders>
          </w:tcPr>
          <w:p w:rsidR="003F155D" w:rsidRPr="003F155D" w:rsidRDefault="003F155D" w:rsidP="003F155D">
            <w:pPr>
              <w:widowControl/>
              <w:spacing w:before="40" w:after="40"/>
              <w:rPr>
                <w:rFonts w:ascii="Segoe UI" w:eastAsia="Times New Roman" w:hAnsi="Segoe UI" w:cs="Times New Roman"/>
                <w:kern w:val="0"/>
                <w:sz w:val="22"/>
                <w:szCs w:val="20"/>
                <w:lang w:val="en-GB" w:eastAsia="en-US"/>
              </w:rPr>
            </w:pPr>
            <w:r w:rsidRPr="003F155D">
              <w:rPr>
                <w:rFonts w:ascii="Segoe UI" w:eastAsia="Times New Roman" w:hAnsi="Segoe UI" w:cs="Times New Roman"/>
                <w:kern w:val="0"/>
                <w:sz w:val="22"/>
                <w:szCs w:val="20"/>
                <w:lang w:val="en-GB" w:eastAsia="en-US"/>
              </w:rPr>
              <w:lastRenderedPageBreak/>
              <w:t xml:space="preserve">Template KM2: Key metrics – LAC requirements for resolution entities (at LAC consolidation group level) </w:t>
            </w:r>
          </w:p>
          <w:p w:rsidR="003F155D" w:rsidRPr="003F155D" w:rsidRDefault="003F155D" w:rsidP="003F155D">
            <w:pPr>
              <w:widowControl/>
              <w:spacing w:before="40" w:after="40"/>
              <w:rPr>
                <w:rFonts w:ascii="Segoe UI" w:eastAsia="Times New Roman" w:hAnsi="Segoe UI" w:cs="Times New Roman"/>
                <w:noProof/>
                <w:kern w:val="0"/>
                <w:sz w:val="17"/>
                <w:szCs w:val="20"/>
                <w:lang w:val="en-GB" w:eastAsia="en-GB"/>
              </w:rPr>
            </w:pPr>
          </w:p>
        </w:tc>
      </w:tr>
      <w:tr w:rsidR="003F155D" w:rsidRPr="003F155D" w:rsidTr="00297CA5">
        <w:tc>
          <w:tcPr>
            <w:tcW w:w="2127" w:type="dxa"/>
          </w:tcPr>
          <w:p w:rsidR="003F155D" w:rsidRPr="003F155D" w:rsidRDefault="003F155D" w:rsidP="003F155D">
            <w:pPr>
              <w:widowControl/>
              <w:spacing w:before="40" w:after="40"/>
              <w:rPr>
                <w:rFonts w:ascii="Segoe UI" w:eastAsia="Times New Roman" w:hAnsi="Segoe UI" w:cs="Times New Roman"/>
                <w:noProof/>
                <w:kern w:val="0"/>
                <w:sz w:val="17"/>
                <w:szCs w:val="20"/>
                <w:lang w:val="en-GB" w:eastAsia="en-GB"/>
              </w:rPr>
            </w:pPr>
            <w:r w:rsidRPr="003F155D">
              <w:rPr>
                <w:rFonts w:ascii="Segoe UI" w:eastAsia="Times New Roman" w:hAnsi="Segoe UI" w:cs="Times New Roman"/>
                <w:b/>
                <w:kern w:val="0"/>
                <w:sz w:val="17"/>
                <w:szCs w:val="20"/>
                <w:lang w:val="en-GB" w:eastAsia="en-GB"/>
              </w:rPr>
              <w:t>Purpose:</w:t>
            </w:r>
            <w:r w:rsidRPr="003F155D">
              <w:rPr>
                <w:rFonts w:ascii="Segoe UI" w:eastAsia="Times New Roman" w:hAnsi="Segoe UI" w:cs="Times New Roman"/>
                <w:kern w:val="0"/>
                <w:sz w:val="17"/>
                <w:szCs w:val="20"/>
                <w:lang w:val="en-GB" w:eastAsia="en-GB"/>
              </w:rPr>
              <w:t xml:space="preserve"> </w:t>
            </w:r>
          </w:p>
        </w:tc>
        <w:tc>
          <w:tcPr>
            <w:tcW w:w="7115" w:type="dxa"/>
          </w:tcPr>
          <w:p w:rsidR="003F155D" w:rsidRPr="003F155D" w:rsidRDefault="003F155D" w:rsidP="003F155D">
            <w:pPr>
              <w:widowControl/>
              <w:spacing w:before="40" w:after="40"/>
              <w:jc w:val="both"/>
              <w:rPr>
                <w:rFonts w:ascii="Segoe UI" w:eastAsia="新細明體" w:hAnsi="Segoe UI" w:cs="Times New Roman"/>
                <w:noProof/>
                <w:kern w:val="0"/>
                <w:sz w:val="17"/>
                <w:szCs w:val="20"/>
                <w:lang w:val="en-GB" w:eastAsia="en-GB"/>
              </w:rPr>
            </w:pPr>
            <w:r w:rsidRPr="003F155D">
              <w:rPr>
                <w:rFonts w:ascii="Segoe UI" w:eastAsia="新細明體" w:hAnsi="Segoe UI" w:cs="Times New Roman"/>
                <w:noProof/>
                <w:kern w:val="0"/>
                <w:sz w:val="17"/>
                <w:szCs w:val="20"/>
                <w:lang w:val="en-GB" w:eastAsia="en-GB"/>
              </w:rPr>
              <w:t xml:space="preserve">To provide summary information on external loss-absorbing capacity available, at LAC consolidation group level, of a resolution entity.  </w:t>
            </w:r>
          </w:p>
        </w:tc>
      </w:tr>
      <w:tr w:rsidR="003F155D" w:rsidRPr="003F155D" w:rsidTr="00297CA5">
        <w:tc>
          <w:tcPr>
            <w:tcW w:w="2127" w:type="dxa"/>
          </w:tcPr>
          <w:p w:rsidR="003F155D" w:rsidRPr="003F155D" w:rsidRDefault="003F155D" w:rsidP="003F155D">
            <w:pPr>
              <w:widowControl/>
              <w:spacing w:before="40" w:after="40"/>
              <w:rPr>
                <w:rFonts w:ascii="Segoe UI" w:eastAsia="Times New Roman" w:hAnsi="Segoe UI" w:cs="Times New Roman"/>
                <w:b/>
                <w:kern w:val="0"/>
                <w:sz w:val="17"/>
                <w:szCs w:val="20"/>
                <w:lang w:val="en-GB" w:eastAsia="en-GB"/>
              </w:rPr>
            </w:pPr>
            <w:r w:rsidRPr="003F155D">
              <w:rPr>
                <w:rFonts w:ascii="Segoe UI" w:eastAsia="Times New Roman" w:hAnsi="Segoe UI" w:cs="Times New Roman"/>
                <w:b/>
                <w:kern w:val="0"/>
                <w:sz w:val="17"/>
                <w:szCs w:val="20"/>
                <w:lang w:val="en-GB" w:eastAsia="en-GB"/>
              </w:rPr>
              <w:t xml:space="preserve">Scope of application: </w:t>
            </w:r>
          </w:p>
        </w:tc>
        <w:tc>
          <w:tcPr>
            <w:tcW w:w="7115" w:type="dxa"/>
          </w:tcPr>
          <w:p w:rsidR="003F155D" w:rsidRPr="003F155D" w:rsidRDefault="003F155D" w:rsidP="003F155D">
            <w:pPr>
              <w:widowControl/>
              <w:tabs>
                <w:tab w:val="right" w:pos="6899"/>
              </w:tabs>
              <w:spacing w:before="40" w:after="40"/>
              <w:jc w:val="both"/>
              <w:rPr>
                <w:rFonts w:ascii="Segoe UI" w:eastAsia="新細明體" w:hAnsi="Segoe UI" w:cs="Times New Roman"/>
                <w:b/>
                <w:kern w:val="0"/>
                <w:sz w:val="17"/>
                <w:szCs w:val="20"/>
                <w:lang w:val="en-GB" w:eastAsia="en-GB"/>
              </w:rPr>
            </w:pPr>
            <w:r w:rsidRPr="003F155D">
              <w:rPr>
                <w:rFonts w:ascii="Segoe UI" w:eastAsia="新細明體" w:hAnsi="Segoe UI" w:cs="Times New Roman"/>
                <w:kern w:val="0"/>
                <w:sz w:val="17"/>
                <w:szCs w:val="20"/>
                <w:lang w:val="en-GB" w:eastAsia="en-GB"/>
              </w:rPr>
              <w:t>The template is mandatory for all resolution entities under the Financial Institutions (Resolution) (Loss-absorbing Capacity Requirements – Banking Sector) Rules (“LAC Rules”).</w:t>
            </w:r>
            <w:r w:rsidRPr="003F155D">
              <w:rPr>
                <w:rFonts w:ascii="Segoe UI" w:eastAsia="新細明體" w:hAnsi="Segoe UI" w:cs="Times New Roman"/>
                <w:kern w:val="0"/>
                <w:sz w:val="17"/>
                <w:szCs w:val="20"/>
                <w:lang w:val="en-GB" w:eastAsia="en-GB"/>
              </w:rPr>
              <w:tab/>
            </w:r>
          </w:p>
        </w:tc>
      </w:tr>
      <w:tr w:rsidR="003F155D" w:rsidRPr="003F155D" w:rsidTr="00297CA5">
        <w:tc>
          <w:tcPr>
            <w:tcW w:w="2127" w:type="dxa"/>
          </w:tcPr>
          <w:p w:rsidR="003F155D" w:rsidRPr="003F155D" w:rsidRDefault="003F155D" w:rsidP="003F155D">
            <w:pPr>
              <w:widowControl/>
              <w:spacing w:before="40" w:after="40"/>
              <w:rPr>
                <w:rFonts w:ascii="Segoe UI" w:eastAsia="Times New Roman" w:hAnsi="Segoe UI" w:cs="Times New Roman"/>
                <w:b/>
                <w:kern w:val="0"/>
                <w:sz w:val="17"/>
                <w:szCs w:val="20"/>
                <w:lang w:val="en-GB" w:eastAsia="en-GB"/>
              </w:rPr>
            </w:pPr>
            <w:r w:rsidRPr="003F155D">
              <w:rPr>
                <w:rFonts w:ascii="Segoe UI" w:eastAsia="Times New Roman" w:hAnsi="Segoe UI" w:cs="Times New Roman"/>
                <w:b/>
                <w:kern w:val="0"/>
                <w:sz w:val="17"/>
                <w:szCs w:val="20"/>
                <w:lang w:val="en-GB" w:eastAsia="en-GB"/>
              </w:rPr>
              <w:t xml:space="preserve">Content: </w:t>
            </w:r>
          </w:p>
        </w:tc>
        <w:tc>
          <w:tcPr>
            <w:tcW w:w="7115" w:type="dxa"/>
          </w:tcPr>
          <w:p w:rsidR="003F155D" w:rsidRPr="003F155D" w:rsidRDefault="003F155D" w:rsidP="003F155D">
            <w:pPr>
              <w:widowControl/>
              <w:spacing w:before="40" w:after="40"/>
              <w:jc w:val="both"/>
              <w:rPr>
                <w:rFonts w:ascii="Segoe UI" w:eastAsia="新細明體" w:hAnsi="Segoe UI" w:cs="Times New Roman"/>
                <w:kern w:val="0"/>
                <w:sz w:val="17"/>
                <w:szCs w:val="20"/>
                <w:lang w:val="en-GB" w:eastAsia="en-GB"/>
              </w:rPr>
            </w:pPr>
            <w:r w:rsidRPr="003F155D">
              <w:rPr>
                <w:rFonts w:ascii="Segoe UI" w:eastAsia="新細明體" w:hAnsi="Segoe UI" w:cs="Times New Roman"/>
                <w:kern w:val="0"/>
                <w:sz w:val="17"/>
                <w:szCs w:val="20"/>
                <w:lang w:val="en-GB" w:eastAsia="en-GB"/>
              </w:rPr>
              <w:t xml:space="preserve">Key regulatory metrics related to external loss-absorbing capacity of a resolution entity.  Resolution entities are required to disclose the values for the current reporting period (designated by T in the template below) as well as the four previous quarterly reporting periods (designated by T-1 to T-4 respectively).  </w:t>
            </w:r>
          </w:p>
        </w:tc>
      </w:tr>
      <w:tr w:rsidR="003F155D" w:rsidRPr="003F155D" w:rsidTr="00297CA5">
        <w:tc>
          <w:tcPr>
            <w:tcW w:w="2127" w:type="dxa"/>
          </w:tcPr>
          <w:p w:rsidR="003F155D" w:rsidRPr="003F155D" w:rsidRDefault="003F155D" w:rsidP="003F155D">
            <w:pPr>
              <w:widowControl/>
              <w:spacing w:before="40" w:after="40"/>
              <w:rPr>
                <w:rFonts w:ascii="Segoe UI" w:eastAsia="Times New Roman" w:hAnsi="Segoe UI" w:cs="Times New Roman"/>
                <w:kern w:val="0"/>
                <w:sz w:val="17"/>
                <w:szCs w:val="20"/>
                <w:lang w:val="en-GB" w:eastAsia="en-GB"/>
              </w:rPr>
            </w:pPr>
            <w:r w:rsidRPr="003F155D">
              <w:rPr>
                <w:rFonts w:ascii="Segoe UI" w:eastAsia="Times New Roman" w:hAnsi="Segoe UI" w:cs="Times New Roman"/>
                <w:b/>
                <w:kern w:val="0"/>
                <w:sz w:val="17"/>
                <w:szCs w:val="20"/>
                <w:lang w:val="en-GB" w:eastAsia="en-GB"/>
              </w:rPr>
              <w:t>Frequency:</w:t>
            </w:r>
            <w:r w:rsidRPr="003F155D">
              <w:rPr>
                <w:rFonts w:ascii="Segoe UI" w:eastAsia="Times New Roman" w:hAnsi="Segoe UI" w:cs="Times New Roman"/>
                <w:kern w:val="0"/>
                <w:sz w:val="17"/>
                <w:szCs w:val="20"/>
                <w:lang w:val="en-GB" w:eastAsia="en-GB"/>
              </w:rPr>
              <w:t xml:space="preserve"> </w:t>
            </w:r>
          </w:p>
        </w:tc>
        <w:tc>
          <w:tcPr>
            <w:tcW w:w="7115" w:type="dxa"/>
          </w:tcPr>
          <w:p w:rsidR="003F155D" w:rsidRPr="003F155D" w:rsidRDefault="003F155D" w:rsidP="003F155D">
            <w:pPr>
              <w:widowControl/>
              <w:spacing w:before="40" w:after="40"/>
              <w:jc w:val="both"/>
              <w:rPr>
                <w:rFonts w:ascii="Segoe UI" w:eastAsia="新細明體" w:hAnsi="Segoe UI" w:cs="Times New Roman"/>
                <w:kern w:val="0"/>
                <w:sz w:val="17"/>
                <w:szCs w:val="20"/>
                <w:lang w:val="en-GB" w:eastAsia="en-GB"/>
              </w:rPr>
            </w:pPr>
            <w:r w:rsidRPr="003F155D">
              <w:rPr>
                <w:rFonts w:ascii="Segoe UI" w:eastAsia="新細明體" w:hAnsi="Segoe UI" w:cs="Times New Roman"/>
                <w:kern w:val="0"/>
                <w:sz w:val="17"/>
                <w:szCs w:val="20"/>
                <w:lang w:val="en-GB" w:eastAsia="en-GB"/>
              </w:rPr>
              <w:t xml:space="preserve">Quarterly.  </w:t>
            </w:r>
          </w:p>
        </w:tc>
      </w:tr>
      <w:tr w:rsidR="003F155D" w:rsidRPr="003F155D" w:rsidTr="00297CA5">
        <w:tc>
          <w:tcPr>
            <w:tcW w:w="2127" w:type="dxa"/>
          </w:tcPr>
          <w:p w:rsidR="003F155D" w:rsidRPr="003F155D" w:rsidRDefault="003F155D" w:rsidP="003F155D">
            <w:pPr>
              <w:widowControl/>
              <w:spacing w:before="40" w:after="40"/>
              <w:rPr>
                <w:rFonts w:ascii="Segoe UI" w:eastAsia="Times New Roman" w:hAnsi="Segoe UI" w:cs="Times New Roman"/>
                <w:kern w:val="0"/>
                <w:sz w:val="17"/>
                <w:szCs w:val="20"/>
                <w:lang w:val="en-GB" w:eastAsia="en-GB"/>
              </w:rPr>
            </w:pPr>
            <w:r w:rsidRPr="003F155D">
              <w:rPr>
                <w:rFonts w:ascii="Segoe UI" w:eastAsia="Times New Roman" w:hAnsi="Segoe UI" w:cs="Times New Roman"/>
                <w:b/>
                <w:kern w:val="0"/>
                <w:sz w:val="17"/>
                <w:szCs w:val="20"/>
                <w:lang w:val="en-GB" w:eastAsia="en-GB"/>
              </w:rPr>
              <w:t>Format:</w:t>
            </w:r>
            <w:r w:rsidRPr="003F155D">
              <w:rPr>
                <w:rFonts w:ascii="Segoe UI" w:eastAsia="Times New Roman" w:hAnsi="Segoe UI" w:cs="Times New Roman"/>
                <w:kern w:val="0"/>
                <w:sz w:val="17"/>
                <w:szCs w:val="20"/>
                <w:lang w:val="en-GB" w:eastAsia="en-GB"/>
              </w:rPr>
              <w:t xml:space="preserve"> </w:t>
            </w:r>
          </w:p>
        </w:tc>
        <w:tc>
          <w:tcPr>
            <w:tcW w:w="7115" w:type="dxa"/>
          </w:tcPr>
          <w:p w:rsidR="003F155D" w:rsidRPr="003F155D" w:rsidRDefault="003F155D" w:rsidP="003F155D">
            <w:pPr>
              <w:widowControl/>
              <w:spacing w:before="40" w:after="40"/>
              <w:jc w:val="both"/>
              <w:rPr>
                <w:rFonts w:ascii="Segoe UI" w:eastAsia="新細明體" w:hAnsi="Segoe UI" w:cs="Times New Roman"/>
                <w:kern w:val="0"/>
                <w:sz w:val="17"/>
                <w:szCs w:val="20"/>
                <w:lang w:val="en-GB" w:eastAsia="en-GB"/>
              </w:rPr>
            </w:pPr>
            <w:r w:rsidRPr="003F155D">
              <w:rPr>
                <w:rFonts w:ascii="Segoe UI" w:eastAsia="新細明體" w:hAnsi="Segoe UI" w:cs="Times New Roman"/>
                <w:kern w:val="0"/>
                <w:sz w:val="17"/>
                <w:szCs w:val="20"/>
                <w:lang w:val="en-GB" w:eastAsia="en-GB"/>
              </w:rPr>
              <w:t>Fixed.</w:t>
            </w:r>
          </w:p>
        </w:tc>
      </w:tr>
      <w:tr w:rsidR="003F155D" w:rsidRPr="003F155D" w:rsidTr="00297CA5">
        <w:tc>
          <w:tcPr>
            <w:tcW w:w="2127" w:type="dxa"/>
          </w:tcPr>
          <w:p w:rsidR="003F155D" w:rsidRPr="003F155D" w:rsidRDefault="003F155D" w:rsidP="003F155D">
            <w:pPr>
              <w:widowControl/>
              <w:spacing w:before="40" w:after="40"/>
              <w:rPr>
                <w:rFonts w:ascii="Segoe UI" w:eastAsia="Times New Roman" w:hAnsi="Segoe UI" w:cs="Times New Roman"/>
                <w:b/>
                <w:kern w:val="0"/>
                <w:sz w:val="17"/>
                <w:szCs w:val="20"/>
                <w:lang w:val="en-GB" w:eastAsia="en-GB"/>
              </w:rPr>
            </w:pPr>
            <w:r w:rsidRPr="003F155D">
              <w:rPr>
                <w:rFonts w:ascii="Segoe UI" w:eastAsia="新細明體" w:hAnsi="Segoe UI" w:cs="Times New Roman"/>
                <w:b/>
                <w:kern w:val="0"/>
                <w:sz w:val="17"/>
                <w:szCs w:val="17"/>
                <w:lang w:val="en-GB" w:eastAsia="en-GB"/>
              </w:rPr>
              <w:t>Accompanying narrative</w:t>
            </w:r>
            <w:r w:rsidRPr="003F155D">
              <w:rPr>
                <w:rFonts w:ascii="Segoe UI" w:eastAsia="新細明體" w:hAnsi="Segoe UI" w:cs="Times New Roman"/>
                <w:kern w:val="0"/>
                <w:sz w:val="17"/>
                <w:szCs w:val="17"/>
                <w:lang w:val="en-GB" w:eastAsia="en-GB"/>
              </w:rPr>
              <w:t>:</w:t>
            </w:r>
          </w:p>
        </w:tc>
        <w:tc>
          <w:tcPr>
            <w:tcW w:w="7115" w:type="dxa"/>
          </w:tcPr>
          <w:p w:rsidR="003F155D" w:rsidRPr="003F155D" w:rsidRDefault="003F155D" w:rsidP="003F155D">
            <w:pPr>
              <w:widowControl/>
              <w:spacing w:before="40" w:after="40"/>
              <w:jc w:val="both"/>
              <w:rPr>
                <w:rFonts w:ascii="Segoe UI" w:eastAsia="新細明體" w:hAnsi="Segoe UI" w:cs="Times New Roman"/>
                <w:kern w:val="0"/>
                <w:sz w:val="17"/>
                <w:szCs w:val="20"/>
                <w:lang w:val="en-GB" w:eastAsia="en-GB"/>
              </w:rPr>
            </w:pPr>
            <w:r w:rsidRPr="003F155D">
              <w:rPr>
                <w:rFonts w:ascii="Segoe UI" w:eastAsia="新細明體" w:hAnsi="Segoe UI" w:cs="Times New Roman"/>
                <w:kern w:val="0"/>
                <w:sz w:val="17"/>
                <w:szCs w:val="20"/>
                <w:lang w:val="en-GB" w:eastAsia="en-GB"/>
              </w:rPr>
              <w:t xml:space="preserve">A resolution entity should explain the key drivers behind any material changes across reporting periods for each value in a narrative commentary.  </w:t>
            </w:r>
          </w:p>
        </w:tc>
      </w:tr>
      <w:tr w:rsidR="003F155D" w:rsidRPr="003F155D" w:rsidTr="00297CA5">
        <w:tc>
          <w:tcPr>
            <w:tcW w:w="2127" w:type="dxa"/>
          </w:tcPr>
          <w:p w:rsidR="003F155D" w:rsidRPr="003F155D" w:rsidRDefault="003F155D" w:rsidP="003F155D">
            <w:pPr>
              <w:widowControl/>
              <w:spacing w:before="40" w:after="40"/>
              <w:rPr>
                <w:rFonts w:ascii="Segoe UI" w:eastAsia="新細明體" w:hAnsi="Segoe UI" w:cs="Times New Roman"/>
                <w:b/>
                <w:kern w:val="0"/>
                <w:sz w:val="17"/>
                <w:szCs w:val="17"/>
                <w:highlight w:val="yellow"/>
                <w:lang w:val="en-GB" w:eastAsia="en-GB"/>
              </w:rPr>
            </w:pPr>
            <w:r w:rsidRPr="003F155D">
              <w:rPr>
                <w:rFonts w:ascii="Segoe UI" w:eastAsia="新細明體" w:hAnsi="Segoe UI" w:cs="Times New Roman"/>
                <w:b/>
                <w:kern w:val="0"/>
                <w:sz w:val="17"/>
                <w:szCs w:val="17"/>
                <w:lang w:val="en-GB" w:eastAsia="en-GB"/>
              </w:rPr>
              <w:t>Corresponding LAC Rules rule</w:t>
            </w:r>
          </w:p>
        </w:tc>
        <w:tc>
          <w:tcPr>
            <w:tcW w:w="7115" w:type="dxa"/>
          </w:tcPr>
          <w:p w:rsidR="003F155D" w:rsidRPr="003F155D" w:rsidRDefault="003F155D" w:rsidP="003F155D">
            <w:pPr>
              <w:widowControl/>
              <w:spacing w:before="40" w:after="40"/>
              <w:jc w:val="both"/>
              <w:rPr>
                <w:rFonts w:ascii="Segoe UI" w:eastAsia="新細明體" w:hAnsi="Segoe UI" w:cs="Times New Roman"/>
                <w:kern w:val="0"/>
                <w:sz w:val="17"/>
                <w:szCs w:val="17"/>
                <w:highlight w:val="yellow"/>
                <w:lang w:val="en-GB" w:eastAsia="en-GB"/>
              </w:rPr>
            </w:pPr>
            <w:r w:rsidRPr="003F155D">
              <w:rPr>
                <w:rFonts w:ascii="Segoe UI" w:eastAsia="新細明體" w:hAnsi="Segoe UI" w:cs="Times New Roman"/>
                <w:kern w:val="0"/>
                <w:sz w:val="17"/>
                <w:szCs w:val="17"/>
                <w:lang w:val="en-GB" w:eastAsia="en-GB"/>
              </w:rPr>
              <w:t>47(1)</w:t>
            </w:r>
          </w:p>
        </w:tc>
      </w:tr>
    </w:tbl>
    <w:p w:rsidR="003F155D" w:rsidRPr="003F155D" w:rsidRDefault="003F155D" w:rsidP="003F155D">
      <w:pPr>
        <w:widowControl/>
        <w:spacing w:before="120" w:after="120"/>
        <w:rPr>
          <w:rFonts w:ascii="Segoe UI" w:eastAsia="Times New Roman" w:hAnsi="Segoe UI" w:cs="Times New Roman"/>
          <w:kern w:val="0"/>
          <w:sz w:val="22"/>
          <w:szCs w:val="20"/>
          <w:lang w:val="en-GB" w:eastAsia="en-US"/>
        </w:rPr>
      </w:pPr>
    </w:p>
    <w:tbl>
      <w:tblPr>
        <w:tblW w:w="10176" w:type="dxa"/>
        <w:tblInd w:w="-539" w:type="dxa"/>
        <w:tblCellMar>
          <w:left w:w="28" w:type="dxa"/>
          <w:right w:w="28" w:type="dxa"/>
        </w:tblCellMar>
        <w:tblLook w:val="04A0" w:firstRow="1" w:lastRow="0" w:firstColumn="1" w:lastColumn="0" w:noHBand="0" w:noVBand="1"/>
      </w:tblPr>
      <w:tblGrid>
        <w:gridCol w:w="340"/>
        <w:gridCol w:w="85"/>
        <w:gridCol w:w="5529"/>
        <w:gridCol w:w="820"/>
        <w:gridCol w:w="881"/>
        <w:gridCol w:w="850"/>
        <w:gridCol w:w="851"/>
        <w:gridCol w:w="820"/>
      </w:tblGrid>
      <w:tr w:rsidR="003F155D" w:rsidRPr="003F155D" w:rsidTr="00297CA5">
        <w:trPr>
          <w:trHeight w:val="283"/>
        </w:trPr>
        <w:tc>
          <w:tcPr>
            <w:tcW w:w="340" w:type="dxa"/>
            <w:tcBorders>
              <w:top w:val="single" w:sz="4" w:space="0" w:color="auto"/>
              <w:left w:val="nil"/>
              <w:bottom w:val="nil"/>
              <w:right w:val="nil"/>
            </w:tcBorders>
            <w:shd w:val="clear" w:color="auto" w:fill="auto"/>
            <w:noWrap/>
            <w:vAlign w:val="center"/>
            <w:hideMark/>
          </w:tcPr>
          <w:p w:rsidR="003F155D" w:rsidRPr="003F155D" w:rsidRDefault="003F155D" w:rsidP="003F155D">
            <w:pPr>
              <w:widowControl/>
              <w:spacing w:line="200" w:lineRule="exact"/>
              <w:rPr>
                <w:rFonts w:ascii="Segoe UI" w:eastAsia="新細明體" w:hAnsi="Segoe UI" w:cs="Segoe UI"/>
                <w:color w:val="000000"/>
                <w:kern w:val="0"/>
                <w:sz w:val="17"/>
                <w:szCs w:val="17"/>
                <w:lang w:val="en-GB"/>
              </w:rPr>
            </w:pPr>
          </w:p>
        </w:tc>
        <w:tc>
          <w:tcPr>
            <w:tcW w:w="5614" w:type="dxa"/>
            <w:gridSpan w:val="2"/>
            <w:tcBorders>
              <w:top w:val="single" w:sz="4" w:space="0" w:color="auto"/>
              <w:left w:val="nil"/>
              <w:bottom w:val="nil"/>
              <w:right w:val="nil"/>
            </w:tcBorders>
            <w:shd w:val="clear" w:color="auto" w:fill="auto"/>
            <w:noWrap/>
            <w:vAlign w:val="center"/>
            <w:hideMark/>
          </w:tcPr>
          <w:p w:rsidR="003F155D" w:rsidRPr="003F155D" w:rsidRDefault="003F155D" w:rsidP="003F155D">
            <w:pPr>
              <w:widowControl/>
              <w:spacing w:line="200" w:lineRule="exact"/>
              <w:rPr>
                <w:rFonts w:ascii="Segoe UI" w:eastAsia="新細明體" w:hAnsi="Segoe UI" w:cs="Segoe UI"/>
                <w:color w:val="000000"/>
                <w:kern w:val="0"/>
                <w:sz w:val="17"/>
                <w:szCs w:val="17"/>
                <w:lang w:val="en-GB"/>
              </w:rPr>
            </w:pPr>
          </w:p>
        </w:tc>
        <w:tc>
          <w:tcPr>
            <w:tcW w:w="820" w:type="dxa"/>
            <w:tcBorders>
              <w:top w:val="single" w:sz="4" w:space="0" w:color="auto"/>
              <w:left w:val="single" w:sz="4" w:space="0" w:color="auto"/>
              <w:bottom w:val="single" w:sz="4" w:space="0" w:color="auto"/>
              <w:right w:val="single" w:sz="4" w:space="0" w:color="BFBFBF"/>
            </w:tcBorders>
            <w:shd w:val="clear" w:color="auto" w:fill="auto"/>
            <w:vAlign w:val="center"/>
            <w:hideMark/>
          </w:tcPr>
          <w:p w:rsidR="003F155D" w:rsidRPr="003F155D" w:rsidRDefault="003F155D" w:rsidP="003F155D">
            <w:pPr>
              <w:widowControl/>
              <w:spacing w:line="200" w:lineRule="exact"/>
              <w:jc w:val="center"/>
              <w:rPr>
                <w:rFonts w:ascii="Segoe UI" w:eastAsia="新細明體" w:hAnsi="Segoe UI" w:cs="Segoe UI"/>
                <w:color w:val="000000"/>
                <w:kern w:val="0"/>
                <w:sz w:val="17"/>
                <w:szCs w:val="17"/>
                <w:lang w:val="en-GB"/>
              </w:rPr>
            </w:pPr>
            <w:r w:rsidRPr="003F155D">
              <w:rPr>
                <w:rFonts w:ascii="Segoe UI" w:eastAsia="新細明體" w:hAnsi="Segoe UI" w:cs="Segoe UI"/>
                <w:color w:val="000000"/>
                <w:kern w:val="0"/>
                <w:sz w:val="17"/>
                <w:szCs w:val="17"/>
                <w:lang w:val="en-GB"/>
              </w:rPr>
              <w:t>(a)</w:t>
            </w:r>
          </w:p>
        </w:tc>
        <w:tc>
          <w:tcPr>
            <w:tcW w:w="881" w:type="dxa"/>
            <w:tcBorders>
              <w:top w:val="single" w:sz="4" w:space="0" w:color="auto"/>
              <w:left w:val="nil"/>
              <w:bottom w:val="single" w:sz="4" w:space="0" w:color="auto"/>
              <w:right w:val="single" w:sz="4" w:space="0" w:color="BFBFBF"/>
            </w:tcBorders>
            <w:shd w:val="clear" w:color="auto" w:fill="auto"/>
            <w:vAlign w:val="center"/>
            <w:hideMark/>
          </w:tcPr>
          <w:p w:rsidR="003F155D" w:rsidRPr="003F155D" w:rsidRDefault="003F155D" w:rsidP="003F155D">
            <w:pPr>
              <w:widowControl/>
              <w:spacing w:line="200" w:lineRule="exact"/>
              <w:jc w:val="center"/>
              <w:rPr>
                <w:rFonts w:ascii="Segoe UI" w:eastAsia="新細明體" w:hAnsi="Segoe UI" w:cs="Segoe UI"/>
                <w:color w:val="000000"/>
                <w:kern w:val="0"/>
                <w:sz w:val="17"/>
                <w:szCs w:val="17"/>
                <w:lang w:val="en-GB"/>
              </w:rPr>
            </w:pPr>
            <w:r w:rsidRPr="003F155D">
              <w:rPr>
                <w:rFonts w:ascii="Segoe UI" w:eastAsia="新細明體" w:hAnsi="Segoe UI" w:cs="Segoe UI"/>
                <w:color w:val="000000"/>
                <w:kern w:val="0"/>
                <w:sz w:val="17"/>
                <w:szCs w:val="17"/>
                <w:lang w:val="en-GB"/>
              </w:rPr>
              <w:t>(b)</w:t>
            </w:r>
          </w:p>
        </w:tc>
        <w:tc>
          <w:tcPr>
            <w:tcW w:w="850" w:type="dxa"/>
            <w:tcBorders>
              <w:top w:val="single" w:sz="4" w:space="0" w:color="auto"/>
              <w:left w:val="nil"/>
              <w:bottom w:val="single" w:sz="4" w:space="0" w:color="auto"/>
              <w:right w:val="single" w:sz="4" w:space="0" w:color="BFBFBF"/>
            </w:tcBorders>
            <w:shd w:val="clear" w:color="auto" w:fill="auto"/>
            <w:vAlign w:val="center"/>
            <w:hideMark/>
          </w:tcPr>
          <w:p w:rsidR="003F155D" w:rsidRPr="003F155D" w:rsidRDefault="003F155D" w:rsidP="003F155D">
            <w:pPr>
              <w:widowControl/>
              <w:spacing w:line="200" w:lineRule="exact"/>
              <w:jc w:val="center"/>
              <w:rPr>
                <w:rFonts w:ascii="Segoe UI" w:eastAsia="新細明體" w:hAnsi="Segoe UI" w:cs="Segoe UI"/>
                <w:color w:val="000000"/>
                <w:kern w:val="0"/>
                <w:sz w:val="17"/>
                <w:szCs w:val="17"/>
                <w:lang w:val="en-GB"/>
              </w:rPr>
            </w:pPr>
            <w:r w:rsidRPr="003F155D">
              <w:rPr>
                <w:rFonts w:ascii="Segoe UI" w:eastAsia="新細明體" w:hAnsi="Segoe UI" w:cs="Segoe UI"/>
                <w:color w:val="000000"/>
                <w:kern w:val="0"/>
                <w:sz w:val="17"/>
                <w:szCs w:val="17"/>
                <w:lang w:val="en-GB"/>
              </w:rPr>
              <w:t>(c)</w:t>
            </w:r>
          </w:p>
        </w:tc>
        <w:tc>
          <w:tcPr>
            <w:tcW w:w="851" w:type="dxa"/>
            <w:tcBorders>
              <w:top w:val="single" w:sz="4" w:space="0" w:color="auto"/>
              <w:left w:val="nil"/>
              <w:bottom w:val="single" w:sz="4" w:space="0" w:color="auto"/>
              <w:right w:val="single" w:sz="4" w:space="0" w:color="BFBFBF"/>
            </w:tcBorders>
            <w:shd w:val="clear" w:color="auto" w:fill="auto"/>
            <w:vAlign w:val="center"/>
            <w:hideMark/>
          </w:tcPr>
          <w:p w:rsidR="003F155D" w:rsidRPr="003F155D" w:rsidRDefault="003F155D" w:rsidP="003F155D">
            <w:pPr>
              <w:widowControl/>
              <w:spacing w:line="200" w:lineRule="exact"/>
              <w:jc w:val="center"/>
              <w:rPr>
                <w:rFonts w:ascii="Segoe UI" w:eastAsia="新細明體" w:hAnsi="Segoe UI" w:cs="Segoe UI"/>
                <w:color w:val="000000"/>
                <w:kern w:val="0"/>
                <w:sz w:val="17"/>
                <w:szCs w:val="17"/>
                <w:lang w:val="en-GB"/>
              </w:rPr>
            </w:pPr>
            <w:r w:rsidRPr="003F155D">
              <w:rPr>
                <w:rFonts w:ascii="Segoe UI" w:eastAsia="新細明體" w:hAnsi="Segoe UI" w:cs="Segoe UI"/>
                <w:color w:val="000000"/>
                <w:kern w:val="0"/>
                <w:sz w:val="17"/>
                <w:szCs w:val="17"/>
                <w:lang w:val="en-GB"/>
              </w:rPr>
              <w:t>(d)</w:t>
            </w:r>
          </w:p>
        </w:tc>
        <w:tc>
          <w:tcPr>
            <w:tcW w:w="820" w:type="dxa"/>
            <w:tcBorders>
              <w:top w:val="single" w:sz="4" w:space="0" w:color="auto"/>
              <w:left w:val="nil"/>
              <w:bottom w:val="single" w:sz="4" w:space="0" w:color="auto"/>
            </w:tcBorders>
            <w:shd w:val="clear" w:color="auto" w:fill="auto"/>
            <w:vAlign w:val="center"/>
            <w:hideMark/>
          </w:tcPr>
          <w:p w:rsidR="003F155D" w:rsidRPr="003F155D" w:rsidRDefault="003F155D" w:rsidP="003F155D">
            <w:pPr>
              <w:widowControl/>
              <w:spacing w:line="200" w:lineRule="exact"/>
              <w:jc w:val="center"/>
              <w:rPr>
                <w:rFonts w:ascii="Segoe UI" w:eastAsia="新細明體" w:hAnsi="Segoe UI" w:cs="Segoe UI"/>
                <w:color w:val="000000"/>
                <w:kern w:val="0"/>
                <w:sz w:val="17"/>
                <w:szCs w:val="17"/>
                <w:lang w:val="en-GB"/>
              </w:rPr>
            </w:pPr>
            <w:r w:rsidRPr="003F155D">
              <w:rPr>
                <w:rFonts w:ascii="Segoe UI" w:eastAsia="新細明體" w:hAnsi="Segoe UI" w:cs="Segoe UI"/>
                <w:color w:val="000000"/>
                <w:kern w:val="0"/>
                <w:sz w:val="17"/>
                <w:szCs w:val="17"/>
                <w:lang w:val="en-GB"/>
              </w:rPr>
              <w:t>(e)</w:t>
            </w:r>
          </w:p>
        </w:tc>
      </w:tr>
      <w:tr w:rsidR="003F155D" w:rsidRPr="003F155D" w:rsidTr="00297CA5">
        <w:trPr>
          <w:trHeight w:val="247"/>
        </w:trPr>
        <w:tc>
          <w:tcPr>
            <w:tcW w:w="340" w:type="dxa"/>
            <w:tcBorders>
              <w:top w:val="nil"/>
              <w:left w:val="nil"/>
              <w:bottom w:val="single" w:sz="4" w:space="0" w:color="auto"/>
              <w:right w:val="nil"/>
            </w:tcBorders>
            <w:shd w:val="clear" w:color="auto" w:fill="auto"/>
            <w:noWrap/>
            <w:vAlign w:val="center"/>
            <w:hideMark/>
          </w:tcPr>
          <w:p w:rsidR="003F155D" w:rsidRPr="003F155D" w:rsidRDefault="003F155D" w:rsidP="003F155D">
            <w:pPr>
              <w:widowControl/>
              <w:spacing w:line="200" w:lineRule="exact"/>
              <w:rPr>
                <w:rFonts w:ascii="Segoe UI" w:eastAsia="新細明體" w:hAnsi="Segoe UI" w:cs="Segoe UI"/>
                <w:color w:val="000000"/>
                <w:kern w:val="0"/>
                <w:sz w:val="17"/>
                <w:szCs w:val="17"/>
                <w:lang w:val="en-GB"/>
              </w:rPr>
            </w:pPr>
          </w:p>
        </w:tc>
        <w:tc>
          <w:tcPr>
            <w:tcW w:w="5614" w:type="dxa"/>
            <w:gridSpan w:val="2"/>
            <w:tcBorders>
              <w:top w:val="nil"/>
              <w:left w:val="nil"/>
              <w:bottom w:val="single" w:sz="4" w:space="0" w:color="auto"/>
              <w:right w:val="nil"/>
            </w:tcBorders>
            <w:shd w:val="clear" w:color="auto" w:fill="auto"/>
            <w:noWrap/>
            <w:vAlign w:val="center"/>
            <w:hideMark/>
          </w:tcPr>
          <w:p w:rsidR="003F155D" w:rsidRPr="003F155D" w:rsidRDefault="003F155D" w:rsidP="003F155D">
            <w:pPr>
              <w:widowControl/>
              <w:spacing w:line="200" w:lineRule="exact"/>
              <w:rPr>
                <w:rFonts w:ascii="Segoe UI" w:eastAsia="新細明體" w:hAnsi="Segoe UI" w:cs="Segoe UI"/>
                <w:color w:val="000000"/>
                <w:kern w:val="0"/>
                <w:sz w:val="17"/>
                <w:szCs w:val="17"/>
                <w:lang w:val="en-GB"/>
              </w:rPr>
            </w:pPr>
          </w:p>
        </w:tc>
        <w:tc>
          <w:tcPr>
            <w:tcW w:w="820" w:type="dxa"/>
            <w:tcBorders>
              <w:top w:val="nil"/>
              <w:left w:val="single" w:sz="4" w:space="0" w:color="auto"/>
              <w:bottom w:val="single" w:sz="4" w:space="0" w:color="auto"/>
              <w:right w:val="single" w:sz="4" w:space="0" w:color="BFBFBF"/>
            </w:tcBorders>
            <w:shd w:val="clear" w:color="auto" w:fill="auto"/>
            <w:vAlign w:val="center"/>
            <w:hideMark/>
          </w:tcPr>
          <w:p w:rsidR="003F155D" w:rsidRPr="003F155D" w:rsidRDefault="003F155D" w:rsidP="003F155D">
            <w:pPr>
              <w:spacing w:line="200" w:lineRule="exact"/>
              <w:jc w:val="center"/>
              <w:rPr>
                <w:rFonts w:ascii="Segoe UI" w:hAnsi="Segoe UI" w:cs="Segoe UI"/>
                <w:sz w:val="17"/>
                <w:szCs w:val="17"/>
                <w:lang w:val="en-GB"/>
              </w:rPr>
            </w:pPr>
            <w:r w:rsidRPr="003F155D">
              <w:rPr>
                <w:rFonts w:ascii="Segoe UI" w:hAnsi="Segoe UI" w:cs="Segoe UI"/>
                <w:sz w:val="17"/>
                <w:szCs w:val="17"/>
                <w:lang w:val="en-GB"/>
              </w:rPr>
              <w:t>T</w:t>
            </w:r>
          </w:p>
        </w:tc>
        <w:tc>
          <w:tcPr>
            <w:tcW w:w="881" w:type="dxa"/>
            <w:tcBorders>
              <w:top w:val="nil"/>
              <w:left w:val="nil"/>
              <w:bottom w:val="single" w:sz="4" w:space="0" w:color="auto"/>
              <w:right w:val="single" w:sz="4" w:space="0" w:color="BFBFBF"/>
            </w:tcBorders>
            <w:shd w:val="clear" w:color="auto" w:fill="auto"/>
            <w:vAlign w:val="center"/>
            <w:hideMark/>
          </w:tcPr>
          <w:p w:rsidR="003F155D" w:rsidRPr="003F155D" w:rsidRDefault="003F155D" w:rsidP="003F155D">
            <w:pPr>
              <w:spacing w:line="200" w:lineRule="exact"/>
              <w:jc w:val="center"/>
              <w:rPr>
                <w:rFonts w:ascii="Segoe UI" w:hAnsi="Segoe UI" w:cs="Segoe UI"/>
                <w:sz w:val="17"/>
                <w:szCs w:val="17"/>
                <w:lang w:val="en-GB"/>
              </w:rPr>
            </w:pPr>
            <w:r w:rsidRPr="003F155D">
              <w:rPr>
                <w:rFonts w:ascii="Segoe UI" w:hAnsi="Segoe UI" w:cs="Segoe UI"/>
                <w:sz w:val="17"/>
                <w:szCs w:val="17"/>
                <w:lang w:val="en-GB"/>
              </w:rPr>
              <w:t>T-1</w:t>
            </w:r>
          </w:p>
        </w:tc>
        <w:tc>
          <w:tcPr>
            <w:tcW w:w="850" w:type="dxa"/>
            <w:tcBorders>
              <w:top w:val="nil"/>
              <w:left w:val="nil"/>
              <w:bottom w:val="single" w:sz="4" w:space="0" w:color="auto"/>
              <w:right w:val="single" w:sz="4" w:space="0" w:color="BFBFBF"/>
            </w:tcBorders>
            <w:shd w:val="clear" w:color="auto" w:fill="auto"/>
            <w:vAlign w:val="center"/>
            <w:hideMark/>
          </w:tcPr>
          <w:p w:rsidR="003F155D" w:rsidRPr="003F155D" w:rsidRDefault="003F155D" w:rsidP="003F155D">
            <w:pPr>
              <w:spacing w:line="200" w:lineRule="exact"/>
              <w:jc w:val="center"/>
              <w:rPr>
                <w:rFonts w:ascii="Segoe UI" w:hAnsi="Segoe UI" w:cs="Segoe UI"/>
                <w:sz w:val="17"/>
                <w:szCs w:val="17"/>
                <w:lang w:val="en-GB"/>
              </w:rPr>
            </w:pPr>
            <w:r w:rsidRPr="003F155D">
              <w:rPr>
                <w:rFonts w:ascii="Segoe UI" w:hAnsi="Segoe UI" w:cs="Segoe UI"/>
                <w:sz w:val="17"/>
                <w:szCs w:val="17"/>
                <w:lang w:val="en-GB"/>
              </w:rPr>
              <w:t>T-2</w:t>
            </w:r>
          </w:p>
        </w:tc>
        <w:tc>
          <w:tcPr>
            <w:tcW w:w="851" w:type="dxa"/>
            <w:tcBorders>
              <w:top w:val="nil"/>
              <w:left w:val="nil"/>
              <w:bottom w:val="single" w:sz="4" w:space="0" w:color="auto"/>
              <w:right w:val="single" w:sz="4" w:space="0" w:color="BFBFBF"/>
            </w:tcBorders>
            <w:shd w:val="clear" w:color="auto" w:fill="auto"/>
            <w:vAlign w:val="center"/>
            <w:hideMark/>
          </w:tcPr>
          <w:p w:rsidR="003F155D" w:rsidRPr="003F155D" w:rsidRDefault="003F155D" w:rsidP="003F155D">
            <w:pPr>
              <w:spacing w:line="200" w:lineRule="exact"/>
              <w:jc w:val="center"/>
              <w:rPr>
                <w:rFonts w:ascii="Segoe UI" w:hAnsi="Segoe UI" w:cs="Segoe UI"/>
                <w:sz w:val="17"/>
                <w:szCs w:val="17"/>
                <w:lang w:val="en-GB"/>
              </w:rPr>
            </w:pPr>
            <w:r w:rsidRPr="003F155D">
              <w:rPr>
                <w:rFonts w:ascii="Segoe UI" w:hAnsi="Segoe UI" w:cs="Segoe UI"/>
                <w:sz w:val="17"/>
                <w:szCs w:val="17"/>
                <w:lang w:val="en-GB"/>
              </w:rPr>
              <w:t>T-3</w:t>
            </w:r>
          </w:p>
        </w:tc>
        <w:tc>
          <w:tcPr>
            <w:tcW w:w="820" w:type="dxa"/>
            <w:tcBorders>
              <w:top w:val="nil"/>
              <w:left w:val="nil"/>
              <w:bottom w:val="single" w:sz="4" w:space="0" w:color="auto"/>
            </w:tcBorders>
            <w:shd w:val="clear" w:color="auto" w:fill="auto"/>
            <w:vAlign w:val="center"/>
            <w:hideMark/>
          </w:tcPr>
          <w:p w:rsidR="003F155D" w:rsidRPr="003F155D" w:rsidRDefault="003F155D" w:rsidP="003F155D">
            <w:pPr>
              <w:spacing w:line="200" w:lineRule="exact"/>
              <w:jc w:val="center"/>
              <w:rPr>
                <w:rFonts w:ascii="Segoe UI" w:hAnsi="Segoe UI" w:cs="Segoe UI"/>
                <w:sz w:val="17"/>
                <w:szCs w:val="17"/>
                <w:lang w:val="en-GB"/>
              </w:rPr>
            </w:pPr>
            <w:r w:rsidRPr="003F155D">
              <w:rPr>
                <w:rFonts w:ascii="Segoe UI" w:hAnsi="Segoe UI" w:cs="Segoe UI"/>
                <w:sz w:val="17"/>
                <w:szCs w:val="17"/>
                <w:lang w:val="en-GB"/>
              </w:rPr>
              <w:t>T-4</w:t>
            </w:r>
          </w:p>
        </w:tc>
      </w:tr>
      <w:tr w:rsidR="003F155D" w:rsidRPr="003F155D" w:rsidTr="00297CA5">
        <w:trPr>
          <w:trHeight w:val="283"/>
        </w:trPr>
        <w:tc>
          <w:tcPr>
            <w:tcW w:w="10176" w:type="dxa"/>
            <w:gridSpan w:val="8"/>
            <w:tcBorders>
              <w:top w:val="single" w:sz="4" w:space="0" w:color="auto"/>
              <w:left w:val="nil"/>
              <w:bottom w:val="single" w:sz="4" w:space="0" w:color="BFBFBF" w:themeColor="background1" w:themeShade="BF"/>
            </w:tcBorders>
            <w:shd w:val="clear" w:color="auto" w:fill="D9D9D9" w:themeFill="background1" w:themeFillShade="D9"/>
            <w:noWrap/>
            <w:vAlign w:val="center"/>
          </w:tcPr>
          <w:p w:rsidR="003F155D" w:rsidRPr="003F155D" w:rsidRDefault="003F155D" w:rsidP="003F155D">
            <w:pPr>
              <w:widowControl/>
              <w:spacing w:line="200" w:lineRule="exact"/>
              <w:rPr>
                <w:rFonts w:ascii="Segoe UI" w:eastAsia="新細明體" w:hAnsi="Segoe UI" w:cs="Segoe UI"/>
                <w:color w:val="000000"/>
                <w:kern w:val="0"/>
                <w:sz w:val="17"/>
                <w:szCs w:val="17"/>
                <w:lang w:val="en-GB"/>
              </w:rPr>
            </w:pPr>
            <w:r w:rsidRPr="003F155D">
              <w:rPr>
                <w:rFonts w:ascii="Segoe UI" w:eastAsia="新細明體" w:hAnsi="Segoe UI" w:cs="Segoe UI"/>
                <w:color w:val="000000"/>
                <w:kern w:val="0"/>
                <w:sz w:val="17"/>
                <w:szCs w:val="17"/>
                <w:lang w:val="en-GB"/>
              </w:rPr>
              <w:t>Of the resolution entity at LAC consolidation group level</w:t>
            </w:r>
          </w:p>
        </w:tc>
      </w:tr>
      <w:tr w:rsidR="003F155D" w:rsidRPr="003F155D" w:rsidTr="00297CA5">
        <w:trPr>
          <w:trHeight w:val="283"/>
        </w:trPr>
        <w:tc>
          <w:tcPr>
            <w:tcW w:w="425" w:type="dxa"/>
            <w:gridSpan w:val="2"/>
            <w:tcBorders>
              <w:top w:val="single" w:sz="4" w:space="0" w:color="auto"/>
              <w:left w:val="nil"/>
              <w:bottom w:val="single" w:sz="4" w:space="0" w:color="BFBFBF" w:themeColor="background1" w:themeShade="BF"/>
              <w:right w:val="single" w:sz="4" w:space="0" w:color="BFBFBF" w:themeColor="background1" w:themeShade="BF"/>
            </w:tcBorders>
            <w:shd w:val="clear" w:color="auto" w:fill="auto"/>
            <w:noWrap/>
            <w:vAlign w:val="center"/>
            <w:hideMark/>
          </w:tcPr>
          <w:p w:rsidR="003F155D" w:rsidRPr="003F155D" w:rsidRDefault="003F155D" w:rsidP="003F155D">
            <w:pPr>
              <w:widowControl/>
              <w:spacing w:line="200" w:lineRule="exact"/>
              <w:rPr>
                <w:rFonts w:ascii="Segoe UI" w:eastAsia="新細明體" w:hAnsi="Segoe UI" w:cs="Segoe UI"/>
                <w:color w:val="000000"/>
                <w:kern w:val="0"/>
                <w:sz w:val="17"/>
                <w:szCs w:val="17"/>
                <w:lang w:val="en-GB"/>
              </w:rPr>
            </w:pPr>
            <w:r w:rsidRPr="003F155D">
              <w:rPr>
                <w:rFonts w:ascii="Segoe UI" w:eastAsia="新細明體" w:hAnsi="Segoe UI" w:cs="Segoe UI"/>
                <w:color w:val="000000"/>
                <w:kern w:val="0"/>
                <w:sz w:val="17"/>
                <w:szCs w:val="17"/>
                <w:lang w:val="en-GB"/>
              </w:rPr>
              <w:t>1</w:t>
            </w:r>
          </w:p>
        </w:tc>
        <w:tc>
          <w:tcPr>
            <w:tcW w:w="5529" w:type="dxa"/>
            <w:tcBorders>
              <w:top w:val="single" w:sz="4" w:space="0" w:color="auto"/>
              <w:left w:val="single" w:sz="4" w:space="0" w:color="BFBFBF" w:themeColor="background1" w:themeShade="BF"/>
              <w:bottom w:val="single" w:sz="4" w:space="0" w:color="BFBFBF" w:themeColor="background1" w:themeShade="BF"/>
              <w:right w:val="single" w:sz="4" w:space="0" w:color="auto"/>
            </w:tcBorders>
            <w:shd w:val="clear" w:color="auto" w:fill="auto"/>
            <w:vAlign w:val="center"/>
            <w:hideMark/>
          </w:tcPr>
          <w:p w:rsidR="003F155D" w:rsidRPr="003F155D" w:rsidRDefault="003F155D" w:rsidP="003F155D">
            <w:pPr>
              <w:widowControl/>
              <w:spacing w:line="200" w:lineRule="exact"/>
              <w:ind w:rightChars="47" w:right="113"/>
              <w:rPr>
                <w:rFonts w:ascii="Segoe UI" w:eastAsia="新細明體" w:hAnsi="Segoe UI" w:cs="Segoe UI"/>
                <w:color w:val="000000"/>
                <w:kern w:val="0"/>
                <w:sz w:val="17"/>
                <w:szCs w:val="17"/>
                <w:lang w:val="en-GB"/>
              </w:rPr>
            </w:pPr>
            <w:r w:rsidRPr="003F155D">
              <w:rPr>
                <w:rFonts w:ascii="Segoe UI" w:eastAsia="新細明體" w:hAnsi="Segoe UI" w:cs="Segoe UI"/>
                <w:color w:val="000000"/>
                <w:kern w:val="0"/>
                <w:sz w:val="17"/>
                <w:szCs w:val="17"/>
                <w:lang w:val="en-GB"/>
              </w:rPr>
              <w:t>External loss-absorbing capacity available</w:t>
            </w:r>
          </w:p>
        </w:tc>
        <w:tc>
          <w:tcPr>
            <w:tcW w:w="820" w:type="dxa"/>
            <w:tcBorders>
              <w:top w:val="single" w:sz="4" w:space="0" w:color="auto"/>
              <w:left w:val="nil"/>
              <w:bottom w:val="single" w:sz="4" w:space="0" w:color="BFBFBF"/>
              <w:right w:val="single" w:sz="4" w:space="0" w:color="BFBFBF"/>
            </w:tcBorders>
            <w:shd w:val="clear" w:color="auto" w:fill="auto"/>
            <w:noWrap/>
            <w:vAlign w:val="center"/>
            <w:hideMark/>
          </w:tcPr>
          <w:p w:rsidR="003F155D" w:rsidRPr="003F155D" w:rsidRDefault="003F155D" w:rsidP="003F155D">
            <w:pPr>
              <w:widowControl/>
              <w:spacing w:line="200" w:lineRule="exact"/>
              <w:rPr>
                <w:rFonts w:ascii="Segoe UI" w:eastAsia="新細明體" w:hAnsi="Segoe UI" w:cs="Segoe UI"/>
                <w:color w:val="000000"/>
                <w:kern w:val="0"/>
                <w:sz w:val="17"/>
                <w:szCs w:val="17"/>
                <w:lang w:val="en-GB"/>
              </w:rPr>
            </w:pPr>
            <w:r w:rsidRPr="003F155D">
              <w:rPr>
                <w:rFonts w:ascii="Segoe UI" w:eastAsia="新細明體" w:hAnsi="Segoe UI" w:cs="Segoe UI" w:hint="eastAsia"/>
                <w:color w:val="000000"/>
                <w:kern w:val="0"/>
                <w:sz w:val="17"/>
                <w:szCs w:val="17"/>
                <w:lang w:val="en-GB"/>
              </w:rPr>
              <w:t xml:space="preserve">　</w:t>
            </w:r>
          </w:p>
        </w:tc>
        <w:tc>
          <w:tcPr>
            <w:tcW w:w="881" w:type="dxa"/>
            <w:tcBorders>
              <w:top w:val="single" w:sz="4" w:space="0" w:color="auto"/>
              <w:left w:val="nil"/>
              <w:bottom w:val="single" w:sz="4" w:space="0" w:color="BFBFBF"/>
              <w:right w:val="single" w:sz="4" w:space="0" w:color="BFBFBF"/>
            </w:tcBorders>
            <w:shd w:val="clear" w:color="auto" w:fill="auto"/>
            <w:noWrap/>
            <w:vAlign w:val="center"/>
            <w:hideMark/>
          </w:tcPr>
          <w:p w:rsidR="003F155D" w:rsidRPr="003F155D" w:rsidRDefault="003F155D" w:rsidP="003F155D">
            <w:pPr>
              <w:widowControl/>
              <w:spacing w:line="200" w:lineRule="exact"/>
              <w:rPr>
                <w:rFonts w:ascii="Segoe UI" w:eastAsia="新細明體" w:hAnsi="Segoe UI" w:cs="Segoe UI"/>
                <w:color w:val="000000"/>
                <w:kern w:val="0"/>
                <w:sz w:val="17"/>
                <w:szCs w:val="17"/>
                <w:lang w:val="en-GB"/>
              </w:rPr>
            </w:pPr>
            <w:r w:rsidRPr="003F155D">
              <w:rPr>
                <w:rFonts w:ascii="Segoe UI" w:eastAsia="新細明體" w:hAnsi="Segoe UI" w:cs="Segoe UI" w:hint="eastAsia"/>
                <w:color w:val="000000"/>
                <w:kern w:val="0"/>
                <w:sz w:val="17"/>
                <w:szCs w:val="17"/>
                <w:lang w:val="en-GB"/>
              </w:rPr>
              <w:t xml:space="preserve">　</w:t>
            </w:r>
          </w:p>
        </w:tc>
        <w:tc>
          <w:tcPr>
            <w:tcW w:w="850" w:type="dxa"/>
            <w:tcBorders>
              <w:top w:val="single" w:sz="4" w:space="0" w:color="auto"/>
              <w:left w:val="nil"/>
              <w:bottom w:val="single" w:sz="4" w:space="0" w:color="BFBFBF"/>
              <w:right w:val="single" w:sz="4" w:space="0" w:color="BFBFBF"/>
            </w:tcBorders>
            <w:shd w:val="clear" w:color="auto" w:fill="auto"/>
            <w:noWrap/>
            <w:vAlign w:val="center"/>
            <w:hideMark/>
          </w:tcPr>
          <w:p w:rsidR="003F155D" w:rsidRPr="003F155D" w:rsidRDefault="003F155D" w:rsidP="003F155D">
            <w:pPr>
              <w:widowControl/>
              <w:spacing w:line="200" w:lineRule="exact"/>
              <w:rPr>
                <w:rFonts w:ascii="Segoe UI" w:eastAsia="新細明體" w:hAnsi="Segoe UI" w:cs="Segoe UI"/>
                <w:color w:val="000000"/>
                <w:kern w:val="0"/>
                <w:sz w:val="17"/>
                <w:szCs w:val="17"/>
                <w:lang w:val="en-GB"/>
              </w:rPr>
            </w:pPr>
            <w:r w:rsidRPr="003F155D">
              <w:rPr>
                <w:rFonts w:ascii="Segoe UI" w:eastAsia="新細明體" w:hAnsi="Segoe UI" w:cs="Segoe UI" w:hint="eastAsia"/>
                <w:color w:val="000000"/>
                <w:kern w:val="0"/>
                <w:sz w:val="17"/>
                <w:szCs w:val="17"/>
                <w:lang w:val="en-GB"/>
              </w:rPr>
              <w:t xml:space="preserve">　</w:t>
            </w:r>
          </w:p>
        </w:tc>
        <w:tc>
          <w:tcPr>
            <w:tcW w:w="851" w:type="dxa"/>
            <w:tcBorders>
              <w:top w:val="single" w:sz="4" w:space="0" w:color="auto"/>
              <w:left w:val="nil"/>
              <w:bottom w:val="single" w:sz="4" w:space="0" w:color="BFBFBF"/>
              <w:right w:val="single" w:sz="4" w:space="0" w:color="BFBFBF"/>
            </w:tcBorders>
            <w:shd w:val="clear" w:color="auto" w:fill="auto"/>
            <w:noWrap/>
            <w:vAlign w:val="center"/>
            <w:hideMark/>
          </w:tcPr>
          <w:p w:rsidR="003F155D" w:rsidRPr="003F155D" w:rsidRDefault="003F155D" w:rsidP="003F155D">
            <w:pPr>
              <w:widowControl/>
              <w:spacing w:line="200" w:lineRule="exact"/>
              <w:rPr>
                <w:rFonts w:ascii="Segoe UI" w:eastAsia="新細明體" w:hAnsi="Segoe UI" w:cs="Segoe UI"/>
                <w:color w:val="000000"/>
                <w:kern w:val="0"/>
                <w:sz w:val="17"/>
                <w:szCs w:val="17"/>
                <w:lang w:val="en-GB"/>
              </w:rPr>
            </w:pPr>
            <w:r w:rsidRPr="003F155D">
              <w:rPr>
                <w:rFonts w:ascii="Segoe UI" w:eastAsia="新細明體" w:hAnsi="Segoe UI" w:cs="Segoe UI" w:hint="eastAsia"/>
                <w:color w:val="000000"/>
                <w:kern w:val="0"/>
                <w:sz w:val="17"/>
                <w:szCs w:val="17"/>
                <w:lang w:val="en-GB"/>
              </w:rPr>
              <w:t xml:space="preserve">　</w:t>
            </w:r>
          </w:p>
        </w:tc>
        <w:tc>
          <w:tcPr>
            <w:tcW w:w="820" w:type="dxa"/>
            <w:tcBorders>
              <w:top w:val="single" w:sz="4" w:space="0" w:color="auto"/>
              <w:left w:val="nil"/>
              <w:bottom w:val="single" w:sz="4" w:space="0" w:color="BFBFBF"/>
            </w:tcBorders>
            <w:shd w:val="clear" w:color="auto" w:fill="auto"/>
            <w:noWrap/>
            <w:vAlign w:val="center"/>
            <w:hideMark/>
          </w:tcPr>
          <w:p w:rsidR="003F155D" w:rsidRPr="003F155D" w:rsidRDefault="003F155D" w:rsidP="003F155D">
            <w:pPr>
              <w:widowControl/>
              <w:spacing w:line="200" w:lineRule="exact"/>
              <w:rPr>
                <w:rFonts w:ascii="Segoe UI" w:eastAsia="新細明體" w:hAnsi="Segoe UI" w:cs="Segoe UI"/>
                <w:color w:val="000000"/>
                <w:kern w:val="0"/>
                <w:sz w:val="17"/>
                <w:szCs w:val="17"/>
                <w:lang w:val="en-GB"/>
              </w:rPr>
            </w:pPr>
            <w:r w:rsidRPr="003F155D">
              <w:rPr>
                <w:rFonts w:ascii="Segoe UI" w:eastAsia="新細明體" w:hAnsi="Segoe UI" w:cs="Segoe UI" w:hint="eastAsia"/>
                <w:color w:val="000000"/>
                <w:kern w:val="0"/>
                <w:sz w:val="17"/>
                <w:szCs w:val="17"/>
                <w:lang w:val="en-GB"/>
              </w:rPr>
              <w:t xml:space="preserve">　</w:t>
            </w:r>
          </w:p>
        </w:tc>
      </w:tr>
      <w:tr w:rsidR="003F155D" w:rsidRPr="003F155D" w:rsidTr="00297CA5">
        <w:trPr>
          <w:trHeight w:val="283"/>
        </w:trPr>
        <w:tc>
          <w:tcPr>
            <w:tcW w:w="425" w:type="dxa"/>
            <w:gridSpan w:val="2"/>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auto"/>
            <w:noWrap/>
            <w:vAlign w:val="center"/>
            <w:hideMark/>
          </w:tcPr>
          <w:p w:rsidR="003F155D" w:rsidRPr="003F155D" w:rsidRDefault="003F155D" w:rsidP="003F155D">
            <w:pPr>
              <w:widowControl/>
              <w:spacing w:line="200" w:lineRule="exact"/>
              <w:rPr>
                <w:rFonts w:ascii="Segoe UI" w:eastAsia="新細明體" w:hAnsi="Segoe UI" w:cs="Segoe UI"/>
                <w:color w:val="000000"/>
                <w:kern w:val="0"/>
                <w:sz w:val="17"/>
                <w:szCs w:val="17"/>
                <w:lang w:val="en-GB"/>
              </w:rPr>
            </w:pPr>
            <w:r w:rsidRPr="003F155D">
              <w:rPr>
                <w:rFonts w:ascii="Segoe UI" w:eastAsia="新細明體" w:hAnsi="Segoe UI" w:cs="Segoe UI"/>
                <w:color w:val="000000"/>
                <w:kern w:val="0"/>
                <w:sz w:val="17"/>
                <w:szCs w:val="17"/>
                <w:lang w:val="en-GB"/>
              </w:rPr>
              <w:t>2</w:t>
            </w:r>
          </w:p>
        </w:tc>
        <w:tc>
          <w:tcPr>
            <w:tcW w:w="55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auto"/>
            </w:tcBorders>
            <w:shd w:val="clear" w:color="auto" w:fill="auto"/>
            <w:vAlign w:val="center"/>
            <w:hideMark/>
          </w:tcPr>
          <w:p w:rsidR="003F155D" w:rsidRPr="003F155D" w:rsidRDefault="003F155D" w:rsidP="003F155D">
            <w:pPr>
              <w:widowControl/>
              <w:spacing w:line="200" w:lineRule="exact"/>
              <w:ind w:rightChars="47" w:right="113"/>
              <w:rPr>
                <w:rFonts w:ascii="Segoe UI" w:eastAsia="新細明體" w:hAnsi="Segoe UI" w:cs="Segoe UI"/>
                <w:iCs/>
                <w:color w:val="000000"/>
                <w:kern w:val="0"/>
                <w:sz w:val="17"/>
                <w:szCs w:val="17"/>
                <w:lang w:val="en-GB"/>
              </w:rPr>
            </w:pPr>
            <w:r w:rsidRPr="003F155D">
              <w:rPr>
                <w:rFonts w:ascii="Segoe UI" w:eastAsia="新細明體" w:hAnsi="Segoe UI" w:cs="Segoe UI"/>
                <w:iCs/>
                <w:color w:val="000000"/>
                <w:kern w:val="0"/>
                <w:sz w:val="17"/>
                <w:szCs w:val="17"/>
                <w:lang w:val="en-GB"/>
              </w:rPr>
              <w:t xml:space="preserve">Risk-weighted amount under the LAC Rules </w:t>
            </w:r>
          </w:p>
        </w:tc>
        <w:tc>
          <w:tcPr>
            <w:tcW w:w="820" w:type="dxa"/>
            <w:tcBorders>
              <w:top w:val="nil"/>
              <w:left w:val="nil"/>
              <w:bottom w:val="single" w:sz="4" w:space="0" w:color="BFBFBF"/>
              <w:right w:val="single" w:sz="4" w:space="0" w:color="BFBFBF"/>
            </w:tcBorders>
            <w:shd w:val="clear" w:color="auto" w:fill="auto"/>
            <w:noWrap/>
            <w:vAlign w:val="center"/>
            <w:hideMark/>
          </w:tcPr>
          <w:p w:rsidR="003F155D" w:rsidRPr="003F155D" w:rsidRDefault="003F155D" w:rsidP="003F155D">
            <w:pPr>
              <w:widowControl/>
              <w:spacing w:line="200" w:lineRule="exact"/>
              <w:rPr>
                <w:rFonts w:ascii="Segoe UI" w:eastAsia="新細明體" w:hAnsi="Segoe UI" w:cs="Segoe UI"/>
                <w:color w:val="000000"/>
                <w:kern w:val="0"/>
                <w:sz w:val="17"/>
                <w:szCs w:val="17"/>
                <w:lang w:val="en-GB"/>
              </w:rPr>
            </w:pPr>
            <w:r w:rsidRPr="003F155D">
              <w:rPr>
                <w:rFonts w:ascii="Segoe UI" w:eastAsia="新細明體" w:hAnsi="Segoe UI" w:cs="Segoe UI" w:hint="eastAsia"/>
                <w:color w:val="000000"/>
                <w:kern w:val="0"/>
                <w:sz w:val="17"/>
                <w:szCs w:val="17"/>
                <w:lang w:val="en-GB"/>
              </w:rPr>
              <w:t xml:space="preserve">　</w:t>
            </w:r>
          </w:p>
        </w:tc>
        <w:tc>
          <w:tcPr>
            <w:tcW w:w="881" w:type="dxa"/>
            <w:tcBorders>
              <w:top w:val="nil"/>
              <w:left w:val="nil"/>
              <w:bottom w:val="single" w:sz="4" w:space="0" w:color="BFBFBF"/>
              <w:right w:val="single" w:sz="4" w:space="0" w:color="BFBFBF"/>
            </w:tcBorders>
            <w:shd w:val="clear" w:color="auto" w:fill="auto"/>
            <w:noWrap/>
            <w:vAlign w:val="center"/>
            <w:hideMark/>
          </w:tcPr>
          <w:p w:rsidR="003F155D" w:rsidRPr="003F155D" w:rsidRDefault="003F155D" w:rsidP="003F155D">
            <w:pPr>
              <w:widowControl/>
              <w:spacing w:line="200" w:lineRule="exact"/>
              <w:rPr>
                <w:rFonts w:ascii="Segoe UI" w:eastAsia="新細明體" w:hAnsi="Segoe UI" w:cs="Segoe UI"/>
                <w:color w:val="000000"/>
                <w:kern w:val="0"/>
                <w:sz w:val="17"/>
                <w:szCs w:val="17"/>
                <w:lang w:val="en-GB"/>
              </w:rPr>
            </w:pPr>
            <w:r w:rsidRPr="003F155D">
              <w:rPr>
                <w:rFonts w:ascii="Segoe UI" w:eastAsia="新細明體" w:hAnsi="Segoe UI" w:cs="Segoe UI" w:hint="eastAsia"/>
                <w:color w:val="000000"/>
                <w:kern w:val="0"/>
                <w:sz w:val="17"/>
                <w:szCs w:val="17"/>
                <w:lang w:val="en-GB"/>
              </w:rPr>
              <w:t xml:space="preserve">　</w:t>
            </w:r>
          </w:p>
        </w:tc>
        <w:tc>
          <w:tcPr>
            <w:tcW w:w="850" w:type="dxa"/>
            <w:tcBorders>
              <w:top w:val="nil"/>
              <w:left w:val="nil"/>
              <w:bottom w:val="single" w:sz="4" w:space="0" w:color="BFBFBF"/>
              <w:right w:val="single" w:sz="4" w:space="0" w:color="BFBFBF"/>
            </w:tcBorders>
            <w:shd w:val="clear" w:color="auto" w:fill="auto"/>
            <w:noWrap/>
            <w:vAlign w:val="center"/>
            <w:hideMark/>
          </w:tcPr>
          <w:p w:rsidR="003F155D" w:rsidRPr="003F155D" w:rsidRDefault="003F155D" w:rsidP="003F155D">
            <w:pPr>
              <w:widowControl/>
              <w:spacing w:line="200" w:lineRule="exact"/>
              <w:rPr>
                <w:rFonts w:ascii="Segoe UI" w:eastAsia="新細明體" w:hAnsi="Segoe UI" w:cs="Segoe UI"/>
                <w:color w:val="000000"/>
                <w:kern w:val="0"/>
                <w:sz w:val="17"/>
                <w:szCs w:val="17"/>
                <w:lang w:val="en-GB"/>
              </w:rPr>
            </w:pPr>
            <w:r w:rsidRPr="003F155D">
              <w:rPr>
                <w:rFonts w:ascii="Segoe UI" w:eastAsia="新細明體" w:hAnsi="Segoe UI" w:cs="Segoe UI" w:hint="eastAsia"/>
                <w:color w:val="000000"/>
                <w:kern w:val="0"/>
                <w:sz w:val="17"/>
                <w:szCs w:val="17"/>
                <w:lang w:val="en-GB"/>
              </w:rPr>
              <w:t xml:space="preserve">　</w:t>
            </w:r>
          </w:p>
        </w:tc>
        <w:tc>
          <w:tcPr>
            <w:tcW w:w="851" w:type="dxa"/>
            <w:tcBorders>
              <w:top w:val="nil"/>
              <w:left w:val="nil"/>
              <w:bottom w:val="single" w:sz="4" w:space="0" w:color="BFBFBF"/>
              <w:right w:val="single" w:sz="4" w:space="0" w:color="BFBFBF"/>
            </w:tcBorders>
            <w:shd w:val="clear" w:color="auto" w:fill="auto"/>
            <w:noWrap/>
            <w:vAlign w:val="center"/>
            <w:hideMark/>
          </w:tcPr>
          <w:p w:rsidR="003F155D" w:rsidRPr="003F155D" w:rsidRDefault="003F155D" w:rsidP="003F155D">
            <w:pPr>
              <w:widowControl/>
              <w:spacing w:line="200" w:lineRule="exact"/>
              <w:rPr>
                <w:rFonts w:ascii="Segoe UI" w:eastAsia="新細明體" w:hAnsi="Segoe UI" w:cs="Segoe UI"/>
                <w:color w:val="000000"/>
                <w:kern w:val="0"/>
                <w:sz w:val="17"/>
                <w:szCs w:val="17"/>
                <w:lang w:val="en-GB"/>
              </w:rPr>
            </w:pPr>
            <w:r w:rsidRPr="003F155D">
              <w:rPr>
                <w:rFonts w:ascii="Segoe UI" w:eastAsia="新細明體" w:hAnsi="Segoe UI" w:cs="Segoe UI" w:hint="eastAsia"/>
                <w:color w:val="000000"/>
                <w:kern w:val="0"/>
                <w:sz w:val="17"/>
                <w:szCs w:val="17"/>
                <w:lang w:val="en-GB"/>
              </w:rPr>
              <w:t xml:space="preserve">　</w:t>
            </w:r>
          </w:p>
        </w:tc>
        <w:tc>
          <w:tcPr>
            <w:tcW w:w="820" w:type="dxa"/>
            <w:tcBorders>
              <w:top w:val="nil"/>
              <w:left w:val="nil"/>
              <w:bottom w:val="single" w:sz="4" w:space="0" w:color="BFBFBF"/>
            </w:tcBorders>
            <w:shd w:val="clear" w:color="auto" w:fill="auto"/>
            <w:noWrap/>
            <w:vAlign w:val="center"/>
            <w:hideMark/>
          </w:tcPr>
          <w:p w:rsidR="003F155D" w:rsidRPr="003F155D" w:rsidRDefault="003F155D" w:rsidP="003F155D">
            <w:pPr>
              <w:widowControl/>
              <w:spacing w:line="200" w:lineRule="exact"/>
              <w:rPr>
                <w:rFonts w:ascii="Segoe UI" w:eastAsia="新細明體" w:hAnsi="Segoe UI" w:cs="Segoe UI"/>
                <w:color w:val="000000"/>
                <w:kern w:val="0"/>
                <w:sz w:val="17"/>
                <w:szCs w:val="17"/>
                <w:lang w:val="en-GB"/>
              </w:rPr>
            </w:pPr>
            <w:r w:rsidRPr="003F155D">
              <w:rPr>
                <w:rFonts w:ascii="Segoe UI" w:eastAsia="新細明體" w:hAnsi="Segoe UI" w:cs="Segoe UI" w:hint="eastAsia"/>
                <w:color w:val="000000"/>
                <w:kern w:val="0"/>
                <w:sz w:val="17"/>
                <w:szCs w:val="17"/>
                <w:lang w:val="en-GB"/>
              </w:rPr>
              <w:t xml:space="preserve">　</w:t>
            </w:r>
          </w:p>
        </w:tc>
      </w:tr>
      <w:tr w:rsidR="003F155D" w:rsidRPr="003F155D" w:rsidTr="00297CA5">
        <w:trPr>
          <w:trHeight w:val="283"/>
        </w:trPr>
        <w:tc>
          <w:tcPr>
            <w:tcW w:w="425" w:type="dxa"/>
            <w:gridSpan w:val="2"/>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auto"/>
            <w:noWrap/>
            <w:vAlign w:val="center"/>
            <w:hideMark/>
          </w:tcPr>
          <w:p w:rsidR="003F155D" w:rsidRPr="003F155D" w:rsidRDefault="003F155D" w:rsidP="003F155D">
            <w:pPr>
              <w:widowControl/>
              <w:spacing w:line="200" w:lineRule="exact"/>
              <w:rPr>
                <w:rFonts w:ascii="Segoe UI" w:eastAsia="新細明體" w:hAnsi="Segoe UI" w:cs="Segoe UI"/>
                <w:color w:val="000000"/>
                <w:kern w:val="0"/>
                <w:sz w:val="17"/>
                <w:szCs w:val="17"/>
                <w:lang w:val="en-GB"/>
              </w:rPr>
            </w:pPr>
            <w:r w:rsidRPr="003F155D">
              <w:rPr>
                <w:rFonts w:ascii="Segoe UI" w:eastAsia="新細明體" w:hAnsi="Segoe UI" w:cs="Segoe UI"/>
                <w:color w:val="000000"/>
                <w:kern w:val="0"/>
                <w:sz w:val="17"/>
                <w:szCs w:val="17"/>
                <w:lang w:val="en-GB"/>
              </w:rPr>
              <w:t>3</w:t>
            </w:r>
          </w:p>
        </w:tc>
        <w:tc>
          <w:tcPr>
            <w:tcW w:w="55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auto"/>
            </w:tcBorders>
            <w:shd w:val="clear" w:color="auto" w:fill="auto"/>
            <w:vAlign w:val="center"/>
            <w:hideMark/>
          </w:tcPr>
          <w:p w:rsidR="003F155D" w:rsidRPr="003F155D" w:rsidRDefault="003F155D" w:rsidP="003F155D">
            <w:pPr>
              <w:widowControl/>
              <w:spacing w:line="200" w:lineRule="exact"/>
              <w:ind w:rightChars="47" w:right="113"/>
              <w:rPr>
                <w:rFonts w:ascii="Segoe UI" w:eastAsia="新細明體" w:hAnsi="Segoe UI" w:cs="Segoe UI"/>
                <w:iCs/>
                <w:color w:val="000000"/>
                <w:kern w:val="0"/>
                <w:sz w:val="17"/>
                <w:szCs w:val="17"/>
                <w:lang w:val="en-GB"/>
              </w:rPr>
            </w:pPr>
            <w:r w:rsidRPr="003F155D">
              <w:rPr>
                <w:rFonts w:ascii="Segoe UI" w:eastAsia="新細明體" w:hAnsi="Segoe UI" w:cs="Segoe UI"/>
                <w:iCs/>
                <w:color w:val="000000"/>
                <w:kern w:val="0"/>
                <w:sz w:val="17"/>
                <w:szCs w:val="17"/>
                <w:lang w:val="en-GB"/>
              </w:rPr>
              <w:t>External LAC risk-weighted ratio</w:t>
            </w:r>
          </w:p>
        </w:tc>
        <w:tc>
          <w:tcPr>
            <w:tcW w:w="820" w:type="dxa"/>
            <w:tcBorders>
              <w:top w:val="nil"/>
              <w:left w:val="nil"/>
              <w:bottom w:val="single" w:sz="4" w:space="0" w:color="BFBFBF"/>
              <w:right w:val="single" w:sz="4" w:space="0" w:color="BFBFBF"/>
            </w:tcBorders>
            <w:shd w:val="clear" w:color="auto" w:fill="auto"/>
            <w:noWrap/>
            <w:vAlign w:val="center"/>
            <w:hideMark/>
          </w:tcPr>
          <w:p w:rsidR="003F155D" w:rsidRPr="003F155D" w:rsidRDefault="003F155D" w:rsidP="003F155D">
            <w:pPr>
              <w:widowControl/>
              <w:spacing w:line="200" w:lineRule="exact"/>
              <w:rPr>
                <w:rFonts w:ascii="Segoe UI" w:eastAsia="新細明體" w:hAnsi="Segoe UI" w:cs="Segoe UI"/>
                <w:color w:val="000000"/>
                <w:kern w:val="0"/>
                <w:sz w:val="17"/>
                <w:szCs w:val="17"/>
                <w:lang w:val="en-GB"/>
              </w:rPr>
            </w:pPr>
            <w:r w:rsidRPr="003F155D">
              <w:rPr>
                <w:rFonts w:ascii="Segoe UI" w:eastAsia="新細明體" w:hAnsi="Segoe UI" w:cs="Segoe UI" w:hint="eastAsia"/>
                <w:color w:val="000000"/>
                <w:kern w:val="0"/>
                <w:sz w:val="17"/>
                <w:szCs w:val="17"/>
                <w:lang w:val="en-GB"/>
              </w:rPr>
              <w:t xml:space="preserve">　</w:t>
            </w:r>
          </w:p>
        </w:tc>
        <w:tc>
          <w:tcPr>
            <w:tcW w:w="881" w:type="dxa"/>
            <w:tcBorders>
              <w:top w:val="nil"/>
              <w:left w:val="nil"/>
              <w:bottom w:val="single" w:sz="4" w:space="0" w:color="BFBFBF"/>
              <w:right w:val="single" w:sz="4" w:space="0" w:color="BFBFBF"/>
            </w:tcBorders>
            <w:shd w:val="clear" w:color="auto" w:fill="auto"/>
            <w:noWrap/>
            <w:vAlign w:val="center"/>
            <w:hideMark/>
          </w:tcPr>
          <w:p w:rsidR="003F155D" w:rsidRPr="003F155D" w:rsidRDefault="003F155D" w:rsidP="003F155D">
            <w:pPr>
              <w:widowControl/>
              <w:spacing w:line="200" w:lineRule="exact"/>
              <w:rPr>
                <w:rFonts w:ascii="Segoe UI" w:eastAsia="新細明體" w:hAnsi="Segoe UI" w:cs="Segoe UI"/>
                <w:color w:val="000000"/>
                <w:kern w:val="0"/>
                <w:sz w:val="17"/>
                <w:szCs w:val="17"/>
                <w:lang w:val="en-GB"/>
              </w:rPr>
            </w:pPr>
            <w:r w:rsidRPr="003F155D">
              <w:rPr>
                <w:rFonts w:ascii="Segoe UI" w:eastAsia="新細明體" w:hAnsi="Segoe UI" w:cs="Segoe UI" w:hint="eastAsia"/>
                <w:color w:val="000000"/>
                <w:kern w:val="0"/>
                <w:sz w:val="17"/>
                <w:szCs w:val="17"/>
                <w:lang w:val="en-GB"/>
              </w:rPr>
              <w:t xml:space="preserve">　</w:t>
            </w:r>
          </w:p>
        </w:tc>
        <w:tc>
          <w:tcPr>
            <w:tcW w:w="850" w:type="dxa"/>
            <w:tcBorders>
              <w:top w:val="nil"/>
              <w:left w:val="nil"/>
              <w:bottom w:val="single" w:sz="4" w:space="0" w:color="BFBFBF"/>
              <w:right w:val="single" w:sz="4" w:space="0" w:color="BFBFBF"/>
            </w:tcBorders>
            <w:shd w:val="clear" w:color="auto" w:fill="auto"/>
            <w:noWrap/>
            <w:vAlign w:val="center"/>
            <w:hideMark/>
          </w:tcPr>
          <w:p w:rsidR="003F155D" w:rsidRPr="003F155D" w:rsidRDefault="003F155D" w:rsidP="003F155D">
            <w:pPr>
              <w:widowControl/>
              <w:spacing w:line="200" w:lineRule="exact"/>
              <w:rPr>
                <w:rFonts w:ascii="Segoe UI" w:eastAsia="新細明體" w:hAnsi="Segoe UI" w:cs="Segoe UI"/>
                <w:color w:val="000000"/>
                <w:kern w:val="0"/>
                <w:sz w:val="17"/>
                <w:szCs w:val="17"/>
                <w:lang w:val="en-GB"/>
              </w:rPr>
            </w:pPr>
            <w:r w:rsidRPr="003F155D">
              <w:rPr>
                <w:rFonts w:ascii="Segoe UI" w:eastAsia="新細明體" w:hAnsi="Segoe UI" w:cs="Segoe UI" w:hint="eastAsia"/>
                <w:color w:val="000000"/>
                <w:kern w:val="0"/>
                <w:sz w:val="17"/>
                <w:szCs w:val="17"/>
                <w:lang w:val="en-GB"/>
              </w:rPr>
              <w:t xml:space="preserve">　</w:t>
            </w:r>
          </w:p>
        </w:tc>
        <w:tc>
          <w:tcPr>
            <w:tcW w:w="851" w:type="dxa"/>
            <w:tcBorders>
              <w:top w:val="nil"/>
              <w:left w:val="nil"/>
              <w:bottom w:val="single" w:sz="4" w:space="0" w:color="BFBFBF"/>
              <w:right w:val="single" w:sz="4" w:space="0" w:color="BFBFBF"/>
            </w:tcBorders>
            <w:shd w:val="clear" w:color="auto" w:fill="auto"/>
            <w:noWrap/>
            <w:vAlign w:val="center"/>
            <w:hideMark/>
          </w:tcPr>
          <w:p w:rsidR="003F155D" w:rsidRPr="003F155D" w:rsidRDefault="003F155D" w:rsidP="003F155D">
            <w:pPr>
              <w:widowControl/>
              <w:spacing w:line="200" w:lineRule="exact"/>
              <w:rPr>
                <w:rFonts w:ascii="Segoe UI" w:eastAsia="新細明體" w:hAnsi="Segoe UI" w:cs="Segoe UI"/>
                <w:color w:val="000000"/>
                <w:kern w:val="0"/>
                <w:sz w:val="17"/>
                <w:szCs w:val="17"/>
                <w:lang w:val="en-GB"/>
              </w:rPr>
            </w:pPr>
            <w:r w:rsidRPr="003F155D">
              <w:rPr>
                <w:rFonts w:ascii="Segoe UI" w:eastAsia="新細明體" w:hAnsi="Segoe UI" w:cs="Segoe UI" w:hint="eastAsia"/>
                <w:color w:val="000000"/>
                <w:kern w:val="0"/>
                <w:sz w:val="17"/>
                <w:szCs w:val="17"/>
                <w:lang w:val="en-GB"/>
              </w:rPr>
              <w:t xml:space="preserve">　</w:t>
            </w:r>
          </w:p>
        </w:tc>
        <w:tc>
          <w:tcPr>
            <w:tcW w:w="820" w:type="dxa"/>
            <w:tcBorders>
              <w:top w:val="nil"/>
              <w:left w:val="nil"/>
              <w:bottom w:val="single" w:sz="4" w:space="0" w:color="BFBFBF"/>
            </w:tcBorders>
            <w:shd w:val="clear" w:color="auto" w:fill="auto"/>
            <w:noWrap/>
            <w:vAlign w:val="center"/>
            <w:hideMark/>
          </w:tcPr>
          <w:p w:rsidR="003F155D" w:rsidRPr="003F155D" w:rsidRDefault="003F155D" w:rsidP="003F155D">
            <w:pPr>
              <w:widowControl/>
              <w:spacing w:line="200" w:lineRule="exact"/>
              <w:rPr>
                <w:rFonts w:ascii="Segoe UI" w:eastAsia="新細明體" w:hAnsi="Segoe UI" w:cs="Segoe UI"/>
                <w:color w:val="000000"/>
                <w:kern w:val="0"/>
                <w:sz w:val="17"/>
                <w:szCs w:val="17"/>
                <w:lang w:val="en-GB"/>
              </w:rPr>
            </w:pPr>
            <w:r w:rsidRPr="003F155D">
              <w:rPr>
                <w:rFonts w:ascii="Segoe UI" w:eastAsia="新細明體" w:hAnsi="Segoe UI" w:cs="Segoe UI" w:hint="eastAsia"/>
                <w:color w:val="000000"/>
                <w:kern w:val="0"/>
                <w:sz w:val="17"/>
                <w:szCs w:val="17"/>
                <w:lang w:val="en-GB"/>
              </w:rPr>
              <w:t xml:space="preserve">　</w:t>
            </w:r>
          </w:p>
        </w:tc>
      </w:tr>
      <w:tr w:rsidR="003F155D" w:rsidRPr="003F155D" w:rsidTr="00297CA5">
        <w:trPr>
          <w:trHeight w:val="283"/>
        </w:trPr>
        <w:tc>
          <w:tcPr>
            <w:tcW w:w="425" w:type="dxa"/>
            <w:gridSpan w:val="2"/>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auto"/>
            <w:noWrap/>
            <w:vAlign w:val="center"/>
            <w:hideMark/>
          </w:tcPr>
          <w:p w:rsidR="003F155D" w:rsidRPr="003F155D" w:rsidRDefault="003F155D" w:rsidP="003F155D">
            <w:pPr>
              <w:widowControl/>
              <w:spacing w:line="200" w:lineRule="exact"/>
              <w:rPr>
                <w:rFonts w:ascii="Segoe UI" w:eastAsia="新細明體" w:hAnsi="Segoe UI" w:cs="Segoe UI"/>
                <w:color w:val="000000"/>
                <w:kern w:val="0"/>
                <w:sz w:val="17"/>
                <w:szCs w:val="17"/>
                <w:lang w:val="en-GB"/>
              </w:rPr>
            </w:pPr>
            <w:r w:rsidRPr="003F155D">
              <w:rPr>
                <w:rFonts w:ascii="Segoe UI" w:eastAsia="新細明體" w:hAnsi="Segoe UI" w:cs="Segoe UI"/>
                <w:color w:val="000000"/>
                <w:kern w:val="0"/>
                <w:sz w:val="17"/>
                <w:szCs w:val="17"/>
                <w:lang w:val="en-GB"/>
              </w:rPr>
              <w:t>4</w:t>
            </w:r>
          </w:p>
        </w:tc>
        <w:tc>
          <w:tcPr>
            <w:tcW w:w="55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auto"/>
            </w:tcBorders>
            <w:shd w:val="clear" w:color="auto" w:fill="auto"/>
            <w:vAlign w:val="center"/>
            <w:hideMark/>
          </w:tcPr>
          <w:p w:rsidR="003F155D" w:rsidRPr="003F155D" w:rsidRDefault="003F155D" w:rsidP="003F155D">
            <w:pPr>
              <w:widowControl/>
              <w:spacing w:line="200" w:lineRule="exact"/>
              <w:ind w:rightChars="47" w:right="113"/>
              <w:rPr>
                <w:rFonts w:ascii="Segoe UI" w:eastAsia="新細明體" w:hAnsi="Segoe UI" w:cs="Segoe UI"/>
                <w:iCs/>
                <w:color w:val="000000"/>
                <w:kern w:val="0"/>
                <w:sz w:val="17"/>
                <w:szCs w:val="17"/>
                <w:lang w:val="en-GB"/>
              </w:rPr>
            </w:pPr>
            <w:r w:rsidRPr="003F155D">
              <w:rPr>
                <w:rFonts w:ascii="Segoe UI" w:eastAsia="新細明體" w:hAnsi="Segoe UI" w:cs="Segoe UI"/>
                <w:iCs/>
                <w:color w:val="000000"/>
                <w:kern w:val="0"/>
                <w:sz w:val="17"/>
                <w:szCs w:val="17"/>
                <w:lang w:val="en-GB"/>
              </w:rPr>
              <w:t xml:space="preserve">Exposure measure under the LAC Rules </w:t>
            </w:r>
          </w:p>
        </w:tc>
        <w:tc>
          <w:tcPr>
            <w:tcW w:w="820" w:type="dxa"/>
            <w:tcBorders>
              <w:top w:val="nil"/>
              <w:left w:val="nil"/>
              <w:bottom w:val="single" w:sz="4" w:space="0" w:color="BFBFBF"/>
              <w:right w:val="single" w:sz="4" w:space="0" w:color="BFBFBF"/>
            </w:tcBorders>
            <w:shd w:val="clear" w:color="auto" w:fill="auto"/>
            <w:noWrap/>
            <w:vAlign w:val="center"/>
            <w:hideMark/>
          </w:tcPr>
          <w:p w:rsidR="003F155D" w:rsidRPr="003F155D" w:rsidRDefault="003F155D" w:rsidP="003F155D">
            <w:pPr>
              <w:widowControl/>
              <w:spacing w:line="200" w:lineRule="exact"/>
              <w:rPr>
                <w:rFonts w:ascii="Segoe UI" w:eastAsia="新細明體" w:hAnsi="Segoe UI" w:cs="Segoe UI"/>
                <w:color w:val="000000"/>
                <w:kern w:val="0"/>
                <w:sz w:val="17"/>
                <w:szCs w:val="17"/>
                <w:lang w:val="en-GB"/>
              </w:rPr>
            </w:pPr>
            <w:r w:rsidRPr="003F155D">
              <w:rPr>
                <w:rFonts w:ascii="Segoe UI" w:eastAsia="新細明體" w:hAnsi="Segoe UI" w:cs="Segoe UI" w:hint="eastAsia"/>
                <w:color w:val="000000"/>
                <w:kern w:val="0"/>
                <w:sz w:val="17"/>
                <w:szCs w:val="17"/>
                <w:lang w:val="en-GB"/>
              </w:rPr>
              <w:t xml:space="preserve">　</w:t>
            </w:r>
          </w:p>
        </w:tc>
        <w:tc>
          <w:tcPr>
            <w:tcW w:w="881" w:type="dxa"/>
            <w:tcBorders>
              <w:top w:val="nil"/>
              <w:left w:val="nil"/>
              <w:bottom w:val="single" w:sz="4" w:space="0" w:color="BFBFBF"/>
              <w:right w:val="single" w:sz="4" w:space="0" w:color="BFBFBF"/>
            </w:tcBorders>
            <w:shd w:val="clear" w:color="auto" w:fill="auto"/>
            <w:noWrap/>
            <w:vAlign w:val="center"/>
            <w:hideMark/>
          </w:tcPr>
          <w:p w:rsidR="003F155D" w:rsidRPr="003F155D" w:rsidRDefault="003F155D" w:rsidP="003F155D">
            <w:pPr>
              <w:widowControl/>
              <w:spacing w:line="200" w:lineRule="exact"/>
              <w:rPr>
                <w:rFonts w:ascii="Segoe UI" w:eastAsia="新細明體" w:hAnsi="Segoe UI" w:cs="Segoe UI"/>
                <w:color w:val="000000"/>
                <w:kern w:val="0"/>
                <w:sz w:val="17"/>
                <w:szCs w:val="17"/>
                <w:lang w:val="en-GB"/>
              </w:rPr>
            </w:pPr>
            <w:r w:rsidRPr="003F155D">
              <w:rPr>
                <w:rFonts w:ascii="Segoe UI" w:eastAsia="新細明體" w:hAnsi="Segoe UI" w:cs="Segoe UI" w:hint="eastAsia"/>
                <w:color w:val="000000"/>
                <w:kern w:val="0"/>
                <w:sz w:val="17"/>
                <w:szCs w:val="17"/>
                <w:lang w:val="en-GB"/>
              </w:rPr>
              <w:t xml:space="preserve">　</w:t>
            </w:r>
          </w:p>
        </w:tc>
        <w:tc>
          <w:tcPr>
            <w:tcW w:w="850" w:type="dxa"/>
            <w:tcBorders>
              <w:top w:val="nil"/>
              <w:left w:val="nil"/>
              <w:bottom w:val="single" w:sz="4" w:space="0" w:color="BFBFBF"/>
              <w:right w:val="single" w:sz="4" w:space="0" w:color="BFBFBF"/>
            </w:tcBorders>
            <w:shd w:val="clear" w:color="auto" w:fill="auto"/>
            <w:noWrap/>
            <w:vAlign w:val="center"/>
            <w:hideMark/>
          </w:tcPr>
          <w:p w:rsidR="003F155D" w:rsidRPr="003F155D" w:rsidRDefault="003F155D" w:rsidP="003F155D">
            <w:pPr>
              <w:widowControl/>
              <w:spacing w:line="200" w:lineRule="exact"/>
              <w:rPr>
                <w:rFonts w:ascii="Segoe UI" w:eastAsia="新細明體" w:hAnsi="Segoe UI" w:cs="Segoe UI"/>
                <w:color w:val="000000"/>
                <w:kern w:val="0"/>
                <w:sz w:val="17"/>
                <w:szCs w:val="17"/>
                <w:lang w:val="en-GB"/>
              </w:rPr>
            </w:pPr>
            <w:r w:rsidRPr="003F155D">
              <w:rPr>
                <w:rFonts w:ascii="Segoe UI" w:eastAsia="新細明體" w:hAnsi="Segoe UI" w:cs="Segoe UI" w:hint="eastAsia"/>
                <w:color w:val="000000"/>
                <w:kern w:val="0"/>
                <w:sz w:val="17"/>
                <w:szCs w:val="17"/>
                <w:lang w:val="en-GB"/>
              </w:rPr>
              <w:t xml:space="preserve">　</w:t>
            </w:r>
          </w:p>
        </w:tc>
        <w:tc>
          <w:tcPr>
            <w:tcW w:w="851" w:type="dxa"/>
            <w:tcBorders>
              <w:top w:val="nil"/>
              <w:left w:val="nil"/>
              <w:bottom w:val="single" w:sz="4" w:space="0" w:color="BFBFBF"/>
              <w:right w:val="single" w:sz="4" w:space="0" w:color="BFBFBF"/>
            </w:tcBorders>
            <w:shd w:val="clear" w:color="auto" w:fill="auto"/>
            <w:noWrap/>
            <w:vAlign w:val="center"/>
            <w:hideMark/>
          </w:tcPr>
          <w:p w:rsidR="003F155D" w:rsidRPr="003F155D" w:rsidRDefault="003F155D" w:rsidP="003F155D">
            <w:pPr>
              <w:widowControl/>
              <w:spacing w:line="200" w:lineRule="exact"/>
              <w:rPr>
                <w:rFonts w:ascii="Segoe UI" w:eastAsia="新細明體" w:hAnsi="Segoe UI" w:cs="Segoe UI"/>
                <w:color w:val="000000"/>
                <w:kern w:val="0"/>
                <w:sz w:val="17"/>
                <w:szCs w:val="17"/>
                <w:lang w:val="en-GB"/>
              </w:rPr>
            </w:pPr>
            <w:r w:rsidRPr="003F155D">
              <w:rPr>
                <w:rFonts w:ascii="Segoe UI" w:eastAsia="新細明體" w:hAnsi="Segoe UI" w:cs="Segoe UI" w:hint="eastAsia"/>
                <w:color w:val="000000"/>
                <w:kern w:val="0"/>
                <w:sz w:val="17"/>
                <w:szCs w:val="17"/>
                <w:lang w:val="en-GB"/>
              </w:rPr>
              <w:t xml:space="preserve">　</w:t>
            </w:r>
          </w:p>
        </w:tc>
        <w:tc>
          <w:tcPr>
            <w:tcW w:w="820" w:type="dxa"/>
            <w:tcBorders>
              <w:top w:val="nil"/>
              <w:left w:val="nil"/>
              <w:bottom w:val="single" w:sz="4" w:space="0" w:color="BFBFBF"/>
            </w:tcBorders>
            <w:shd w:val="clear" w:color="auto" w:fill="auto"/>
            <w:noWrap/>
            <w:vAlign w:val="center"/>
            <w:hideMark/>
          </w:tcPr>
          <w:p w:rsidR="003F155D" w:rsidRPr="003F155D" w:rsidRDefault="003F155D" w:rsidP="003F155D">
            <w:pPr>
              <w:widowControl/>
              <w:spacing w:line="200" w:lineRule="exact"/>
              <w:rPr>
                <w:rFonts w:ascii="Segoe UI" w:eastAsia="新細明體" w:hAnsi="Segoe UI" w:cs="Segoe UI"/>
                <w:color w:val="000000"/>
                <w:kern w:val="0"/>
                <w:sz w:val="17"/>
                <w:szCs w:val="17"/>
                <w:lang w:val="en-GB"/>
              </w:rPr>
            </w:pPr>
            <w:r w:rsidRPr="003F155D">
              <w:rPr>
                <w:rFonts w:ascii="Segoe UI" w:eastAsia="新細明體" w:hAnsi="Segoe UI" w:cs="Segoe UI" w:hint="eastAsia"/>
                <w:color w:val="000000"/>
                <w:kern w:val="0"/>
                <w:sz w:val="17"/>
                <w:szCs w:val="17"/>
                <w:lang w:val="en-GB"/>
              </w:rPr>
              <w:t xml:space="preserve">　</w:t>
            </w:r>
          </w:p>
        </w:tc>
      </w:tr>
      <w:tr w:rsidR="003F155D" w:rsidRPr="003F155D" w:rsidTr="00297CA5">
        <w:trPr>
          <w:trHeight w:val="283"/>
        </w:trPr>
        <w:tc>
          <w:tcPr>
            <w:tcW w:w="425" w:type="dxa"/>
            <w:gridSpan w:val="2"/>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auto"/>
            <w:noWrap/>
            <w:vAlign w:val="center"/>
            <w:hideMark/>
          </w:tcPr>
          <w:p w:rsidR="003F155D" w:rsidRPr="003F155D" w:rsidRDefault="003F155D" w:rsidP="003F155D">
            <w:pPr>
              <w:widowControl/>
              <w:spacing w:line="200" w:lineRule="exact"/>
              <w:rPr>
                <w:rFonts w:ascii="Segoe UI" w:eastAsia="新細明體" w:hAnsi="Segoe UI" w:cs="Segoe UI"/>
                <w:color w:val="000000"/>
                <w:kern w:val="0"/>
                <w:sz w:val="17"/>
                <w:szCs w:val="17"/>
                <w:lang w:val="en-GB"/>
              </w:rPr>
            </w:pPr>
            <w:r w:rsidRPr="003F155D">
              <w:rPr>
                <w:rFonts w:ascii="Segoe UI" w:eastAsia="新細明體" w:hAnsi="Segoe UI" w:cs="Segoe UI"/>
                <w:color w:val="000000"/>
                <w:kern w:val="0"/>
                <w:sz w:val="17"/>
                <w:szCs w:val="17"/>
                <w:lang w:val="en-GB"/>
              </w:rPr>
              <w:t>5</w:t>
            </w:r>
          </w:p>
        </w:tc>
        <w:tc>
          <w:tcPr>
            <w:tcW w:w="55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auto"/>
            </w:tcBorders>
            <w:shd w:val="clear" w:color="auto" w:fill="auto"/>
            <w:vAlign w:val="center"/>
            <w:hideMark/>
          </w:tcPr>
          <w:p w:rsidR="003F155D" w:rsidRPr="003F155D" w:rsidRDefault="003F155D" w:rsidP="003F155D">
            <w:pPr>
              <w:widowControl/>
              <w:spacing w:line="200" w:lineRule="exact"/>
              <w:ind w:rightChars="47" w:right="113"/>
              <w:rPr>
                <w:rFonts w:ascii="Segoe UI" w:eastAsia="新細明體" w:hAnsi="Segoe UI" w:cs="Segoe UI"/>
                <w:color w:val="000000"/>
                <w:kern w:val="0"/>
                <w:sz w:val="17"/>
                <w:szCs w:val="17"/>
                <w:lang w:val="en-GB"/>
              </w:rPr>
            </w:pPr>
            <w:r w:rsidRPr="003F155D">
              <w:rPr>
                <w:rFonts w:ascii="Segoe UI" w:eastAsia="新細明體" w:hAnsi="Segoe UI" w:cs="Segoe UI"/>
                <w:color w:val="000000"/>
                <w:kern w:val="0"/>
                <w:sz w:val="17"/>
                <w:szCs w:val="17"/>
                <w:lang w:val="en-GB"/>
              </w:rPr>
              <w:t>External LAC leverage ratio</w:t>
            </w:r>
          </w:p>
        </w:tc>
        <w:tc>
          <w:tcPr>
            <w:tcW w:w="820" w:type="dxa"/>
            <w:tcBorders>
              <w:top w:val="nil"/>
              <w:left w:val="nil"/>
              <w:bottom w:val="single" w:sz="4" w:space="0" w:color="BFBFBF"/>
              <w:right w:val="single" w:sz="4" w:space="0" w:color="BFBFBF"/>
            </w:tcBorders>
            <w:shd w:val="clear" w:color="auto" w:fill="auto"/>
            <w:noWrap/>
            <w:vAlign w:val="center"/>
            <w:hideMark/>
          </w:tcPr>
          <w:p w:rsidR="003F155D" w:rsidRPr="003F155D" w:rsidRDefault="003F155D" w:rsidP="003F155D">
            <w:pPr>
              <w:widowControl/>
              <w:spacing w:line="200" w:lineRule="exact"/>
              <w:rPr>
                <w:rFonts w:ascii="Segoe UI" w:eastAsia="新細明體" w:hAnsi="Segoe UI" w:cs="Segoe UI"/>
                <w:color w:val="000000"/>
                <w:kern w:val="0"/>
                <w:sz w:val="17"/>
                <w:szCs w:val="17"/>
                <w:lang w:val="en-GB"/>
              </w:rPr>
            </w:pPr>
            <w:r w:rsidRPr="003F155D">
              <w:rPr>
                <w:rFonts w:ascii="Segoe UI" w:eastAsia="新細明體" w:hAnsi="Segoe UI" w:cs="Segoe UI" w:hint="eastAsia"/>
                <w:color w:val="000000"/>
                <w:kern w:val="0"/>
                <w:sz w:val="17"/>
                <w:szCs w:val="17"/>
                <w:lang w:val="en-GB"/>
              </w:rPr>
              <w:t xml:space="preserve">　</w:t>
            </w:r>
          </w:p>
        </w:tc>
        <w:tc>
          <w:tcPr>
            <w:tcW w:w="881" w:type="dxa"/>
            <w:tcBorders>
              <w:top w:val="nil"/>
              <w:left w:val="nil"/>
              <w:bottom w:val="single" w:sz="4" w:space="0" w:color="BFBFBF"/>
              <w:right w:val="single" w:sz="4" w:space="0" w:color="BFBFBF"/>
            </w:tcBorders>
            <w:shd w:val="clear" w:color="auto" w:fill="auto"/>
            <w:noWrap/>
            <w:vAlign w:val="center"/>
            <w:hideMark/>
          </w:tcPr>
          <w:p w:rsidR="003F155D" w:rsidRPr="003F155D" w:rsidRDefault="003F155D" w:rsidP="003F155D">
            <w:pPr>
              <w:widowControl/>
              <w:spacing w:line="200" w:lineRule="exact"/>
              <w:rPr>
                <w:rFonts w:ascii="Segoe UI" w:eastAsia="新細明體" w:hAnsi="Segoe UI" w:cs="Segoe UI"/>
                <w:color w:val="000000"/>
                <w:kern w:val="0"/>
                <w:sz w:val="17"/>
                <w:szCs w:val="17"/>
                <w:lang w:val="en-GB"/>
              </w:rPr>
            </w:pPr>
            <w:r w:rsidRPr="003F155D">
              <w:rPr>
                <w:rFonts w:ascii="Segoe UI" w:eastAsia="新細明體" w:hAnsi="Segoe UI" w:cs="Segoe UI" w:hint="eastAsia"/>
                <w:color w:val="000000"/>
                <w:kern w:val="0"/>
                <w:sz w:val="17"/>
                <w:szCs w:val="17"/>
                <w:lang w:val="en-GB"/>
              </w:rPr>
              <w:t xml:space="preserve">　</w:t>
            </w:r>
          </w:p>
        </w:tc>
        <w:tc>
          <w:tcPr>
            <w:tcW w:w="850" w:type="dxa"/>
            <w:tcBorders>
              <w:top w:val="nil"/>
              <w:left w:val="nil"/>
              <w:bottom w:val="single" w:sz="4" w:space="0" w:color="BFBFBF"/>
              <w:right w:val="single" w:sz="4" w:space="0" w:color="BFBFBF"/>
            </w:tcBorders>
            <w:shd w:val="clear" w:color="auto" w:fill="auto"/>
            <w:noWrap/>
            <w:vAlign w:val="center"/>
            <w:hideMark/>
          </w:tcPr>
          <w:p w:rsidR="003F155D" w:rsidRPr="003F155D" w:rsidRDefault="003F155D" w:rsidP="003F155D">
            <w:pPr>
              <w:widowControl/>
              <w:spacing w:line="200" w:lineRule="exact"/>
              <w:rPr>
                <w:rFonts w:ascii="Segoe UI" w:eastAsia="新細明體" w:hAnsi="Segoe UI" w:cs="Segoe UI"/>
                <w:color w:val="000000"/>
                <w:kern w:val="0"/>
                <w:sz w:val="17"/>
                <w:szCs w:val="17"/>
                <w:lang w:val="en-GB"/>
              </w:rPr>
            </w:pPr>
            <w:r w:rsidRPr="003F155D">
              <w:rPr>
                <w:rFonts w:ascii="Segoe UI" w:eastAsia="新細明體" w:hAnsi="Segoe UI" w:cs="Segoe UI" w:hint="eastAsia"/>
                <w:color w:val="000000"/>
                <w:kern w:val="0"/>
                <w:sz w:val="17"/>
                <w:szCs w:val="17"/>
                <w:lang w:val="en-GB"/>
              </w:rPr>
              <w:t xml:space="preserve">　</w:t>
            </w:r>
          </w:p>
        </w:tc>
        <w:tc>
          <w:tcPr>
            <w:tcW w:w="851" w:type="dxa"/>
            <w:tcBorders>
              <w:top w:val="nil"/>
              <w:left w:val="nil"/>
              <w:bottom w:val="single" w:sz="4" w:space="0" w:color="BFBFBF"/>
              <w:right w:val="single" w:sz="4" w:space="0" w:color="BFBFBF"/>
            </w:tcBorders>
            <w:shd w:val="clear" w:color="auto" w:fill="auto"/>
            <w:noWrap/>
            <w:vAlign w:val="center"/>
            <w:hideMark/>
          </w:tcPr>
          <w:p w:rsidR="003F155D" w:rsidRPr="003F155D" w:rsidRDefault="003F155D" w:rsidP="003F155D">
            <w:pPr>
              <w:widowControl/>
              <w:spacing w:line="200" w:lineRule="exact"/>
              <w:rPr>
                <w:rFonts w:ascii="Segoe UI" w:eastAsia="新細明體" w:hAnsi="Segoe UI" w:cs="Segoe UI"/>
                <w:color w:val="000000"/>
                <w:kern w:val="0"/>
                <w:sz w:val="17"/>
                <w:szCs w:val="17"/>
                <w:lang w:val="en-GB"/>
              </w:rPr>
            </w:pPr>
            <w:r w:rsidRPr="003F155D">
              <w:rPr>
                <w:rFonts w:ascii="Segoe UI" w:eastAsia="新細明體" w:hAnsi="Segoe UI" w:cs="Segoe UI" w:hint="eastAsia"/>
                <w:color w:val="000000"/>
                <w:kern w:val="0"/>
                <w:sz w:val="17"/>
                <w:szCs w:val="17"/>
                <w:lang w:val="en-GB"/>
              </w:rPr>
              <w:t xml:space="preserve">　</w:t>
            </w:r>
          </w:p>
        </w:tc>
        <w:tc>
          <w:tcPr>
            <w:tcW w:w="820" w:type="dxa"/>
            <w:tcBorders>
              <w:top w:val="nil"/>
              <w:left w:val="nil"/>
              <w:bottom w:val="single" w:sz="4" w:space="0" w:color="BFBFBF"/>
            </w:tcBorders>
            <w:shd w:val="clear" w:color="auto" w:fill="auto"/>
            <w:noWrap/>
            <w:vAlign w:val="center"/>
            <w:hideMark/>
          </w:tcPr>
          <w:p w:rsidR="003F155D" w:rsidRPr="003F155D" w:rsidRDefault="003F155D" w:rsidP="003F155D">
            <w:pPr>
              <w:widowControl/>
              <w:spacing w:line="200" w:lineRule="exact"/>
              <w:rPr>
                <w:rFonts w:ascii="Segoe UI" w:eastAsia="新細明體" w:hAnsi="Segoe UI" w:cs="Segoe UI"/>
                <w:color w:val="000000"/>
                <w:kern w:val="0"/>
                <w:sz w:val="17"/>
                <w:szCs w:val="17"/>
                <w:lang w:val="en-GB"/>
              </w:rPr>
            </w:pPr>
            <w:r w:rsidRPr="003F155D">
              <w:rPr>
                <w:rFonts w:ascii="Segoe UI" w:eastAsia="新細明體" w:hAnsi="Segoe UI" w:cs="Segoe UI" w:hint="eastAsia"/>
                <w:color w:val="000000"/>
                <w:kern w:val="0"/>
                <w:sz w:val="17"/>
                <w:szCs w:val="17"/>
                <w:lang w:val="en-GB"/>
              </w:rPr>
              <w:t xml:space="preserve">　</w:t>
            </w:r>
          </w:p>
        </w:tc>
      </w:tr>
      <w:tr w:rsidR="003F155D" w:rsidRPr="003F155D" w:rsidTr="00297CA5">
        <w:trPr>
          <w:trHeight w:val="567"/>
        </w:trPr>
        <w:tc>
          <w:tcPr>
            <w:tcW w:w="425" w:type="dxa"/>
            <w:gridSpan w:val="2"/>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auto"/>
            <w:noWrap/>
            <w:vAlign w:val="center"/>
            <w:hideMark/>
          </w:tcPr>
          <w:p w:rsidR="003F155D" w:rsidRPr="003F155D" w:rsidRDefault="003F155D" w:rsidP="003F155D">
            <w:pPr>
              <w:widowControl/>
              <w:spacing w:line="200" w:lineRule="exact"/>
              <w:rPr>
                <w:rFonts w:ascii="Segoe UI" w:eastAsia="新細明體" w:hAnsi="Segoe UI" w:cs="Segoe UI"/>
                <w:color w:val="000000"/>
                <w:kern w:val="0"/>
                <w:sz w:val="17"/>
                <w:szCs w:val="17"/>
                <w:lang w:val="en-GB"/>
              </w:rPr>
            </w:pPr>
            <w:r w:rsidRPr="003F155D">
              <w:rPr>
                <w:rFonts w:ascii="Segoe UI" w:eastAsia="新細明體" w:hAnsi="Segoe UI" w:cs="Segoe UI"/>
                <w:color w:val="000000"/>
                <w:kern w:val="0"/>
                <w:sz w:val="17"/>
                <w:szCs w:val="17"/>
                <w:lang w:val="en-GB"/>
              </w:rPr>
              <w:t>6a</w:t>
            </w:r>
          </w:p>
        </w:tc>
        <w:tc>
          <w:tcPr>
            <w:tcW w:w="55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auto"/>
            </w:tcBorders>
            <w:shd w:val="clear" w:color="auto" w:fill="FFFF00"/>
            <w:vAlign w:val="center"/>
            <w:hideMark/>
          </w:tcPr>
          <w:p w:rsidR="003F155D" w:rsidRPr="003F155D" w:rsidRDefault="003F155D" w:rsidP="003F155D">
            <w:pPr>
              <w:widowControl/>
              <w:spacing w:line="200" w:lineRule="exact"/>
              <w:ind w:rightChars="47" w:right="113"/>
              <w:rPr>
                <w:rFonts w:ascii="Segoe UI" w:eastAsia="新細明體" w:hAnsi="Segoe UI" w:cs="Segoe UI"/>
                <w:color w:val="000000"/>
                <w:kern w:val="0"/>
                <w:sz w:val="17"/>
                <w:szCs w:val="17"/>
                <w:lang w:val="en-GB"/>
              </w:rPr>
            </w:pPr>
            <w:r w:rsidRPr="003F155D">
              <w:rPr>
                <w:rFonts w:ascii="Segoe UI" w:eastAsia="新細明體" w:hAnsi="Segoe UI" w:cs="Segoe UI"/>
                <w:color w:val="000000"/>
                <w:kern w:val="0"/>
                <w:sz w:val="17"/>
                <w:szCs w:val="17"/>
                <w:lang w:val="en-GB"/>
              </w:rPr>
              <w:t>Does the subordination exemption in the antepenultimate paragraph of Section 11 of the FSB TLAC Term Sheet apply?</w:t>
            </w:r>
          </w:p>
        </w:tc>
        <w:tc>
          <w:tcPr>
            <w:tcW w:w="820" w:type="dxa"/>
            <w:tcBorders>
              <w:top w:val="nil"/>
              <w:left w:val="nil"/>
              <w:bottom w:val="single" w:sz="4" w:space="0" w:color="BFBFBF"/>
              <w:right w:val="single" w:sz="4" w:space="0" w:color="BFBFBF"/>
            </w:tcBorders>
            <w:shd w:val="clear" w:color="auto" w:fill="FFFF00"/>
            <w:noWrap/>
            <w:vAlign w:val="center"/>
            <w:hideMark/>
          </w:tcPr>
          <w:p w:rsidR="003F155D" w:rsidRPr="003F155D" w:rsidRDefault="003F155D" w:rsidP="003F155D">
            <w:pPr>
              <w:widowControl/>
              <w:spacing w:line="200" w:lineRule="exact"/>
              <w:jc w:val="center"/>
              <w:rPr>
                <w:rFonts w:ascii="Segoe UI" w:eastAsia="新細明體" w:hAnsi="Segoe UI" w:cs="Segoe UI"/>
                <w:color w:val="000000"/>
                <w:kern w:val="0"/>
                <w:sz w:val="17"/>
                <w:szCs w:val="17"/>
                <w:lang w:val="en-GB"/>
              </w:rPr>
            </w:pPr>
            <w:r w:rsidRPr="003F155D">
              <w:rPr>
                <w:rFonts w:ascii="Segoe UI" w:eastAsia="新細明體" w:hAnsi="Segoe UI" w:cs="Segoe UI"/>
                <w:color w:val="000000"/>
                <w:kern w:val="0"/>
                <w:sz w:val="17"/>
                <w:szCs w:val="17"/>
                <w:lang w:val="en-GB"/>
              </w:rPr>
              <w:t>Not applicable</w:t>
            </w:r>
          </w:p>
        </w:tc>
        <w:tc>
          <w:tcPr>
            <w:tcW w:w="881" w:type="dxa"/>
            <w:tcBorders>
              <w:top w:val="nil"/>
              <w:left w:val="nil"/>
              <w:bottom w:val="single" w:sz="4" w:space="0" w:color="BFBFBF"/>
              <w:right w:val="single" w:sz="4" w:space="0" w:color="BFBFBF"/>
            </w:tcBorders>
            <w:shd w:val="clear" w:color="auto" w:fill="FFFF00"/>
            <w:noWrap/>
            <w:vAlign w:val="center"/>
            <w:hideMark/>
          </w:tcPr>
          <w:p w:rsidR="003F155D" w:rsidRPr="003F155D" w:rsidRDefault="003F155D" w:rsidP="003F155D">
            <w:pPr>
              <w:widowControl/>
              <w:spacing w:line="200" w:lineRule="exact"/>
              <w:jc w:val="center"/>
              <w:rPr>
                <w:rFonts w:ascii="Segoe UI" w:eastAsia="新細明體" w:hAnsi="Segoe UI" w:cs="Segoe UI"/>
                <w:color w:val="000000"/>
                <w:kern w:val="0"/>
                <w:sz w:val="17"/>
                <w:szCs w:val="17"/>
                <w:lang w:val="en-GB"/>
              </w:rPr>
            </w:pPr>
            <w:r w:rsidRPr="003F155D">
              <w:rPr>
                <w:rFonts w:ascii="Segoe UI" w:eastAsia="新細明體" w:hAnsi="Segoe UI" w:cs="Segoe UI"/>
                <w:color w:val="000000"/>
                <w:kern w:val="0"/>
                <w:sz w:val="17"/>
                <w:szCs w:val="17"/>
                <w:lang w:val="en-GB"/>
              </w:rPr>
              <w:t>Not applicable</w:t>
            </w:r>
          </w:p>
        </w:tc>
        <w:tc>
          <w:tcPr>
            <w:tcW w:w="850" w:type="dxa"/>
            <w:tcBorders>
              <w:top w:val="nil"/>
              <w:left w:val="nil"/>
              <w:bottom w:val="single" w:sz="4" w:space="0" w:color="BFBFBF"/>
              <w:right w:val="single" w:sz="4" w:space="0" w:color="BFBFBF"/>
            </w:tcBorders>
            <w:shd w:val="clear" w:color="auto" w:fill="FFFF00"/>
            <w:noWrap/>
            <w:vAlign w:val="center"/>
            <w:hideMark/>
          </w:tcPr>
          <w:p w:rsidR="003F155D" w:rsidRPr="003F155D" w:rsidRDefault="003F155D" w:rsidP="003F155D">
            <w:pPr>
              <w:widowControl/>
              <w:spacing w:line="200" w:lineRule="exact"/>
              <w:jc w:val="center"/>
              <w:rPr>
                <w:rFonts w:ascii="Segoe UI" w:eastAsia="新細明體" w:hAnsi="Segoe UI" w:cs="Segoe UI"/>
                <w:color w:val="000000"/>
                <w:kern w:val="0"/>
                <w:sz w:val="17"/>
                <w:szCs w:val="17"/>
                <w:lang w:val="en-GB"/>
              </w:rPr>
            </w:pPr>
            <w:r w:rsidRPr="003F155D">
              <w:rPr>
                <w:rFonts w:ascii="Segoe UI" w:eastAsia="新細明體" w:hAnsi="Segoe UI" w:cs="Segoe UI"/>
                <w:color w:val="000000"/>
                <w:kern w:val="0"/>
                <w:sz w:val="17"/>
                <w:szCs w:val="17"/>
                <w:lang w:val="en-GB"/>
              </w:rPr>
              <w:t>Not applicable</w:t>
            </w:r>
          </w:p>
        </w:tc>
        <w:tc>
          <w:tcPr>
            <w:tcW w:w="851" w:type="dxa"/>
            <w:tcBorders>
              <w:top w:val="nil"/>
              <w:left w:val="nil"/>
              <w:bottom w:val="single" w:sz="4" w:space="0" w:color="BFBFBF"/>
              <w:right w:val="single" w:sz="4" w:space="0" w:color="BFBFBF"/>
            </w:tcBorders>
            <w:shd w:val="clear" w:color="auto" w:fill="FFFF00"/>
            <w:noWrap/>
            <w:vAlign w:val="center"/>
            <w:hideMark/>
          </w:tcPr>
          <w:p w:rsidR="003F155D" w:rsidRPr="003F155D" w:rsidRDefault="003F155D" w:rsidP="003F155D">
            <w:pPr>
              <w:widowControl/>
              <w:spacing w:line="200" w:lineRule="exact"/>
              <w:jc w:val="center"/>
              <w:rPr>
                <w:rFonts w:ascii="Segoe UI" w:eastAsia="新細明體" w:hAnsi="Segoe UI" w:cs="Segoe UI"/>
                <w:color w:val="000000"/>
                <w:kern w:val="0"/>
                <w:sz w:val="17"/>
                <w:szCs w:val="17"/>
                <w:lang w:val="en-GB"/>
              </w:rPr>
            </w:pPr>
            <w:r w:rsidRPr="003F155D">
              <w:rPr>
                <w:rFonts w:ascii="Segoe UI" w:eastAsia="新細明體" w:hAnsi="Segoe UI" w:cs="Segoe UI"/>
                <w:color w:val="000000"/>
                <w:kern w:val="0"/>
                <w:sz w:val="17"/>
                <w:szCs w:val="17"/>
                <w:lang w:val="en-GB"/>
              </w:rPr>
              <w:t>Not applicable</w:t>
            </w:r>
          </w:p>
        </w:tc>
        <w:tc>
          <w:tcPr>
            <w:tcW w:w="820" w:type="dxa"/>
            <w:tcBorders>
              <w:top w:val="nil"/>
              <w:left w:val="nil"/>
              <w:bottom w:val="single" w:sz="4" w:space="0" w:color="BFBFBF"/>
            </w:tcBorders>
            <w:shd w:val="clear" w:color="auto" w:fill="FFFF00"/>
            <w:noWrap/>
            <w:vAlign w:val="center"/>
            <w:hideMark/>
          </w:tcPr>
          <w:p w:rsidR="003F155D" w:rsidRPr="003F155D" w:rsidRDefault="003F155D" w:rsidP="003F155D">
            <w:pPr>
              <w:widowControl/>
              <w:spacing w:line="200" w:lineRule="exact"/>
              <w:jc w:val="center"/>
              <w:rPr>
                <w:rFonts w:ascii="Segoe UI" w:eastAsia="新細明體" w:hAnsi="Segoe UI" w:cs="Segoe UI"/>
                <w:color w:val="000000"/>
                <w:kern w:val="0"/>
                <w:sz w:val="17"/>
                <w:szCs w:val="17"/>
                <w:lang w:val="en-GB"/>
              </w:rPr>
            </w:pPr>
            <w:r w:rsidRPr="003F155D">
              <w:rPr>
                <w:rFonts w:ascii="Segoe UI" w:eastAsia="新細明體" w:hAnsi="Segoe UI" w:cs="Segoe UI"/>
                <w:color w:val="000000"/>
                <w:kern w:val="0"/>
                <w:sz w:val="17"/>
                <w:szCs w:val="17"/>
                <w:lang w:val="en-GB"/>
              </w:rPr>
              <w:t>Not applicable</w:t>
            </w:r>
          </w:p>
        </w:tc>
      </w:tr>
      <w:tr w:rsidR="003F155D" w:rsidRPr="003F155D" w:rsidTr="00297CA5">
        <w:trPr>
          <w:trHeight w:val="567"/>
        </w:trPr>
        <w:tc>
          <w:tcPr>
            <w:tcW w:w="425" w:type="dxa"/>
            <w:gridSpan w:val="2"/>
            <w:tcBorders>
              <w:top w:val="single" w:sz="4" w:space="0" w:color="BFBFBF" w:themeColor="background1" w:themeShade="BF"/>
              <w:left w:val="nil"/>
              <w:bottom w:val="single" w:sz="4" w:space="0" w:color="D9D9D9" w:themeColor="background1" w:themeShade="D9"/>
              <w:right w:val="single" w:sz="4" w:space="0" w:color="BFBFBF" w:themeColor="background1" w:themeShade="BF"/>
            </w:tcBorders>
            <w:shd w:val="clear" w:color="auto" w:fill="auto"/>
            <w:noWrap/>
            <w:vAlign w:val="center"/>
            <w:hideMark/>
          </w:tcPr>
          <w:p w:rsidR="003F155D" w:rsidRPr="003F155D" w:rsidRDefault="003F155D" w:rsidP="003F155D">
            <w:pPr>
              <w:widowControl/>
              <w:spacing w:line="200" w:lineRule="exact"/>
              <w:rPr>
                <w:rFonts w:ascii="Segoe UI" w:eastAsia="新細明體" w:hAnsi="Segoe UI" w:cs="Segoe UI"/>
                <w:color w:val="000000"/>
                <w:kern w:val="0"/>
                <w:sz w:val="17"/>
                <w:szCs w:val="17"/>
                <w:lang w:val="en-GB"/>
              </w:rPr>
            </w:pPr>
            <w:r w:rsidRPr="003F155D">
              <w:rPr>
                <w:rFonts w:ascii="Segoe UI" w:eastAsia="新細明體" w:hAnsi="Segoe UI" w:cs="Segoe UI"/>
                <w:color w:val="000000"/>
                <w:kern w:val="0"/>
                <w:sz w:val="17"/>
                <w:szCs w:val="17"/>
                <w:lang w:val="en-GB"/>
              </w:rPr>
              <w:t>6b</w:t>
            </w:r>
          </w:p>
        </w:tc>
        <w:tc>
          <w:tcPr>
            <w:tcW w:w="5529"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auto"/>
            </w:tcBorders>
            <w:shd w:val="clear" w:color="auto" w:fill="FFFF00"/>
            <w:vAlign w:val="center"/>
            <w:hideMark/>
          </w:tcPr>
          <w:p w:rsidR="003F155D" w:rsidRPr="003F155D" w:rsidRDefault="003F155D" w:rsidP="003F155D">
            <w:pPr>
              <w:widowControl/>
              <w:spacing w:line="200" w:lineRule="exact"/>
              <w:ind w:rightChars="47" w:right="113"/>
              <w:rPr>
                <w:rFonts w:ascii="Segoe UI" w:eastAsia="新細明體" w:hAnsi="Segoe UI" w:cs="Segoe UI"/>
                <w:color w:val="000000"/>
                <w:kern w:val="0"/>
                <w:sz w:val="17"/>
                <w:szCs w:val="17"/>
                <w:lang w:val="en-GB"/>
              </w:rPr>
            </w:pPr>
            <w:r w:rsidRPr="003F155D">
              <w:rPr>
                <w:rFonts w:ascii="Segoe UI" w:eastAsia="新細明體" w:hAnsi="Segoe UI" w:cs="Segoe UI"/>
                <w:color w:val="000000"/>
                <w:kern w:val="0"/>
                <w:sz w:val="17"/>
                <w:szCs w:val="17"/>
                <w:lang w:val="en-GB"/>
              </w:rPr>
              <w:t>Does the subordination exemption in the penultimate paragraph of Section 11 of the FSB TLAC Term Sheet apply?</w:t>
            </w:r>
          </w:p>
        </w:tc>
        <w:tc>
          <w:tcPr>
            <w:tcW w:w="820" w:type="dxa"/>
            <w:tcBorders>
              <w:top w:val="nil"/>
              <w:left w:val="nil"/>
              <w:bottom w:val="single" w:sz="4" w:space="0" w:color="D9D9D9" w:themeColor="background1" w:themeShade="D9"/>
              <w:right w:val="single" w:sz="4" w:space="0" w:color="BFBFBF"/>
            </w:tcBorders>
            <w:shd w:val="clear" w:color="auto" w:fill="FFFF00"/>
            <w:noWrap/>
            <w:vAlign w:val="center"/>
            <w:hideMark/>
          </w:tcPr>
          <w:p w:rsidR="003F155D" w:rsidRPr="003F155D" w:rsidRDefault="003F155D" w:rsidP="003F155D">
            <w:pPr>
              <w:widowControl/>
              <w:spacing w:line="200" w:lineRule="exact"/>
              <w:jc w:val="center"/>
              <w:rPr>
                <w:rFonts w:ascii="Segoe UI" w:eastAsia="新細明體" w:hAnsi="Segoe UI" w:cs="Segoe UI"/>
                <w:color w:val="000000"/>
                <w:kern w:val="0"/>
                <w:sz w:val="17"/>
                <w:szCs w:val="17"/>
                <w:lang w:val="en-GB"/>
              </w:rPr>
            </w:pPr>
            <w:r w:rsidRPr="003F155D">
              <w:rPr>
                <w:rFonts w:ascii="Segoe UI" w:eastAsia="新細明體" w:hAnsi="Segoe UI" w:cs="Segoe UI"/>
                <w:color w:val="000000"/>
                <w:kern w:val="0"/>
                <w:sz w:val="17"/>
                <w:szCs w:val="17"/>
                <w:lang w:val="en-GB"/>
              </w:rPr>
              <w:t>Not applicable</w:t>
            </w:r>
          </w:p>
        </w:tc>
        <w:tc>
          <w:tcPr>
            <w:tcW w:w="881" w:type="dxa"/>
            <w:tcBorders>
              <w:top w:val="nil"/>
              <w:left w:val="nil"/>
              <w:bottom w:val="single" w:sz="4" w:space="0" w:color="D9D9D9" w:themeColor="background1" w:themeShade="D9"/>
              <w:right w:val="single" w:sz="4" w:space="0" w:color="BFBFBF"/>
            </w:tcBorders>
            <w:shd w:val="clear" w:color="auto" w:fill="FFFF00"/>
            <w:noWrap/>
            <w:vAlign w:val="center"/>
            <w:hideMark/>
          </w:tcPr>
          <w:p w:rsidR="003F155D" w:rsidRPr="003F155D" w:rsidRDefault="003F155D" w:rsidP="003F155D">
            <w:pPr>
              <w:widowControl/>
              <w:spacing w:line="200" w:lineRule="exact"/>
              <w:jc w:val="center"/>
              <w:rPr>
                <w:rFonts w:ascii="Segoe UI" w:eastAsia="新細明體" w:hAnsi="Segoe UI" w:cs="Segoe UI"/>
                <w:color w:val="000000"/>
                <w:kern w:val="0"/>
                <w:sz w:val="17"/>
                <w:szCs w:val="17"/>
                <w:lang w:val="en-GB"/>
              </w:rPr>
            </w:pPr>
            <w:r w:rsidRPr="003F155D">
              <w:rPr>
                <w:rFonts w:ascii="Segoe UI" w:eastAsia="新細明體" w:hAnsi="Segoe UI" w:cs="Segoe UI"/>
                <w:color w:val="000000"/>
                <w:kern w:val="0"/>
                <w:sz w:val="17"/>
                <w:szCs w:val="17"/>
                <w:lang w:val="en-GB"/>
              </w:rPr>
              <w:t>Not applicable</w:t>
            </w:r>
          </w:p>
        </w:tc>
        <w:tc>
          <w:tcPr>
            <w:tcW w:w="850" w:type="dxa"/>
            <w:tcBorders>
              <w:top w:val="nil"/>
              <w:left w:val="nil"/>
              <w:bottom w:val="single" w:sz="4" w:space="0" w:color="D9D9D9" w:themeColor="background1" w:themeShade="D9"/>
              <w:right w:val="single" w:sz="4" w:space="0" w:color="BFBFBF"/>
            </w:tcBorders>
            <w:shd w:val="clear" w:color="auto" w:fill="FFFF00"/>
            <w:noWrap/>
            <w:vAlign w:val="center"/>
            <w:hideMark/>
          </w:tcPr>
          <w:p w:rsidR="003F155D" w:rsidRPr="003F155D" w:rsidRDefault="003F155D" w:rsidP="003F155D">
            <w:pPr>
              <w:widowControl/>
              <w:spacing w:line="200" w:lineRule="exact"/>
              <w:jc w:val="center"/>
              <w:rPr>
                <w:rFonts w:ascii="Segoe UI" w:eastAsia="新細明體" w:hAnsi="Segoe UI" w:cs="Segoe UI"/>
                <w:color w:val="000000"/>
                <w:kern w:val="0"/>
                <w:sz w:val="17"/>
                <w:szCs w:val="17"/>
                <w:lang w:val="en-GB"/>
              </w:rPr>
            </w:pPr>
            <w:r w:rsidRPr="003F155D">
              <w:rPr>
                <w:rFonts w:ascii="Segoe UI" w:eastAsia="新細明體" w:hAnsi="Segoe UI" w:cs="Segoe UI"/>
                <w:color w:val="000000"/>
                <w:kern w:val="0"/>
                <w:sz w:val="17"/>
                <w:szCs w:val="17"/>
                <w:lang w:val="en-GB"/>
              </w:rPr>
              <w:t>Not applicable</w:t>
            </w:r>
          </w:p>
        </w:tc>
        <w:tc>
          <w:tcPr>
            <w:tcW w:w="851" w:type="dxa"/>
            <w:tcBorders>
              <w:top w:val="nil"/>
              <w:left w:val="nil"/>
              <w:bottom w:val="single" w:sz="4" w:space="0" w:color="D9D9D9" w:themeColor="background1" w:themeShade="D9"/>
              <w:right w:val="single" w:sz="4" w:space="0" w:color="BFBFBF"/>
            </w:tcBorders>
            <w:shd w:val="clear" w:color="auto" w:fill="FFFF00"/>
            <w:noWrap/>
            <w:vAlign w:val="center"/>
            <w:hideMark/>
          </w:tcPr>
          <w:p w:rsidR="003F155D" w:rsidRPr="003F155D" w:rsidRDefault="003F155D" w:rsidP="003F155D">
            <w:pPr>
              <w:widowControl/>
              <w:spacing w:line="200" w:lineRule="exact"/>
              <w:jc w:val="center"/>
              <w:rPr>
                <w:rFonts w:ascii="Segoe UI" w:eastAsia="新細明體" w:hAnsi="Segoe UI" w:cs="Segoe UI"/>
                <w:color w:val="000000"/>
                <w:kern w:val="0"/>
                <w:sz w:val="17"/>
                <w:szCs w:val="17"/>
                <w:lang w:val="en-GB"/>
              </w:rPr>
            </w:pPr>
            <w:r w:rsidRPr="003F155D">
              <w:rPr>
                <w:rFonts w:ascii="Segoe UI" w:eastAsia="新細明體" w:hAnsi="Segoe UI" w:cs="Segoe UI"/>
                <w:color w:val="000000"/>
                <w:kern w:val="0"/>
                <w:sz w:val="17"/>
                <w:szCs w:val="17"/>
                <w:lang w:val="en-GB"/>
              </w:rPr>
              <w:t>Not applicable</w:t>
            </w:r>
          </w:p>
        </w:tc>
        <w:tc>
          <w:tcPr>
            <w:tcW w:w="820" w:type="dxa"/>
            <w:tcBorders>
              <w:top w:val="nil"/>
              <w:left w:val="nil"/>
              <w:bottom w:val="single" w:sz="4" w:space="0" w:color="D9D9D9" w:themeColor="background1" w:themeShade="D9"/>
            </w:tcBorders>
            <w:shd w:val="clear" w:color="auto" w:fill="FFFF00"/>
            <w:noWrap/>
            <w:vAlign w:val="center"/>
            <w:hideMark/>
          </w:tcPr>
          <w:p w:rsidR="003F155D" w:rsidRPr="003F155D" w:rsidRDefault="003F155D" w:rsidP="003F155D">
            <w:pPr>
              <w:widowControl/>
              <w:spacing w:line="200" w:lineRule="exact"/>
              <w:jc w:val="center"/>
              <w:rPr>
                <w:rFonts w:ascii="Segoe UI" w:eastAsia="新細明體" w:hAnsi="Segoe UI" w:cs="Segoe UI"/>
                <w:color w:val="000000"/>
                <w:kern w:val="0"/>
                <w:sz w:val="17"/>
                <w:szCs w:val="17"/>
                <w:lang w:val="en-GB"/>
              </w:rPr>
            </w:pPr>
            <w:r w:rsidRPr="003F155D">
              <w:rPr>
                <w:rFonts w:ascii="Segoe UI" w:eastAsia="新細明體" w:hAnsi="Segoe UI" w:cs="Segoe UI"/>
                <w:color w:val="000000"/>
                <w:kern w:val="0"/>
                <w:sz w:val="17"/>
                <w:szCs w:val="17"/>
                <w:lang w:val="en-GB"/>
              </w:rPr>
              <w:t>Not applicable</w:t>
            </w:r>
          </w:p>
        </w:tc>
      </w:tr>
      <w:tr w:rsidR="003F155D" w:rsidRPr="003F155D" w:rsidTr="00297CA5">
        <w:trPr>
          <w:trHeight w:val="1134"/>
        </w:trPr>
        <w:tc>
          <w:tcPr>
            <w:tcW w:w="425" w:type="dxa"/>
            <w:gridSpan w:val="2"/>
            <w:tcBorders>
              <w:top w:val="single" w:sz="4" w:space="0" w:color="D9D9D9" w:themeColor="background1" w:themeShade="D9"/>
              <w:bottom w:val="single" w:sz="4" w:space="0" w:color="000000" w:themeColor="text1"/>
              <w:right w:val="single" w:sz="4" w:space="0" w:color="D9D9D9" w:themeColor="background1" w:themeShade="D9"/>
            </w:tcBorders>
            <w:shd w:val="clear" w:color="auto" w:fill="auto"/>
            <w:noWrap/>
            <w:vAlign w:val="center"/>
            <w:hideMark/>
          </w:tcPr>
          <w:p w:rsidR="003F155D" w:rsidRPr="003F155D" w:rsidRDefault="003F155D" w:rsidP="003F155D">
            <w:pPr>
              <w:widowControl/>
              <w:spacing w:line="200" w:lineRule="exact"/>
              <w:jc w:val="both"/>
              <w:rPr>
                <w:rFonts w:ascii="Segoe UI" w:eastAsia="新細明體" w:hAnsi="Segoe UI" w:cs="Segoe UI"/>
                <w:color w:val="000000"/>
                <w:kern w:val="0"/>
                <w:sz w:val="17"/>
                <w:szCs w:val="17"/>
                <w:lang w:val="en-GB"/>
              </w:rPr>
            </w:pPr>
            <w:r w:rsidRPr="003F155D">
              <w:rPr>
                <w:rFonts w:ascii="Segoe UI" w:eastAsia="新細明體" w:hAnsi="Segoe UI" w:cs="Segoe UI"/>
                <w:color w:val="000000"/>
                <w:kern w:val="0"/>
                <w:sz w:val="17"/>
                <w:szCs w:val="17"/>
                <w:lang w:val="en-GB"/>
              </w:rPr>
              <w:t>6c</w:t>
            </w:r>
          </w:p>
        </w:tc>
        <w:tc>
          <w:tcPr>
            <w:tcW w:w="5529" w:type="dxa"/>
            <w:tcBorders>
              <w:top w:val="single" w:sz="4" w:space="0" w:color="D9D9D9" w:themeColor="background1" w:themeShade="D9"/>
              <w:left w:val="single" w:sz="4" w:space="0" w:color="D9D9D9" w:themeColor="background1" w:themeShade="D9"/>
              <w:bottom w:val="single" w:sz="4" w:space="0" w:color="000000" w:themeColor="text1"/>
              <w:right w:val="single" w:sz="4" w:space="0" w:color="auto"/>
            </w:tcBorders>
            <w:shd w:val="clear" w:color="auto" w:fill="FFFF00"/>
            <w:vAlign w:val="center"/>
            <w:hideMark/>
          </w:tcPr>
          <w:p w:rsidR="003F155D" w:rsidRPr="003F155D" w:rsidRDefault="003F155D" w:rsidP="003F155D">
            <w:pPr>
              <w:widowControl/>
              <w:spacing w:line="200" w:lineRule="exact"/>
              <w:ind w:rightChars="47" w:right="113"/>
              <w:jc w:val="both"/>
              <w:rPr>
                <w:rFonts w:ascii="Segoe UI" w:eastAsia="新細明體" w:hAnsi="Segoe UI" w:cs="Segoe UI"/>
                <w:color w:val="000000"/>
                <w:kern w:val="0"/>
                <w:sz w:val="17"/>
                <w:szCs w:val="17"/>
                <w:lang w:val="en-GB"/>
              </w:rPr>
            </w:pPr>
            <w:r w:rsidRPr="003F155D">
              <w:rPr>
                <w:rFonts w:ascii="Segoe UI" w:eastAsia="新細明體" w:hAnsi="Segoe UI" w:cs="Segoe UI"/>
                <w:color w:val="000000"/>
                <w:kern w:val="0"/>
                <w:sz w:val="17"/>
                <w:szCs w:val="17"/>
                <w:lang w:val="en-GB"/>
              </w:rPr>
              <w:t>If the capped subordination exemption applies, the amount of funding issued that ranks pari passu with excluded liabilities and that is recognised as external loss-absorbing capacity, divided by funding issued that ranks pari passu with excluded liabilities and that would be recognised as external loss-absorbing capacity if no cap was applied</w:t>
            </w:r>
          </w:p>
        </w:tc>
        <w:tc>
          <w:tcPr>
            <w:tcW w:w="820" w:type="dxa"/>
            <w:tcBorders>
              <w:top w:val="single" w:sz="4" w:space="0" w:color="D9D9D9" w:themeColor="background1" w:themeShade="D9"/>
              <w:left w:val="single" w:sz="4" w:space="0" w:color="auto"/>
              <w:bottom w:val="single" w:sz="4" w:space="0" w:color="000000" w:themeColor="text1"/>
              <w:right w:val="single" w:sz="4" w:space="0" w:color="D9D9D9" w:themeColor="background1" w:themeShade="D9"/>
            </w:tcBorders>
            <w:shd w:val="clear" w:color="auto" w:fill="FFFF00"/>
            <w:noWrap/>
            <w:vAlign w:val="center"/>
            <w:hideMark/>
          </w:tcPr>
          <w:p w:rsidR="003F155D" w:rsidRPr="003F155D" w:rsidRDefault="003F155D" w:rsidP="003F155D">
            <w:pPr>
              <w:widowControl/>
              <w:spacing w:line="200" w:lineRule="exact"/>
              <w:jc w:val="center"/>
              <w:rPr>
                <w:rFonts w:ascii="Segoe UI" w:eastAsia="新細明體" w:hAnsi="Segoe UI" w:cs="Segoe UI"/>
                <w:color w:val="000000"/>
                <w:kern w:val="0"/>
                <w:sz w:val="17"/>
                <w:szCs w:val="17"/>
                <w:lang w:val="en-GB"/>
              </w:rPr>
            </w:pPr>
            <w:r w:rsidRPr="003F155D">
              <w:rPr>
                <w:rFonts w:ascii="Segoe UI" w:eastAsia="新細明體" w:hAnsi="Segoe UI" w:cs="Segoe UI"/>
                <w:color w:val="000000"/>
                <w:kern w:val="0"/>
                <w:sz w:val="17"/>
                <w:szCs w:val="17"/>
                <w:lang w:val="en-GB"/>
              </w:rPr>
              <w:t>Not applicable</w:t>
            </w:r>
          </w:p>
        </w:tc>
        <w:tc>
          <w:tcPr>
            <w:tcW w:w="881" w:type="dxa"/>
            <w:tcBorders>
              <w:top w:val="single" w:sz="4" w:space="0" w:color="D9D9D9" w:themeColor="background1" w:themeShade="D9"/>
              <w:left w:val="single" w:sz="4" w:space="0" w:color="D9D9D9" w:themeColor="background1" w:themeShade="D9"/>
              <w:bottom w:val="single" w:sz="4" w:space="0" w:color="000000" w:themeColor="text1"/>
              <w:right w:val="single" w:sz="4" w:space="0" w:color="D9D9D9" w:themeColor="background1" w:themeShade="D9"/>
            </w:tcBorders>
            <w:shd w:val="clear" w:color="auto" w:fill="FFFF00"/>
            <w:noWrap/>
            <w:vAlign w:val="center"/>
            <w:hideMark/>
          </w:tcPr>
          <w:p w:rsidR="003F155D" w:rsidRPr="003F155D" w:rsidRDefault="003F155D" w:rsidP="003F155D">
            <w:pPr>
              <w:widowControl/>
              <w:spacing w:line="200" w:lineRule="exact"/>
              <w:jc w:val="center"/>
              <w:rPr>
                <w:rFonts w:ascii="Segoe UI" w:eastAsia="新細明體" w:hAnsi="Segoe UI" w:cs="Segoe UI"/>
                <w:color w:val="000000"/>
                <w:kern w:val="0"/>
                <w:sz w:val="17"/>
                <w:szCs w:val="17"/>
                <w:lang w:val="en-GB"/>
              </w:rPr>
            </w:pPr>
            <w:r w:rsidRPr="003F155D">
              <w:rPr>
                <w:rFonts w:ascii="Segoe UI" w:eastAsia="新細明體" w:hAnsi="Segoe UI" w:cs="Segoe UI"/>
                <w:color w:val="000000"/>
                <w:kern w:val="0"/>
                <w:sz w:val="17"/>
                <w:szCs w:val="17"/>
                <w:lang w:val="en-GB"/>
              </w:rPr>
              <w:t>Not applicable</w:t>
            </w:r>
          </w:p>
        </w:tc>
        <w:tc>
          <w:tcPr>
            <w:tcW w:w="850" w:type="dxa"/>
            <w:tcBorders>
              <w:top w:val="single" w:sz="4" w:space="0" w:color="D9D9D9" w:themeColor="background1" w:themeShade="D9"/>
              <w:left w:val="single" w:sz="4" w:space="0" w:color="D9D9D9" w:themeColor="background1" w:themeShade="D9"/>
              <w:bottom w:val="single" w:sz="4" w:space="0" w:color="000000" w:themeColor="text1"/>
              <w:right w:val="single" w:sz="4" w:space="0" w:color="D9D9D9" w:themeColor="background1" w:themeShade="D9"/>
            </w:tcBorders>
            <w:shd w:val="clear" w:color="auto" w:fill="FFFF00"/>
            <w:noWrap/>
            <w:vAlign w:val="center"/>
            <w:hideMark/>
          </w:tcPr>
          <w:p w:rsidR="003F155D" w:rsidRPr="003F155D" w:rsidRDefault="003F155D" w:rsidP="003F155D">
            <w:pPr>
              <w:widowControl/>
              <w:spacing w:line="200" w:lineRule="exact"/>
              <w:jc w:val="center"/>
              <w:rPr>
                <w:rFonts w:ascii="Segoe UI" w:eastAsia="新細明體" w:hAnsi="Segoe UI" w:cs="Segoe UI"/>
                <w:color w:val="000000"/>
                <w:kern w:val="0"/>
                <w:sz w:val="17"/>
                <w:szCs w:val="17"/>
                <w:lang w:val="en-GB"/>
              </w:rPr>
            </w:pPr>
            <w:r w:rsidRPr="003F155D">
              <w:rPr>
                <w:rFonts w:ascii="Segoe UI" w:eastAsia="新細明體" w:hAnsi="Segoe UI" w:cs="Segoe UI"/>
                <w:color w:val="000000"/>
                <w:kern w:val="0"/>
                <w:sz w:val="17"/>
                <w:szCs w:val="17"/>
                <w:lang w:val="en-GB"/>
              </w:rPr>
              <w:t>Not applicable</w:t>
            </w:r>
          </w:p>
        </w:tc>
        <w:tc>
          <w:tcPr>
            <w:tcW w:w="851" w:type="dxa"/>
            <w:tcBorders>
              <w:top w:val="single" w:sz="4" w:space="0" w:color="D9D9D9" w:themeColor="background1" w:themeShade="D9"/>
              <w:left w:val="single" w:sz="4" w:space="0" w:color="D9D9D9" w:themeColor="background1" w:themeShade="D9"/>
              <w:bottom w:val="single" w:sz="4" w:space="0" w:color="000000" w:themeColor="text1"/>
              <w:right w:val="single" w:sz="4" w:space="0" w:color="D9D9D9" w:themeColor="background1" w:themeShade="D9"/>
            </w:tcBorders>
            <w:shd w:val="clear" w:color="auto" w:fill="FFFF00"/>
            <w:noWrap/>
            <w:vAlign w:val="center"/>
            <w:hideMark/>
          </w:tcPr>
          <w:p w:rsidR="003F155D" w:rsidRPr="003F155D" w:rsidRDefault="003F155D" w:rsidP="003F155D">
            <w:pPr>
              <w:widowControl/>
              <w:spacing w:line="200" w:lineRule="exact"/>
              <w:jc w:val="center"/>
              <w:rPr>
                <w:rFonts w:ascii="Segoe UI" w:eastAsia="新細明體" w:hAnsi="Segoe UI" w:cs="Segoe UI"/>
                <w:color w:val="000000"/>
                <w:kern w:val="0"/>
                <w:sz w:val="17"/>
                <w:szCs w:val="17"/>
                <w:lang w:val="en-GB"/>
              </w:rPr>
            </w:pPr>
            <w:r w:rsidRPr="003F155D">
              <w:rPr>
                <w:rFonts w:ascii="Segoe UI" w:eastAsia="新細明體" w:hAnsi="Segoe UI" w:cs="Segoe UI"/>
                <w:color w:val="000000"/>
                <w:kern w:val="0"/>
                <w:sz w:val="17"/>
                <w:szCs w:val="17"/>
                <w:lang w:val="en-GB"/>
              </w:rPr>
              <w:t>Not applicable</w:t>
            </w:r>
          </w:p>
        </w:tc>
        <w:tc>
          <w:tcPr>
            <w:tcW w:w="820" w:type="dxa"/>
            <w:tcBorders>
              <w:top w:val="single" w:sz="4" w:space="0" w:color="D9D9D9" w:themeColor="background1" w:themeShade="D9"/>
              <w:left w:val="single" w:sz="4" w:space="0" w:color="D9D9D9" w:themeColor="background1" w:themeShade="D9"/>
              <w:bottom w:val="single" w:sz="4" w:space="0" w:color="000000" w:themeColor="text1"/>
            </w:tcBorders>
            <w:shd w:val="clear" w:color="auto" w:fill="FFFF00"/>
            <w:noWrap/>
            <w:vAlign w:val="center"/>
            <w:hideMark/>
          </w:tcPr>
          <w:p w:rsidR="003F155D" w:rsidRPr="003F155D" w:rsidRDefault="003F155D" w:rsidP="003F155D">
            <w:pPr>
              <w:widowControl/>
              <w:spacing w:line="200" w:lineRule="exact"/>
              <w:jc w:val="center"/>
              <w:rPr>
                <w:rFonts w:ascii="Segoe UI" w:eastAsia="新細明體" w:hAnsi="Segoe UI" w:cs="Segoe UI"/>
                <w:color w:val="000000"/>
                <w:kern w:val="0"/>
                <w:sz w:val="17"/>
                <w:szCs w:val="17"/>
                <w:lang w:val="en-GB"/>
              </w:rPr>
            </w:pPr>
            <w:r w:rsidRPr="003F155D">
              <w:rPr>
                <w:rFonts w:ascii="Segoe UI" w:eastAsia="新細明體" w:hAnsi="Segoe UI" w:cs="Segoe UI"/>
                <w:color w:val="000000"/>
                <w:kern w:val="0"/>
                <w:sz w:val="17"/>
                <w:szCs w:val="17"/>
                <w:lang w:val="en-GB"/>
              </w:rPr>
              <w:t>Not applicable</w:t>
            </w:r>
          </w:p>
        </w:tc>
      </w:tr>
      <w:tr w:rsidR="003F155D" w:rsidRPr="003F155D" w:rsidTr="00297CA5">
        <w:trPr>
          <w:gridAfter w:val="1"/>
          <w:wAfter w:w="820" w:type="dxa"/>
          <w:trHeight w:val="1134"/>
        </w:trPr>
        <w:tc>
          <w:tcPr>
            <w:tcW w:w="9356" w:type="dxa"/>
            <w:gridSpan w:val="7"/>
            <w:tcBorders>
              <w:top w:val="single" w:sz="4" w:space="0" w:color="BFBFBF" w:themeColor="background1" w:themeShade="BF"/>
              <w:left w:val="nil"/>
              <w:bottom w:val="single" w:sz="4" w:space="0" w:color="auto"/>
            </w:tcBorders>
            <w:shd w:val="clear" w:color="auto" w:fill="auto"/>
            <w:noWrap/>
          </w:tcPr>
          <w:p w:rsidR="003F155D" w:rsidRPr="003F155D" w:rsidRDefault="003F155D" w:rsidP="003F155D">
            <w:pPr>
              <w:widowControl/>
              <w:snapToGrid w:val="0"/>
              <w:spacing w:before="40" w:after="40" w:line="240" w:lineRule="exact"/>
              <w:jc w:val="both"/>
              <w:rPr>
                <w:rFonts w:ascii="Segoe UI" w:eastAsia="Times New Roman" w:hAnsi="Segoe UI" w:cs="Segoe UI"/>
                <w:i/>
                <w:kern w:val="0"/>
                <w:sz w:val="17"/>
                <w:szCs w:val="17"/>
                <w:lang w:val="en-GB" w:eastAsia="it-IT"/>
              </w:rPr>
            </w:pPr>
            <w:r w:rsidRPr="003F155D">
              <w:rPr>
                <w:rFonts w:ascii="Segoe UI" w:eastAsia="Times New Roman" w:hAnsi="Segoe UI" w:cs="Segoe UI"/>
                <w:i/>
                <w:kern w:val="0"/>
                <w:sz w:val="17"/>
                <w:szCs w:val="17"/>
                <w:lang w:val="en-GB" w:eastAsia="it-IT"/>
              </w:rPr>
              <w:t>Points to note:</w:t>
            </w:r>
          </w:p>
          <w:p w:rsidR="003F155D" w:rsidRPr="003F155D" w:rsidRDefault="003F155D" w:rsidP="003F155D">
            <w:pPr>
              <w:widowControl/>
              <w:numPr>
                <w:ilvl w:val="0"/>
                <w:numId w:val="1"/>
              </w:numPr>
              <w:spacing w:before="40" w:after="40" w:line="240" w:lineRule="exact"/>
              <w:jc w:val="both"/>
              <w:rPr>
                <w:rFonts w:ascii="Segoe UI" w:eastAsia="新細明體" w:hAnsi="Segoe UI" w:cs="Segoe UI"/>
                <w:i/>
                <w:color w:val="000000"/>
                <w:kern w:val="0"/>
                <w:sz w:val="17"/>
                <w:szCs w:val="17"/>
                <w:lang w:val="en-GB"/>
              </w:rPr>
            </w:pPr>
            <w:r w:rsidRPr="003F155D">
              <w:rPr>
                <w:rFonts w:ascii="Segoe UI" w:eastAsia="新細明體" w:hAnsi="Segoe UI" w:cs="Segoe UI"/>
                <w:i/>
                <w:color w:val="000000"/>
                <w:kern w:val="0"/>
                <w:sz w:val="17"/>
                <w:szCs w:val="17"/>
                <w:lang w:val="en-GB"/>
              </w:rPr>
              <w:t>Under the BCBS’s standards on Pillar 3 disclosure requirements – consolidated and enhanced framework (March 2017), template KM2 applies to the disclosure of loss-absorbing capacity at the resolution group level.  In tailoring the template KM2 for Hong Kong, the HKMA has made necessary adjustments so that the template applies to the disclosure by a resolution entity of external loss-absorbing capacity at the LAC consolidation group level to reflect that a requirement of a resolution entity to maintain, on a consolidated basis, its external LAC risk-weighted ratio or its external LAC leverage ratio at or above a specified minimum under the LAC Rules is imposed with respect to its LAC consolidation group.</w:t>
            </w:r>
          </w:p>
          <w:p w:rsidR="003F155D" w:rsidRPr="003F155D" w:rsidRDefault="003F155D" w:rsidP="003F155D">
            <w:pPr>
              <w:widowControl/>
              <w:numPr>
                <w:ilvl w:val="0"/>
                <w:numId w:val="1"/>
              </w:numPr>
              <w:spacing w:before="40" w:after="40" w:line="240" w:lineRule="exact"/>
              <w:jc w:val="both"/>
              <w:rPr>
                <w:rFonts w:ascii="Segoe UI" w:eastAsia="新細明體" w:hAnsi="Segoe UI" w:cs="Segoe UI"/>
                <w:i/>
                <w:color w:val="000000"/>
                <w:kern w:val="0"/>
                <w:sz w:val="17"/>
                <w:szCs w:val="17"/>
                <w:lang w:val="en-GB"/>
              </w:rPr>
            </w:pPr>
            <w:r w:rsidRPr="003F155D">
              <w:rPr>
                <w:rFonts w:ascii="Segoe UI" w:eastAsia="新細明體" w:hAnsi="Segoe UI" w:cs="Segoe UI"/>
                <w:i/>
                <w:color w:val="000000"/>
                <w:kern w:val="0"/>
                <w:sz w:val="17"/>
                <w:szCs w:val="17"/>
                <w:lang w:val="en-GB"/>
              </w:rPr>
              <w:lastRenderedPageBreak/>
              <w:t xml:space="preserve">Disclosures are prospective during the first period of implementation and build up quarterly comparatives over time.  Enter “NA” in the columns with respect to periods prior to the first period of implementation.  </w:t>
            </w:r>
          </w:p>
          <w:p w:rsidR="003F155D" w:rsidRPr="003F155D" w:rsidRDefault="003F155D" w:rsidP="003F155D">
            <w:pPr>
              <w:widowControl/>
              <w:numPr>
                <w:ilvl w:val="0"/>
                <w:numId w:val="1"/>
              </w:numPr>
              <w:spacing w:before="40" w:after="40" w:line="240" w:lineRule="exact"/>
              <w:jc w:val="both"/>
              <w:rPr>
                <w:rFonts w:ascii="Segoe UI" w:eastAsia="新細明體" w:hAnsi="Segoe UI" w:cs="Segoe UI"/>
                <w:color w:val="000000"/>
                <w:kern w:val="0"/>
                <w:sz w:val="17"/>
                <w:szCs w:val="17"/>
                <w:lang w:val="en-GB"/>
              </w:rPr>
            </w:pPr>
            <w:r w:rsidRPr="003F155D">
              <w:rPr>
                <w:rFonts w:ascii="Segoe UI" w:eastAsia="新細明體" w:hAnsi="Segoe UI" w:cs="Segoe UI"/>
                <w:i/>
                <w:color w:val="000000"/>
                <w:kern w:val="0"/>
                <w:sz w:val="17"/>
                <w:szCs w:val="17"/>
                <w:lang w:val="en-GB"/>
              </w:rPr>
              <w:t>A row shaded yellow represents an item that is not applicable in Hong Kong.</w:t>
            </w:r>
          </w:p>
          <w:p w:rsidR="003F155D" w:rsidRPr="003F155D" w:rsidRDefault="003F155D" w:rsidP="003F155D">
            <w:pPr>
              <w:widowControl/>
              <w:numPr>
                <w:ilvl w:val="0"/>
                <w:numId w:val="1"/>
              </w:numPr>
              <w:spacing w:before="40" w:after="40" w:line="240" w:lineRule="exact"/>
              <w:jc w:val="both"/>
              <w:rPr>
                <w:rFonts w:ascii="Segoe UI" w:eastAsia="新細明體" w:hAnsi="Segoe UI" w:cs="Segoe UI"/>
                <w:color w:val="000000"/>
                <w:kern w:val="0"/>
                <w:sz w:val="17"/>
                <w:szCs w:val="17"/>
                <w:lang w:val="en-GB"/>
              </w:rPr>
            </w:pPr>
            <w:r w:rsidRPr="003F155D">
              <w:rPr>
                <w:rFonts w:ascii="Segoe UI" w:eastAsia="新細明體" w:hAnsi="Segoe UI" w:cs="Segoe UI"/>
                <w:i/>
                <w:color w:val="000000"/>
                <w:kern w:val="0"/>
                <w:sz w:val="17"/>
                <w:szCs w:val="17"/>
                <w:lang w:val="en-GB"/>
              </w:rPr>
              <w:t>Where the functional currency of a resolution entity is a currency other than Hong Kong dollars and the resolution entity reports amounts in this template in Hong Kong dollars, the closing middle market T/T rates prevailing at the end of the current reporting period should be used for conversion purposes.</w:t>
            </w:r>
          </w:p>
        </w:tc>
      </w:tr>
    </w:tbl>
    <w:p w:rsidR="003F155D" w:rsidRPr="003F155D" w:rsidRDefault="003F155D" w:rsidP="003F155D">
      <w:pPr>
        <w:widowControl/>
        <w:spacing w:before="120" w:after="120"/>
        <w:ind w:leftChars="-283" w:left="-679"/>
        <w:rPr>
          <w:rFonts w:ascii="Segoe UI" w:eastAsia="Times New Roman" w:hAnsi="Segoe UI" w:cs="Times New Roman"/>
          <w:kern w:val="0"/>
          <w:sz w:val="22"/>
          <w:szCs w:val="20"/>
          <w:lang w:val="en-GB" w:eastAsia="en-US"/>
        </w:rPr>
      </w:pPr>
    </w:p>
    <w:tbl>
      <w:tblPr>
        <w:tblW w:w="9214"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8647"/>
      </w:tblGrid>
      <w:tr w:rsidR="003F155D" w:rsidRPr="003F155D" w:rsidTr="00297CA5">
        <w:trPr>
          <w:tblHeader/>
        </w:trPr>
        <w:tc>
          <w:tcPr>
            <w:tcW w:w="9214" w:type="dxa"/>
            <w:gridSpan w:val="2"/>
            <w:shd w:val="clear" w:color="auto" w:fill="BFBFBF"/>
          </w:tcPr>
          <w:p w:rsidR="003F155D" w:rsidRPr="003F155D" w:rsidRDefault="003F155D" w:rsidP="003F155D">
            <w:pPr>
              <w:keepLines/>
              <w:tabs>
                <w:tab w:val="left" w:pos="150"/>
                <w:tab w:val="left" w:pos="397"/>
                <w:tab w:val="left" w:pos="794"/>
                <w:tab w:val="left" w:pos="1191"/>
              </w:tabs>
              <w:spacing w:before="40" w:after="40"/>
              <w:rPr>
                <w:rFonts w:ascii="Segoe UI" w:eastAsia="新細明體" w:hAnsi="Segoe UI" w:cs="Times New Roman"/>
                <w:b/>
                <w:kern w:val="0"/>
                <w:sz w:val="17"/>
                <w:szCs w:val="20"/>
                <w:lang w:val="en-GB" w:eastAsia="en-GB"/>
              </w:rPr>
            </w:pPr>
            <w:r w:rsidRPr="003F155D">
              <w:rPr>
                <w:rFonts w:ascii="Segoe UI" w:eastAsia="新細明體" w:hAnsi="Segoe UI" w:cs="Times New Roman"/>
                <w:b/>
                <w:kern w:val="0"/>
                <w:sz w:val="17"/>
                <w:szCs w:val="20"/>
                <w:lang w:val="en-GB" w:eastAsia="en-GB"/>
              </w:rPr>
              <w:t>Explanatory Note</w:t>
            </w:r>
          </w:p>
        </w:tc>
      </w:tr>
      <w:tr w:rsidR="003F155D" w:rsidRPr="003F155D" w:rsidTr="00297CA5">
        <w:tc>
          <w:tcPr>
            <w:tcW w:w="9214" w:type="dxa"/>
            <w:gridSpan w:val="2"/>
            <w:shd w:val="clear" w:color="auto" w:fill="F2F2F2"/>
          </w:tcPr>
          <w:p w:rsidR="003F155D" w:rsidRPr="003F155D" w:rsidRDefault="003F155D" w:rsidP="003F155D">
            <w:pPr>
              <w:keepLines/>
              <w:tabs>
                <w:tab w:val="left" w:pos="150"/>
                <w:tab w:val="left" w:pos="397"/>
                <w:tab w:val="left" w:pos="794"/>
                <w:tab w:val="left" w:pos="1191"/>
              </w:tabs>
              <w:spacing w:before="40" w:after="40"/>
              <w:rPr>
                <w:rFonts w:ascii="Segoe UI" w:eastAsia="新細明體" w:hAnsi="Segoe UI" w:cs="Times New Roman"/>
                <w:b/>
                <w:kern w:val="0"/>
                <w:sz w:val="17"/>
                <w:szCs w:val="20"/>
                <w:lang w:val="en-GB" w:eastAsia="en-GB"/>
              </w:rPr>
            </w:pPr>
            <w:r w:rsidRPr="003F155D">
              <w:rPr>
                <w:rFonts w:ascii="Segoe UI" w:eastAsia="新細明體" w:hAnsi="Segoe UI" w:cs="Times New Roman"/>
                <w:b/>
                <w:kern w:val="0"/>
                <w:sz w:val="17"/>
                <w:szCs w:val="20"/>
                <w:lang w:val="en-GB" w:eastAsia="en-GB"/>
              </w:rPr>
              <w:t>Rows</w:t>
            </w:r>
          </w:p>
        </w:tc>
      </w:tr>
      <w:tr w:rsidR="003F155D" w:rsidRPr="003F155D" w:rsidTr="00297CA5">
        <w:tc>
          <w:tcPr>
            <w:tcW w:w="567" w:type="dxa"/>
            <w:shd w:val="clear" w:color="auto" w:fill="auto"/>
          </w:tcPr>
          <w:p w:rsidR="003F155D" w:rsidRPr="003F155D" w:rsidRDefault="003F155D" w:rsidP="003F155D">
            <w:pPr>
              <w:keepLines/>
              <w:tabs>
                <w:tab w:val="left" w:pos="150"/>
                <w:tab w:val="left" w:pos="397"/>
                <w:tab w:val="left" w:pos="794"/>
                <w:tab w:val="left" w:pos="1191"/>
              </w:tabs>
              <w:spacing w:before="40" w:after="40"/>
              <w:rPr>
                <w:rFonts w:ascii="Segoe UI" w:eastAsia="Times New Roman" w:hAnsi="Segoe UI" w:cs="Segoe UI"/>
                <w:kern w:val="0"/>
                <w:sz w:val="17"/>
                <w:szCs w:val="17"/>
                <w:lang w:val="en-GB" w:eastAsia="en-US"/>
              </w:rPr>
            </w:pPr>
            <w:r w:rsidRPr="003F155D">
              <w:rPr>
                <w:rFonts w:ascii="Segoe UI" w:eastAsia="Times New Roman" w:hAnsi="Segoe UI" w:cs="Segoe UI"/>
                <w:kern w:val="0"/>
                <w:sz w:val="17"/>
                <w:szCs w:val="17"/>
                <w:lang w:val="en-GB" w:eastAsia="en-US"/>
              </w:rPr>
              <w:t>1</w:t>
            </w:r>
          </w:p>
        </w:tc>
        <w:tc>
          <w:tcPr>
            <w:tcW w:w="8647" w:type="dxa"/>
            <w:shd w:val="clear" w:color="auto" w:fill="auto"/>
          </w:tcPr>
          <w:p w:rsidR="003F155D" w:rsidRPr="003F155D" w:rsidRDefault="003F155D" w:rsidP="003F155D">
            <w:pPr>
              <w:keepLines/>
              <w:tabs>
                <w:tab w:val="left" w:pos="150"/>
                <w:tab w:val="left" w:pos="397"/>
                <w:tab w:val="left" w:pos="794"/>
                <w:tab w:val="left" w:pos="1191"/>
              </w:tabs>
              <w:spacing w:before="40" w:after="40"/>
              <w:jc w:val="both"/>
              <w:rPr>
                <w:rFonts w:ascii="Segoe UI" w:eastAsia="新細明體" w:hAnsi="Segoe UI" w:cs="Segoe UI"/>
                <w:color w:val="000000"/>
                <w:kern w:val="0"/>
                <w:sz w:val="17"/>
                <w:szCs w:val="17"/>
                <w:lang w:val="en-GB"/>
              </w:rPr>
            </w:pPr>
            <w:r w:rsidRPr="003F155D">
              <w:rPr>
                <w:rFonts w:ascii="Segoe UI" w:eastAsia="新細明體" w:hAnsi="Segoe UI" w:cs="Segoe UI"/>
                <w:color w:val="000000"/>
                <w:kern w:val="0"/>
                <w:sz w:val="17"/>
                <w:szCs w:val="17"/>
                <w:lang w:val="en-GB"/>
              </w:rPr>
              <w:t xml:space="preserve">External loss-absorbing capacity available: the value in </w:t>
            </w:r>
            <w:r w:rsidRPr="003F155D">
              <w:rPr>
                <w:rFonts w:ascii="Segoe UI" w:eastAsia="Times New Roman" w:hAnsi="Segoe UI" w:cs="Segoe UI"/>
                <w:kern w:val="0"/>
                <w:sz w:val="17"/>
                <w:szCs w:val="17"/>
                <w:lang w:val="en-GB" w:eastAsia="en-US"/>
              </w:rPr>
              <w:t xml:space="preserve">[KM2:1/a] </w:t>
            </w:r>
            <w:r w:rsidRPr="003F155D">
              <w:rPr>
                <w:rFonts w:ascii="Segoe UI" w:eastAsia="新細明體" w:hAnsi="Segoe UI" w:cs="Segoe UI"/>
                <w:color w:val="000000"/>
                <w:kern w:val="0"/>
                <w:sz w:val="17"/>
                <w:szCs w:val="17"/>
                <w:lang w:val="en-GB"/>
              </w:rPr>
              <w:t xml:space="preserve">should be equal to the value in [TLAC1:22/a] of the resolution entity with respect to the relevant position date, as applicable. </w:t>
            </w:r>
          </w:p>
        </w:tc>
      </w:tr>
      <w:tr w:rsidR="003F155D" w:rsidRPr="003F155D" w:rsidTr="00297CA5">
        <w:tc>
          <w:tcPr>
            <w:tcW w:w="567" w:type="dxa"/>
            <w:shd w:val="clear" w:color="auto" w:fill="auto"/>
          </w:tcPr>
          <w:p w:rsidR="003F155D" w:rsidRPr="003F155D" w:rsidRDefault="003F155D" w:rsidP="003F155D">
            <w:pPr>
              <w:keepLines/>
              <w:tabs>
                <w:tab w:val="left" w:pos="150"/>
                <w:tab w:val="left" w:pos="397"/>
                <w:tab w:val="left" w:pos="794"/>
                <w:tab w:val="left" w:pos="1191"/>
              </w:tabs>
              <w:spacing w:before="40" w:after="40"/>
              <w:rPr>
                <w:rFonts w:ascii="Segoe UI" w:eastAsia="Times New Roman" w:hAnsi="Segoe UI" w:cs="Segoe UI"/>
                <w:kern w:val="0"/>
                <w:sz w:val="17"/>
                <w:szCs w:val="17"/>
                <w:lang w:val="en-GB" w:eastAsia="en-US"/>
              </w:rPr>
            </w:pPr>
            <w:r w:rsidRPr="003F155D">
              <w:rPr>
                <w:rFonts w:ascii="Segoe UI" w:eastAsia="Times New Roman" w:hAnsi="Segoe UI" w:cs="Segoe UI"/>
                <w:kern w:val="0"/>
                <w:sz w:val="17"/>
                <w:szCs w:val="17"/>
                <w:lang w:val="en-GB" w:eastAsia="en-US"/>
              </w:rPr>
              <w:t>2</w:t>
            </w:r>
          </w:p>
        </w:tc>
        <w:tc>
          <w:tcPr>
            <w:tcW w:w="8647" w:type="dxa"/>
            <w:shd w:val="clear" w:color="auto" w:fill="auto"/>
          </w:tcPr>
          <w:p w:rsidR="003F155D" w:rsidRPr="003F155D" w:rsidRDefault="003F155D" w:rsidP="003F155D">
            <w:pPr>
              <w:keepLines/>
              <w:tabs>
                <w:tab w:val="left" w:pos="150"/>
                <w:tab w:val="left" w:pos="397"/>
                <w:tab w:val="left" w:pos="794"/>
                <w:tab w:val="left" w:pos="1191"/>
              </w:tabs>
              <w:spacing w:before="40" w:after="40"/>
              <w:jc w:val="both"/>
              <w:rPr>
                <w:rFonts w:ascii="Segoe UI" w:eastAsia="新細明體" w:hAnsi="Segoe UI" w:cs="Segoe UI"/>
                <w:iCs/>
                <w:color w:val="000000"/>
                <w:kern w:val="0"/>
                <w:sz w:val="17"/>
                <w:szCs w:val="17"/>
                <w:lang w:val="en-GB"/>
              </w:rPr>
            </w:pPr>
            <w:r w:rsidRPr="003F155D">
              <w:rPr>
                <w:rFonts w:ascii="Segoe UI" w:eastAsia="新細明體" w:hAnsi="Segoe UI" w:cs="Segoe UI"/>
                <w:iCs/>
                <w:color w:val="000000"/>
                <w:kern w:val="0"/>
                <w:sz w:val="17"/>
                <w:szCs w:val="17"/>
                <w:lang w:val="en-GB"/>
              </w:rPr>
              <w:t xml:space="preserve">Risk-weighted amount under the LAC Rules: </w:t>
            </w:r>
            <w:r w:rsidRPr="003F155D">
              <w:rPr>
                <w:rFonts w:ascii="Segoe UI" w:eastAsia="新細明體" w:hAnsi="Segoe UI" w:cs="Segoe UI"/>
                <w:color w:val="000000"/>
                <w:kern w:val="0"/>
                <w:sz w:val="17"/>
                <w:szCs w:val="17"/>
                <w:lang w:val="en-GB"/>
              </w:rPr>
              <w:t>the value in</w:t>
            </w:r>
            <w:r w:rsidRPr="003F155D">
              <w:rPr>
                <w:rFonts w:ascii="Segoe UI" w:eastAsia="Times New Roman" w:hAnsi="Segoe UI" w:cs="Segoe UI"/>
                <w:kern w:val="0"/>
                <w:sz w:val="17"/>
                <w:szCs w:val="17"/>
                <w:lang w:val="en-GB" w:eastAsia="en-US"/>
              </w:rPr>
              <w:t xml:space="preserve"> [KM2:2/a] </w:t>
            </w:r>
            <w:r w:rsidRPr="003F155D">
              <w:rPr>
                <w:rFonts w:ascii="Segoe UI" w:eastAsia="新細明體" w:hAnsi="Segoe UI" w:cs="Segoe UI"/>
                <w:color w:val="000000"/>
                <w:kern w:val="0"/>
                <w:sz w:val="17"/>
                <w:szCs w:val="17"/>
                <w:lang w:val="en-GB"/>
              </w:rPr>
              <w:t>should be equal to the value in</w:t>
            </w:r>
            <w:r w:rsidRPr="003F155D">
              <w:rPr>
                <w:rFonts w:ascii="Segoe UI" w:eastAsia="Times New Roman" w:hAnsi="Segoe UI" w:cs="Segoe UI"/>
                <w:kern w:val="0"/>
                <w:sz w:val="17"/>
                <w:szCs w:val="17"/>
                <w:lang w:val="en-GB" w:eastAsia="en-US"/>
              </w:rPr>
              <w:t xml:space="preserve"> [TLAC1:23/a] </w:t>
            </w:r>
            <w:r w:rsidRPr="003F155D">
              <w:rPr>
                <w:rFonts w:ascii="Segoe UI" w:eastAsia="新細明體" w:hAnsi="Segoe UI" w:cs="Segoe UI"/>
                <w:color w:val="000000"/>
                <w:kern w:val="0"/>
                <w:sz w:val="17"/>
                <w:szCs w:val="17"/>
                <w:lang w:val="en-GB"/>
              </w:rPr>
              <w:t xml:space="preserve">of the resolution entity with respect to the relevant position date, as applicable.  </w:t>
            </w:r>
          </w:p>
        </w:tc>
      </w:tr>
      <w:tr w:rsidR="003F155D" w:rsidRPr="003F155D" w:rsidTr="00297CA5">
        <w:tc>
          <w:tcPr>
            <w:tcW w:w="567" w:type="dxa"/>
            <w:shd w:val="clear" w:color="auto" w:fill="auto"/>
          </w:tcPr>
          <w:p w:rsidR="003F155D" w:rsidRPr="003F155D" w:rsidRDefault="003F155D" w:rsidP="003F155D">
            <w:pPr>
              <w:keepLines/>
              <w:tabs>
                <w:tab w:val="left" w:pos="150"/>
                <w:tab w:val="left" w:pos="397"/>
                <w:tab w:val="left" w:pos="794"/>
                <w:tab w:val="left" w:pos="1191"/>
              </w:tabs>
              <w:spacing w:before="40" w:after="40"/>
              <w:rPr>
                <w:rFonts w:ascii="Segoe UI" w:eastAsia="Times New Roman" w:hAnsi="Segoe UI" w:cs="Segoe UI"/>
                <w:kern w:val="0"/>
                <w:sz w:val="17"/>
                <w:szCs w:val="17"/>
                <w:lang w:val="en-GB" w:eastAsia="en-US"/>
              </w:rPr>
            </w:pPr>
            <w:r w:rsidRPr="003F155D">
              <w:rPr>
                <w:rFonts w:ascii="Segoe UI" w:eastAsia="Times New Roman" w:hAnsi="Segoe UI" w:cs="Segoe UI"/>
                <w:kern w:val="0"/>
                <w:sz w:val="17"/>
                <w:szCs w:val="17"/>
                <w:lang w:val="en-GB" w:eastAsia="en-US"/>
              </w:rPr>
              <w:t>3</w:t>
            </w:r>
          </w:p>
        </w:tc>
        <w:tc>
          <w:tcPr>
            <w:tcW w:w="8647" w:type="dxa"/>
            <w:shd w:val="clear" w:color="auto" w:fill="auto"/>
          </w:tcPr>
          <w:p w:rsidR="003F155D" w:rsidRPr="003F155D" w:rsidRDefault="003F155D" w:rsidP="003F155D">
            <w:pPr>
              <w:keepLines/>
              <w:tabs>
                <w:tab w:val="left" w:pos="150"/>
                <w:tab w:val="left" w:pos="397"/>
                <w:tab w:val="left" w:pos="794"/>
                <w:tab w:val="left" w:pos="1191"/>
              </w:tabs>
              <w:spacing w:before="40" w:after="40"/>
              <w:jc w:val="both"/>
              <w:rPr>
                <w:rFonts w:ascii="Segoe UI" w:eastAsia="Times New Roman" w:hAnsi="Segoe UI" w:cs="Segoe UI"/>
                <w:kern w:val="0"/>
                <w:sz w:val="17"/>
                <w:szCs w:val="17"/>
                <w:lang w:val="en-GB" w:eastAsia="en-US"/>
              </w:rPr>
            </w:pPr>
            <w:r w:rsidRPr="003F155D">
              <w:rPr>
                <w:rFonts w:ascii="Segoe UI" w:eastAsia="新細明體" w:hAnsi="Segoe UI" w:cs="Segoe UI"/>
                <w:iCs/>
                <w:color w:val="000000"/>
                <w:kern w:val="0"/>
                <w:sz w:val="17"/>
                <w:szCs w:val="17"/>
                <w:lang w:val="en-GB"/>
              </w:rPr>
              <w:t xml:space="preserve">External LAC risk-weighted ratio: </w:t>
            </w:r>
            <w:r w:rsidRPr="003F155D">
              <w:rPr>
                <w:rFonts w:ascii="Segoe UI" w:eastAsia="新細明體" w:hAnsi="Segoe UI" w:cs="Segoe UI"/>
                <w:color w:val="000000"/>
                <w:kern w:val="0"/>
                <w:sz w:val="17"/>
                <w:szCs w:val="17"/>
                <w:lang w:val="en-GB"/>
              </w:rPr>
              <w:t>the value in</w:t>
            </w:r>
            <w:r w:rsidRPr="003F155D">
              <w:rPr>
                <w:rFonts w:ascii="Segoe UI" w:eastAsia="Times New Roman" w:hAnsi="Segoe UI" w:cs="Segoe UI"/>
                <w:kern w:val="0"/>
                <w:sz w:val="17"/>
                <w:szCs w:val="17"/>
                <w:lang w:val="en-GB" w:eastAsia="en-US"/>
              </w:rPr>
              <w:t xml:space="preserve"> [KM2:3/a] </w:t>
            </w:r>
            <w:r w:rsidRPr="003F155D">
              <w:rPr>
                <w:rFonts w:ascii="Segoe UI" w:eastAsia="新細明體" w:hAnsi="Segoe UI" w:cs="Segoe UI"/>
                <w:color w:val="000000"/>
                <w:kern w:val="0"/>
                <w:sz w:val="17"/>
                <w:szCs w:val="17"/>
                <w:lang w:val="en-GB"/>
              </w:rPr>
              <w:t xml:space="preserve">should be equal to the value in </w:t>
            </w:r>
            <w:r w:rsidRPr="003F155D">
              <w:rPr>
                <w:rFonts w:ascii="Segoe UI" w:eastAsia="Times New Roman" w:hAnsi="Segoe UI" w:cs="Segoe UI"/>
                <w:kern w:val="0"/>
                <w:sz w:val="17"/>
                <w:szCs w:val="17"/>
                <w:lang w:val="en-GB" w:eastAsia="en-US"/>
              </w:rPr>
              <w:t>[TLAC1:25/a]</w:t>
            </w:r>
            <w:r w:rsidRPr="003F155D">
              <w:rPr>
                <w:rFonts w:ascii="Segoe UI" w:eastAsia="新細明體" w:hAnsi="Segoe UI" w:cs="Segoe UI"/>
                <w:color w:val="000000"/>
                <w:kern w:val="0"/>
                <w:sz w:val="17"/>
                <w:szCs w:val="17"/>
                <w:lang w:val="en-GB"/>
              </w:rPr>
              <w:t xml:space="preserve"> of the resolution entity with respect to the relevant position date, as applicable.  This is derived from external loss-absorbing capacity available in row 1 divided by </w:t>
            </w:r>
            <w:r w:rsidRPr="003F155D">
              <w:rPr>
                <w:rFonts w:ascii="Segoe UI" w:eastAsia="新細明體" w:hAnsi="Segoe UI" w:cs="Segoe UI"/>
                <w:iCs/>
                <w:color w:val="000000"/>
                <w:kern w:val="0"/>
                <w:sz w:val="17"/>
                <w:szCs w:val="17"/>
                <w:lang w:val="en-GB"/>
              </w:rPr>
              <w:t xml:space="preserve">risk-weighted amount under the LAC Rules in row 2.  </w:t>
            </w:r>
            <w:r w:rsidRPr="003F155D">
              <w:rPr>
                <w:rFonts w:ascii="Segoe UI" w:hAnsi="Segoe UI" w:cs="Segoe UI"/>
                <w:sz w:val="17"/>
                <w:szCs w:val="17"/>
                <w:lang w:val="en-GB"/>
              </w:rPr>
              <w:t xml:space="preserve">The resultant ratio </w:t>
            </w:r>
            <w:r w:rsidRPr="003F155D">
              <w:rPr>
                <w:rFonts w:ascii="Segoe UI" w:eastAsia="新細明體" w:hAnsi="Segoe UI" w:cs="Segoe UI"/>
                <w:color w:val="000000"/>
                <w:kern w:val="0"/>
                <w:sz w:val="17"/>
                <w:szCs w:val="17"/>
                <w:lang w:val="en-GB"/>
              </w:rPr>
              <w:t>should be expressed as a percentage.</w:t>
            </w:r>
          </w:p>
        </w:tc>
      </w:tr>
      <w:tr w:rsidR="003F155D" w:rsidRPr="003F155D" w:rsidTr="00297CA5">
        <w:tc>
          <w:tcPr>
            <w:tcW w:w="567" w:type="dxa"/>
            <w:shd w:val="clear" w:color="auto" w:fill="auto"/>
          </w:tcPr>
          <w:p w:rsidR="003F155D" w:rsidRPr="003F155D" w:rsidRDefault="003F155D" w:rsidP="003F155D">
            <w:pPr>
              <w:keepLines/>
              <w:tabs>
                <w:tab w:val="left" w:pos="150"/>
                <w:tab w:val="left" w:pos="397"/>
                <w:tab w:val="left" w:pos="794"/>
                <w:tab w:val="left" w:pos="1191"/>
              </w:tabs>
              <w:spacing w:before="40" w:after="40"/>
              <w:rPr>
                <w:rFonts w:ascii="Segoe UI" w:eastAsia="Times New Roman" w:hAnsi="Segoe UI" w:cs="Segoe UI"/>
                <w:kern w:val="0"/>
                <w:sz w:val="17"/>
                <w:szCs w:val="17"/>
                <w:lang w:val="en-GB" w:eastAsia="en-US"/>
              </w:rPr>
            </w:pPr>
            <w:r w:rsidRPr="003F155D">
              <w:rPr>
                <w:rFonts w:ascii="Segoe UI" w:eastAsia="Times New Roman" w:hAnsi="Segoe UI" w:cs="Segoe UI"/>
                <w:kern w:val="0"/>
                <w:sz w:val="17"/>
                <w:szCs w:val="17"/>
                <w:lang w:val="en-GB" w:eastAsia="en-US"/>
              </w:rPr>
              <w:t>4</w:t>
            </w:r>
          </w:p>
        </w:tc>
        <w:tc>
          <w:tcPr>
            <w:tcW w:w="8647" w:type="dxa"/>
            <w:shd w:val="clear" w:color="auto" w:fill="auto"/>
          </w:tcPr>
          <w:p w:rsidR="003F155D" w:rsidRPr="003F155D" w:rsidRDefault="003F155D" w:rsidP="003F155D">
            <w:pPr>
              <w:keepLines/>
              <w:tabs>
                <w:tab w:val="left" w:pos="150"/>
                <w:tab w:val="left" w:pos="397"/>
                <w:tab w:val="left" w:pos="794"/>
                <w:tab w:val="left" w:pos="1191"/>
              </w:tabs>
              <w:spacing w:before="40" w:after="40"/>
              <w:jc w:val="both"/>
              <w:rPr>
                <w:rFonts w:ascii="Segoe UI" w:eastAsia="Times New Roman" w:hAnsi="Segoe UI" w:cs="Segoe UI"/>
                <w:kern w:val="0"/>
                <w:sz w:val="17"/>
                <w:szCs w:val="17"/>
                <w:lang w:val="en-GB" w:eastAsia="en-US"/>
              </w:rPr>
            </w:pPr>
            <w:r w:rsidRPr="003F155D">
              <w:rPr>
                <w:rFonts w:ascii="Segoe UI" w:eastAsia="新細明體" w:hAnsi="Segoe UI" w:cs="Segoe UI"/>
                <w:iCs/>
                <w:color w:val="000000"/>
                <w:kern w:val="0"/>
                <w:sz w:val="17"/>
                <w:szCs w:val="17"/>
                <w:lang w:val="en-GB"/>
              </w:rPr>
              <w:t xml:space="preserve">Exposure measure under the LAC Rules: </w:t>
            </w:r>
            <w:r w:rsidRPr="003F155D">
              <w:rPr>
                <w:rFonts w:ascii="Segoe UI" w:eastAsia="新細明體" w:hAnsi="Segoe UI" w:cs="Segoe UI"/>
                <w:color w:val="000000"/>
                <w:kern w:val="0"/>
                <w:sz w:val="17"/>
                <w:szCs w:val="17"/>
                <w:lang w:val="en-GB"/>
              </w:rPr>
              <w:t>the value in</w:t>
            </w:r>
            <w:r w:rsidRPr="003F155D">
              <w:rPr>
                <w:rFonts w:ascii="Segoe UI" w:eastAsia="Times New Roman" w:hAnsi="Segoe UI" w:cs="Segoe UI"/>
                <w:kern w:val="0"/>
                <w:sz w:val="17"/>
                <w:szCs w:val="17"/>
                <w:lang w:val="en-GB" w:eastAsia="en-US"/>
              </w:rPr>
              <w:t xml:space="preserve"> [KM2:4/a] </w:t>
            </w:r>
            <w:r w:rsidRPr="003F155D">
              <w:rPr>
                <w:rFonts w:ascii="Segoe UI" w:eastAsia="新細明體" w:hAnsi="Segoe UI" w:cs="Segoe UI"/>
                <w:color w:val="000000"/>
                <w:kern w:val="0"/>
                <w:sz w:val="17"/>
                <w:szCs w:val="17"/>
                <w:lang w:val="en-GB"/>
              </w:rPr>
              <w:t>should be equal to the value in</w:t>
            </w:r>
            <w:r w:rsidRPr="003F155D">
              <w:rPr>
                <w:rFonts w:ascii="Segoe UI" w:eastAsia="Times New Roman" w:hAnsi="Segoe UI" w:cs="Segoe UI"/>
                <w:kern w:val="0"/>
                <w:sz w:val="17"/>
                <w:szCs w:val="17"/>
                <w:lang w:val="en-GB" w:eastAsia="en-US"/>
              </w:rPr>
              <w:t xml:space="preserve"> [TLAC1:24/a] of the resolution entity </w:t>
            </w:r>
            <w:r w:rsidRPr="003F155D">
              <w:rPr>
                <w:rFonts w:ascii="Segoe UI" w:eastAsia="新細明體" w:hAnsi="Segoe UI" w:cs="Segoe UI"/>
                <w:color w:val="000000"/>
                <w:kern w:val="0"/>
                <w:sz w:val="17"/>
                <w:szCs w:val="17"/>
                <w:lang w:val="en-GB"/>
              </w:rPr>
              <w:t>with respect to the relevant position date, as applicable.</w:t>
            </w:r>
          </w:p>
        </w:tc>
      </w:tr>
      <w:tr w:rsidR="003F155D" w:rsidRPr="003F155D" w:rsidTr="00297CA5">
        <w:tc>
          <w:tcPr>
            <w:tcW w:w="567" w:type="dxa"/>
            <w:shd w:val="clear" w:color="auto" w:fill="auto"/>
          </w:tcPr>
          <w:p w:rsidR="003F155D" w:rsidRPr="003F155D" w:rsidRDefault="003F155D" w:rsidP="003F155D">
            <w:pPr>
              <w:keepLines/>
              <w:tabs>
                <w:tab w:val="left" w:pos="150"/>
                <w:tab w:val="left" w:pos="397"/>
                <w:tab w:val="left" w:pos="794"/>
                <w:tab w:val="left" w:pos="1191"/>
              </w:tabs>
              <w:spacing w:before="40" w:after="40"/>
              <w:rPr>
                <w:rFonts w:ascii="Segoe UI" w:eastAsia="Times New Roman" w:hAnsi="Segoe UI" w:cs="Segoe UI"/>
                <w:kern w:val="0"/>
                <w:sz w:val="17"/>
                <w:szCs w:val="17"/>
                <w:lang w:val="en-GB" w:eastAsia="en-US"/>
              </w:rPr>
            </w:pPr>
            <w:r w:rsidRPr="003F155D">
              <w:rPr>
                <w:rFonts w:ascii="Segoe UI" w:eastAsia="Times New Roman" w:hAnsi="Segoe UI" w:cs="Segoe UI"/>
                <w:kern w:val="0"/>
                <w:sz w:val="17"/>
                <w:szCs w:val="17"/>
                <w:lang w:val="en-GB" w:eastAsia="en-US"/>
              </w:rPr>
              <w:t>5</w:t>
            </w:r>
          </w:p>
        </w:tc>
        <w:tc>
          <w:tcPr>
            <w:tcW w:w="8647" w:type="dxa"/>
            <w:shd w:val="clear" w:color="auto" w:fill="auto"/>
          </w:tcPr>
          <w:p w:rsidR="003F155D" w:rsidRPr="003F155D" w:rsidRDefault="003F155D" w:rsidP="003F155D">
            <w:pPr>
              <w:keepLines/>
              <w:tabs>
                <w:tab w:val="left" w:pos="150"/>
                <w:tab w:val="left" w:pos="397"/>
                <w:tab w:val="left" w:pos="794"/>
                <w:tab w:val="left" w:pos="1191"/>
              </w:tabs>
              <w:spacing w:before="40" w:after="40"/>
              <w:jc w:val="both"/>
              <w:rPr>
                <w:rFonts w:ascii="Segoe UI" w:eastAsia="Times New Roman" w:hAnsi="Segoe UI" w:cs="Segoe UI"/>
                <w:kern w:val="0"/>
                <w:sz w:val="17"/>
                <w:szCs w:val="17"/>
                <w:lang w:val="en-GB" w:eastAsia="en-US"/>
              </w:rPr>
            </w:pPr>
            <w:r w:rsidRPr="003F155D">
              <w:rPr>
                <w:rFonts w:ascii="Segoe UI" w:eastAsia="新細明體" w:hAnsi="Segoe UI" w:cs="Segoe UI"/>
                <w:color w:val="000000"/>
                <w:kern w:val="0"/>
                <w:sz w:val="17"/>
                <w:szCs w:val="17"/>
                <w:lang w:val="en-GB"/>
              </w:rPr>
              <w:t>External LAC leverage ratio: the value in</w:t>
            </w:r>
            <w:r w:rsidRPr="003F155D">
              <w:rPr>
                <w:rFonts w:ascii="Segoe UI" w:eastAsia="Times New Roman" w:hAnsi="Segoe UI" w:cs="Segoe UI"/>
                <w:kern w:val="0"/>
                <w:sz w:val="17"/>
                <w:szCs w:val="17"/>
                <w:lang w:val="en-GB" w:eastAsia="en-US"/>
              </w:rPr>
              <w:t xml:space="preserve"> [KM2:5/a] </w:t>
            </w:r>
            <w:r w:rsidRPr="003F155D">
              <w:rPr>
                <w:rFonts w:ascii="Segoe UI" w:eastAsia="新細明體" w:hAnsi="Segoe UI" w:cs="Segoe UI"/>
                <w:color w:val="000000"/>
                <w:kern w:val="0"/>
                <w:sz w:val="17"/>
                <w:szCs w:val="17"/>
                <w:lang w:val="en-GB"/>
              </w:rPr>
              <w:t>should be equal to the value in</w:t>
            </w:r>
            <w:r w:rsidRPr="003F155D">
              <w:rPr>
                <w:rFonts w:ascii="Segoe UI" w:eastAsia="Times New Roman" w:hAnsi="Segoe UI" w:cs="Segoe UI"/>
                <w:kern w:val="0"/>
                <w:sz w:val="17"/>
                <w:szCs w:val="17"/>
                <w:lang w:val="en-GB" w:eastAsia="en-US"/>
              </w:rPr>
              <w:t xml:space="preserve"> [TLAC1:26/a]</w:t>
            </w:r>
            <w:r w:rsidRPr="003F155D">
              <w:rPr>
                <w:rFonts w:ascii="Segoe UI" w:eastAsia="新細明體" w:hAnsi="Segoe UI" w:cs="Segoe UI"/>
                <w:color w:val="000000"/>
                <w:kern w:val="0"/>
                <w:sz w:val="17"/>
                <w:szCs w:val="17"/>
                <w:lang w:val="en-GB"/>
              </w:rPr>
              <w:t xml:space="preserve"> of the resolution entity with respect to the relevant position date, as applicable.  This is derived from external loss-absorbing capacity available in row 1 divided by e</w:t>
            </w:r>
            <w:r w:rsidRPr="003F155D">
              <w:rPr>
                <w:rFonts w:ascii="Segoe UI" w:eastAsia="新細明體" w:hAnsi="Segoe UI" w:cs="Segoe UI"/>
                <w:iCs/>
                <w:color w:val="000000"/>
                <w:kern w:val="0"/>
                <w:sz w:val="17"/>
                <w:szCs w:val="17"/>
                <w:lang w:val="en-GB"/>
              </w:rPr>
              <w:t xml:space="preserve">xposure measure under the LAC Rules in row 4.  </w:t>
            </w:r>
            <w:r w:rsidRPr="003F155D">
              <w:rPr>
                <w:rFonts w:ascii="Segoe UI" w:hAnsi="Segoe UI" w:cs="Segoe UI"/>
                <w:sz w:val="17"/>
                <w:szCs w:val="17"/>
                <w:lang w:val="en-GB"/>
              </w:rPr>
              <w:t xml:space="preserve">The resultant ratio </w:t>
            </w:r>
            <w:r w:rsidRPr="003F155D">
              <w:rPr>
                <w:rFonts w:ascii="Segoe UI" w:eastAsia="新細明體" w:hAnsi="Segoe UI" w:cs="Segoe UI"/>
                <w:color w:val="000000"/>
                <w:kern w:val="0"/>
                <w:sz w:val="17"/>
                <w:szCs w:val="17"/>
                <w:lang w:val="en-GB"/>
              </w:rPr>
              <w:t>should be expressed as a percentage.</w:t>
            </w:r>
          </w:p>
        </w:tc>
      </w:tr>
      <w:tr w:rsidR="003F155D" w:rsidRPr="003F155D" w:rsidTr="00297CA5">
        <w:tc>
          <w:tcPr>
            <w:tcW w:w="567" w:type="dxa"/>
            <w:shd w:val="clear" w:color="auto" w:fill="auto"/>
          </w:tcPr>
          <w:p w:rsidR="003F155D" w:rsidRPr="003F155D" w:rsidRDefault="003F155D" w:rsidP="003F155D">
            <w:pPr>
              <w:keepLines/>
              <w:tabs>
                <w:tab w:val="left" w:pos="150"/>
                <w:tab w:val="left" w:pos="397"/>
                <w:tab w:val="left" w:pos="794"/>
                <w:tab w:val="left" w:pos="1191"/>
              </w:tabs>
              <w:spacing w:before="40" w:after="40"/>
              <w:rPr>
                <w:rFonts w:ascii="Segoe UI" w:eastAsia="Times New Roman" w:hAnsi="Segoe UI" w:cs="Segoe UI"/>
                <w:kern w:val="0"/>
                <w:sz w:val="17"/>
                <w:szCs w:val="17"/>
                <w:lang w:val="en-GB" w:eastAsia="en-US"/>
              </w:rPr>
            </w:pPr>
            <w:r w:rsidRPr="003F155D">
              <w:rPr>
                <w:rFonts w:ascii="Segoe UI" w:eastAsia="Times New Roman" w:hAnsi="Segoe UI" w:cs="Segoe UI"/>
                <w:kern w:val="0"/>
                <w:sz w:val="17"/>
                <w:szCs w:val="17"/>
                <w:lang w:val="en-GB" w:eastAsia="en-US"/>
              </w:rPr>
              <w:t>6a</w:t>
            </w:r>
          </w:p>
        </w:tc>
        <w:tc>
          <w:tcPr>
            <w:tcW w:w="8647" w:type="dxa"/>
            <w:shd w:val="clear" w:color="auto" w:fill="auto"/>
          </w:tcPr>
          <w:p w:rsidR="003F155D" w:rsidRPr="003F155D" w:rsidRDefault="003F155D" w:rsidP="003F155D">
            <w:pPr>
              <w:keepLines/>
              <w:tabs>
                <w:tab w:val="left" w:pos="397"/>
                <w:tab w:val="left" w:pos="794"/>
                <w:tab w:val="left" w:pos="1191"/>
              </w:tabs>
              <w:spacing w:before="40" w:after="40"/>
              <w:jc w:val="both"/>
              <w:rPr>
                <w:rFonts w:ascii="Segoe UI" w:eastAsia="Times New Roman" w:hAnsi="Segoe UI" w:cs="Segoe UI"/>
                <w:i/>
                <w:kern w:val="0"/>
                <w:sz w:val="17"/>
                <w:szCs w:val="17"/>
                <w:lang w:val="en-GB" w:eastAsia="en-GB"/>
              </w:rPr>
            </w:pPr>
            <w:r w:rsidRPr="003F155D">
              <w:rPr>
                <w:rFonts w:ascii="Segoe UI" w:eastAsia="Times New Roman" w:hAnsi="Segoe UI" w:cs="Segoe UI"/>
                <w:kern w:val="0"/>
                <w:sz w:val="17"/>
                <w:szCs w:val="17"/>
                <w:lang w:val="en-GB" w:eastAsia="en-GB"/>
              </w:rPr>
              <w:t>The subordination exemption in the antepenultimate paragraph of Section 11 of the FSB TLAC Term Sheet does not apply in Hong Kong under the LAC Rules.</w:t>
            </w:r>
          </w:p>
        </w:tc>
      </w:tr>
      <w:tr w:rsidR="003F155D" w:rsidRPr="003F155D" w:rsidTr="00297CA5">
        <w:tc>
          <w:tcPr>
            <w:tcW w:w="567" w:type="dxa"/>
            <w:shd w:val="clear" w:color="auto" w:fill="auto"/>
          </w:tcPr>
          <w:p w:rsidR="003F155D" w:rsidRPr="003F155D" w:rsidRDefault="003F155D" w:rsidP="003F155D">
            <w:pPr>
              <w:keepLines/>
              <w:tabs>
                <w:tab w:val="left" w:pos="150"/>
                <w:tab w:val="left" w:pos="397"/>
                <w:tab w:val="left" w:pos="794"/>
                <w:tab w:val="left" w:pos="1191"/>
              </w:tabs>
              <w:spacing w:before="40" w:after="40"/>
              <w:rPr>
                <w:rFonts w:ascii="Segoe UI" w:eastAsia="Times New Roman" w:hAnsi="Segoe UI" w:cs="Segoe UI"/>
                <w:kern w:val="0"/>
                <w:sz w:val="17"/>
                <w:szCs w:val="17"/>
                <w:lang w:val="en-GB" w:eastAsia="en-US"/>
              </w:rPr>
            </w:pPr>
            <w:r w:rsidRPr="003F155D">
              <w:rPr>
                <w:rFonts w:ascii="Segoe UI" w:eastAsia="Times New Roman" w:hAnsi="Segoe UI" w:cs="Segoe UI"/>
                <w:kern w:val="0"/>
                <w:sz w:val="17"/>
                <w:szCs w:val="17"/>
                <w:lang w:val="en-GB" w:eastAsia="en-US"/>
              </w:rPr>
              <w:t>6b</w:t>
            </w:r>
          </w:p>
        </w:tc>
        <w:tc>
          <w:tcPr>
            <w:tcW w:w="8647" w:type="dxa"/>
            <w:shd w:val="clear" w:color="auto" w:fill="auto"/>
          </w:tcPr>
          <w:p w:rsidR="003F155D" w:rsidRPr="003F155D" w:rsidRDefault="003F155D" w:rsidP="003F155D">
            <w:pPr>
              <w:keepLines/>
              <w:tabs>
                <w:tab w:val="left" w:pos="397"/>
                <w:tab w:val="left" w:pos="794"/>
                <w:tab w:val="left" w:pos="1191"/>
              </w:tabs>
              <w:spacing w:before="40" w:after="40"/>
              <w:jc w:val="both"/>
              <w:rPr>
                <w:rFonts w:ascii="Segoe UI" w:eastAsia="Times New Roman" w:hAnsi="Segoe UI" w:cs="Segoe UI"/>
                <w:i/>
                <w:kern w:val="0"/>
                <w:sz w:val="17"/>
                <w:szCs w:val="17"/>
                <w:lang w:val="en-GB" w:eastAsia="en-GB"/>
              </w:rPr>
            </w:pPr>
            <w:r w:rsidRPr="003F155D">
              <w:rPr>
                <w:rFonts w:ascii="Segoe UI" w:eastAsia="Times New Roman" w:hAnsi="Segoe UI" w:cs="Segoe UI"/>
                <w:kern w:val="0"/>
                <w:sz w:val="17"/>
                <w:szCs w:val="17"/>
                <w:lang w:val="en-GB" w:eastAsia="en-GB"/>
              </w:rPr>
              <w:t>The subordination exemption in the penultimate paragraph of Section 11 of the FSB TLAC Term Sheet does not apply in Hong Kong under the LAC Rules.</w:t>
            </w:r>
          </w:p>
        </w:tc>
      </w:tr>
      <w:tr w:rsidR="003F155D" w:rsidRPr="003F155D" w:rsidTr="00297CA5">
        <w:tc>
          <w:tcPr>
            <w:tcW w:w="567" w:type="dxa"/>
            <w:shd w:val="clear" w:color="auto" w:fill="auto"/>
          </w:tcPr>
          <w:p w:rsidR="003F155D" w:rsidRPr="003F155D" w:rsidRDefault="003F155D" w:rsidP="003F155D">
            <w:pPr>
              <w:keepLines/>
              <w:tabs>
                <w:tab w:val="left" w:pos="150"/>
                <w:tab w:val="left" w:pos="397"/>
                <w:tab w:val="left" w:pos="794"/>
                <w:tab w:val="left" w:pos="1191"/>
              </w:tabs>
              <w:spacing w:before="40" w:after="40"/>
              <w:rPr>
                <w:rFonts w:ascii="Segoe UI" w:eastAsia="Times New Roman" w:hAnsi="Segoe UI" w:cs="Segoe UI"/>
                <w:kern w:val="0"/>
                <w:sz w:val="17"/>
                <w:szCs w:val="17"/>
                <w:lang w:val="en-GB" w:eastAsia="en-US"/>
              </w:rPr>
            </w:pPr>
            <w:r w:rsidRPr="003F155D">
              <w:rPr>
                <w:rFonts w:ascii="Segoe UI" w:eastAsia="Times New Roman" w:hAnsi="Segoe UI" w:cs="Segoe UI"/>
                <w:kern w:val="0"/>
                <w:sz w:val="17"/>
                <w:szCs w:val="17"/>
                <w:lang w:val="en-GB" w:eastAsia="en-US"/>
              </w:rPr>
              <w:t>6c</w:t>
            </w:r>
          </w:p>
        </w:tc>
        <w:tc>
          <w:tcPr>
            <w:tcW w:w="8647" w:type="dxa"/>
            <w:shd w:val="clear" w:color="auto" w:fill="auto"/>
          </w:tcPr>
          <w:p w:rsidR="003F155D" w:rsidRPr="003F155D" w:rsidRDefault="003F155D" w:rsidP="003F155D">
            <w:pPr>
              <w:autoSpaceDE w:val="0"/>
              <w:autoSpaceDN w:val="0"/>
              <w:adjustRightInd w:val="0"/>
              <w:jc w:val="both"/>
              <w:rPr>
                <w:rFonts w:ascii="Segoe UI" w:eastAsia="Times New Roman" w:hAnsi="Segoe UI" w:cs="Segoe UI"/>
                <w:kern w:val="0"/>
                <w:sz w:val="17"/>
                <w:szCs w:val="17"/>
                <w:lang w:val="en-GB" w:eastAsia="en-GB"/>
              </w:rPr>
            </w:pPr>
            <w:r w:rsidRPr="003F155D">
              <w:rPr>
                <w:rFonts w:ascii="Segoe UI" w:eastAsia="Times New Roman" w:hAnsi="Segoe UI" w:cs="Segoe UI"/>
                <w:color w:val="000000"/>
                <w:kern w:val="0"/>
                <w:sz w:val="17"/>
                <w:szCs w:val="17"/>
                <w:lang w:val="en-GB" w:eastAsia="en-GB"/>
              </w:rPr>
              <w:t>The subordination exemption in the penultimate paragraph of Section 11 of the FSB TLAC Term Sheet does not apply in Hong Kong under the LAC Rules.</w:t>
            </w:r>
          </w:p>
        </w:tc>
      </w:tr>
    </w:tbl>
    <w:p w:rsidR="003F155D" w:rsidRPr="003F155D" w:rsidRDefault="003F155D" w:rsidP="003F155D">
      <w:pPr>
        <w:rPr>
          <w:lang w:val="en-GB"/>
        </w:rPr>
      </w:pPr>
    </w:p>
    <w:p w:rsidR="003F155D" w:rsidRPr="003F155D" w:rsidRDefault="003F155D" w:rsidP="003F155D">
      <w:pPr>
        <w:rPr>
          <w:lang w:val="en-GB"/>
        </w:rPr>
      </w:pPr>
    </w:p>
    <w:p w:rsidR="00EB525A" w:rsidRDefault="00EB525A">
      <w:pPr>
        <w:rPr>
          <w:lang w:val="en-GB"/>
        </w:rPr>
        <w:sectPr w:rsidR="00EB525A">
          <w:footerReference w:type="default" r:id="rId10"/>
          <w:pgSz w:w="11906" w:h="16838"/>
          <w:pgMar w:top="1440" w:right="1800" w:bottom="1440" w:left="1800" w:header="851" w:footer="992" w:gutter="0"/>
          <w:cols w:space="425"/>
          <w:docGrid w:type="lines" w:linePitch="360"/>
        </w:sectPr>
      </w:pPr>
    </w:p>
    <w:tbl>
      <w:tblPr>
        <w:tblW w:w="9242" w:type="dxa"/>
        <w:tblInd w:w="-459" w:type="dxa"/>
        <w:tblBorders>
          <w:top w:val="single" w:sz="4" w:space="0" w:color="auto"/>
          <w:bottom w:val="single" w:sz="4" w:space="0" w:color="auto"/>
          <w:insideH w:val="single" w:sz="4" w:space="0" w:color="auto"/>
          <w:insideV w:val="single" w:sz="4" w:space="0" w:color="auto"/>
        </w:tblBorders>
        <w:tblLook w:val="00A0" w:firstRow="1" w:lastRow="0" w:firstColumn="1" w:lastColumn="0" w:noHBand="0" w:noVBand="0"/>
      </w:tblPr>
      <w:tblGrid>
        <w:gridCol w:w="2127"/>
        <w:gridCol w:w="7115"/>
      </w:tblGrid>
      <w:tr w:rsidR="00EB525A" w:rsidRPr="00EB525A" w:rsidTr="00297CA5">
        <w:tc>
          <w:tcPr>
            <w:tcW w:w="9242" w:type="dxa"/>
            <w:gridSpan w:val="2"/>
            <w:tcBorders>
              <w:top w:val="nil"/>
            </w:tcBorders>
          </w:tcPr>
          <w:p w:rsidR="00EB525A" w:rsidRPr="00EB525A" w:rsidRDefault="00EB525A" w:rsidP="0026430D">
            <w:pPr>
              <w:widowControl/>
              <w:spacing w:before="40" w:after="40"/>
              <w:jc w:val="both"/>
              <w:rPr>
                <w:rFonts w:ascii="Segoe UI" w:eastAsia="Times New Roman" w:hAnsi="Segoe UI" w:cs="Times New Roman"/>
                <w:kern w:val="0"/>
                <w:sz w:val="22"/>
                <w:szCs w:val="20"/>
                <w:lang w:val="en-GB" w:eastAsia="en-US"/>
              </w:rPr>
            </w:pPr>
            <w:r w:rsidRPr="00EB525A">
              <w:rPr>
                <w:rFonts w:ascii="Segoe UI" w:eastAsia="Times New Roman" w:hAnsi="Segoe UI" w:cs="Times New Roman"/>
                <w:kern w:val="0"/>
                <w:sz w:val="22"/>
                <w:szCs w:val="20"/>
                <w:lang w:val="en-GB" w:eastAsia="en-US"/>
              </w:rPr>
              <w:lastRenderedPageBreak/>
              <w:t xml:space="preserve">Template KM2(A): Key metrics – LAC requirements for material subsidiaries (at LAC consolidation group level) </w:t>
            </w:r>
          </w:p>
          <w:p w:rsidR="00EB525A" w:rsidRPr="00EB525A" w:rsidRDefault="00EB525A" w:rsidP="00EB525A">
            <w:pPr>
              <w:widowControl/>
              <w:spacing w:before="40" w:after="40"/>
              <w:rPr>
                <w:rFonts w:ascii="Segoe UI" w:eastAsia="Times New Roman" w:hAnsi="Segoe UI" w:cs="Times New Roman"/>
                <w:noProof/>
                <w:kern w:val="0"/>
                <w:sz w:val="17"/>
                <w:szCs w:val="20"/>
                <w:lang w:val="en-GB" w:eastAsia="en-GB"/>
              </w:rPr>
            </w:pPr>
          </w:p>
        </w:tc>
      </w:tr>
      <w:tr w:rsidR="00EB525A" w:rsidRPr="00EB525A" w:rsidTr="00297CA5">
        <w:tc>
          <w:tcPr>
            <w:tcW w:w="2127" w:type="dxa"/>
          </w:tcPr>
          <w:p w:rsidR="00EB525A" w:rsidRPr="00EB525A" w:rsidRDefault="00EB525A" w:rsidP="00EB525A">
            <w:pPr>
              <w:widowControl/>
              <w:spacing w:before="40" w:after="40"/>
              <w:rPr>
                <w:rFonts w:ascii="Segoe UI" w:eastAsia="Times New Roman" w:hAnsi="Segoe UI" w:cs="Times New Roman"/>
                <w:noProof/>
                <w:kern w:val="0"/>
                <w:sz w:val="17"/>
                <w:szCs w:val="20"/>
                <w:lang w:val="en-GB" w:eastAsia="en-GB"/>
              </w:rPr>
            </w:pPr>
            <w:r w:rsidRPr="00EB525A">
              <w:rPr>
                <w:rFonts w:ascii="Segoe UI" w:eastAsia="Times New Roman" w:hAnsi="Segoe UI" w:cs="Times New Roman"/>
                <w:b/>
                <w:kern w:val="0"/>
                <w:sz w:val="17"/>
                <w:szCs w:val="20"/>
                <w:lang w:val="en-GB" w:eastAsia="en-GB"/>
              </w:rPr>
              <w:t>Purpose:</w:t>
            </w:r>
            <w:r w:rsidRPr="00EB525A">
              <w:rPr>
                <w:rFonts w:ascii="Segoe UI" w:eastAsia="Times New Roman" w:hAnsi="Segoe UI" w:cs="Times New Roman"/>
                <w:kern w:val="0"/>
                <w:sz w:val="17"/>
                <w:szCs w:val="20"/>
                <w:lang w:val="en-GB" w:eastAsia="en-GB"/>
              </w:rPr>
              <w:t xml:space="preserve"> </w:t>
            </w:r>
          </w:p>
        </w:tc>
        <w:tc>
          <w:tcPr>
            <w:tcW w:w="7115" w:type="dxa"/>
          </w:tcPr>
          <w:p w:rsidR="00EB525A" w:rsidRPr="00EB525A" w:rsidRDefault="00EB525A" w:rsidP="00EB525A">
            <w:pPr>
              <w:widowControl/>
              <w:spacing w:before="40" w:after="40"/>
              <w:jc w:val="both"/>
              <w:rPr>
                <w:rFonts w:ascii="Segoe UI" w:eastAsia="新細明體" w:hAnsi="Segoe UI" w:cs="Times New Roman"/>
                <w:noProof/>
                <w:kern w:val="0"/>
                <w:sz w:val="17"/>
                <w:szCs w:val="20"/>
                <w:lang w:val="en-GB" w:eastAsia="en-GB"/>
              </w:rPr>
            </w:pPr>
            <w:r w:rsidRPr="00EB525A">
              <w:rPr>
                <w:rFonts w:ascii="Segoe UI" w:eastAsia="新細明體" w:hAnsi="Segoe UI" w:cs="Times New Roman"/>
                <w:noProof/>
                <w:kern w:val="0"/>
                <w:sz w:val="17"/>
                <w:szCs w:val="20"/>
                <w:lang w:val="en-GB" w:eastAsia="en-GB"/>
              </w:rPr>
              <w:t xml:space="preserve">To provide summary information on internal loss-absorbing capacity available, at LAC consolidation group level, of a material subsdiary.  </w:t>
            </w:r>
          </w:p>
        </w:tc>
      </w:tr>
      <w:tr w:rsidR="00EB525A" w:rsidRPr="00EB525A" w:rsidTr="00297CA5">
        <w:tc>
          <w:tcPr>
            <w:tcW w:w="2127" w:type="dxa"/>
          </w:tcPr>
          <w:p w:rsidR="00EB525A" w:rsidRPr="00EB525A" w:rsidRDefault="00EB525A" w:rsidP="00EB525A">
            <w:pPr>
              <w:widowControl/>
              <w:spacing w:before="40" w:after="40"/>
              <w:rPr>
                <w:rFonts w:ascii="Segoe UI" w:eastAsia="Times New Roman" w:hAnsi="Segoe UI" w:cs="Times New Roman"/>
                <w:b/>
                <w:kern w:val="0"/>
                <w:sz w:val="17"/>
                <w:szCs w:val="20"/>
                <w:lang w:val="en-GB" w:eastAsia="en-GB"/>
              </w:rPr>
            </w:pPr>
            <w:r w:rsidRPr="00EB525A">
              <w:rPr>
                <w:rFonts w:ascii="Segoe UI" w:eastAsia="Times New Roman" w:hAnsi="Segoe UI" w:cs="Times New Roman"/>
                <w:b/>
                <w:kern w:val="0"/>
                <w:sz w:val="17"/>
                <w:szCs w:val="20"/>
                <w:lang w:val="en-GB" w:eastAsia="en-GB"/>
              </w:rPr>
              <w:t xml:space="preserve">Scope of application: </w:t>
            </w:r>
          </w:p>
        </w:tc>
        <w:tc>
          <w:tcPr>
            <w:tcW w:w="7115" w:type="dxa"/>
          </w:tcPr>
          <w:p w:rsidR="00EB525A" w:rsidRPr="00EB525A" w:rsidRDefault="00EB525A" w:rsidP="00EB525A">
            <w:pPr>
              <w:widowControl/>
              <w:tabs>
                <w:tab w:val="right" w:pos="6899"/>
              </w:tabs>
              <w:spacing w:before="40" w:after="40"/>
              <w:jc w:val="both"/>
              <w:rPr>
                <w:rFonts w:ascii="Segoe UI" w:eastAsia="新細明體" w:hAnsi="Segoe UI" w:cs="Times New Roman"/>
                <w:b/>
                <w:kern w:val="0"/>
                <w:sz w:val="17"/>
                <w:szCs w:val="20"/>
                <w:lang w:val="en-GB" w:eastAsia="en-GB"/>
              </w:rPr>
            </w:pPr>
            <w:r w:rsidRPr="00EB525A">
              <w:rPr>
                <w:rFonts w:ascii="Segoe UI" w:eastAsia="新細明體" w:hAnsi="Segoe UI" w:cs="Times New Roman"/>
                <w:kern w:val="0"/>
                <w:sz w:val="17"/>
                <w:szCs w:val="20"/>
                <w:lang w:val="en-GB" w:eastAsia="en-GB"/>
              </w:rPr>
              <w:t>The template is mandatory for all material subsidiaries under the Financial Institutions (Resolution) (Loss-absorbing Capacity Requirements – Banking Sector) Rules (“LAC Rules”).</w:t>
            </w:r>
            <w:r w:rsidRPr="00EB525A">
              <w:rPr>
                <w:rFonts w:ascii="Segoe UI" w:eastAsia="新細明體" w:hAnsi="Segoe UI" w:cs="Times New Roman"/>
                <w:kern w:val="0"/>
                <w:sz w:val="17"/>
                <w:szCs w:val="20"/>
                <w:lang w:val="en-GB" w:eastAsia="en-GB"/>
              </w:rPr>
              <w:tab/>
            </w:r>
          </w:p>
        </w:tc>
      </w:tr>
      <w:tr w:rsidR="00EB525A" w:rsidRPr="00EB525A" w:rsidTr="00297CA5">
        <w:tc>
          <w:tcPr>
            <w:tcW w:w="2127" w:type="dxa"/>
          </w:tcPr>
          <w:p w:rsidR="00EB525A" w:rsidRPr="00EB525A" w:rsidRDefault="00EB525A" w:rsidP="00EB525A">
            <w:pPr>
              <w:widowControl/>
              <w:spacing w:before="40" w:after="40"/>
              <w:rPr>
                <w:rFonts w:ascii="Segoe UI" w:eastAsia="Times New Roman" w:hAnsi="Segoe UI" w:cs="Times New Roman"/>
                <w:b/>
                <w:kern w:val="0"/>
                <w:sz w:val="17"/>
                <w:szCs w:val="20"/>
                <w:lang w:val="en-GB" w:eastAsia="en-GB"/>
              </w:rPr>
            </w:pPr>
            <w:r w:rsidRPr="00EB525A">
              <w:rPr>
                <w:rFonts w:ascii="Segoe UI" w:eastAsia="Times New Roman" w:hAnsi="Segoe UI" w:cs="Times New Roman"/>
                <w:b/>
                <w:kern w:val="0"/>
                <w:sz w:val="17"/>
                <w:szCs w:val="20"/>
                <w:lang w:val="en-GB" w:eastAsia="en-GB"/>
              </w:rPr>
              <w:t xml:space="preserve">Content: </w:t>
            </w:r>
          </w:p>
        </w:tc>
        <w:tc>
          <w:tcPr>
            <w:tcW w:w="7115" w:type="dxa"/>
          </w:tcPr>
          <w:p w:rsidR="00EB525A" w:rsidRPr="00EB525A" w:rsidRDefault="00EB525A" w:rsidP="00EB525A">
            <w:pPr>
              <w:widowControl/>
              <w:spacing w:before="40" w:after="40"/>
              <w:jc w:val="both"/>
              <w:rPr>
                <w:rFonts w:ascii="Segoe UI" w:eastAsia="新細明體" w:hAnsi="Segoe UI" w:cs="Times New Roman"/>
                <w:kern w:val="0"/>
                <w:sz w:val="17"/>
                <w:szCs w:val="20"/>
                <w:lang w:val="en-GB" w:eastAsia="en-GB"/>
              </w:rPr>
            </w:pPr>
            <w:r w:rsidRPr="00EB525A">
              <w:rPr>
                <w:rFonts w:ascii="Segoe UI" w:eastAsia="新細明體" w:hAnsi="Segoe UI" w:cs="Times New Roman"/>
                <w:kern w:val="0"/>
                <w:sz w:val="17"/>
                <w:szCs w:val="20"/>
                <w:lang w:val="en-GB" w:eastAsia="en-GB"/>
              </w:rPr>
              <w:t xml:space="preserve">Key regulatory metrics related to internal loss-absorbing capacity of a material subsidiary.  Material subsidiaries are required to disclose the values for the current reporting period (designated by T in the template below) as well as the four previous quarterly reporting periods (designated by T-1 to T-4 respectively).  </w:t>
            </w:r>
          </w:p>
        </w:tc>
      </w:tr>
      <w:tr w:rsidR="00EB525A" w:rsidRPr="00EB525A" w:rsidTr="00297CA5">
        <w:tc>
          <w:tcPr>
            <w:tcW w:w="2127" w:type="dxa"/>
          </w:tcPr>
          <w:p w:rsidR="00EB525A" w:rsidRPr="00EB525A" w:rsidRDefault="00EB525A" w:rsidP="00EB525A">
            <w:pPr>
              <w:widowControl/>
              <w:spacing w:before="40" w:after="40"/>
              <w:rPr>
                <w:rFonts w:ascii="Segoe UI" w:eastAsia="Times New Roman" w:hAnsi="Segoe UI" w:cs="Times New Roman"/>
                <w:kern w:val="0"/>
                <w:sz w:val="17"/>
                <w:szCs w:val="20"/>
                <w:lang w:val="en-GB" w:eastAsia="en-GB"/>
              </w:rPr>
            </w:pPr>
            <w:r w:rsidRPr="00EB525A">
              <w:rPr>
                <w:rFonts w:ascii="Segoe UI" w:eastAsia="Times New Roman" w:hAnsi="Segoe UI" w:cs="Times New Roman"/>
                <w:b/>
                <w:kern w:val="0"/>
                <w:sz w:val="17"/>
                <w:szCs w:val="20"/>
                <w:lang w:val="en-GB" w:eastAsia="en-GB"/>
              </w:rPr>
              <w:t>Frequency:</w:t>
            </w:r>
            <w:r w:rsidRPr="00EB525A">
              <w:rPr>
                <w:rFonts w:ascii="Segoe UI" w:eastAsia="Times New Roman" w:hAnsi="Segoe UI" w:cs="Times New Roman"/>
                <w:kern w:val="0"/>
                <w:sz w:val="17"/>
                <w:szCs w:val="20"/>
                <w:lang w:val="en-GB" w:eastAsia="en-GB"/>
              </w:rPr>
              <w:t xml:space="preserve"> </w:t>
            </w:r>
          </w:p>
        </w:tc>
        <w:tc>
          <w:tcPr>
            <w:tcW w:w="7115" w:type="dxa"/>
          </w:tcPr>
          <w:p w:rsidR="00EB525A" w:rsidRPr="00EB525A" w:rsidRDefault="00EB525A" w:rsidP="00EB525A">
            <w:pPr>
              <w:widowControl/>
              <w:spacing w:before="40" w:after="40"/>
              <w:jc w:val="both"/>
              <w:rPr>
                <w:rFonts w:ascii="Segoe UI" w:eastAsia="新細明體" w:hAnsi="Segoe UI" w:cs="Times New Roman"/>
                <w:kern w:val="0"/>
                <w:sz w:val="17"/>
                <w:szCs w:val="20"/>
                <w:lang w:val="en-GB" w:eastAsia="en-GB"/>
              </w:rPr>
            </w:pPr>
            <w:r w:rsidRPr="00EB525A">
              <w:rPr>
                <w:rFonts w:ascii="Segoe UI" w:eastAsia="新細明體" w:hAnsi="Segoe UI" w:cs="Times New Roman"/>
                <w:kern w:val="0"/>
                <w:sz w:val="17"/>
                <w:szCs w:val="20"/>
                <w:lang w:val="en-GB" w:eastAsia="en-GB"/>
              </w:rPr>
              <w:t xml:space="preserve">Quarterly.  </w:t>
            </w:r>
          </w:p>
        </w:tc>
      </w:tr>
      <w:tr w:rsidR="00EB525A" w:rsidRPr="00EB525A" w:rsidTr="00297CA5">
        <w:tc>
          <w:tcPr>
            <w:tcW w:w="2127" w:type="dxa"/>
          </w:tcPr>
          <w:p w:rsidR="00EB525A" w:rsidRPr="00EB525A" w:rsidRDefault="00EB525A" w:rsidP="00EB525A">
            <w:pPr>
              <w:widowControl/>
              <w:spacing w:before="40" w:after="40"/>
              <w:rPr>
                <w:rFonts w:ascii="Segoe UI" w:eastAsia="Times New Roman" w:hAnsi="Segoe UI" w:cs="Times New Roman"/>
                <w:kern w:val="0"/>
                <w:sz w:val="17"/>
                <w:szCs w:val="20"/>
                <w:lang w:val="en-GB" w:eastAsia="en-GB"/>
              </w:rPr>
            </w:pPr>
            <w:r w:rsidRPr="00EB525A">
              <w:rPr>
                <w:rFonts w:ascii="Segoe UI" w:eastAsia="Times New Roman" w:hAnsi="Segoe UI" w:cs="Times New Roman"/>
                <w:b/>
                <w:kern w:val="0"/>
                <w:sz w:val="17"/>
                <w:szCs w:val="20"/>
                <w:lang w:val="en-GB" w:eastAsia="en-GB"/>
              </w:rPr>
              <w:t>Format:</w:t>
            </w:r>
            <w:r w:rsidRPr="00EB525A">
              <w:rPr>
                <w:rFonts w:ascii="Segoe UI" w:eastAsia="Times New Roman" w:hAnsi="Segoe UI" w:cs="Times New Roman"/>
                <w:kern w:val="0"/>
                <w:sz w:val="17"/>
                <w:szCs w:val="20"/>
                <w:lang w:val="en-GB" w:eastAsia="en-GB"/>
              </w:rPr>
              <w:t xml:space="preserve"> </w:t>
            </w:r>
          </w:p>
        </w:tc>
        <w:tc>
          <w:tcPr>
            <w:tcW w:w="7115" w:type="dxa"/>
          </w:tcPr>
          <w:p w:rsidR="00EB525A" w:rsidRPr="00EB525A" w:rsidRDefault="00EB525A" w:rsidP="00EB525A">
            <w:pPr>
              <w:widowControl/>
              <w:spacing w:before="40" w:after="40"/>
              <w:jc w:val="both"/>
              <w:rPr>
                <w:rFonts w:ascii="Segoe UI" w:eastAsia="新細明體" w:hAnsi="Segoe UI" w:cs="Times New Roman"/>
                <w:kern w:val="0"/>
                <w:sz w:val="17"/>
                <w:szCs w:val="20"/>
                <w:lang w:val="en-GB" w:eastAsia="en-GB"/>
              </w:rPr>
            </w:pPr>
            <w:r w:rsidRPr="00EB525A">
              <w:rPr>
                <w:rFonts w:ascii="Segoe UI" w:eastAsia="新細明體" w:hAnsi="Segoe UI" w:cs="Times New Roman"/>
                <w:kern w:val="0"/>
                <w:sz w:val="17"/>
                <w:szCs w:val="20"/>
                <w:lang w:val="en-GB" w:eastAsia="en-GB"/>
              </w:rPr>
              <w:t>Fixed.</w:t>
            </w:r>
          </w:p>
        </w:tc>
      </w:tr>
      <w:tr w:rsidR="00EB525A" w:rsidRPr="00EB525A" w:rsidTr="00297CA5">
        <w:tc>
          <w:tcPr>
            <w:tcW w:w="2127" w:type="dxa"/>
          </w:tcPr>
          <w:p w:rsidR="00EB525A" w:rsidRPr="00EB525A" w:rsidRDefault="00EB525A" w:rsidP="00EB525A">
            <w:pPr>
              <w:widowControl/>
              <w:spacing w:before="40" w:after="40"/>
              <w:rPr>
                <w:rFonts w:ascii="Segoe UI" w:eastAsia="Times New Roman" w:hAnsi="Segoe UI" w:cs="Times New Roman"/>
                <w:b/>
                <w:kern w:val="0"/>
                <w:sz w:val="17"/>
                <w:szCs w:val="20"/>
                <w:lang w:val="en-GB" w:eastAsia="en-GB"/>
              </w:rPr>
            </w:pPr>
            <w:r w:rsidRPr="00EB525A">
              <w:rPr>
                <w:rFonts w:ascii="Segoe UI" w:eastAsia="新細明體" w:hAnsi="Segoe UI" w:cs="Times New Roman"/>
                <w:b/>
                <w:kern w:val="0"/>
                <w:sz w:val="17"/>
                <w:szCs w:val="17"/>
                <w:lang w:val="en-GB" w:eastAsia="en-GB"/>
              </w:rPr>
              <w:t>Accompanying narrative</w:t>
            </w:r>
            <w:r w:rsidRPr="00EB525A">
              <w:rPr>
                <w:rFonts w:ascii="Segoe UI" w:eastAsia="新細明體" w:hAnsi="Segoe UI" w:cs="Times New Roman"/>
                <w:kern w:val="0"/>
                <w:sz w:val="17"/>
                <w:szCs w:val="17"/>
                <w:lang w:val="en-GB" w:eastAsia="en-GB"/>
              </w:rPr>
              <w:t>:</w:t>
            </w:r>
          </w:p>
        </w:tc>
        <w:tc>
          <w:tcPr>
            <w:tcW w:w="7115" w:type="dxa"/>
          </w:tcPr>
          <w:p w:rsidR="00EB525A" w:rsidRPr="00EB525A" w:rsidRDefault="00EB525A" w:rsidP="00EB525A">
            <w:pPr>
              <w:widowControl/>
              <w:spacing w:before="40" w:after="40"/>
              <w:jc w:val="both"/>
              <w:rPr>
                <w:rFonts w:ascii="Segoe UI" w:eastAsia="新細明體" w:hAnsi="Segoe UI" w:cs="Times New Roman"/>
                <w:kern w:val="0"/>
                <w:sz w:val="17"/>
                <w:szCs w:val="20"/>
                <w:lang w:val="en-GB" w:eastAsia="en-GB"/>
              </w:rPr>
            </w:pPr>
            <w:r w:rsidRPr="00EB525A">
              <w:rPr>
                <w:rFonts w:ascii="Segoe UI" w:eastAsia="新細明體" w:hAnsi="Segoe UI" w:cs="Times New Roman"/>
                <w:kern w:val="0"/>
                <w:sz w:val="17"/>
                <w:szCs w:val="20"/>
                <w:lang w:val="en-GB" w:eastAsia="en-GB"/>
              </w:rPr>
              <w:t>A material subsidiary should explain the key drivers behind any material changes across reporting periods for each value in a narrative commentary.</w:t>
            </w:r>
          </w:p>
        </w:tc>
      </w:tr>
      <w:tr w:rsidR="00EB525A" w:rsidRPr="00EB525A" w:rsidTr="00297CA5">
        <w:tc>
          <w:tcPr>
            <w:tcW w:w="2127" w:type="dxa"/>
          </w:tcPr>
          <w:p w:rsidR="00EB525A" w:rsidRPr="00EB525A" w:rsidRDefault="00EB525A" w:rsidP="00EB525A">
            <w:pPr>
              <w:widowControl/>
              <w:spacing w:before="40" w:after="40"/>
              <w:rPr>
                <w:rFonts w:ascii="Segoe UI" w:eastAsia="新細明體" w:hAnsi="Segoe UI" w:cs="Times New Roman"/>
                <w:b/>
                <w:kern w:val="0"/>
                <w:sz w:val="17"/>
                <w:szCs w:val="17"/>
                <w:highlight w:val="yellow"/>
                <w:lang w:val="en-GB" w:eastAsia="en-GB"/>
              </w:rPr>
            </w:pPr>
            <w:r w:rsidRPr="00EB525A">
              <w:rPr>
                <w:rFonts w:ascii="Segoe UI" w:eastAsia="新細明體" w:hAnsi="Segoe UI" w:cs="Times New Roman"/>
                <w:b/>
                <w:kern w:val="0"/>
                <w:sz w:val="17"/>
                <w:szCs w:val="17"/>
                <w:lang w:val="en-GB" w:eastAsia="en-GB"/>
              </w:rPr>
              <w:t>Corresponding LAC Rules rule</w:t>
            </w:r>
          </w:p>
        </w:tc>
        <w:tc>
          <w:tcPr>
            <w:tcW w:w="7115" w:type="dxa"/>
          </w:tcPr>
          <w:p w:rsidR="00EB525A" w:rsidRPr="00EB525A" w:rsidRDefault="00EB525A" w:rsidP="00EB525A">
            <w:pPr>
              <w:widowControl/>
              <w:spacing w:before="40" w:after="40"/>
              <w:jc w:val="both"/>
              <w:rPr>
                <w:rFonts w:ascii="Segoe UI" w:eastAsia="新細明體" w:hAnsi="Segoe UI" w:cs="Times New Roman"/>
                <w:kern w:val="0"/>
                <w:sz w:val="17"/>
                <w:szCs w:val="17"/>
                <w:highlight w:val="yellow"/>
                <w:lang w:val="en-GB" w:eastAsia="en-GB"/>
              </w:rPr>
            </w:pPr>
            <w:r w:rsidRPr="00EB525A">
              <w:rPr>
                <w:rFonts w:ascii="Segoe UI" w:eastAsia="新細明體" w:hAnsi="Segoe UI" w:cs="Times New Roman"/>
                <w:kern w:val="0"/>
                <w:sz w:val="17"/>
                <w:szCs w:val="17"/>
                <w:lang w:val="en-GB" w:eastAsia="en-GB"/>
              </w:rPr>
              <w:t>47(1)</w:t>
            </w:r>
          </w:p>
        </w:tc>
      </w:tr>
    </w:tbl>
    <w:p w:rsidR="00EB525A" w:rsidRPr="00EB525A" w:rsidRDefault="00EB525A" w:rsidP="00EB525A">
      <w:pPr>
        <w:widowControl/>
        <w:spacing w:before="120" w:after="120"/>
        <w:rPr>
          <w:rFonts w:ascii="Segoe UI" w:eastAsia="Times New Roman" w:hAnsi="Segoe UI" w:cs="Times New Roman"/>
          <w:kern w:val="0"/>
          <w:sz w:val="22"/>
          <w:szCs w:val="20"/>
          <w:lang w:val="en-GB" w:eastAsia="en-US"/>
        </w:rPr>
      </w:pPr>
    </w:p>
    <w:tbl>
      <w:tblPr>
        <w:tblW w:w="10065" w:type="dxa"/>
        <w:tblInd w:w="-539" w:type="dxa"/>
        <w:tblCellMar>
          <w:left w:w="28" w:type="dxa"/>
          <w:right w:w="28" w:type="dxa"/>
        </w:tblCellMar>
        <w:tblLook w:val="04A0" w:firstRow="1" w:lastRow="0" w:firstColumn="1" w:lastColumn="0" w:noHBand="0" w:noVBand="1"/>
      </w:tblPr>
      <w:tblGrid>
        <w:gridCol w:w="340"/>
        <w:gridCol w:w="85"/>
        <w:gridCol w:w="5387"/>
        <w:gridCol w:w="851"/>
        <w:gridCol w:w="820"/>
        <w:gridCol w:w="881"/>
        <w:gridCol w:w="850"/>
        <w:gridCol w:w="254"/>
        <w:gridCol w:w="597"/>
      </w:tblGrid>
      <w:tr w:rsidR="00EB525A" w:rsidRPr="00EB525A" w:rsidTr="00297CA5">
        <w:trPr>
          <w:trHeight w:val="283"/>
        </w:trPr>
        <w:tc>
          <w:tcPr>
            <w:tcW w:w="340" w:type="dxa"/>
            <w:tcBorders>
              <w:top w:val="single" w:sz="4" w:space="0" w:color="auto"/>
              <w:left w:val="nil"/>
              <w:bottom w:val="nil"/>
              <w:right w:val="nil"/>
            </w:tcBorders>
            <w:shd w:val="clear" w:color="auto" w:fill="auto"/>
            <w:noWrap/>
            <w:vAlign w:val="center"/>
            <w:hideMark/>
          </w:tcPr>
          <w:p w:rsidR="00EB525A" w:rsidRPr="00EB525A" w:rsidRDefault="00EB525A" w:rsidP="00EB525A">
            <w:pPr>
              <w:widowControl/>
              <w:spacing w:line="200" w:lineRule="exact"/>
              <w:rPr>
                <w:rFonts w:ascii="Segoe UI" w:eastAsia="新細明體" w:hAnsi="Segoe UI" w:cs="Segoe UI"/>
                <w:color w:val="000000"/>
                <w:kern w:val="0"/>
                <w:sz w:val="17"/>
                <w:szCs w:val="17"/>
                <w:lang w:val="en-GB"/>
              </w:rPr>
            </w:pPr>
          </w:p>
        </w:tc>
        <w:tc>
          <w:tcPr>
            <w:tcW w:w="5472" w:type="dxa"/>
            <w:gridSpan w:val="2"/>
            <w:tcBorders>
              <w:top w:val="single" w:sz="4" w:space="0" w:color="auto"/>
              <w:left w:val="nil"/>
              <w:bottom w:val="nil"/>
              <w:right w:val="nil"/>
            </w:tcBorders>
            <w:shd w:val="clear" w:color="auto" w:fill="auto"/>
            <w:noWrap/>
            <w:vAlign w:val="center"/>
            <w:hideMark/>
          </w:tcPr>
          <w:p w:rsidR="00EB525A" w:rsidRPr="00EB525A" w:rsidRDefault="00EB525A" w:rsidP="00EB525A">
            <w:pPr>
              <w:widowControl/>
              <w:spacing w:line="200" w:lineRule="exact"/>
              <w:rPr>
                <w:rFonts w:ascii="Segoe UI" w:eastAsia="新細明體" w:hAnsi="Segoe UI" w:cs="Segoe UI"/>
                <w:color w:val="000000"/>
                <w:kern w:val="0"/>
                <w:sz w:val="17"/>
                <w:szCs w:val="17"/>
                <w:lang w:val="en-GB"/>
              </w:rPr>
            </w:pPr>
          </w:p>
        </w:tc>
        <w:tc>
          <w:tcPr>
            <w:tcW w:w="851" w:type="dxa"/>
            <w:tcBorders>
              <w:top w:val="single" w:sz="4" w:space="0" w:color="auto"/>
              <w:left w:val="single" w:sz="4" w:space="0" w:color="auto"/>
              <w:bottom w:val="single" w:sz="4" w:space="0" w:color="auto"/>
              <w:right w:val="single" w:sz="4" w:space="0" w:color="BFBFBF"/>
            </w:tcBorders>
            <w:shd w:val="clear" w:color="auto" w:fill="auto"/>
            <w:vAlign w:val="center"/>
            <w:hideMark/>
          </w:tcPr>
          <w:p w:rsidR="00EB525A" w:rsidRPr="00EB525A" w:rsidRDefault="00EB525A" w:rsidP="00EB525A">
            <w:pPr>
              <w:widowControl/>
              <w:spacing w:line="200" w:lineRule="exact"/>
              <w:jc w:val="center"/>
              <w:rPr>
                <w:rFonts w:ascii="Segoe UI" w:eastAsia="新細明體" w:hAnsi="Segoe UI" w:cs="Segoe UI"/>
                <w:color w:val="000000"/>
                <w:kern w:val="0"/>
                <w:sz w:val="17"/>
                <w:szCs w:val="17"/>
                <w:lang w:val="en-GB"/>
              </w:rPr>
            </w:pPr>
            <w:r w:rsidRPr="00EB525A">
              <w:rPr>
                <w:rFonts w:ascii="Segoe UI" w:eastAsia="新細明體" w:hAnsi="Segoe UI" w:cs="Segoe UI"/>
                <w:color w:val="000000"/>
                <w:kern w:val="0"/>
                <w:sz w:val="17"/>
                <w:szCs w:val="17"/>
                <w:lang w:val="en-GB"/>
              </w:rPr>
              <w:t>(a)</w:t>
            </w:r>
          </w:p>
        </w:tc>
        <w:tc>
          <w:tcPr>
            <w:tcW w:w="820" w:type="dxa"/>
            <w:tcBorders>
              <w:top w:val="single" w:sz="4" w:space="0" w:color="auto"/>
              <w:left w:val="nil"/>
              <w:bottom w:val="single" w:sz="4" w:space="0" w:color="auto"/>
              <w:right w:val="single" w:sz="4" w:space="0" w:color="BFBFBF"/>
            </w:tcBorders>
            <w:shd w:val="clear" w:color="auto" w:fill="auto"/>
            <w:vAlign w:val="center"/>
            <w:hideMark/>
          </w:tcPr>
          <w:p w:rsidR="00EB525A" w:rsidRPr="00EB525A" w:rsidRDefault="00EB525A" w:rsidP="00EB525A">
            <w:pPr>
              <w:widowControl/>
              <w:spacing w:line="200" w:lineRule="exact"/>
              <w:jc w:val="center"/>
              <w:rPr>
                <w:rFonts w:ascii="Segoe UI" w:eastAsia="新細明體" w:hAnsi="Segoe UI" w:cs="Segoe UI"/>
                <w:color w:val="000000"/>
                <w:kern w:val="0"/>
                <w:sz w:val="17"/>
                <w:szCs w:val="17"/>
                <w:lang w:val="en-GB"/>
              </w:rPr>
            </w:pPr>
            <w:r w:rsidRPr="00EB525A">
              <w:rPr>
                <w:rFonts w:ascii="Segoe UI" w:eastAsia="新細明體" w:hAnsi="Segoe UI" w:cs="Segoe UI"/>
                <w:color w:val="000000"/>
                <w:kern w:val="0"/>
                <w:sz w:val="17"/>
                <w:szCs w:val="17"/>
                <w:lang w:val="en-GB"/>
              </w:rPr>
              <w:t>(b)</w:t>
            </w:r>
          </w:p>
        </w:tc>
        <w:tc>
          <w:tcPr>
            <w:tcW w:w="881" w:type="dxa"/>
            <w:tcBorders>
              <w:top w:val="single" w:sz="4" w:space="0" w:color="auto"/>
              <w:left w:val="nil"/>
              <w:bottom w:val="single" w:sz="4" w:space="0" w:color="auto"/>
              <w:right w:val="single" w:sz="4" w:space="0" w:color="BFBFBF"/>
            </w:tcBorders>
            <w:shd w:val="clear" w:color="auto" w:fill="auto"/>
            <w:vAlign w:val="center"/>
            <w:hideMark/>
          </w:tcPr>
          <w:p w:rsidR="00EB525A" w:rsidRPr="00EB525A" w:rsidRDefault="00EB525A" w:rsidP="00EB525A">
            <w:pPr>
              <w:widowControl/>
              <w:spacing w:line="200" w:lineRule="exact"/>
              <w:jc w:val="center"/>
              <w:rPr>
                <w:rFonts w:ascii="Segoe UI" w:eastAsia="新細明體" w:hAnsi="Segoe UI" w:cs="Segoe UI"/>
                <w:color w:val="000000"/>
                <w:kern w:val="0"/>
                <w:sz w:val="17"/>
                <w:szCs w:val="17"/>
                <w:lang w:val="en-GB"/>
              </w:rPr>
            </w:pPr>
            <w:r w:rsidRPr="00EB525A">
              <w:rPr>
                <w:rFonts w:ascii="Segoe UI" w:eastAsia="新細明體" w:hAnsi="Segoe UI" w:cs="Segoe UI"/>
                <w:color w:val="000000"/>
                <w:kern w:val="0"/>
                <w:sz w:val="17"/>
                <w:szCs w:val="17"/>
                <w:lang w:val="en-GB"/>
              </w:rPr>
              <w:t>(c)</w:t>
            </w:r>
          </w:p>
        </w:tc>
        <w:tc>
          <w:tcPr>
            <w:tcW w:w="850" w:type="dxa"/>
            <w:tcBorders>
              <w:top w:val="single" w:sz="4" w:space="0" w:color="auto"/>
              <w:left w:val="nil"/>
              <w:bottom w:val="single" w:sz="4" w:space="0" w:color="auto"/>
              <w:right w:val="single" w:sz="4" w:space="0" w:color="BFBFBF"/>
            </w:tcBorders>
            <w:shd w:val="clear" w:color="auto" w:fill="auto"/>
            <w:vAlign w:val="center"/>
            <w:hideMark/>
          </w:tcPr>
          <w:p w:rsidR="00EB525A" w:rsidRPr="00EB525A" w:rsidRDefault="00EB525A" w:rsidP="00EB525A">
            <w:pPr>
              <w:widowControl/>
              <w:spacing w:line="200" w:lineRule="exact"/>
              <w:jc w:val="center"/>
              <w:rPr>
                <w:rFonts w:ascii="Segoe UI" w:eastAsia="新細明體" w:hAnsi="Segoe UI" w:cs="Segoe UI"/>
                <w:color w:val="000000"/>
                <w:kern w:val="0"/>
                <w:sz w:val="17"/>
                <w:szCs w:val="17"/>
                <w:lang w:val="en-GB"/>
              </w:rPr>
            </w:pPr>
            <w:r w:rsidRPr="00EB525A">
              <w:rPr>
                <w:rFonts w:ascii="Segoe UI" w:eastAsia="新細明體" w:hAnsi="Segoe UI" w:cs="Segoe UI"/>
                <w:color w:val="000000"/>
                <w:kern w:val="0"/>
                <w:sz w:val="17"/>
                <w:szCs w:val="17"/>
                <w:lang w:val="en-GB"/>
              </w:rPr>
              <w:t>(d)</w:t>
            </w:r>
          </w:p>
        </w:tc>
        <w:tc>
          <w:tcPr>
            <w:tcW w:w="851" w:type="dxa"/>
            <w:gridSpan w:val="2"/>
            <w:tcBorders>
              <w:top w:val="single" w:sz="4" w:space="0" w:color="auto"/>
              <w:left w:val="nil"/>
              <w:bottom w:val="single" w:sz="4" w:space="0" w:color="auto"/>
            </w:tcBorders>
            <w:shd w:val="clear" w:color="auto" w:fill="auto"/>
            <w:vAlign w:val="center"/>
            <w:hideMark/>
          </w:tcPr>
          <w:p w:rsidR="00EB525A" w:rsidRPr="00EB525A" w:rsidRDefault="00EB525A" w:rsidP="00EB525A">
            <w:pPr>
              <w:widowControl/>
              <w:spacing w:line="200" w:lineRule="exact"/>
              <w:jc w:val="center"/>
              <w:rPr>
                <w:rFonts w:ascii="Segoe UI" w:eastAsia="新細明體" w:hAnsi="Segoe UI" w:cs="Segoe UI"/>
                <w:color w:val="000000"/>
                <w:kern w:val="0"/>
                <w:sz w:val="17"/>
                <w:szCs w:val="17"/>
                <w:lang w:val="en-GB"/>
              </w:rPr>
            </w:pPr>
            <w:r w:rsidRPr="00EB525A">
              <w:rPr>
                <w:rFonts w:ascii="Segoe UI" w:eastAsia="新細明體" w:hAnsi="Segoe UI" w:cs="Segoe UI"/>
                <w:color w:val="000000"/>
                <w:kern w:val="0"/>
                <w:sz w:val="17"/>
                <w:szCs w:val="17"/>
                <w:lang w:val="en-GB"/>
              </w:rPr>
              <w:t>(e)</w:t>
            </w:r>
          </w:p>
        </w:tc>
      </w:tr>
      <w:tr w:rsidR="00EB525A" w:rsidRPr="00EB525A" w:rsidTr="00297CA5">
        <w:trPr>
          <w:trHeight w:val="247"/>
        </w:trPr>
        <w:tc>
          <w:tcPr>
            <w:tcW w:w="340" w:type="dxa"/>
            <w:tcBorders>
              <w:top w:val="nil"/>
              <w:left w:val="nil"/>
              <w:bottom w:val="single" w:sz="4" w:space="0" w:color="auto"/>
              <w:right w:val="nil"/>
            </w:tcBorders>
            <w:shd w:val="clear" w:color="auto" w:fill="auto"/>
            <w:noWrap/>
            <w:vAlign w:val="center"/>
            <w:hideMark/>
          </w:tcPr>
          <w:p w:rsidR="00EB525A" w:rsidRPr="00EB525A" w:rsidRDefault="00EB525A" w:rsidP="00EB525A">
            <w:pPr>
              <w:widowControl/>
              <w:spacing w:line="200" w:lineRule="exact"/>
              <w:rPr>
                <w:rFonts w:ascii="Segoe UI" w:eastAsia="新細明體" w:hAnsi="Segoe UI" w:cs="Segoe UI"/>
                <w:color w:val="000000"/>
                <w:kern w:val="0"/>
                <w:sz w:val="17"/>
                <w:szCs w:val="17"/>
                <w:lang w:val="en-GB"/>
              </w:rPr>
            </w:pPr>
          </w:p>
        </w:tc>
        <w:tc>
          <w:tcPr>
            <w:tcW w:w="5472" w:type="dxa"/>
            <w:gridSpan w:val="2"/>
            <w:tcBorders>
              <w:top w:val="nil"/>
              <w:left w:val="nil"/>
              <w:bottom w:val="single" w:sz="4" w:space="0" w:color="auto"/>
              <w:right w:val="nil"/>
            </w:tcBorders>
            <w:shd w:val="clear" w:color="auto" w:fill="auto"/>
            <w:noWrap/>
            <w:vAlign w:val="center"/>
            <w:hideMark/>
          </w:tcPr>
          <w:p w:rsidR="00EB525A" w:rsidRPr="00EB525A" w:rsidRDefault="00EB525A" w:rsidP="00EB525A">
            <w:pPr>
              <w:widowControl/>
              <w:spacing w:line="200" w:lineRule="exact"/>
              <w:rPr>
                <w:rFonts w:ascii="Segoe UI" w:eastAsia="新細明體" w:hAnsi="Segoe UI" w:cs="Segoe UI"/>
                <w:color w:val="000000"/>
                <w:kern w:val="0"/>
                <w:sz w:val="17"/>
                <w:szCs w:val="17"/>
                <w:lang w:val="en-GB"/>
              </w:rPr>
            </w:pPr>
          </w:p>
        </w:tc>
        <w:tc>
          <w:tcPr>
            <w:tcW w:w="851" w:type="dxa"/>
            <w:tcBorders>
              <w:top w:val="nil"/>
              <w:left w:val="single" w:sz="4" w:space="0" w:color="auto"/>
              <w:bottom w:val="single" w:sz="4" w:space="0" w:color="auto"/>
              <w:right w:val="single" w:sz="4" w:space="0" w:color="BFBFBF"/>
            </w:tcBorders>
            <w:shd w:val="clear" w:color="auto" w:fill="auto"/>
            <w:vAlign w:val="center"/>
            <w:hideMark/>
          </w:tcPr>
          <w:p w:rsidR="00EB525A" w:rsidRPr="00EB525A" w:rsidRDefault="00EB525A" w:rsidP="00EB525A">
            <w:pPr>
              <w:spacing w:line="200" w:lineRule="exact"/>
              <w:jc w:val="center"/>
              <w:rPr>
                <w:rFonts w:ascii="Segoe UI" w:hAnsi="Segoe UI" w:cs="Segoe UI"/>
                <w:sz w:val="17"/>
                <w:szCs w:val="17"/>
                <w:lang w:val="en-GB"/>
              </w:rPr>
            </w:pPr>
            <w:r w:rsidRPr="00EB525A">
              <w:rPr>
                <w:rFonts w:ascii="Segoe UI" w:hAnsi="Segoe UI" w:cs="Segoe UI"/>
                <w:sz w:val="17"/>
                <w:szCs w:val="17"/>
                <w:lang w:val="en-GB"/>
              </w:rPr>
              <w:t>T</w:t>
            </w:r>
          </w:p>
        </w:tc>
        <w:tc>
          <w:tcPr>
            <w:tcW w:w="820" w:type="dxa"/>
            <w:tcBorders>
              <w:top w:val="nil"/>
              <w:left w:val="nil"/>
              <w:bottom w:val="single" w:sz="4" w:space="0" w:color="auto"/>
              <w:right w:val="single" w:sz="4" w:space="0" w:color="BFBFBF"/>
            </w:tcBorders>
            <w:shd w:val="clear" w:color="auto" w:fill="auto"/>
            <w:vAlign w:val="center"/>
            <w:hideMark/>
          </w:tcPr>
          <w:p w:rsidR="00EB525A" w:rsidRPr="00EB525A" w:rsidRDefault="00EB525A" w:rsidP="00EB525A">
            <w:pPr>
              <w:spacing w:line="200" w:lineRule="exact"/>
              <w:jc w:val="center"/>
              <w:rPr>
                <w:rFonts w:ascii="Segoe UI" w:hAnsi="Segoe UI" w:cs="Segoe UI"/>
                <w:sz w:val="17"/>
                <w:szCs w:val="17"/>
                <w:lang w:val="en-GB"/>
              </w:rPr>
            </w:pPr>
            <w:r w:rsidRPr="00EB525A">
              <w:rPr>
                <w:rFonts w:ascii="Segoe UI" w:hAnsi="Segoe UI" w:cs="Segoe UI"/>
                <w:sz w:val="17"/>
                <w:szCs w:val="17"/>
                <w:lang w:val="en-GB"/>
              </w:rPr>
              <w:t>T-1</w:t>
            </w:r>
          </w:p>
        </w:tc>
        <w:tc>
          <w:tcPr>
            <w:tcW w:w="881" w:type="dxa"/>
            <w:tcBorders>
              <w:top w:val="nil"/>
              <w:left w:val="nil"/>
              <w:bottom w:val="single" w:sz="4" w:space="0" w:color="auto"/>
              <w:right w:val="single" w:sz="4" w:space="0" w:color="BFBFBF"/>
            </w:tcBorders>
            <w:shd w:val="clear" w:color="auto" w:fill="auto"/>
            <w:vAlign w:val="center"/>
            <w:hideMark/>
          </w:tcPr>
          <w:p w:rsidR="00EB525A" w:rsidRPr="00EB525A" w:rsidRDefault="00EB525A" w:rsidP="00EB525A">
            <w:pPr>
              <w:spacing w:line="200" w:lineRule="exact"/>
              <w:jc w:val="center"/>
              <w:rPr>
                <w:rFonts w:ascii="Segoe UI" w:hAnsi="Segoe UI" w:cs="Segoe UI"/>
                <w:sz w:val="17"/>
                <w:szCs w:val="17"/>
                <w:lang w:val="en-GB"/>
              </w:rPr>
            </w:pPr>
            <w:r w:rsidRPr="00EB525A">
              <w:rPr>
                <w:rFonts w:ascii="Segoe UI" w:hAnsi="Segoe UI" w:cs="Segoe UI"/>
                <w:sz w:val="17"/>
                <w:szCs w:val="17"/>
                <w:lang w:val="en-GB"/>
              </w:rPr>
              <w:t>T-2</w:t>
            </w:r>
          </w:p>
        </w:tc>
        <w:tc>
          <w:tcPr>
            <w:tcW w:w="850" w:type="dxa"/>
            <w:tcBorders>
              <w:top w:val="nil"/>
              <w:left w:val="nil"/>
              <w:bottom w:val="single" w:sz="4" w:space="0" w:color="auto"/>
              <w:right w:val="single" w:sz="4" w:space="0" w:color="BFBFBF"/>
            </w:tcBorders>
            <w:shd w:val="clear" w:color="auto" w:fill="auto"/>
            <w:vAlign w:val="center"/>
            <w:hideMark/>
          </w:tcPr>
          <w:p w:rsidR="00EB525A" w:rsidRPr="00EB525A" w:rsidRDefault="00EB525A" w:rsidP="00EB525A">
            <w:pPr>
              <w:spacing w:line="200" w:lineRule="exact"/>
              <w:jc w:val="center"/>
              <w:rPr>
                <w:rFonts w:ascii="Segoe UI" w:hAnsi="Segoe UI" w:cs="Segoe UI"/>
                <w:sz w:val="17"/>
                <w:szCs w:val="17"/>
                <w:lang w:val="en-GB"/>
              </w:rPr>
            </w:pPr>
            <w:r w:rsidRPr="00EB525A">
              <w:rPr>
                <w:rFonts w:ascii="Segoe UI" w:hAnsi="Segoe UI" w:cs="Segoe UI"/>
                <w:sz w:val="17"/>
                <w:szCs w:val="17"/>
                <w:lang w:val="en-GB"/>
              </w:rPr>
              <w:t>T-3</w:t>
            </w:r>
          </w:p>
        </w:tc>
        <w:tc>
          <w:tcPr>
            <w:tcW w:w="851" w:type="dxa"/>
            <w:gridSpan w:val="2"/>
            <w:tcBorders>
              <w:top w:val="nil"/>
              <w:left w:val="nil"/>
              <w:bottom w:val="single" w:sz="4" w:space="0" w:color="auto"/>
            </w:tcBorders>
            <w:shd w:val="clear" w:color="auto" w:fill="auto"/>
            <w:vAlign w:val="center"/>
            <w:hideMark/>
          </w:tcPr>
          <w:p w:rsidR="00EB525A" w:rsidRPr="00EB525A" w:rsidRDefault="00EB525A" w:rsidP="00EB525A">
            <w:pPr>
              <w:spacing w:line="200" w:lineRule="exact"/>
              <w:jc w:val="center"/>
              <w:rPr>
                <w:rFonts w:ascii="Segoe UI" w:hAnsi="Segoe UI" w:cs="Segoe UI"/>
                <w:sz w:val="17"/>
                <w:szCs w:val="17"/>
                <w:lang w:val="en-GB"/>
              </w:rPr>
            </w:pPr>
            <w:r w:rsidRPr="00EB525A">
              <w:rPr>
                <w:rFonts w:ascii="Segoe UI" w:hAnsi="Segoe UI" w:cs="Segoe UI"/>
                <w:sz w:val="17"/>
                <w:szCs w:val="17"/>
                <w:lang w:val="en-GB"/>
              </w:rPr>
              <w:t>T-4</w:t>
            </w:r>
          </w:p>
        </w:tc>
      </w:tr>
      <w:tr w:rsidR="00EB525A" w:rsidRPr="00EB525A" w:rsidTr="00297CA5">
        <w:trPr>
          <w:trHeight w:val="283"/>
        </w:trPr>
        <w:tc>
          <w:tcPr>
            <w:tcW w:w="10065" w:type="dxa"/>
            <w:gridSpan w:val="9"/>
            <w:tcBorders>
              <w:top w:val="single" w:sz="4" w:space="0" w:color="auto"/>
              <w:left w:val="nil"/>
              <w:bottom w:val="single" w:sz="4" w:space="0" w:color="BFBFBF" w:themeColor="background1" w:themeShade="BF"/>
            </w:tcBorders>
            <w:shd w:val="clear" w:color="auto" w:fill="D9D9D9" w:themeFill="background1" w:themeFillShade="D9"/>
            <w:noWrap/>
            <w:vAlign w:val="center"/>
          </w:tcPr>
          <w:p w:rsidR="00EB525A" w:rsidRPr="00EB525A" w:rsidRDefault="00EB525A" w:rsidP="00EB525A">
            <w:pPr>
              <w:widowControl/>
              <w:spacing w:line="200" w:lineRule="exact"/>
              <w:rPr>
                <w:rFonts w:ascii="Segoe UI" w:eastAsia="新細明體" w:hAnsi="Segoe UI" w:cs="Segoe UI"/>
                <w:color w:val="000000"/>
                <w:kern w:val="0"/>
                <w:sz w:val="17"/>
                <w:szCs w:val="17"/>
                <w:lang w:val="en-GB"/>
              </w:rPr>
            </w:pPr>
            <w:r w:rsidRPr="00EB525A">
              <w:rPr>
                <w:rFonts w:ascii="Segoe UI" w:eastAsia="新細明體" w:hAnsi="Segoe UI" w:cs="Segoe UI"/>
                <w:color w:val="000000"/>
                <w:kern w:val="0"/>
                <w:sz w:val="17"/>
                <w:szCs w:val="17"/>
                <w:lang w:val="en-GB"/>
              </w:rPr>
              <w:t>Of the material entity at LAC consolidation group level</w:t>
            </w:r>
          </w:p>
        </w:tc>
      </w:tr>
      <w:tr w:rsidR="00EB525A" w:rsidRPr="00EB525A" w:rsidTr="00297CA5">
        <w:trPr>
          <w:trHeight w:val="283"/>
        </w:trPr>
        <w:tc>
          <w:tcPr>
            <w:tcW w:w="425" w:type="dxa"/>
            <w:gridSpan w:val="2"/>
            <w:tcBorders>
              <w:top w:val="single" w:sz="4" w:space="0" w:color="auto"/>
              <w:left w:val="nil"/>
              <w:bottom w:val="single" w:sz="4" w:space="0" w:color="BFBFBF" w:themeColor="background1" w:themeShade="BF"/>
              <w:right w:val="single" w:sz="4" w:space="0" w:color="BFBFBF" w:themeColor="background1" w:themeShade="BF"/>
            </w:tcBorders>
            <w:shd w:val="clear" w:color="auto" w:fill="auto"/>
            <w:noWrap/>
            <w:vAlign w:val="center"/>
            <w:hideMark/>
          </w:tcPr>
          <w:p w:rsidR="00EB525A" w:rsidRPr="00EB525A" w:rsidRDefault="00EB525A" w:rsidP="00EB525A">
            <w:pPr>
              <w:widowControl/>
              <w:spacing w:line="200" w:lineRule="exact"/>
              <w:rPr>
                <w:rFonts w:ascii="Segoe UI" w:eastAsia="新細明體" w:hAnsi="Segoe UI" w:cs="Segoe UI"/>
                <w:color w:val="000000"/>
                <w:kern w:val="0"/>
                <w:sz w:val="17"/>
                <w:szCs w:val="17"/>
                <w:lang w:val="en-GB"/>
              </w:rPr>
            </w:pPr>
            <w:r w:rsidRPr="00EB525A">
              <w:rPr>
                <w:rFonts w:ascii="Segoe UI" w:eastAsia="新細明體" w:hAnsi="Segoe UI" w:cs="Segoe UI"/>
                <w:color w:val="000000"/>
                <w:kern w:val="0"/>
                <w:sz w:val="17"/>
                <w:szCs w:val="17"/>
                <w:lang w:val="en-GB"/>
              </w:rPr>
              <w:t>1</w:t>
            </w:r>
          </w:p>
        </w:tc>
        <w:tc>
          <w:tcPr>
            <w:tcW w:w="5387" w:type="dxa"/>
            <w:tcBorders>
              <w:top w:val="single" w:sz="4" w:space="0" w:color="auto"/>
              <w:left w:val="single" w:sz="4" w:space="0" w:color="BFBFBF" w:themeColor="background1" w:themeShade="BF"/>
              <w:bottom w:val="single" w:sz="4" w:space="0" w:color="BFBFBF" w:themeColor="background1" w:themeShade="BF"/>
              <w:right w:val="single" w:sz="4" w:space="0" w:color="auto"/>
            </w:tcBorders>
            <w:shd w:val="clear" w:color="auto" w:fill="auto"/>
            <w:vAlign w:val="center"/>
            <w:hideMark/>
          </w:tcPr>
          <w:p w:rsidR="00EB525A" w:rsidRPr="00EB525A" w:rsidRDefault="00EB525A" w:rsidP="00EB525A">
            <w:pPr>
              <w:widowControl/>
              <w:spacing w:line="200" w:lineRule="exact"/>
              <w:ind w:rightChars="47" w:right="113"/>
              <w:rPr>
                <w:rFonts w:ascii="Segoe UI" w:eastAsia="新細明體" w:hAnsi="Segoe UI" w:cs="Segoe UI"/>
                <w:color w:val="000000"/>
                <w:kern w:val="0"/>
                <w:sz w:val="17"/>
                <w:szCs w:val="17"/>
                <w:lang w:val="en-GB"/>
              </w:rPr>
            </w:pPr>
            <w:r w:rsidRPr="00EB525A">
              <w:rPr>
                <w:rFonts w:ascii="Segoe UI" w:eastAsia="新細明體" w:hAnsi="Segoe UI" w:cs="Segoe UI"/>
                <w:color w:val="000000"/>
                <w:kern w:val="0"/>
                <w:sz w:val="17"/>
                <w:szCs w:val="17"/>
                <w:lang w:val="en-GB"/>
              </w:rPr>
              <w:t>Internal loss-absorbing capacity available</w:t>
            </w:r>
          </w:p>
        </w:tc>
        <w:tc>
          <w:tcPr>
            <w:tcW w:w="851" w:type="dxa"/>
            <w:tcBorders>
              <w:top w:val="single" w:sz="4" w:space="0" w:color="auto"/>
              <w:left w:val="nil"/>
              <w:bottom w:val="single" w:sz="4" w:space="0" w:color="BFBFBF"/>
              <w:right w:val="single" w:sz="4" w:space="0" w:color="BFBFBF"/>
            </w:tcBorders>
            <w:shd w:val="clear" w:color="auto" w:fill="auto"/>
            <w:noWrap/>
            <w:vAlign w:val="center"/>
            <w:hideMark/>
          </w:tcPr>
          <w:p w:rsidR="00EB525A" w:rsidRPr="00EB525A" w:rsidRDefault="00EB525A" w:rsidP="00EB525A">
            <w:pPr>
              <w:widowControl/>
              <w:spacing w:line="200" w:lineRule="exact"/>
              <w:rPr>
                <w:rFonts w:ascii="Segoe UI" w:eastAsia="新細明體" w:hAnsi="Segoe UI" w:cs="Segoe UI"/>
                <w:color w:val="000000"/>
                <w:kern w:val="0"/>
                <w:sz w:val="17"/>
                <w:szCs w:val="17"/>
                <w:lang w:val="en-GB"/>
              </w:rPr>
            </w:pPr>
            <w:r w:rsidRPr="00EB525A">
              <w:rPr>
                <w:rFonts w:ascii="Segoe UI" w:eastAsia="新細明體" w:hAnsi="Segoe UI" w:cs="Segoe UI" w:hint="eastAsia"/>
                <w:color w:val="000000"/>
                <w:kern w:val="0"/>
                <w:sz w:val="17"/>
                <w:szCs w:val="17"/>
                <w:lang w:val="en-GB"/>
              </w:rPr>
              <w:t xml:space="preserve">　</w:t>
            </w:r>
          </w:p>
        </w:tc>
        <w:tc>
          <w:tcPr>
            <w:tcW w:w="820" w:type="dxa"/>
            <w:tcBorders>
              <w:top w:val="single" w:sz="4" w:space="0" w:color="auto"/>
              <w:left w:val="nil"/>
              <w:bottom w:val="single" w:sz="4" w:space="0" w:color="BFBFBF"/>
              <w:right w:val="single" w:sz="4" w:space="0" w:color="BFBFBF"/>
            </w:tcBorders>
            <w:shd w:val="clear" w:color="auto" w:fill="auto"/>
            <w:noWrap/>
            <w:vAlign w:val="center"/>
            <w:hideMark/>
          </w:tcPr>
          <w:p w:rsidR="00EB525A" w:rsidRPr="00EB525A" w:rsidRDefault="00EB525A" w:rsidP="00EB525A">
            <w:pPr>
              <w:widowControl/>
              <w:spacing w:line="200" w:lineRule="exact"/>
              <w:rPr>
                <w:rFonts w:ascii="Segoe UI" w:eastAsia="新細明體" w:hAnsi="Segoe UI" w:cs="Segoe UI"/>
                <w:color w:val="000000"/>
                <w:kern w:val="0"/>
                <w:sz w:val="17"/>
                <w:szCs w:val="17"/>
                <w:lang w:val="en-GB"/>
              </w:rPr>
            </w:pPr>
            <w:r w:rsidRPr="00EB525A">
              <w:rPr>
                <w:rFonts w:ascii="Segoe UI" w:eastAsia="新細明體" w:hAnsi="Segoe UI" w:cs="Segoe UI" w:hint="eastAsia"/>
                <w:color w:val="000000"/>
                <w:kern w:val="0"/>
                <w:sz w:val="17"/>
                <w:szCs w:val="17"/>
                <w:lang w:val="en-GB"/>
              </w:rPr>
              <w:t xml:space="preserve">　</w:t>
            </w:r>
          </w:p>
        </w:tc>
        <w:tc>
          <w:tcPr>
            <w:tcW w:w="881" w:type="dxa"/>
            <w:tcBorders>
              <w:top w:val="single" w:sz="4" w:space="0" w:color="auto"/>
              <w:left w:val="nil"/>
              <w:bottom w:val="single" w:sz="4" w:space="0" w:color="BFBFBF"/>
              <w:right w:val="single" w:sz="4" w:space="0" w:color="BFBFBF"/>
            </w:tcBorders>
            <w:shd w:val="clear" w:color="auto" w:fill="auto"/>
            <w:noWrap/>
            <w:vAlign w:val="center"/>
            <w:hideMark/>
          </w:tcPr>
          <w:p w:rsidR="00EB525A" w:rsidRPr="00EB525A" w:rsidRDefault="00EB525A" w:rsidP="00EB525A">
            <w:pPr>
              <w:widowControl/>
              <w:spacing w:line="200" w:lineRule="exact"/>
              <w:rPr>
                <w:rFonts w:ascii="Segoe UI" w:eastAsia="新細明體" w:hAnsi="Segoe UI" w:cs="Segoe UI"/>
                <w:color w:val="000000"/>
                <w:kern w:val="0"/>
                <w:sz w:val="17"/>
                <w:szCs w:val="17"/>
                <w:lang w:val="en-GB"/>
              </w:rPr>
            </w:pPr>
            <w:r w:rsidRPr="00EB525A">
              <w:rPr>
                <w:rFonts w:ascii="Segoe UI" w:eastAsia="新細明體" w:hAnsi="Segoe UI" w:cs="Segoe UI" w:hint="eastAsia"/>
                <w:color w:val="000000"/>
                <w:kern w:val="0"/>
                <w:sz w:val="17"/>
                <w:szCs w:val="17"/>
                <w:lang w:val="en-GB"/>
              </w:rPr>
              <w:t xml:space="preserve">　</w:t>
            </w:r>
          </w:p>
        </w:tc>
        <w:tc>
          <w:tcPr>
            <w:tcW w:w="850" w:type="dxa"/>
            <w:tcBorders>
              <w:top w:val="single" w:sz="4" w:space="0" w:color="auto"/>
              <w:left w:val="nil"/>
              <w:bottom w:val="single" w:sz="4" w:space="0" w:color="BFBFBF"/>
              <w:right w:val="single" w:sz="4" w:space="0" w:color="BFBFBF"/>
            </w:tcBorders>
            <w:shd w:val="clear" w:color="auto" w:fill="auto"/>
            <w:noWrap/>
            <w:vAlign w:val="center"/>
            <w:hideMark/>
          </w:tcPr>
          <w:p w:rsidR="00EB525A" w:rsidRPr="00EB525A" w:rsidRDefault="00EB525A" w:rsidP="00EB525A">
            <w:pPr>
              <w:widowControl/>
              <w:spacing w:line="200" w:lineRule="exact"/>
              <w:rPr>
                <w:rFonts w:ascii="Segoe UI" w:eastAsia="新細明體" w:hAnsi="Segoe UI" w:cs="Segoe UI"/>
                <w:color w:val="000000"/>
                <w:kern w:val="0"/>
                <w:sz w:val="17"/>
                <w:szCs w:val="17"/>
                <w:lang w:val="en-GB"/>
              </w:rPr>
            </w:pPr>
            <w:r w:rsidRPr="00EB525A">
              <w:rPr>
                <w:rFonts w:ascii="Segoe UI" w:eastAsia="新細明體" w:hAnsi="Segoe UI" w:cs="Segoe UI" w:hint="eastAsia"/>
                <w:color w:val="000000"/>
                <w:kern w:val="0"/>
                <w:sz w:val="17"/>
                <w:szCs w:val="17"/>
                <w:lang w:val="en-GB"/>
              </w:rPr>
              <w:t xml:space="preserve">　</w:t>
            </w:r>
          </w:p>
        </w:tc>
        <w:tc>
          <w:tcPr>
            <w:tcW w:w="851" w:type="dxa"/>
            <w:gridSpan w:val="2"/>
            <w:tcBorders>
              <w:top w:val="single" w:sz="4" w:space="0" w:color="auto"/>
              <w:left w:val="nil"/>
              <w:bottom w:val="single" w:sz="4" w:space="0" w:color="BFBFBF"/>
            </w:tcBorders>
            <w:shd w:val="clear" w:color="auto" w:fill="auto"/>
            <w:noWrap/>
            <w:vAlign w:val="center"/>
            <w:hideMark/>
          </w:tcPr>
          <w:p w:rsidR="00EB525A" w:rsidRPr="00EB525A" w:rsidRDefault="00EB525A" w:rsidP="00EB525A">
            <w:pPr>
              <w:widowControl/>
              <w:spacing w:line="200" w:lineRule="exact"/>
              <w:rPr>
                <w:rFonts w:ascii="Segoe UI" w:eastAsia="新細明體" w:hAnsi="Segoe UI" w:cs="Segoe UI"/>
                <w:color w:val="000000"/>
                <w:kern w:val="0"/>
                <w:sz w:val="17"/>
                <w:szCs w:val="17"/>
                <w:lang w:val="en-GB"/>
              </w:rPr>
            </w:pPr>
            <w:r w:rsidRPr="00EB525A">
              <w:rPr>
                <w:rFonts w:ascii="Segoe UI" w:eastAsia="新細明體" w:hAnsi="Segoe UI" w:cs="Segoe UI" w:hint="eastAsia"/>
                <w:color w:val="000000"/>
                <w:kern w:val="0"/>
                <w:sz w:val="17"/>
                <w:szCs w:val="17"/>
                <w:lang w:val="en-GB"/>
              </w:rPr>
              <w:t xml:space="preserve">　</w:t>
            </w:r>
          </w:p>
        </w:tc>
      </w:tr>
      <w:tr w:rsidR="00EB525A" w:rsidRPr="00EB525A" w:rsidTr="00297CA5">
        <w:trPr>
          <w:trHeight w:val="283"/>
        </w:trPr>
        <w:tc>
          <w:tcPr>
            <w:tcW w:w="425" w:type="dxa"/>
            <w:gridSpan w:val="2"/>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auto"/>
            <w:noWrap/>
            <w:vAlign w:val="center"/>
            <w:hideMark/>
          </w:tcPr>
          <w:p w:rsidR="00EB525A" w:rsidRPr="00EB525A" w:rsidRDefault="00EB525A" w:rsidP="00EB525A">
            <w:pPr>
              <w:widowControl/>
              <w:spacing w:line="200" w:lineRule="exact"/>
              <w:rPr>
                <w:rFonts w:ascii="Segoe UI" w:eastAsia="新細明體" w:hAnsi="Segoe UI" w:cs="Segoe UI"/>
                <w:color w:val="000000"/>
                <w:kern w:val="0"/>
                <w:sz w:val="17"/>
                <w:szCs w:val="17"/>
                <w:lang w:val="en-GB"/>
              </w:rPr>
            </w:pPr>
            <w:r w:rsidRPr="00EB525A">
              <w:rPr>
                <w:rFonts w:ascii="Segoe UI" w:eastAsia="新細明體" w:hAnsi="Segoe UI" w:cs="Segoe UI"/>
                <w:color w:val="000000"/>
                <w:kern w:val="0"/>
                <w:sz w:val="17"/>
                <w:szCs w:val="17"/>
                <w:lang w:val="en-GB"/>
              </w:rPr>
              <w:t>2</w:t>
            </w:r>
          </w:p>
        </w:tc>
        <w:tc>
          <w:tcPr>
            <w:tcW w:w="53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auto"/>
            </w:tcBorders>
            <w:shd w:val="clear" w:color="auto" w:fill="auto"/>
            <w:vAlign w:val="center"/>
            <w:hideMark/>
          </w:tcPr>
          <w:p w:rsidR="00EB525A" w:rsidRPr="00EB525A" w:rsidRDefault="00EB525A" w:rsidP="00EB525A">
            <w:pPr>
              <w:widowControl/>
              <w:spacing w:line="200" w:lineRule="exact"/>
              <w:ind w:rightChars="47" w:right="113"/>
              <w:rPr>
                <w:rFonts w:ascii="Segoe UI" w:eastAsia="新細明體" w:hAnsi="Segoe UI" w:cs="Segoe UI"/>
                <w:iCs/>
                <w:color w:val="000000"/>
                <w:kern w:val="0"/>
                <w:sz w:val="17"/>
                <w:szCs w:val="17"/>
                <w:lang w:val="en-GB"/>
              </w:rPr>
            </w:pPr>
            <w:r w:rsidRPr="00EB525A">
              <w:rPr>
                <w:rFonts w:ascii="Segoe UI" w:eastAsia="新細明體" w:hAnsi="Segoe UI" w:cs="Segoe UI"/>
                <w:iCs/>
                <w:color w:val="000000"/>
                <w:kern w:val="0"/>
                <w:sz w:val="17"/>
                <w:szCs w:val="17"/>
                <w:lang w:val="en-GB"/>
              </w:rPr>
              <w:t>Risk-weighted amount under the LAC Rules</w:t>
            </w:r>
          </w:p>
        </w:tc>
        <w:tc>
          <w:tcPr>
            <w:tcW w:w="851" w:type="dxa"/>
            <w:tcBorders>
              <w:top w:val="nil"/>
              <w:left w:val="nil"/>
              <w:bottom w:val="single" w:sz="4" w:space="0" w:color="BFBFBF"/>
              <w:right w:val="single" w:sz="4" w:space="0" w:color="BFBFBF"/>
            </w:tcBorders>
            <w:shd w:val="clear" w:color="auto" w:fill="auto"/>
            <w:noWrap/>
            <w:vAlign w:val="center"/>
            <w:hideMark/>
          </w:tcPr>
          <w:p w:rsidR="00EB525A" w:rsidRPr="00EB525A" w:rsidRDefault="00EB525A" w:rsidP="00EB525A">
            <w:pPr>
              <w:widowControl/>
              <w:spacing w:line="200" w:lineRule="exact"/>
              <w:rPr>
                <w:rFonts w:ascii="Segoe UI" w:eastAsia="新細明體" w:hAnsi="Segoe UI" w:cs="Segoe UI"/>
                <w:color w:val="000000"/>
                <w:kern w:val="0"/>
                <w:sz w:val="17"/>
                <w:szCs w:val="17"/>
                <w:lang w:val="en-GB"/>
              </w:rPr>
            </w:pPr>
            <w:r w:rsidRPr="00EB525A">
              <w:rPr>
                <w:rFonts w:ascii="Segoe UI" w:eastAsia="新細明體" w:hAnsi="Segoe UI" w:cs="Segoe UI" w:hint="eastAsia"/>
                <w:color w:val="000000"/>
                <w:kern w:val="0"/>
                <w:sz w:val="17"/>
                <w:szCs w:val="17"/>
                <w:lang w:val="en-GB"/>
              </w:rPr>
              <w:t xml:space="preserve">　</w:t>
            </w:r>
          </w:p>
        </w:tc>
        <w:tc>
          <w:tcPr>
            <w:tcW w:w="820" w:type="dxa"/>
            <w:tcBorders>
              <w:top w:val="nil"/>
              <w:left w:val="nil"/>
              <w:bottom w:val="single" w:sz="4" w:space="0" w:color="BFBFBF"/>
              <w:right w:val="single" w:sz="4" w:space="0" w:color="BFBFBF"/>
            </w:tcBorders>
            <w:shd w:val="clear" w:color="auto" w:fill="auto"/>
            <w:noWrap/>
            <w:vAlign w:val="center"/>
            <w:hideMark/>
          </w:tcPr>
          <w:p w:rsidR="00EB525A" w:rsidRPr="00EB525A" w:rsidRDefault="00EB525A" w:rsidP="00EB525A">
            <w:pPr>
              <w:widowControl/>
              <w:spacing w:line="200" w:lineRule="exact"/>
              <w:rPr>
                <w:rFonts w:ascii="Segoe UI" w:eastAsia="新細明體" w:hAnsi="Segoe UI" w:cs="Segoe UI"/>
                <w:color w:val="000000"/>
                <w:kern w:val="0"/>
                <w:sz w:val="17"/>
                <w:szCs w:val="17"/>
                <w:lang w:val="en-GB"/>
              </w:rPr>
            </w:pPr>
            <w:r w:rsidRPr="00EB525A">
              <w:rPr>
                <w:rFonts w:ascii="Segoe UI" w:eastAsia="新細明體" w:hAnsi="Segoe UI" w:cs="Segoe UI" w:hint="eastAsia"/>
                <w:color w:val="000000"/>
                <w:kern w:val="0"/>
                <w:sz w:val="17"/>
                <w:szCs w:val="17"/>
                <w:lang w:val="en-GB"/>
              </w:rPr>
              <w:t xml:space="preserve">　</w:t>
            </w:r>
          </w:p>
        </w:tc>
        <w:tc>
          <w:tcPr>
            <w:tcW w:w="881" w:type="dxa"/>
            <w:tcBorders>
              <w:top w:val="nil"/>
              <w:left w:val="nil"/>
              <w:bottom w:val="single" w:sz="4" w:space="0" w:color="BFBFBF"/>
              <w:right w:val="single" w:sz="4" w:space="0" w:color="BFBFBF"/>
            </w:tcBorders>
            <w:shd w:val="clear" w:color="auto" w:fill="auto"/>
            <w:noWrap/>
            <w:vAlign w:val="center"/>
            <w:hideMark/>
          </w:tcPr>
          <w:p w:rsidR="00EB525A" w:rsidRPr="00EB525A" w:rsidRDefault="00EB525A" w:rsidP="00EB525A">
            <w:pPr>
              <w:widowControl/>
              <w:spacing w:line="200" w:lineRule="exact"/>
              <w:rPr>
                <w:rFonts w:ascii="Segoe UI" w:eastAsia="新細明體" w:hAnsi="Segoe UI" w:cs="Segoe UI"/>
                <w:color w:val="000000"/>
                <w:kern w:val="0"/>
                <w:sz w:val="17"/>
                <w:szCs w:val="17"/>
                <w:lang w:val="en-GB"/>
              </w:rPr>
            </w:pPr>
            <w:r w:rsidRPr="00EB525A">
              <w:rPr>
                <w:rFonts w:ascii="Segoe UI" w:eastAsia="新細明體" w:hAnsi="Segoe UI" w:cs="Segoe UI" w:hint="eastAsia"/>
                <w:color w:val="000000"/>
                <w:kern w:val="0"/>
                <w:sz w:val="17"/>
                <w:szCs w:val="17"/>
                <w:lang w:val="en-GB"/>
              </w:rPr>
              <w:t xml:space="preserve">　</w:t>
            </w:r>
          </w:p>
        </w:tc>
        <w:tc>
          <w:tcPr>
            <w:tcW w:w="850" w:type="dxa"/>
            <w:tcBorders>
              <w:top w:val="nil"/>
              <w:left w:val="nil"/>
              <w:bottom w:val="single" w:sz="4" w:space="0" w:color="BFBFBF"/>
              <w:right w:val="single" w:sz="4" w:space="0" w:color="BFBFBF"/>
            </w:tcBorders>
            <w:shd w:val="clear" w:color="auto" w:fill="auto"/>
            <w:noWrap/>
            <w:vAlign w:val="center"/>
            <w:hideMark/>
          </w:tcPr>
          <w:p w:rsidR="00EB525A" w:rsidRPr="00EB525A" w:rsidRDefault="00EB525A" w:rsidP="00EB525A">
            <w:pPr>
              <w:widowControl/>
              <w:spacing w:line="200" w:lineRule="exact"/>
              <w:rPr>
                <w:rFonts w:ascii="Segoe UI" w:eastAsia="新細明體" w:hAnsi="Segoe UI" w:cs="Segoe UI"/>
                <w:color w:val="000000"/>
                <w:kern w:val="0"/>
                <w:sz w:val="17"/>
                <w:szCs w:val="17"/>
                <w:lang w:val="en-GB"/>
              </w:rPr>
            </w:pPr>
            <w:r w:rsidRPr="00EB525A">
              <w:rPr>
                <w:rFonts w:ascii="Segoe UI" w:eastAsia="新細明體" w:hAnsi="Segoe UI" w:cs="Segoe UI" w:hint="eastAsia"/>
                <w:color w:val="000000"/>
                <w:kern w:val="0"/>
                <w:sz w:val="17"/>
                <w:szCs w:val="17"/>
                <w:lang w:val="en-GB"/>
              </w:rPr>
              <w:t xml:space="preserve">　</w:t>
            </w:r>
          </w:p>
        </w:tc>
        <w:tc>
          <w:tcPr>
            <w:tcW w:w="851" w:type="dxa"/>
            <w:gridSpan w:val="2"/>
            <w:tcBorders>
              <w:top w:val="nil"/>
              <w:left w:val="nil"/>
              <w:bottom w:val="single" w:sz="4" w:space="0" w:color="BFBFBF"/>
            </w:tcBorders>
            <w:shd w:val="clear" w:color="auto" w:fill="auto"/>
            <w:noWrap/>
            <w:vAlign w:val="center"/>
            <w:hideMark/>
          </w:tcPr>
          <w:p w:rsidR="00EB525A" w:rsidRPr="00EB525A" w:rsidRDefault="00EB525A" w:rsidP="00EB525A">
            <w:pPr>
              <w:widowControl/>
              <w:spacing w:line="200" w:lineRule="exact"/>
              <w:rPr>
                <w:rFonts w:ascii="Segoe UI" w:eastAsia="新細明體" w:hAnsi="Segoe UI" w:cs="Segoe UI"/>
                <w:color w:val="000000"/>
                <w:kern w:val="0"/>
                <w:sz w:val="17"/>
                <w:szCs w:val="17"/>
                <w:lang w:val="en-GB"/>
              </w:rPr>
            </w:pPr>
            <w:r w:rsidRPr="00EB525A">
              <w:rPr>
                <w:rFonts w:ascii="Segoe UI" w:eastAsia="新細明體" w:hAnsi="Segoe UI" w:cs="Segoe UI" w:hint="eastAsia"/>
                <w:color w:val="000000"/>
                <w:kern w:val="0"/>
                <w:sz w:val="17"/>
                <w:szCs w:val="17"/>
                <w:lang w:val="en-GB"/>
              </w:rPr>
              <w:t xml:space="preserve">　</w:t>
            </w:r>
          </w:p>
        </w:tc>
      </w:tr>
      <w:tr w:rsidR="00EB525A" w:rsidRPr="00EB525A" w:rsidTr="00297CA5">
        <w:trPr>
          <w:trHeight w:val="283"/>
        </w:trPr>
        <w:tc>
          <w:tcPr>
            <w:tcW w:w="425" w:type="dxa"/>
            <w:gridSpan w:val="2"/>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auto"/>
            <w:noWrap/>
            <w:vAlign w:val="center"/>
            <w:hideMark/>
          </w:tcPr>
          <w:p w:rsidR="00EB525A" w:rsidRPr="00EB525A" w:rsidRDefault="00EB525A" w:rsidP="00EB525A">
            <w:pPr>
              <w:widowControl/>
              <w:spacing w:line="200" w:lineRule="exact"/>
              <w:rPr>
                <w:rFonts w:ascii="Segoe UI" w:eastAsia="新細明體" w:hAnsi="Segoe UI" w:cs="Segoe UI"/>
                <w:color w:val="000000"/>
                <w:kern w:val="0"/>
                <w:sz w:val="17"/>
                <w:szCs w:val="17"/>
                <w:lang w:val="en-GB"/>
              </w:rPr>
            </w:pPr>
            <w:r w:rsidRPr="00EB525A">
              <w:rPr>
                <w:rFonts w:ascii="Segoe UI" w:eastAsia="新細明體" w:hAnsi="Segoe UI" w:cs="Segoe UI"/>
                <w:color w:val="000000"/>
                <w:kern w:val="0"/>
                <w:sz w:val="17"/>
                <w:szCs w:val="17"/>
                <w:lang w:val="en-GB"/>
              </w:rPr>
              <w:t>3</w:t>
            </w:r>
          </w:p>
        </w:tc>
        <w:tc>
          <w:tcPr>
            <w:tcW w:w="53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auto"/>
            </w:tcBorders>
            <w:shd w:val="clear" w:color="auto" w:fill="auto"/>
            <w:vAlign w:val="center"/>
            <w:hideMark/>
          </w:tcPr>
          <w:p w:rsidR="00EB525A" w:rsidRPr="00EB525A" w:rsidRDefault="00EB525A" w:rsidP="00EB525A">
            <w:pPr>
              <w:widowControl/>
              <w:spacing w:line="200" w:lineRule="exact"/>
              <w:ind w:rightChars="47" w:right="113"/>
              <w:rPr>
                <w:rFonts w:ascii="Segoe UI" w:eastAsia="新細明體" w:hAnsi="Segoe UI" w:cs="Segoe UI"/>
                <w:iCs/>
                <w:color w:val="000000"/>
                <w:kern w:val="0"/>
                <w:sz w:val="17"/>
                <w:szCs w:val="17"/>
                <w:lang w:val="en-GB"/>
              </w:rPr>
            </w:pPr>
            <w:r w:rsidRPr="00EB525A">
              <w:rPr>
                <w:rFonts w:ascii="Segoe UI" w:eastAsia="新細明體" w:hAnsi="Segoe UI" w:cs="Segoe UI"/>
                <w:iCs/>
                <w:color w:val="000000"/>
                <w:kern w:val="0"/>
                <w:sz w:val="17"/>
                <w:szCs w:val="17"/>
                <w:lang w:val="en-GB"/>
              </w:rPr>
              <w:t>Internal LAC risk-weighted ratio</w:t>
            </w:r>
          </w:p>
        </w:tc>
        <w:tc>
          <w:tcPr>
            <w:tcW w:w="851" w:type="dxa"/>
            <w:tcBorders>
              <w:top w:val="nil"/>
              <w:left w:val="nil"/>
              <w:bottom w:val="single" w:sz="4" w:space="0" w:color="BFBFBF"/>
              <w:right w:val="single" w:sz="4" w:space="0" w:color="BFBFBF"/>
            </w:tcBorders>
            <w:shd w:val="clear" w:color="auto" w:fill="auto"/>
            <w:noWrap/>
            <w:vAlign w:val="center"/>
            <w:hideMark/>
          </w:tcPr>
          <w:p w:rsidR="00EB525A" w:rsidRPr="00EB525A" w:rsidRDefault="00EB525A" w:rsidP="00EB525A">
            <w:pPr>
              <w:widowControl/>
              <w:spacing w:line="200" w:lineRule="exact"/>
              <w:rPr>
                <w:rFonts w:ascii="Segoe UI" w:eastAsia="新細明體" w:hAnsi="Segoe UI" w:cs="Segoe UI"/>
                <w:color w:val="000000"/>
                <w:kern w:val="0"/>
                <w:sz w:val="17"/>
                <w:szCs w:val="17"/>
                <w:lang w:val="en-GB"/>
              </w:rPr>
            </w:pPr>
            <w:r w:rsidRPr="00EB525A">
              <w:rPr>
                <w:rFonts w:ascii="Segoe UI" w:eastAsia="新細明體" w:hAnsi="Segoe UI" w:cs="Segoe UI" w:hint="eastAsia"/>
                <w:color w:val="000000"/>
                <w:kern w:val="0"/>
                <w:sz w:val="17"/>
                <w:szCs w:val="17"/>
                <w:lang w:val="en-GB"/>
              </w:rPr>
              <w:t xml:space="preserve">　</w:t>
            </w:r>
          </w:p>
        </w:tc>
        <w:tc>
          <w:tcPr>
            <w:tcW w:w="820" w:type="dxa"/>
            <w:tcBorders>
              <w:top w:val="nil"/>
              <w:left w:val="nil"/>
              <w:bottom w:val="single" w:sz="4" w:space="0" w:color="BFBFBF"/>
              <w:right w:val="single" w:sz="4" w:space="0" w:color="BFBFBF"/>
            </w:tcBorders>
            <w:shd w:val="clear" w:color="auto" w:fill="auto"/>
            <w:noWrap/>
            <w:vAlign w:val="center"/>
            <w:hideMark/>
          </w:tcPr>
          <w:p w:rsidR="00EB525A" w:rsidRPr="00EB525A" w:rsidRDefault="00EB525A" w:rsidP="00EB525A">
            <w:pPr>
              <w:widowControl/>
              <w:spacing w:line="200" w:lineRule="exact"/>
              <w:rPr>
                <w:rFonts w:ascii="Segoe UI" w:eastAsia="新細明體" w:hAnsi="Segoe UI" w:cs="Segoe UI"/>
                <w:color w:val="000000"/>
                <w:kern w:val="0"/>
                <w:sz w:val="17"/>
                <w:szCs w:val="17"/>
                <w:lang w:val="en-GB"/>
              </w:rPr>
            </w:pPr>
            <w:r w:rsidRPr="00EB525A">
              <w:rPr>
                <w:rFonts w:ascii="Segoe UI" w:eastAsia="新細明體" w:hAnsi="Segoe UI" w:cs="Segoe UI" w:hint="eastAsia"/>
                <w:color w:val="000000"/>
                <w:kern w:val="0"/>
                <w:sz w:val="17"/>
                <w:szCs w:val="17"/>
                <w:lang w:val="en-GB"/>
              </w:rPr>
              <w:t xml:space="preserve">　</w:t>
            </w:r>
          </w:p>
        </w:tc>
        <w:tc>
          <w:tcPr>
            <w:tcW w:w="881" w:type="dxa"/>
            <w:tcBorders>
              <w:top w:val="nil"/>
              <w:left w:val="nil"/>
              <w:bottom w:val="single" w:sz="4" w:space="0" w:color="BFBFBF"/>
              <w:right w:val="single" w:sz="4" w:space="0" w:color="BFBFBF"/>
            </w:tcBorders>
            <w:shd w:val="clear" w:color="auto" w:fill="auto"/>
            <w:noWrap/>
            <w:vAlign w:val="center"/>
            <w:hideMark/>
          </w:tcPr>
          <w:p w:rsidR="00EB525A" w:rsidRPr="00EB525A" w:rsidRDefault="00EB525A" w:rsidP="00EB525A">
            <w:pPr>
              <w:widowControl/>
              <w:spacing w:line="200" w:lineRule="exact"/>
              <w:rPr>
                <w:rFonts w:ascii="Segoe UI" w:eastAsia="新細明體" w:hAnsi="Segoe UI" w:cs="Segoe UI"/>
                <w:color w:val="000000"/>
                <w:kern w:val="0"/>
                <w:sz w:val="17"/>
                <w:szCs w:val="17"/>
                <w:lang w:val="en-GB"/>
              </w:rPr>
            </w:pPr>
            <w:r w:rsidRPr="00EB525A">
              <w:rPr>
                <w:rFonts w:ascii="Segoe UI" w:eastAsia="新細明體" w:hAnsi="Segoe UI" w:cs="Segoe UI" w:hint="eastAsia"/>
                <w:color w:val="000000"/>
                <w:kern w:val="0"/>
                <w:sz w:val="17"/>
                <w:szCs w:val="17"/>
                <w:lang w:val="en-GB"/>
              </w:rPr>
              <w:t xml:space="preserve">　</w:t>
            </w:r>
          </w:p>
        </w:tc>
        <w:tc>
          <w:tcPr>
            <w:tcW w:w="850" w:type="dxa"/>
            <w:tcBorders>
              <w:top w:val="nil"/>
              <w:left w:val="nil"/>
              <w:bottom w:val="single" w:sz="4" w:space="0" w:color="BFBFBF"/>
              <w:right w:val="single" w:sz="4" w:space="0" w:color="BFBFBF"/>
            </w:tcBorders>
            <w:shd w:val="clear" w:color="auto" w:fill="auto"/>
            <w:noWrap/>
            <w:vAlign w:val="center"/>
            <w:hideMark/>
          </w:tcPr>
          <w:p w:rsidR="00EB525A" w:rsidRPr="00EB525A" w:rsidRDefault="00EB525A" w:rsidP="00EB525A">
            <w:pPr>
              <w:widowControl/>
              <w:spacing w:line="200" w:lineRule="exact"/>
              <w:rPr>
                <w:rFonts w:ascii="Segoe UI" w:eastAsia="新細明體" w:hAnsi="Segoe UI" w:cs="Segoe UI"/>
                <w:color w:val="000000"/>
                <w:kern w:val="0"/>
                <w:sz w:val="17"/>
                <w:szCs w:val="17"/>
                <w:lang w:val="en-GB"/>
              </w:rPr>
            </w:pPr>
            <w:r w:rsidRPr="00EB525A">
              <w:rPr>
                <w:rFonts w:ascii="Segoe UI" w:eastAsia="新細明體" w:hAnsi="Segoe UI" w:cs="Segoe UI" w:hint="eastAsia"/>
                <w:color w:val="000000"/>
                <w:kern w:val="0"/>
                <w:sz w:val="17"/>
                <w:szCs w:val="17"/>
                <w:lang w:val="en-GB"/>
              </w:rPr>
              <w:t xml:space="preserve">　</w:t>
            </w:r>
          </w:p>
        </w:tc>
        <w:tc>
          <w:tcPr>
            <w:tcW w:w="851" w:type="dxa"/>
            <w:gridSpan w:val="2"/>
            <w:tcBorders>
              <w:top w:val="nil"/>
              <w:left w:val="nil"/>
              <w:bottom w:val="single" w:sz="4" w:space="0" w:color="BFBFBF"/>
            </w:tcBorders>
            <w:shd w:val="clear" w:color="auto" w:fill="auto"/>
            <w:noWrap/>
            <w:vAlign w:val="center"/>
            <w:hideMark/>
          </w:tcPr>
          <w:p w:rsidR="00EB525A" w:rsidRPr="00EB525A" w:rsidRDefault="00EB525A" w:rsidP="00EB525A">
            <w:pPr>
              <w:widowControl/>
              <w:spacing w:line="200" w:lineRule="exact"/>
              <w:rPr>
                <w:rFonts w:ascii="Segoe UI" w:eastAsia="新細明體" w:hAnsi="Segoe UI" w:cs="Segoe UI"/>
                <w:color w:val="000000"/>
                <w:kern w:val="0"/>
                <w:sz w:val="17"/>
                <w:szCs w:val="17"/>
                <w:lang w:val="en-GB"/>
              </w:rPr>
            </w:pPr>
            <w:r w:rsidRPr="00EB525A">
              <w:rPr>
                <w:rFonts w:ascii="Segoe UI" w:eastAsia="新細明體" w:hAnsi="Segoe UI" w:cs="Segoe UI" w:hint="eastAsia"/>
                <w:color w:val="000000"/>
                <w:kern w:val="0"/>
                <w:sz w:val="17"/>
                <w:szCs w:val="17"/>
                <w:lang w:val="en-GB"/>
              </w:rPr>
              <w:t xml:space="preserve">　</w:t>
            </w:r>
          </w:p>
        </w:tc>
      </w:tr>
      <w:tr w:rsidR="00EB525A" w:rsidRPr="00EB525A" w:rsidTr="00297CA5">
        <w:trPr>
          <w:trHeight w:val="283"/>
        </w:trPr>
        <w:tc>
          <w:tcPr>
            <w:tcW w:w="425" w:type="dxa"/>
            <w:gridSpan w:val="2"/>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auto"/>
            <w:noWrap/>
            <w:vAlign w:val="center"/>
            <w:hideMark/>
          </w:tcPr>
          <w:p w:rsidR="00EB525A" w:rsidRPr="00EB525A" w:rsidRDefault="00EB525A" w:rsidP="00EB525A">
            <w:pPr>
              <w:widowControl/>
              <w:spacing w:line="200" w:lineRule="exact"/>
              <w:rPr>
                <w:rFonts w:ascii="Segoe UI" w:eastAsia="新細明體" w:hAnsi="Segoe UI" w:cs="Segoe UI"/>
                <w:color w:val="000000"/>
                <w:kern w:val="0"/>
                <w:sz w:val="17"/>
                <w:szCs w:val="17"/>
                <w:lang w:val="en-GB"/>
              </w:rPr>
            </w:pPr>
            <w:r w:rsidRPr="00EB525A">
              <w:rPr>
                <w:rFonts w:ascii="Segoe UI" w:eastAsia="新細明體" w:hAnsi="Segoe UI" w:cs="Segoe UI"/>
                <w:color w:val="000000"/>
                <w:kern w:val="0"/>
                <w:sz w:val="17"/>
                <w:szCs w:val="17"/>
                <w:lang w:val="en-GB"/>
              </w:rPr>
              <w:t>4</w:t>
            </w:r>
          </w:p>
        </w:tc>
        <w:tc>
          <w:tcPr>
            <w:tcW w:w="53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auto"/>
            </w:tcBorders>
            <w:shd w:val="clear" w:color="auto" w:fill="auto"/>
            <w:vAlign w:val="center"/>
            <w:hideMark/>
          </w:tcPr>
          <w:p w:rsidR="00EB525A" w:rsidRPr="00EB525A" w:rsidRDefault="00EB525A" w:rsidP="00EB525A">
            <w:pPr>
              <w:widowControl/>
              <w:spacing w:line="200" w:lineRule="exact"/>
              <w:ind w:rightChars="47" w:right="113"/>
              <w:rPr>
                <w:rFonts w:ascii="Segoe UI" w:eastAsia="新細明體" w:hAnsi="Segoe UI" w:cs="Segoe UI"/>
                <w:iCs/>
                <w:color w:val="000000"/>
                <w:kern w:val="0"/>
                <w:sz w:val="17"/>
                <w:szCs w:val="17"/>
                <w:lang w:val="en-GB"/>
              </w:rPr>
            </w:pPr>
            <w:r w:rsidRPr="00EB525A">
              <w:rPr>
                <w:rFonts w:ascii="Segoe UI" w:eastAsia="新細明體" w:hAnsi="Segoe UI" w:cs="Segoe UI"/>
                <w:iCs/>
                <w:color w:val="000000"/>
                <w:kern w:val="0"/>
                <w:sz w:val="17"/>
                <w:szCs w:val="17"/>
                <w:lang w:val="en-GB"/>
              </w:rPr>
              <w:t xml:space="preserve">Exposure measure under the LAC Rules </w:t>
            </w:r>
          </w:p>
        </w:tc>
        <w:tc>
          <w:tcPr>
            <w:tcW w:w="851" w:type="dxa"/>
            <w:tcBorders>
              <w:top w:val="nil"/>
              <w:left w:val="nil"/>
              <w:bottom w:val="single" w:sz="4" w:space="0" w:color="BFBFBF"/>
              <w:right w:val="single" w:sz="4" w:space="0" w:color="BFBFBF"/>
            </w:tcBorders>
            <w:shd w:val="clear" w:color="auto" w:fill="auto"/>
            <w:noWrap/>
            <w:vAlign w:val="center"/>
            <w:hideMark/>
          </w:tcPr>
          <w:p w:rsidR="00EB525A" w:rsidRPr="00EB525A" w:rsidRDefault="00EB525A" w:rsidP="00EB525A">
            <w:pPr>
              <w:widowControl/>
              <w:spacing w:line="200" w:lineRule="exact"/>
              <w:rPr>
                <w:rFonts w:ascii="Segoe UI" w:eastAsia="新細明體" w:hAnsi="Segoe UI" w:cs="Segoe UI"/>
                <w:color w:val="000000"/>
                <w:kern w:val="0"/>
                <w:sz w:val="17"/>
                <w:szCs w:val="17"/>
                <w:lang w:val="en-GB"/>
              </w:rPr>
            </w:pPr>
            <w:r w:rsidRPr="00EB525A">
              <w:rPr>
                <w:rFonts w:ascii="Segoe UI" w:eastAsia="新細明體" w:hAnsi="Segoe UI" w:cs="Segoe UI" w:hint="eastAsia"/>
                <w:color w:val="000000"/>
                <w:kern w:val="0"/>
                <w:sz w:val="17"/>
                <w:szCs w:val="17"/>
                <w:lang w:val="en-GB"/>
              </w:rPr>
              <w:t xml:space="preserve">　</w:t>
            </w:r>
          </w:p>
        </w:tc>
        <w:tc>
          <w:tcPr>
            <w:tcW w:w="820" w:type="dxa"/>
            <w:tcBorders>
              <w:top w:val="nil"/>
              <w:left w:val="nil"/>
              <w:bottom w:val="single" w:sz="4" w:space="0" w:color="BFBFBF"/>
              <w:right w:val="single" w:sz="4" w:space="0" w:color="BFBFBF"/>
            </w:tcBorders>
            <w:shd w:val="clear" w:color="auto" w:fill="auto"/>
            <w:noWrap/>
            <w:vAlign w:val="center"/>
            <w:hideMark/>
          </w:tcPr>
          <w:p w:rsidR="00EB525A" w:rsidRPr="00EB525A" w:rsidRDefault="00EB525A" w:rsidP="00EB525A">
            <w:pPr>
              <w:widowControl/>
              <w:spacing w:line="200" w:lineRule="exact"/>
              <w:rPr>
                <w:rFonts w:ascii="Segoe UI" w:eastAsia="新細明體" w:hAnsi="Segoe UI" w:cs="Segoe UI"/>
                <w:color w:val="000000"/>
                <w:kern w:val="0"/>
                <w:sz w:val="17"/>
                <w:szCs w:val="17"/>
                <w:lang w:val="en-GB"/>
              </w:rPr>
            </w:pPr>
            <w:r w:rsidRPr="00EB525A">
              <w:rPr>
                <w:rFonts w:ascii="Segoe UI" w:eastAsia="新細明體" w:hAnsi="Segoe UI" w:cs="Segoe UI" w:hint="eastAsia"/>
                <w:color w:val="000000"/>
                <w:kern w:val="0"/>
                <w:sz w:val="17"/>
                <w:szCs w:val="17"/>
                <w:lang w:val="en-GB"/>
              </w:rPr>
              <w:t xml:space="preserve">　</w:t>
            </w:r>
          </w:p>
        </w:tc>
        <w:tc>
          <w:tcPr>
            <w:tcW w:w="881" w:type="dxa"/>
            <w:tcBorders>
              <w:top w:val="nil"/>
              <w:left w:val="nil"/>
              <w:bottom w:val="single" w:sz="4" w:space="0" w:color="BFBFBF"/>
              <w:right w:val="single" w:sz="4" w:space="0" w:color="BFBFBF"/>
            </w:tcBorders>
            <w:shd w:val="clear" w:color="auto" w:fill="auto"/>
            <w:noWrap/>
            <w:vAlign w:val="center"/>
            <w:hideMark/>
          </w:tcPr>
          <w:p w:rsidR="00EB525A" w:rsidRPr="00EB525A" w:rsidRDefault="00EB525A" w:rsidP="00EB525A">
            <w:pPr>
              <w:widowControl/>
              <w:spacing w:line="200" w:lineRule="exact"/>
              <w:rPr>
                <w:rFonts w:ascii="Segoe UI" w:eastAsia="新細明體" w:hAnsi="Segoe UI" w:cs="Segoe UI"/>
                <w:color w:val="000000"/>
                <w:kern w:val="0"/>
                <w:sz w:val="17"/>
                <w:szCs w:val="17"/>
                <w:lang w:val="en-GB"/>
              </w:rPr>
            </w:pPr>
            <w:r w:rsidRPr="00EB525A">
              <w:rPr>
                <w:rFonts w:ascii="Segoe UI" w:eastAsia="新細明體" w:hAnsi="Segoe UI" w:cs="Segoe UI" w:hint="eastAsia"/>
                <w:color w:val="000000"/>
                <w:kern w:val="0"/>
                <w:sz w:val="17"/>
                <w:szCs w:val="17"/>
                <w:lang w:val="en-GB"/>
              </w:rPr>
              <w:t xml:space="preserve">　</w:t>
            </w:r>
          </w:p>
        </w:tc>
        <w:tc>
          <w:tcPr>
            <w:tcW w:w="850" w:type="dxa"/>
            <w:tcBorders>
              <w:top w:val="nil"/>
              <w:left w:val="nil"/>
              <w:bottom w:val="single" w:sz="4" w:space="0" w:color="BFBFBF"/>
              <w:right w:val="single" w:sz="4" w:space="0" w:color="BFBFBF"/>
            </w:tcBorders>
            <w:shd w:val="clear" w:color="auto" w:fill="auto"/>
            <w:noWrap/>
            <w:vAlign w:val="center"/>
            <w:hideMark/>
          </w:tcPr>
          <w:p w:rsidR="00EB525A" w:rsidRPr="00EB525A" w:rsidRDefault="00EB525A" w:rsidP="00EB525A">
            <w:pPr>
              <w:widowControl/>
              <w:spacing w:line="200" w:lineRule="exact"/>
              <w:rPr>
                <w:rFonts w:ascii="Segoe UI" w:eastAsia="新細明體" w:hAnsi="Segoe UI" w:cs="Segoe UI"/>
                <w:color w:val="000000"/>
                <w:kern w:val="0"/>
                <w:sz w:val="17"/>
                <w:szCs w:val="17"/>
                <w:lang w:val="en-GB"/>
              </w:rPr>
            </w:pPr>
            <w:r w:rsidRPr="00EB525A">
              <w:rPr>
                <w:rFonts w:ascii="Segoe UI" w:eastAsia="新細明體" w:hAnsi="Segoe UI" w:cs="Segoe UI" w:hint="eastAsia"/>
                <w:color w:val="000000"/>
                <w:kern w:val="0"/>
                <w:sz w:val="17"/>
                <w:szCs w:val="17"/>
                <w:lang w:val="en-GB"/>
              </w:rPr>
              <w:t xml:space="preserve">　</w:t>
            </w:r>
          </w:p>
        </w:tc>
        <w:tc>
          <w:tcPr>
            <w:tcW w:w="851" w:type="dxa"/>
            <w:gridSpan w:val="2"/>
            <w:tcBorders>
              <w:top w:val="nil"/>
              <w:left w:val="nil"/>
              <w:bottom w:val="single" w:sz="4" w:space="0" w:color="BFBFBF"/>
            </w:tcBorders>
            <w:shd w:val="clear" w:color="auto" w:fill="auto"/>
            <w:noWrap/>
            <w:vAlign w:val="center"/>
            <w:hideMark/>
          </w:tcPr>
          <w:p w:rsidR="00EB525A" w:rsidRPr="00EB525A" w:rsidRDefault="00EB525A" w:rsidP="00EB525A">
            <w:pPr>
              <w:widowControl/>
              <w:spacing w:line="200" w:lineRule="exact"/>
              <w:rPr>
                <w:rFonts w:ascii="Segoe UI" w:eastAsia="新細明體" w:hAnsi="Segoe UI" w:cs="Segoe UI"/>
                <w:color w:val="000000"/>
                <w:kern w:val="0"/>
                <w:sz w:val="17"/>
                <w:szCs w:val="17"/>
                <w:lang w:val="en-GB"/>
              </w:rPr>
            </w:pPr>
            <w:r w:rsidRPr="00EB525A">
              <w:rPr>
                <w:rFonts w:ascii="Segoe UI" w:eastAsia="新細明體" w:hAnsi="Segoe UI" w:cs="Segoe UI" w:hint="eastAsia"/>
                <w:color w:val="000000"/>
                <w:kern w:val="0"/>
                <w:sz w:val="17"/>
                <w:szCs w:val="17"/>
                <w:lang w:val="en-GB"/>
              </w:rPr>
              <w:t xml:space="preserve">　</w:t>
            </w:r>
          </w:p>
        </w:tc>
      </w:tr>
      <w:tr w:rsidR="00EB525A" w:rsidRPr="00EB525A" w:rsidTr="00297CA5">
        <w:trPr>
          <w:trHeight w:val="283"/>
        </w:trPr>
        <w:tc>
          <w:tcPr>
            <w:tcW w:w="425" w:type="dxa"/>
            <w:gridSpan w:val="2"/>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auto"/>
            <w:noWrap/>
            <w:vAlign w:val="center"/>
            <w:hideMark/>
          </w:tcPr>
          <w:p w:rsidR="00EB525A" w:rsidRPr="00EB525A" w:rsidRDefault="00EB525A" w:rsidP="00EB525A">
            <w:pPr>
              <w:widowControl/>
              <w:spacing w:line="200" w:lineRule="exact"/>
              <w:rPr>
                <w:rFonts w:ascii="Segoe UI" w:eastAsia="新細明體" w:hAnsi="Segoe UI" w:cs="Segoe UI"/>
                <w:color w:val="000000"/>
                <w:kern w:val="0"/>
                <w:sz w:val="17"/>
                <w:szCs w:val="17"/>
                <w:lang w:val="en-GB"/>
              </w:rPr>
            </w:pPr>
            <w:r w:rsidRPr="00EB525A">
              <w:rPr>
                <w:rFonts w:ascii="Segoe UI" w:eastAsia="新細明體" w:hAnsi="Segoe UI" w:cs="Segoe UI"/>
                <w:color w:val="000000"/>
                <w:kern w:val="0"/>
                <w:sz w:val="17"/>
                <w:szCs w:val="17"/>
                <w:lang w:val="en-GB"/>
              </w:rPr>
              <w:t>5</w:t>
            </w:r>
          </w:p>
        </w:tc>
        <w:tc>
          <w:tcPr>
            <w:tcW w:w="53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auto"/>
            </w:tcBorders>
            <w:shd w:val="clear" w:color="auto" w:fill="auto"/>
            <w:vAlign w:val="center"/>
            <w:hideMark/>
          </w:tcPr>
          <w:p w:rsidR="00EB525A" w:rsidRPr="00EB525A" w:rsidRDefault="00EB525A" w:rsidP="00EB525A">
            <w:pPr>
              <w:widowControl/>
              <w:spacing w:line="200" w:lineRule="exact"/>
              <w:ind w:rightChars="47" w:right="113"/>
              <w:rPr>
                <w:rFonts w:ascii="Segoe UI" w:eastAsia="新細明體" w:hAnsi="Segoe UI" w:cs="Segoe UI"/>
                <w:color w:val="000000"/>
                <w:kern w:val="0"/>
                <w:sz w:val="17"/>
                <w:szCs w:val="17"/>
                <w:lang w:val="en-GB"/>
              </w:rPr>
            </w:pPr>
            <w:r w:rsidRPr="00EB525A">
              <w:rPr>
                <w:rFonts w:ascii="Segoe UI" w:eastAsia="新細明體" w:hAnsi="Segoe UI" w:cs="Segoe UI"/>
                <w:color w:val="000000"/>
                <w:kern w:val="0"/>
                <w:sz w:val="17"/>
                <w:szCs w:val="17"/>
                <w:lang w:val="en-GB"/>
              </w:rPr>
              <w:t>Internal LAC leverage ratio</w:t>
            </w:r>
          </w:p>
        </w:tc>
        <w:tc>
          <w:tcPr>
            <w:tcW w:w="851" w:type="dxa"/>
            <w:tcBorders>
              <w:top w:val="nil"/>
              <w:left w:val="nil"/>
              <w:bottom w:val="single" w:sz="4" w:space="0" w:color="BFBFBF"/>
              <w:right w:val="single" w:sz="4" w:space="0" w:color="BFBFBF"/>
            </w:tcBorders>
            <w:shd w:val="clear" w:color="auto" w:fill="auto"/>
            <w:noWrap/>
            <w:vAlign w:val="center"/>
            <w:hideMark/>
          </w:tcPr>
          <w:p w:rsidR="00EB525A" w:rsidRPr="00EB525A" w:rsidRDefault="00EB525A" w:rsidP="00EB525A">
            <w:pPr>
              <w:widowControl/>
              <w:spacing w:line="200" w:lineRule="exact"/>
              <w:rPr>
                <w:rFonts w:ascii="Segoe UI" w:eastAsia="新細明體" w:hAnsi="Segoe UI" w:cs="Segoe UI"/>
                <w:color w:val="000000"/>
                <w:kern w:val="0"/>
                <w:sz w:val="17"/>
                <w:szCs w:val="17"/>
                <w:lang w:val="en-GB"/>
              </w:rPr>
            </w:pPr>
            <w:r w:rsidRPr="00EB525A">
              <w:rPr>
                <w:rFonts w:ascii="Segoe UI" w:eastAsia="新細明體" w:hAnsi="Segoe UI" w:cs="Segoe UI" w:hint="eastAsia"/>
                <w:color w:val="000000"/>
                <w:kern w:val="0"/>
                <w:sz w:val="17"/>
                <w:szCs w:val="17"/>
                <w:lang w:val="en-GB"/>
              </w:rPr>
              <w:t xml:space="preserve">　</w:t>
            </w:r>
          </w:p>
        </w:tc>
        <w:tc>
          <w:tcPr>
            <w:tcW w:w="820" w:type="dxa"/>
            <w:tcBorders>
              <w:top w:val="nil"/>
              <w:left w:val="nil"/>
              <w:bottom w:val="single" w:sz="4" w:space="0" w:color="BFBFBF"/>
              <w:right w:val="single" w:sz="4" w:space="0" w:color="BFBFBF"/>
            </w:tcBorders>
            <w:shd w:val="clear" w:color="auto" w:fill="auto"/>
            <w:noWrap/>
            <w:vAlign w:val="center"/>
            <w:hideMark/>
          </w:tcPr>
          <w:p w:rsidR="00EB525A" w:rsidRPr="00EB525A" w:rsidRDefault="00EB525A" w:rsidP="00EB525A">
            <w:pPr>
              <w:widowControl/>
              <w:spacing w:line="200" w:lineRule="exact"/>
              <w:rPr>
                <w:rFonts w:ascii="Segoe UI" w:eastAsia="新細明體" w:hAnsi="Segoe UI" w:cs="Segoe UI"/>
                <w:color w:val="000000"/>
                <w:kern w:val="0"/>
                <w:sz w:val="17"/>
                <w:szCs w:val="17"/>
                <w:lang w:val="en-GB"/>
              </w:rPr>
            </w:pPr>
            <w:r w:rsidRPr="00EB525A">
              <w:rPr>
                <w:rFonts w:ascii="Segoe UI" w:eastAsia="新細明體" w:hAnsi="Segoe UI" w:cs="Segoe UI" w:hint="eastAsia"/>
                <w:color w:val="000000"/>
                <w:kern w:val="0"/>
                <w:sz w:val="17"/>
                <w:szCs w:val="17"/>
                <w:lang w:val="en-GB"/>
              </w:rPr>
              <w:t xml:space="preserve">　</w:t>
            </w:r>
          </w:p>
        </w:tc>
        <w:tc>
          <w:tcPr>
            <w:tcW w:w="881" w:type="dxa"/>
            <w:tcBorders>
              <w:top w:val="nil"/>
              <w:left w:val="nil"/>
              <w:bottom w:val="single" w:sz="4" w:space="0" w:color="BFBFBF"/>
              <w:right w:val="single" w:sz="4" w:space="0" w:color="BFBFBF"/>
            </w:tcBorders>
            <w:shd w:val="clear" w:color="auto" w:fill="auto"/>
            <w:noWrap/>
            <w:vAlign w:val="center"/>
            <w:hideMark/>
          </w:tcPr>
          <w:p w:rsidR="00EB525A" w:rsidRPr="00EB525A" w:rsidRDefault="00EB525A" w:rsidP="00EB525A">
            <w:pPr>
              <w:widowControl/>
              <w:spacing w:line="200" w:lineRule="exact"/>
              <w:rPr>
                <w:rFonts w:ascii="Segoe UI" w:eastAsia="新細明體" w:hAnsi="Segoe UI" w:cs="Segoe UI"/>
                <w:color w:val="000000"/>
                <w:kern w:val="0"/>
                <w:sz w:val="17"/>
                <w:szCs w:val="17"/>
                <w:lang w:val="en-GB"/>
              </w:rPr>
            </w:pPr>
            <w:r w:rsidRPr="00EB525A">
              <w:rPr>
                <w:rFonts w:ascii="Segoe UI" w:eastAsia="新細明體" w:hAnsi="Segoe UI" w:cs="Segoe UI" w:hint="eastAsia"/>
                <w:color w:val="000000"/>
                <w:kern w:val="0"/>
                <w:sz w:val="17"/>
                <w:szCs w:val="17"/>
                <w:lang w:val="en-GB"/>
              </w:rPr>
              <w:t xml:space="preserve">　</w:t>
            </w:r>
          </w:p>
        </w:tc>
        <w:tc>
          <w:tcPr>
            <w:tcW w:w="850" w:type="dxa"/>
            <w:tcBorders>
              <w:top w:val="nil"/>
              <w:left w:val="nil"/>
              <w:bottom w:val="single" w:sz="4" w:space="0" w:color="BFBFBF"/>
              <w:right w:val="single" w:sz="4" w:space="0" w:color="BFBFBF"/>
            </w:tcBorders>
            <w:shd w:val="clear" w:color="auto" w:fill="auto"/>
            <w:noWrap/>
            <w:vAlign w:val="center"/>
            <w:hideMark/>
          </w:tcPr>
          <w:p w:rsidR="00EB525A" w:rsidRPr="00EB525A" w:rsidRDefault="00EB525A" w:rsidP="00EB525A">
            <w:pPr>
              <w:widowControl/>
              <w:spacing w:line="200" w:lineRule="exact"/>
              <w:rPr>
                <w:rFonts w:ascii="Segoe UI" w:eastAsia="新細明體" w:hAnsi="Segoe UI" w:cs="Segoe UI"/>
                <w:color w:val="000000"/>
                <w:kern w:val="0"/>
                <w:sz w:val="17"/>
                <w:szCs w:val="17"/>
                <w:lang w:val="en-GB"/>
              </w:rPr>
            </w:pPr>
            <w:r w:rsidRPr="00EB525A">
              <w:rPr>
                <w:rFonts w:ascii="Segoe UI" w:eastAsia="新細明體" w:hAnsi="Segoe UI" w:cs="Segoe UI" w:hint="eastAsia"/>
                <w:color w:val="000000"/>
                <w:kern w:val="0"/>
                <w:sz w:val="17"/>
                <w:szCs w:val="17"/>
                <w:lang w:val="en-GB"/>
              </w:rPr>
              <w:t xml:space="preserve">　</w:t>
            </w:r>
          </w:p>
        </w:tc>
        <w:tc>
          <w:tcPr>
            <w:tcW w:w="851" w:type="dxa"/>
            <w:gridSpan w:val="2"/>
            <w:tcBorders>
              <w:top w:val="nil"/>
              <w:left w:val="nil"/>
              <w:bottom w:val="single" w:sz="4" w:space="0" w:color="BFBFBF"/>
            </w:tcBorders>
            <w:shd w:val="clear" w:color="auto" w:fill="auto"/>
            <w:noWrap/>
            <w:vAlign w:val="center"/>
            <w:hideMark/>
          </w:tcPr>
          <w:p w:rsidR="00EB525A" w:rsidRPr="00EB525A" w:rsidRDefault="00EB525A" w:rsidP="00EB525A">
            <w:pPr>
              <w:widowControl/>
              <w:spacing w:line="200" w:lineRule="exact"/>
              <w:rPr>
                <w:rFonts w:ascii="Segoe UI" w:eastAsia="新細明體" w:hAnsi="Segoe UI" w:cs="Segoe UI"/>
                <w:color w:val="000000"/>
                <w:kern w:val="0"/>
                <w:sz w:val="17"/>
                <w:szCs w:val="17"/>
                <w:lang w:val="en-GB"/>
              </w:rPr>
            </w:pPr>
            <w:r w:rsidRPr="00EB525A">
              <w:rPr>
                <w:rFonts w:ascii="Segoe UI" w:eastAsia="新細明體" w:hAnsi="Segoe UI" w:cs="Segoe UI" w:hint="eastAsia"/>
                <w:color w:val="000000"/>
                <w:kern w:val="0"/>
                <w:sz w:val="17"/>
                <w:szCs w:val="17"/>
                <w:lang w:val="en-GB"/>
              </w:rPr>
              <w:t xml:space="preserve">　</w:t>
            </w:r>
          </w:p>
        </w:tc>
      </w:tr>
      <w:tr w:rsidR="00EB525A" w:rsidRPr="00EB525A" w:rsidTr="00297CA5">
        <w:trPr>
          <w:trHeight w:val="567"/>
        </w:trPr>
        <w:tc>
          <w:tcPr>
            <w:tcW w:w="425" w:type="dxa"/>
            <w:gridSpan w:val="2"/>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auto"/>
            <w:noWrap/>
            <w:vAlign w:val="center"/>
            <w:hideMark/>
          </w:tcPr>
          <w:p w:rsidR="00EB525A" w:rsidRPr="00EB525A" w:rsidRDefault="00EB525A" w:rsidP="00EB525A">
            <w:pPr>
              <w:widowControl/>
              <w:spacing w:line="200" w:lineRule="exact"/>
              <w:rPr>
                <w:rFonts w:ascii="Segoe UI" w:eastAsia="新細明體" w:hAnsi="Segoe UI" w:cs="Segoe UI"/>
                <w:color w:val="000000"/>
                <w:kern w:val="0"/>
                <w:sz w:val="17"/>
                <w:szCs w:val="17"/>
                <w:lang w:val="en-GB"/>
              </w:rPr>
            </w:pPr>
            <w:r w:rsidRPr="00EB525A">
              <w:rPr>
                <w:rFonts w:ascii="Segoe UI" w:eastAsia="新細明體" w:hAnsi="Segoe UI" w:cs="Segoe UI"/>
                <w:color w:val="000000"/>
                <w:kern w:val="0"/>
                <w:sz w:val="17"/>
                <w:szCs w:val="17"/>
                <w:lang w:val="en-GB"/>
              </w:rPr>
              <w:t>6a</w:t>
            </w:r>
          </w:p>
        </w:tc>
        <w:tc>
          <w:tcPr>
            <w:tcW w:w="53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auto"/>
            </w:tcBorders>
            <w:shd w:val="clear" w:color="auto" w:fill="FFFF00"/>
            <w:vAlign w:val="center"/>
            <w:hideMark/>
          </w:tcPr>
          <w:p w:rsidR="00EB525A" w:rsidRPr="00EB525A" w:rsidRDefault="00EB525A" w:rsidP="00EB525A">
            <w:pPr>
              <w:widowControl/>
              <w:spacing w:line="200" w:lineRule="exact"/>
              <w:ind w:rightChars="47" w:right="113"/>
              <w:rPr>
                <w:rFonts w:ascii="Segoe UI" w:eastAsia="新細明體" w:hAnsi="Segoe UI" w:cs="Segoe UI"/>
                <w:color w:val="000000"/>
                <w:kern w:val="0"/>
                <w:sz w:val="17"/>
                <w:szCs w:val="17"/>
                <w:lang w:val="en-GB"/>
              </w:rPr>
            </w:pPr>
            <w:r w:rsidRPr="00EB525A">
              <w:rPr>
                <w:rFonts w:ascii="Segoe UI" w:eastAsia="新細明體" w:hAnsi="Segoe UI" w:cs="Segoe UI"/>
                <w:color w:val="000000"/>
                <w:kern w:val="0"/>
                <w:sz w:val="17"/>
                <w:szCs w:val="17"/>
                <w:lang w:val="en-GB"/>
              </w:rPr>
              <w:t>Does the subordination exemption in the antepenultimate paragraph of Section 11 of the FSB TLAC Term Sheet apply?</w:t>
            </w:r>
          </w:p>
        </w:tc>
        <w:tc>
          <w:tcPr>
            <w:tcW w:w="851" w:type="dxa"/>
            <w:tcBorders>
              <w:top w:val="nil"/>
              <w:left w:val="nil"/>
              <w:bottom w:val="single" w:sz="4" w:space="0" w:color="BFBFBF"/>
              <w:right w:val="single" w:sz="4" w:space="0" w:color="BFBFBF"/>
            </w:tcBorders>
            <w:shd w:val="clear" w:color="auto" w:fill="FFFF00"/>
            <w:noWrap/>
            <w:vAlign w:val="center"/>
            <w:hideMark/>
          </w:tcPr>
          <w:p w:rsidR="00EB525A" w:rsidRPr="00EB525A" w:rsidRDefault="00EB525A" w:rsidP="00EB525A">
            <w:pPr>
              <w:widowControl/>
              <w:spacing w:line="200" w:lineRule="exact"/>
              <w:jc w:val="center"/>
              <w:rPr>
                <w:rFonts w:ascii="Segoe UI" w:eastAsia="新細明體" w:hAnsi="Segoe UI" w:cs="Segoe UI"/>
                <w:color w:val="000000"/>
                <w:kern w:val="0"/>
                <w:sz w:val="17"/>
                <w:szCs w:val="17"/>
                <w:lang w:val="en-GB"/>
              </w:rPr>
            </w:pPr>
            <w:r w:rsidRPr="00EB525A">
              <w:rPr>
                <w:rFonts w:ascii="Segoe UI" w:eastAsia="新細明體" w:hAnsi="Segoe UI" w:cs="Segoe UI"/>
                <w:color w:val="000000"/>
                <w:kern w:val="0"/>
                <w:sz w:val="17"/>
                <w:szCs w:val="17"/>
                <w:lang w:val="en-GB"/>
              </w:rPr>
              <w:t>Not applicable</w:t>
            </w:r>
          </w:p>
        </w:tc>
        <w:tc>
          <w:tcPr>
            <w:tcW w:w="820" w:type="dxa"/>
            <w:tcBorders>
              <w:top w:val="nil"/>
              <w:left w:val="nil"/>
              <w:bottom w:val="single" w:sz="4" w:space="0" w:color="BFBFBF"/>
              <w:right w:val="single" w:sz="4" w:space="0" w:color="BFBFBF"/>
            </w:tcBorders>
            <w:shd w:val="clear" w:color="auto" w:fill="FFFF00"/>
            <w:noWrap/>
            <w:vAlign w:val="center"/>
            <w:hideMark/>
          </w:tcPr>
          <w:p w:rsidR="00EB525A" w:rsidRPr="00EB525A" w:rsidRDefault="00EB525A" w:rsidP="00EB525A">
            <w:pPr>
              <w:widowControl/>
              <w:spacing w:line="200" w:lineRule="exact"/>
              <w:jc w:val="center"/>
              <w:rPr>
                <w:rFonts w:ascii="Segoe UI" w:eastAsia="新細明體" w:hAnsi="Segoe UI" w:cs="Segoe UI"/>
                <w:color w:val="000000"/>
                <w:kern w:val="0"/>
                <w:sz w:val="17"/>
                <w:szCs w:val="17"/>
                <w:lang w:val="en-GB"/>
              </w:rPr>
            </w:pPr>
            <w:r w:rsidRPr="00EB525A">
              <w:rPr>
                <w:rFonts w:ascii="Segoe UI" w:eastAsia="新細明體" w:hAnsi="Segoe UI" w:cs="Segoe UI"/>
                <w:color w:val="000000"/>
                <w:kern w:val="0"/>
                <w:sz w:val="17"/>
                <w:szCs w:val="17"/>
                <w:lang w:val="en-GB"/>
              </w:rPr>
              <w:t>Not applicable</w:t>
            </w:r>
          </w:p>
        </w:tc>
        <w:tc>
          <w:tcPr>
            <w:tcW w:w="881" w:type="dxa"/>
            <w:tcBorders>
              <w:top w:val="nil"/>
              <w:left w:val="nil"/>
              <w:bottom w:val="single" w:sz="4" w:space="0" w:color="BFBFBF"/>
              <w:right w:val="single" w:sz="4" w:space="0" w:color="BFBFBF"/>
            </w:tcBorders>
            <w:shd w:val="clear" w:color="auto" w:fill="FFFF00"/>
            <w:noWrap/>
            <w:vAlign w:val="center"/>
            <w:hideMark/>
          </w:tcPr>
          <w:p w:rsidR="00EB525A" w:rsidRPr="00EB525A" w:rsidRDefault="00EB525A" w:rsidP="00EB525A">
            <w:pPr>
              <w:widowControl/>
              <w:spacing w:line="200" w:lineRule="exact"/>
              <w:jc w:val="center"/>
              <w:rPr>
                <w:rFonts w:ascii="Segoe UI" w:eastAsia="新細明體" w:hAnsi="Segoe UI" w:cs="Segoe UI"/>
                <w:color w:val="000000"/>
                <w:kern w:val="0"/>
                <w:sz w:val="17"/>
                <w:szCs w:val="17"/>
                <w:lang w:val="en-GB"/>
              </w:rPr>
            </w:pPr>
            <w:r w:rsidRPr="00EB525A">
              <w:rPr>
                <w:rFonts w:ascii="Segoe UI" w:eastAsia="新細明體" w:hAnsi="Segoe UI" w:cs="Segoe UI"/>
                <w:color w:val="000000"/>
                <w:kern w:val="0"/>
                <w:sz w:val="17"/>
                <w:szCs w:val="17"/>
                <w:lang w:val="en-GB"/>
              </w:rPr>
              <w:t>Not applicable</w:t>
            </w:r>
          </w:p>
        </w:tc>
        <w:tc>
          <w:tcPr>
            <w:tcW w:w="850" w:type="dxa"/>
            <w:tcBorders>
              <w:top w:val="nil"/>
              <w:left w:val="nil"/>
              <w:bottom w:val="single" w:sz="4" w:space="0" w:color="BFBFBF"/>
              <w:right w:val="single" w:sz="4" w:space="0" w:color="BFBFBF"/>
            </w:tcBorders>
            <w:shd w:val="clear" w:color="auto" w:fill="FFFF00"/>
            <w:noWrap/>
            <w:vAlign w:val="center"/>
            <w:hideMark/>
          </w:tcPr>
          <w:p w:rsidR="00EB525A" w:rsidRPr="00EB525A" w:rsidRDefault="00EB525A" w:rsidP="00EB525A">
            <w:pPr>
              <w:widowControl/>
              <w:spacing w:line="200" w:lineRule="exact"/>
              <w:jc w:val="center"/>
              <w:rPr>
                <w:rFonts w:ascii="Segoe UI" w:eastAsia="新細明體" w:hAnsi="Segoe UI" w:cs="Segoe UI"/>
                <w:color w:val="000000"/>
                <w:kern w:val="0"/>
                <w:sz w:val="17"/>
                <w:szCs w:val="17"/>
                <w:lang w:val="en-GB"/>
              </w:rPr>
            </w:pPr>
            <w:r w:rsidRPr="00EB525A">
              <w:rPr>
                <w:rFonts w:ascii="Segoe UI" w:eastAsia="新細明體" w:hAnsi="Segoe UI" w:cs="Segoe UI"/>
                <w:color w:val="000000"/>
                <w:kern w:val="0"/>
                <w:sz w:val="17"/>
                <w:szCs w:val="17"/>
                <w:lang w:val="en-GB"/>
              </w:rPr>
              <w:t>Not applicable</w:t>
            </w:r>
          </w:p>
        </w:tc>
        <w:tc>
          <w:tcPr>
            <w:tcW w:w="851" w:type="dxa"/>
            <w:gridSpan w:val="2"/>
            <w:tcBorders>
              <w:top w:val="nil"/>
              <w:left w:val="nil"/>
              <w:bottom w:val="single" w:sz="4" w:space="0" w:color="BFBFBF"/>
            </w:tcBorders>
            <w:shd w:val="clear" w:color="auto" w:fill="FFFF00"/>
            <w:noWrap/>
            <w:vAlign w:val="center"/>
            <w:hideMark/>
          </w:tcPr>
          <w:p w:rsidR="00EB525A" w:rsidRPr="00EB525A" w:rsidRDefault="00EB525A" w:rsidP="00EB525A">
            <w:pPr>
              <w:widowControl/>
              <w:spacing w:line="200" w:lineRule="exact"/>
              <w:jc w:val="center"/>
              <w:rPr>
                <w:rFonts w:ascii="Segoe UI" w:eastAsia="新細明體" w:hAnsi="Segoe UI" w:cs="Segoe UI"/>
                <w:color w:val="000000"/>
                <w:kern w:val="0"/>
                <w:sz w:val="17"/>
                <w:szCs w:val="17"/>
                <w:lang w:val="en-GB"/>
              </w:rPr>
            </w:pPr>
            <w:r w:rsidRPr="00EB525A">
              <w:rPr>
                <w:rFonts w:ascii="Segoe UI" w:eastAsia="新細明體" w:hAnsi="Segoe UI" w:cs="Segoe UI"/>
                <w:color w:val="000000"/>
                <w:kern w:val="0"/>
                <w:sz w:val="17"/>
                <w:szCs w:val="17"/>
                <w:lang w:val="en-GB"/>
              </w:rPr>
              <w:t>Not applicable</w:t>
            </w:r>
          </w:p>
        </w:tc>
      </w:tr>
      <w:tr w:rsidR="00EB525A" w:rsidRPr="00EB525A" w:rsidTr="00297CA5">
        <w:trPr>
          <w:trHeight w:val="567"/>
        </w:trPr>
        <w:tc>
          <w:tcPr>
            <w:tcW w:w="425" w:type="dxa"/>
            <w:gridSpan w:val="2"/>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auto"/>
            <w:noWrap/>
            <w:vAlign w:val="center"/>
            <w:hideMark/>
          </w:tcPr>
          <w:p w:rsidR="00EB525A" w:rsidRPr="00EB525A" w:rsidRDefault="00EB525A" w:rsidP="00EB525A">
            <w:pPr>
              <w:widowControl/>
              <w:spacing w:line="200" w:lineRule="exact"/>
              <w:rPr>
                <w:rFonts w:ascii="Segoe UI" w:eastAsia="新細明體" w:hAnsi="Segoe UI" w:cs="Segoe UI"/>
                <w:color w:val="000000"/>
                <w:kern w:val="0"/>
                <w:sz w:val="17"/>
                <w:szCs w:val="17"/>
                <w:lang w:val="en-GB"/>
              </w:rPr>
            </w:pPr>
            <w:r w:rsidRPr="00EB525A">
              <w:rPr>
                <w:rFonts w:ascii="Segoe UI" w:eastAsia="新細明體" w:hAnsi="Segoe UI" w:cs="Segoe UI"/>
                <w:color w:val="000000"/>
                <w:kern w:val="0"/>
                <w:sz w:val="17"/>
                <w:szCs w:val="17"/>
                <w:lang w:val="en-GB"/>
              </w:rPr>
              <w:t>6b</w:t>
            </w:r>
          </w:p>
        </w:tc>
        <w:tc>
          <w:tcPr>
            <w:tcW w:w="53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auto"/>
            </w:tcBorders>
            <w:shd w:val="clear" w:color="auto" w:fill="FFFF00"/>
            <w:vAlign w:val="center"/>
            <w:hideMark/>
          </w:tcPr>
          <w:p w:rsidR="00EB525A" w:rsidRPr="00EB525A" w:rsidRDefault="00EB525A" w:rsidP="00EB525A">
            <w:pPr>
              <w:widowControl/>
              <w:spacing w:line="200" w:lineRule="exact"/>
              <w:ind w:rightChars="47" w:right="113"/>
              <w:rPr>
                <w:rFonts w:ascii="Segoe UI" w:eastAsia="新細明體" w:hAnsi="Segoe UI" w:cs="Segoe UI"/>
                <w:color w:val="000000"/>
                <w:kern w:val="0"/>
                <w:sz w:val="17"/>
                <w:szCs w:val="17"/>
                <w:lang w:val="en-GB"/>
              </w:rPr>
            </w:pPr>
            <w:r w:rsidRPr="00EB525A">
              <w:rPr>
                <w:rFonts w:ascii="Segoe UI" w:eastAsia="新細明體" w:hAnsi="Segoe UI" w:cs="Segoe UI"/>
                <w:color w:val="000000"/>
                <w:kern w:val="0"/>
                <w:sz w:val="17"/>
                <w:szCs w:val="17"/>
                <w:lang w:val="en-GB"/>
              </w:rPr>
              <w:t>Does the subordination exemption in the penultimate paragraph of Section 11 of the FSB TLAC Term Sheet apply?</w:t>
            </w:r>
          </w:p>
        </w:tc>
        <w:tc>
          <w:tcPr>
            <w:tcW w:w="851" w:type="dxa"/>
            <w:tcBorders>
              <w:top w:val="nil"/>
              <w:left w:val="nil"/>
              <w:bottom w:val="single" w:sz="4" w:space="0" w:color="D9D9D9" w:themeColor="background1" w:themeShade="D9"/>
              <w:right w:val="single" w:sz="4" w:space="0" w:color="BFBFBF"/>
            </w:tcBorders>
            <w:shd w:val="clear" w:color="auto" w:fill="FFFF00"/>
            <w:noWrap/>
            <w:vAlign w:val="center"/>
            <w:hideMark/>
          </w:tcPr>
          <w:p w:rsidR="00EB525A" w:rsidRPr="00EB525A" w:rsidRDefault="00EB525A" w:rsidP="00EB525A">
            <w:pPr>
              <w:widowControl/>
              <w:spacing w:line="200" w:lineRule="exact"/>
              <w:jc w:val="center"/>
              <w:rPr>
                <w:rFonts w:ascii="Segoe UI" w:eastAsia="新細明體" w:hAnsi="Segoe UI" w:cs="Segoe UI"/>
                <w:color w:val="000000"/>
                <w:kern w:val="0"/>
                <w:sz w:val="17"/>
                <w:szCs w:val="17"/>
                <w:lang w:val="en-GB"/>
              </w:rPr>
            </w:pPr>
            <w:r w:rsidRPr="00EB525A">
              <w:rPr>
                <w:rFonts w:ascii="Segoe UI" w:eastAsia="新細明體" w:hAnsi="Segoe UI" w:cs="Segoe UI"/>
                <w:color w:val="000000"/>
                <w:kern w:val="0"/>
                <w:sz w:val="17"/>
                <w:szCs w:val="17"/>
                <w:lang w:val="en-GB"/>
              </w:rPr>
              <w:t>Not applicable</w:t>
            </w:r>
          </w:p>
        </w:tc>
        <w:tc>
          <w:tcPr>
            <w:tcW w:w="820" w:type="dxa"/>
            <w:tcBorders>
              <w:top w:val="nil"/>
              <w:left w:val="nil"/>
              <w:bottom w:val="single" w:sz="4" w:space="0" w:color="BFBFBF" w:themeColor="background1" w:themeShade="BF"/>
              <w:right w:val="single" w:sz="4" w:space="0" w:color="BFBFBF"/>
            </w:tcBorders>
            <w:shd w:val="clear" w:color="auto" w:fill="FFFF00"/>
            <w:noWrap/>
            <w:vAlign w:val="center"/>
            <w:hideMark/>
          </w:tcPr>
          <w:p w:rsidR="00EB525A" w:rsidRPr="00EB525A" w:rsidRDefault="00EB525A" w:rsidP="00EB525A">
            <w:pPr>
              <w:widowControl/>
              <w:spacing w:line="200" w:lineRule="exact"/>
              <w:jc w:val="center"/>
              <w:rPr>
                <w:rFonts w:ascii="Segoe UI" w:eastAsia="新細明體" w:hAnsi="Segoe UI" w:cs="Segoe UI"/>
                <w:color w:val="000000"/>
                <w:kern w:val="0"/>
                <w:sz w:val="17"/>
                <w:szCs w:val="17"/>
                <w:lang w:val="en-GB"/>
              </w:rPr>
            </w:pPr>
            <w:r w:rsidRPr="00EB525A">
              <w:rPr>
                <w:rFonts w:ascii="Segoe UI" w:eastAsia="新細明體" w:hAnsi="Segoe UI" w:cs="Segoe UI"/>
                <w:color w:val="000000"/>
                <w:kern w:val="0"/>
                <w:sz w:val="17"/>
                <w:szCs w:val="17"/>
                <w:lang w:val="en-GB"/>
              </w:rPr>
              <w:t>Not applicable</w:t>
            </w:r>
          </w:p>
        </w:tc>
        <w:tc>
          <w:tcPr>
            <w:tcW w:w="881" w:type="dxa"/>
            <w:tcBorders>
              <w:top w:val="nil"/>
              <w:left w:val="nil"/>
              <w:bottom w:val="single" w:sz="4" w:space="0" w:color="BFBFBF" w:themeColor="background1" w:themeShade="BF"/>
              <w:right w:val="single" w:sz="4" w:space="0" w:color="BFBFBF"/>
            </w:tcBorders>
            <w:shd w:val="clear" w:color="auto" w:fill="FFFF00"/>
            <w:noWrap/>
            <w:vAlign w:val="center"/>
            <w:hideMark/>
          </w:tcPr>
          <w:p w:rsidR="00EB525A" w:rsidRPr="00EB525A" w:rsidRDefault="00EB525A" w:rsidP="00EB525A">
            <w:pPr>
              <w:widowControl/>
              <w:spacing w:line="200" w:lineRule="exact"/>
              <w:jc w:val="center"/>
              <w:rPr>
                <w:rFonts w:ascii="Segoe UI" w:eastAsia="新細明體" w:hAnsi="Segoe UI" w:cs="Segoe UI"/>
                <w:color w:val="000000"/>
                <w:kern w:val="0"/>
                <w:sz w:val="17"/>
                <w:szCs w:val="17"/>
                <w:lang w:val="en-GB"/>
              </w:rPr>
            </w:pPr>
            <w:r w:rsidRPr="00EB525A">
              <w:rPr>
                <w:rFonts w:ascii="Segoe UI" w:eastAsia="新細明體" w:hAnsi="Segoe UI" w:cs="Segoe UI"/>
                <w:color w:val="000000"/>
                <w:kern w:val="0"/>
                <w:sz w:val="17"/>
                <w:szCs w:val="17"/>
                <w:lang w:val="en-GB"/>
              </w:rPr>
              <w:t>Not applicable</w:t>
            </w:r>
          </w:p>
        </w:tc>
        <w:tc>
          <w:tcPr>
            <w:tcW w:w="850" w:type="dxa"/>
            <w:tcBorders>
              <w:top w:val="nil"/>
              <w:left w:val="nil"/>
              <w:bottom w:val="single" w:sz="4" w:space="0" w:color="BFBFBF" w:themeColor="background1" w:themeShade="BF"/>
              <w:right w:val="single" w:sz="4" w:space="0" w:color="BFBFBF"/>
            </w:tcBorders>
            <w:shd w:val="clear" w:color="auto" w:fill="FFFF00"/>
            <w:noWrap/>
            <w:vAlign w:val="center"/>
            <w:hideMark/>
          </w:tcPr>
          <w:p w:rsidR="00EB525A" w:rsidRPr="00EB525A" w:rsidRDefault="00EB525A" w:rsidP="00EB525A">
            <w:pPr>
              <w:widowControl/>
              <w:spacing w:line="200" w:lineRule="exact"/>
              <w:jc w:val="center"/>
              <w:rPr>
                <w:rFonts w:ascii="Segoe UI" w:eastAsia="新細明體" w:hAnsi="Segoe UI" w:cs="Segoe UI"/>
                <w:color w:val="000000"/>
                <w:kern w:val="0"/>
                <w:sz w:val="17"/>
                <w:szCs w:val="17"/>
                <w:lang w:val="en-GB"/>
              </w:rPr>
            </w:pPr>
            <w:r w:rsidRPr="00EB525A">
              <w:rPr>
                <w:rFonts w:ascii="Segoe UI" w:eastAsia="新細明體" w:hAnsi="Segoe UI" w:cs="Segoe UI"/>
                <w:color w:val="000000"/>
                <w:kern w:val="0"/>
                <w:sz w:val="17"/>
                <w:szCs w:val="17"/>
                <w:lang w:val="en-GB"/>
              </w:rPr>
              <w:t>Not applicable</w:t>
            </w:r>
          </w:p>
        </w:tc>
        <w:tc>
          <w:tcPr>
            <w:tcW w:w="851" w:type="dxa"/>
            <w:gridSpan w:val="2"/>
            <w:tcBorders>
              <w:top w:val="nil"/>
              <w:left w:val="nil"/>
              <w:bottom w:val="single" w:sz="4" w:space="0" w:color="BFBFBF" w:themeColor="background1" w:themeShade="BF"/>
            </w:tcBorders>
            <w:shd w:val="clear" w:color="auto" w:fill="FFFF00"/>
            <w:noWrap/>
            <w:vAlign w:val="center"/>
            <w:hideMark/>
          </w:tcPr>
          <w:p w:rsidR="00EB525A" w:rsidRPr="00EB525A" w:rsidRDefault="00EB525A" w:rsidP="00EB525A">
            <w:pPr>
              <w:widowControl/>
              <w:spacing w:line="200" w:lineRule="exact"/>
              <w:jc w:val="center"/>
              <w:rPr>
                <w:rFonts w:ascii="Segoe UI" w:eastAsia="新細明體" w:hAnsi="Segoe UI" w:cs="Segoe UI"/>
                <w:color w:val="000000"/>
                <w:kern w:val="0"/>
                <w:sz w:val="17"/>
                <w:szCs w:val="17"/>
                <w:lang w:val="en-GB"/>
              </w:rPr>
            </w:pPr>
            <w:r w:rsidRPr="00EB525A">
              <w:rPr>
                <w:rFonts w:ascii="Segoe UI" w:eastAsia="新細明體" w:hAnsi="Segoe UI" w:cs="Segoe UI"/>
                <w:color w:val="000000"/>
                <w:kern w:val="0"/>
                <w:sz w:val="17"/>
                <w:szCs w:val="17"/>
                <w:lang w:val="en-GB"/>
              </w:rPr>
              <w:t>Not applicable</w:t>
            </w:r>
          </w:p>
        </w:tc>
      </w:tr>
      <w:tr w:rsidR="00EB525A" w:rsidRPr="00EB525A" w:rsidTr="00297CA5">
        <w:trPr>
          <w:trHeight w:val="1134"/>
        </w:trPr>
        <w:tc>
          <w:tcPr>
            <w:tcW w:w="425" w:type="dxa"/>
            <w:gridSpan w:val="2"/>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center"/>
            <w:hideMark/>
          </w:tcPr>
          <w:p w:rsidR="00EB525A" w:rsidRPr="00EB525A" w:rsidRDefault="00EB525A" w:rsidP="00EB525A">
            <w:pPr>
              <w:widowControl/>
              <w:spacing w:line="200" w:lineRule="exact"/>
              <w:jc w:val="both"/>
              <w:rPr>
                <w:rFonts w:ascii="Segoe UI" w:eastAsia="新細明體" w:hAnsi="Segoe UI" w:cs="Segoe UI"/>
                <w:color w:val="000000"/>
                <w:kern w:val="0"/>
                <w:sz w:val="17"/>
                <w:szCs w:val="17"/>
                <w:lang w:val="en-GB"/>
              </w:rPr>
            </w:pPr>
            <w:r w:rsidRPr="00EB525A">
              <w:rPr>
                <w:rFonts w:ascii="Segoe UI" w:eastAsia="新細明體" w:hAnsi="Segoe UI" w:cs="Segoe UI"/>
                <w:color w:val="000000"/>
                <w:kern w:val="0"/>
                <w:sz w:val="17"/>
                <w:szCs w:val="17"/>
                <w:lang w:val="en-GB"/>
              </w:rPr>
              <w:t>6c</w:t>
            </w:r>
          </w:p>
        </w:tc>
        <w:tc>
          <w:tcPr>
            <w:tcW w:w="53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000000" w:themeColor="text1"/>
            </w:tcBorders>
            <w:shd w:val="clear" w:color="auto" w:fill="FFFF00"/>
            <w:vAlign w:val="center"/>
            <w:hideMark/>
          </w:tcPr>
          <w:p w:rsidR="00EB525A" w:rsidRPr="00EB525A" w:rsidRDefault="00EB525A" w:rsidP="00EB525A">
            <w:pPr>
              <w:widowControl/>
              <w:spacing w:line="200" w:lineRule="exact"/>
              <w:ind w:rightChars="47" w:right="113"/>
              <w:jc w:val="both"/>
              <w:rPr>
                <w:rFonts w:ascii="Segoe UI" w:eastAsia="新細明體" w:hAnsi="Segoe UI" w:cs="Segoe UI"/>
                <w:color w:val="000000"/>
                <w:kern w:val="0"/>
                <w:sz w:val="17"/>
                <w:szCs w:val="17"/>
                <w:lang w:val="en-GB"/>
              </w:rPr>
            </w:pPr>
            <w:r w:rsidRPr="00EB525A">
              <w:rPr>
                <w:rFonts w:ascii="Segoe UI" w:eastAsia="新細明體" w:hAnsi="Segoe UI" w:cs="Segoe UI"/>
                <w:color w:val="000000"/>
                <w:kern w:val="0"/>
                <w:sz w:val="17"/>
                <w:szCs w:val="17"/>
                <w:lang w:val="en-GB"/>
              </w:rPr>
              <w:t>If the capped subordination exemption applies, the amount of funding issued that ranks pari passu with excluded liabilities and that is recognised as external loss-absorbing capacity, divided by funding issued that ranks pari passu with excluded liabilities and that would be recognised as external loss-absorbing capacity if no cap was applied</w:t>
            </w:r>
          </w:p>
        </w:tc>
        <w:tc>
          <w:tcPr>
            <w:tcW w:w="851" w:type="dxa"/>
            <w:tcBorders>
              <w:top w:val="single" w:sz="4" w:space="0" w:color="D9D9D9" w:themeColor="background1" w:themeShade="D9"/>
              <w:left w:val="single" w:sz="4" w:space="0" w:color="000000" w:themeColor="text1"/>
              <w:bottom w:val="single" w:sz="4" w:space="0" w:color="D9D9D9" w:themeColor="background1" w:themeShade="D9"/>
              <w:right w:val="single" w:sz="4" w:space="0" w:color="D9D9D9" w:themeColor="background1" w:themeShade="D9"/>
            </w:tcBorders>
            <w:shd w:val="clear" w:color="auto" w:fill="FFFF00"/>
            <w:noWrap/>
            <w:vAlign w:val="center"/>
            <w:hideMark/>
          </w:tcPr>
          <w:p w:rsidR="00EB525A" w:rsidRPr="00EB525A" w:rsidRDefault="00EB525A" w:rsidP="00EB525A">
            <w:pPr>
              <w:widowControl/>
              <w:spacing w:line="200" w:lineRule="exact"/>
              <w:jc w:val="center"/>
              <w:rPr>
                <w:rFonts w:ascii="Segoe UI" w:eastAsia="新細明體" w:hAnsi="Segoe UI" w:cs="Segoe UI"/>
                <w:color w:val="000000"/>
                <w:kern w:val="0"/>
                <w:sz w:val="17"/>
                <w:szCs w:val="17"/>
                <w:lang w:val="en-GB"/>
              </w:rPr>
            </w:pPr>
            <w:r w:rsidRPr="00EB525A">
              <w:rPr>
                <w:rFonts w:ascii="Segoe UI" w:eastAsia="新細明體" w:hAnsi="Segoe UI" w:cs="Segoe UI"/>
                <w:color w:val="000000"/>
                <w:kern w:val="0"/>
                <w:sz w:val="17"/>
                <w:szCs w:val="17"/>
                <w:lang w:val="en-GB"/>
              </w:rPr>
              <w:t>Not applicable</w:t>
            </w:r>
          </w:p>
        </w:tc>
        <w:tc>
          <w:tcPr>
            <w:tcW w:w="820"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BFBFBF" w:themeColor="background1" w:themeShade="BF"/>
            </w:tcBorders>
            <w:shd w:val="clear" w:color="auto" w:fill="FFFF00"/>
            <w:noWrap/>
            <w:vAlign w:val="center"/>
            <w:hideMark/>
          </w:tcPr>
          <w:p w:rsidR="00EB525A" w:rsidRPr="00EB525A" w:rsidRDefault="00EB525A" w:rsidP="00EB525A">
            <w:pPr>
              <w:widowControl/>
              <w:spacing w:line="200" w:lineRule="exact"/>
              <w:jc w:val="center"/>
              <w:rPr>
                <w:rFonts w:ascii="Segoe UI" w:eastAsia="新細明體" w:hAnsi="Segoe UI" w:cs="Segoe UI"/>
                <w:color w:val="000000"/>
                <w:kern w:val="0"/>
                <w:sz w:val="17"/>
                <w:szCs w:val="17"/>
                <w:lang w:val="en-GB"/>
              </w:rPr>
            </w:pPr>
            <w:r w:rsidRPr="00EB525A">
              <w:rPr>
                <w:rFonts w:ascii="Segoe UI" w:eastAsia="新細明體" w:hAnsi="Segoe UI" w:cs="Segoe UI"/>
                <w:color w:val="000000"/>
                <w:kern w:val="0"/>
                <w:sz w:val="17"/>
                <w:szCs w:val="17"/>
                <w:lang w:val="en-GB"/>
              </w:rPr>
              <w:t>Not applicable</w:t>
            </w:r>
          </w:p>
        </w:tc>
        <w:tc>
          <w:tcPr>
            <w:tcW w:w="8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00"/>
            <w:noWrap/>
            <w:vAlign w:val="center"/>
            <w:hideMark/>
          </w:tcPr>
          <w:p w:rsidR="00EB525A" w:rsidRPr="00EB525A" w:rsidRDefault="00EB525A" w:rsidP="00EB525A">
            <w:pPr>
              <w:widowControl/>
              <w:spacing w:line="200" w:lineRule="exact"/>
              <w:jc w:val="center"/>
              <w:rPr>
                <w:rFonts w:ascii="Segoe UI" w:eastAsia="新細明體" w:hAnsi="Segoe UI" w:cs="Segoe UI"/>
                <w:color w:val="000000"/>
                <w:kern w:val="0"/>
                <w:sz w:val="17"/>
                <w:szCs w:val="17"/>
                <w:lang w:val="en-GB"/>
              </w:rPr>
            </w:pPr>
            <w:r w:rsidRPr="00EB525A">
              <w:rPr>
                <w:rFonts w:ascii="Segoe UI" w:eastAsia="新細明體" w:hAnsi="Segoe UI" w:cs="Segoe UI"/>
                <w:color w:val="000000"/>
                <w:kern w:val="0"/>
                <w:sz w:val="17"/>
                <w:szCs w:val="17"/>
                <w:lang w:val="en-GB"/>
              </w:rPr>
              <w:t>Not applicable</w:t>
            </w:r>
          </w:p>
        </w:tc>
        <w:tc>
          <w:tcPr>
            <w:tcW w:w="8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00"/>
            <w:noWrap/>
            <w:vAlign w:val="center"/>
            <w:hideMark/>
          </w:tcPr>
          <w:p w:rsidR="00EB525A" w:rsidRPr="00EB525A" w:rsidRDefault="00EB525A" w:rsidP="00EB525A">
            <w:pPr>
              <w:widowControl/>
              <w:spacing w:line="200" w:lineRule="exact"/>
              <w:jc w:val="center"/>
              <w:rPr>
                <w:rFonts w:ascii="Segoe UI" w:eastAsia="新細明體" w:hAnsi="Segoe UI" w:cs="Segoe UI"/>
                <w:color w:val="000000"/>
                <w:kern w:val="0"/>
                <w:sz w:val="17"/>
                <w:szCs w:val="17"/>
                <w:lang w:val="en-GB"/>
              </w:rPr>
            </w:pPr>
            <w:r w:rsidRPr="00EB525A">
              <w:rPr>
                <w:rFonts w:ascii="Segoe UI" w:eastAsia="新細明體" w:hAnsi="Segoe UI" w:cs="Segoe UI"/>
                <w:color w:val="000000"/>
                <w:kern w:val="0"/>
                <w:sz w:val="17"/>
                <w:szCs w:val="17"/>
                <w:lang w:val="en-GB"/>
              </w:rPr>
              <w:t>Not applicable</w:t>
            </w:r>
          </w:p>
        </w:tc>
        <w:tc>
          <w:tcPr>
            <w:tcW w:w="85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FFFF00"/>
            <w:noWrap/>
            <w:vAlign w:val="center"/>
            <w:hideMark/>
          </w:tcPr>
          <w:p w:rsidR="00EB525A" w:rsidRPr="00EB525A" w:rsidRDefault="00EB525A" w:rsidP="00EB525A">
            <w:pPr>
              <w:widowControl/>
              <w:spacing w:line="200" w:lineRule="exact"/>
              <w:jc w:val="center"/>
              <w:rPr>
                <w:rFonts w:ascii="Segoe UI" w:eastAsia="新細明體" w:hAnsi="Segoe UI" w:cs="Segoe UI"/>
                <w:color w:val="000000"/>
                <w:kern w:val="0"/>
                <w:sz w:val="17"/>
                <w:szCs w:val="17"/>
                <w:lang w:val="en-GB"/>
              </w:rPr>
            </w:pPr>
            <w:r w:rsidRPr="00EB525A">
              <w:rPr>
                <w:rFonts w:ascii="Segoe UI" w:eastAsia="新細明體" w:hAnsi="Segoe UI" w:cs="Segoe UI"/>
                <w:color w:val="000000"/>
                <w:kern w:val="0"/>
                <w:sz w:val="17"/>
                <w:szCs w:val="17"/>
                <w:lang w:val="en-GB"/>
              </w:rPr>
              <w:t>Not applicable</w:t>
            </w:r>
          </w:p>
        </w:tc>
      </w:tr>
      <w:tr w:rsidR="00EB525A" w:rsidRPr="00EB525A" w:rsidTr="00297CA5">
        <w:trPr>
          <w:gridAfter w:val="1"/>
          <w:wAfter w:w="597" w:type="dxa"/>
          <w:trHeight w:val="1134"/>
        </w:trPr>
        <w:tc>
          <w:tcPr>
            <w:tcW w:w="9468" w:type="dxa"/>
            <w:gridSpan w:val="8"/>
            <w:tcBorders>
              <w:top w:val="single" w:sz="4" w:space="0" w:color="BFBFBF" w:themeColor="background1" w:themeShade="BF"/>
              <w:left w:val="nil"/>
              <w:bottom w:val="single" w:sz="4" w:space="0" w:color="auto"/>
            </w:tcBorders>
            <w:shd w:val="clear" w:color="auto" w:fill="auto"/>
            <w:noWrap/>
          </w:tcPr>
          <w:p w:rsidR="00EB525A" w:rsidRPr="00EB525A" w:rsidRDefault="00EB525A" w:rsidP="00EB525A">
            <w:pPr>
              <w:widowControl/>
              <w:snapToGrid w:val="0"/>
              <w:spacing w:before="40" w:after="40" w:line="240" w:lineRule="exact"/>
              <w:jc w:val="both"/>
              <w:rPr>
                <w:rFonts w:ascii="Segoe UI" w:eastAsia="Times New Roman" w:hAnsi="Segoe UI" w:cs="Segoe UI"/>
                <w:i/>
                <w:kern w:val="0"/>
                <w:sz w:val="17"/>
                <w:szCs w:val="17"/>
                <w:lang w:val="en-GB" w:eastAsia="it-IT"/>
              </w:rPr>
            </w:pPr>
            <w:r w:rsidRPr="00EB525A">
              <w:rPr>
                <w:rFonts w:ascii="Segoe UI" w:eastAsia="Times New Roman" w:hAnsi="Segoe UI" w:cs="Segoe UI"/>
                <w:i/>
                <w:kern w:val="0"/>
                <w:sz w:val="17"/>
                <w:szCs w:val="17"/>
                <w:lang w:val="en-GB" w:eastAsia="it-IT"/>
              </w:rPr>
              <w:t>Points to note:</w:t>
            </w:r>
          </w:p>
          <w:p w:rsidR="00EB525A" w:rsidRPr="00EB525A" w:rsidRDefault="00EB525A" w:rsidP="006E5C79">
            <w:pPr>
              <w:widowControl/>
              <w:numPr>
                <w:ilvl w:val="0"/>
                <w:numId w:val="4"/>
              </w:numPr>
              <w:spacing w:before="40" w:after="40" w:line="240" w:lineRule="exact"/>
              <w:jc w:val="both"/>
              <w:rPr>
                <w:rFonts w:ascii="Segoe UI" w:eastAsia="新細明體" w:hAnsi="Segoe UI" w:cs="Segoe UI"/>
                <w:i/>
                <w:color w:val="000000"/>
                <w:kern w:val="0"/>
                <w:sz w:val="17"/>
                <w:szCs w:val="17"/>
                <w:lang w:val="en-GB"/>
              </w:rPr>
            </w:pPr>
            <w:r w:rsidRPr="00EB525A">
              <w:rPr>
                <w:rFonts w:ascii="Segoe UI" w:eastAsia="新細明體" w:hAnsi="Segoe UI" w:cs="Segoe UI"/>
                <w:i/>
                <w:color w:val="000000"/>
                <w:kern w:val="0"/>
                <w:sz w:val="17"/>
                <w:szCs w:val="17"/>
                <w:lang w:val="en-GB"/>
              </w:rPr>
              <w:t xml:space="preserve">Under the BCBS’s standards on Pillar 3 disclosure requirements – consolidated and enhanced framework (March 2017), template KM2 applies to the disclosure of loss-absorbing capacity at the resolution group level.  The disclosure requirements under the LAC Rules apply to a disclosure entity, including a material subsidiary.  In designing template KM2(A) for Hong Kong by modelling template KM2, the HKMA has made necessary adjustments so that template KM2(A) applies to the disclosure by a material subsidiary of internal loss-absorbing capacity at the LAC consolidation group level to reflect that a requirement of a material subsidiary to maintain, on a consolidated basis, its internal LAC risk-weighted </w:t>
            </w:r>
            <w:r w:rsidRPr="00EB525A">
              <w:rPr>
                <w:rFonts w:ascii="Segoe UI" w:eastAsia="新細明體" w:hAnsi="Segoe UI" w:cs="Segoe UI"/>
                <w:i/>
                <w:color w:val="000000"/>
                <w:kern w:val="0"/>
                <w:sz w:val="17"/>
                <w:szCs w:val="17"/>
                <w:lang w:val="en-GB"/>
              </w:rPr>
              <w:lastRenderedPageBreak/>
              <w:t xml:space="preserve">ratio or its internal LAC leverage ratio at or above a specified minimum under the LAC Rules is imposed with respect to its LAC consolidation group.    </w:t>
            </w:r>
          </w:p>
          <w:p w:rsidR="00EB525A" w:rsidRPr="00EB525A" w:rsidRDefault="00EB525A" w:rsidP="006E5C79">
            <w:pPr>
              <w:widowControl/>
              <w:numPr>
                <w:ilvl w:val="0"/>
                <w:numId w:val="4"/>
              </w:numPr>
              <w:spacing w:before="40" w:after="40" w:line="240" w:lineRule="exact"/>
              <w:jc w:val="both"/>
              <w:rPr>
                <w:rFonts w:ascii="Segoe UI" w:eastAsia="新細明體" w:hAnsi="Segoe UI" w:cs="Segoe UI"/>
                <w:i/>
                <w:color w:val="000000"/>
                <w:kern w:val="0"/>
                <w:sz w:val="17"/>
                <w:szCs w:val="17"/>
                <w:lang w:val="en-GB"/>
              </w:rPr>
            </w:pPr>
            <w:r w:rsidRPr="00EB525A">
              <w:rPr>
                <w:rFonts w:ascii="Segoe UI" w:eastAsia="新細明體" w:hAnsi="Segoe UI" w:cs="Segoe UI"/>
                <w:i/>
                <w:color w:val="000000"/>
                <w:kern w:val="0"/>
                <w:sz w:val="17"/>
                <w:szCs w:val="17"/>
                <w:lang w:val="en-GB"/>
              </w:rPr>
              <w:t xml:space="preserve">Disclosures are prospective during the first period of implementation and build up quarterly comparatives over time.  Enter “NA” in the columns with respect to periods prior to the first period of implementation.  </w:t>
            </w:r>
          </w:p>
          <w:p w:rsidR="00EB525A" w:rsidRPr="00EB525A" w:rsidRDefault="00EB525A" w:rsidP="006E5C79">
            <w:pPr>
              <w:widowControl/>
              <w:numPr>
                <w:ilvl w:val="0"/>
                <w:numId w:val="4"/>
              </w:numPr>
              <w:spacing w:before="40" w:after="40" w:line="240" w:lineRule="exact"/>
              <w:jc w:val="both"/>
              <w:rPr>
                <w:rFonts w:ascii="Segoe UI" w:eastAsia="新細明體" w:hAnsi="Segoe UI" w:cs="Segoe UI"/>
                <w:color w:val="000000"/>
                <w:kern w:val="0"/>
                <w:sz w:val="17"/>
                <w:szCs w:val="17"/>
                <w:lang w:val="en-GB"/>
              </w:rPr>
            </w:pPr>
            <w:r w:rsidRPr="00EB525A">
              <w:rPr>
                <w:rFonts w:ascii="Segoe UI" w:eastAsia="新細明體" w:hAnsi="Segoe UI" w:cs="Segoe UI"/>
                <w:i/>
                <w:color w:val="000000"/>
                <w:kern w:val="0"/>
                <w:sz w:val="17"/>
                <w:szCs w:val="17"/>
                <w:lang w:val="en-GB"/>
              </w:rPr>
              <w:t>A row shaded yellow represents an item that is not applicable in Hong Kong.</w:t>
            </w:r>
          </w:p>
          <w:p w:rsidR="00EB525A" w:rsidRPr="00EB525A" w:rsidRDefault="00EB525A" w:rsidP="006E5C79">
            <w:pPr>
              <w:widowControl/>
              <w:numPr>
                <w:ilvl w:val="0"/>
                <w:numId w:val="4"/>
              </w:numPr>
              <w:spacing w:before="40" w:after="40" w:line="240" w:lineRule="exact"/>
              <w:jc w:val="both"/>
              <w:rPr>
                <w:rFonts w:ascii="Segoe UI" w:eastAsia="新細明體" w:hAnsi="Segoe UI" w:cs="Segoe UI"/>
                <w:color w:val="000000"/>
                <w:kern w:val="0"/>
                <w:sz w:val="17"/>
                <w:szCs w:val="17"/>
                <w:lang w:val="en-GB"/>
              </w:rPr>
            </w:pPr>
            <w:r w:rsidRPr="00EB525A">
              <w:rPr>
                <w:rFonts w:ascii="Segoe UI" w:eastAsia="新細明體" w:hAnsi="Segoe UI" w:cs="Segoe UI"/>
                <w:i/>
                <w:color w:val="000000"/>
                <w:kern w:val="0"/>
                <w:sz w:val="17"/>
                <w:szCs w:val="17"/>
                <w:lang w:val="en-GB"/>
              </w:rPr>
              <w:t>Where the functional currency of a material subsidiary is a currency other than Hong Kong dollars and the material subsidiary reports amounts in this template in Hong Kong dollars, the closing middle market T/T rates prevailing at the end of the current reporting period should be used for conversion purposes.</w:t>
            </w:r>
          </w:p>
        </w:tc>
      </w:tr>
    </w:tbl>
    <w:p w:rsidR="00EB525A" w:rsidRPr="00EB525A" w:rsidRDefault="00EB525A" w:rsidP="00EB525A">
      <w:pPr>
        <w:widowControl/>
        <w:spacing w:before="120" w:after="120"/>
        <w:rPr>
          <w:rFonts w:ascii="Segoe UI" w:eastAsia="Times New Roman" w:hAnsi="Segoe UI" w:cs="Times New Roman"/>
          <w:kern w:val="0"/>
          <w:sz w:val="22"/>
          <w:szCs w:val="20"/>
          <w:lang w:val="en-GB" w:eastAsia="en-US"/>
        </w:rPr>
      </w:pPr>
    </w:p>
    <w:tbl>
      <w:tblPr>
        <w:tblW w:w="9214"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8647"/>
      </w:tblGrid>
      <w:tr w:rsidR="00EB525A" w:rsidRPr="00EB525A" w:rsidTr="00297CA5">
        <w:trPr>
          <w:tblHeader/>
        </w:trPr>
        <w:tc>
          <w:tcPr>
            <w:tcW w:w="9214" w:type="dxa"/>
            <w:gridSpan w:val="2"/>
            <w:shd w:val="clear" w:color="auto" w:fill="BFBFBF"/>
          </w:tcPr>
          <w:p w:rsidR="00EB525A" w:rsidRPr="00EB525A" w:rsidRDefault="00EB525A" w:rsidP="00EB525A">
            <w:pPr>
              <w:keepLines/>
              <w:tabs>
                <w:tab w:val="left" w:pos="150"/>
                <w:tab w:val="left" w:pos="397"/>
                <w:tab w:val="left" w:pos="794"/>
                <w:tab w:val="left" w:pos="1191"/>
              </w:tabs>
              <w:spacing w:before="40" w:after="40"/>
              <w:rPr>
                <w:rFonts w:ascii="Segoe UI" w:eastAsia="新細明體" w:hAnsi="Segoe UI" w:cs="Times New Roman"/>
                <w:b/>
                <w:kern w:val="0"/>
                <w:sz w:val="17"/>
                <w:szCs w:val="20"/>
                <w:lang w:val="en-GB" w:eastAsia="en-GB"/>
              </w:rPr>
            </w:pPr>
            <w:r w:rsidRPr="00EB525A">
              <w:rPr>
                <w:rFonts w:ascii="Segoe UI" w:eastAsia="新細明體" w:hAnsi="Segoe UI" w:cs="Times New Roman"/>
                <w:b/>
                <w:kern w:val="0"/>
                <w:sz w:val="17"/>
                <w:szCs w:val="20"/>
                <w:lang w:val="en-GB" w:eastAsia="en-GB"/>
              </w:rPr>
              <w:t>Explanatory Note</w:t>
            </w:r>
          </w:p>
        </w:tc>
      </w:tr>
      <w:tr w:rsidR="00EB525A" w:rsidRPr="00EB525A" w:rsidTr="00297CA5">
        <w:tc>
          <w:tcPr>
            <w:tcW w:w="9214" w:type="dxa"/>
            <w:gridSpan w:val="2"/>
            <w:shd w:val="clear" w:color="auto" w:fill="F2F2F2"/>
          </w:tcPr>
          <w:p w:rsidR="00EB525A" w:rsidRPr="00EB525A" w:rsidRDefault="00EB525A" w:rsidP="00EB525A">
            <w:pPr>
              <w:keepLines/>
              <w:tabs>
                <w:tab w:val="left" w:pos="150"/>
                <w:tab w:val="left" w:pos="397"/>
                <w:tab w:val="left" w:pos="794"/>
                <w:tab w:val="left" w:pos="1191"/>
              </w:tabs>
              <w:spacing w:before="40" w:after="40"/>
              <w:rPr>
                <w:rFonts w:ascii="Segoe UI" w:eastAsia="新細明體" w:hAnsi="Segoe UI" w:cs="Times New Roman"/>
                <w:b/>
                <w:kern w:val="0"/>
                <w:sz w:val="17"/>
                <w:szCs w:val="20"/>
                <w:lang w:val="en-GB" w:eastAsia="en-GB"/>
              </w:rPr>
            </w:pPr>
            <w:r w:rsidRPr="00EB525A">
              <w:rPr>
                <w:rFonts w:ascii="Segoe UI" w:eastAsia="新細明體" w:hAnsi="Segoe UI" w:cs="Times New Roman"/>
                <w:b/>
                <w:kern w:val="0"/>
                <w:sz w:val="17"/>
                <w:szCs w:val="20"/>
                <w:lang w:val="en-GB" w:eastAsia="en-GB"/>
              </w:rPr>
              <w:t>Rows</w:t>
            </w:r>
          </w:p>
        </w:tc>
      </w:tr>
      <w:tr w:rsidR="00EB525A" w:rsidRPr="00EB525A" w:rsidTr="00297CA5">
        <w:tc>
          <w:tcPr>
            <w:tcW w:w="567" w:type="dxa"/>
            <w:shd w:val="clear" w:color="auto" w:fill="auto"/>
          </w:tcPr>
          <w:p w:rsidR="00EB525A" w:rsidRPr="00EB525A" w:rsidRDefault="00EB525A" w:rsidP="00EB525A">
            <w:pPr>
              <w:keepLines/>
              <w:tabs>
                <w:tab w:val="left" w:pos="150"/>
                <w:tab w:val="left" w:pos="397"/>
                <w:tab w:val="left" w:pos="794"/>
                <w:tab w:val="left" w:pos="1191"/>
              </w:tabs>
              <w:spacing w:before="40" w:after="40"/>
              <w:rPr>
                <w:rFonts w:ascii="Segoe UI" w:eastAsia="Times New Roman" w:hAnsi="Segoe UI" w:cs="Segoe UI"/>
                <w:kern w:val="0"/>
                <w:sz w:val="17"/>
                <w:szCs w:val="17"/>
                <w:lang w:val="en-GB" w:eastAsia="en-US"/>
              </w:rPr>
            </w:pPr>
            <w:r w:rsidRPr="00EB525A">
              <w:rPr>
                <w:rFonts w:ascii="Segoe UI" w:eastAsia="Times New Roman" w:hAnsi="Segoe UI" w:cs="Segoe UI"/>
                <w:kern w:val="0"/>
                <w:sz w:val="17"/>
                <w:szCs w:val="17"/>
                <w:lang w:val="en-GB" w:eastAsia="en-US"/>
              </w:rPr>
              <w:t>1</w:t>
            </w:r>
          </w:p>
        </w:tc>
        <w:tc>
          <w:tcPr>
            <w:tcW w:w="8647" w:type="dxa"/>
            <w:shd w:val="clear" w:color="auto" w:fill="auto"/>
          </w:tcPr>
          <w:p w:rsidR="00EB525A" w:rsidRPr="00EB525A" w:rsidRDefault="00EB525A" w:rsidP="00EB525A">
            <w:pPr>
              <w:keepLines/>
              <w:tabs>
                <w:tab w:val="left" w:pos="150"/>
                <w:tab w:val="left" w:pos="397"/>
                <w:tab w:val="left" w:pos="794"/>
                <w:tab w:val="left" w:pos="1191"/>
              </w:tabs>
              <w:spacing w:before="40" w:after="40"/>
              <w:jc w:val="both"/>
              <w:rPr>
                <w:rFonts w:ascii="Segoe UI" w:eastAsia="新細明體" w:hAnsi="Segoe UI" w:cs="Segoe UI"/>
                <w:color w:val="000000"/>
                <w:kern w:val="0"/>
                <w:sz w:val="17"/>
                <w:szCs w:val="17"/>
                <w:lang w:val="en-GB"/>
              </w:rPr>
            </w:pPr>
            <w:r w:rsidRPr="00EB525A">
              <w:rPr>
                <w:rFonts w:ascii="Segoe UI" w:eastAsia="新細明體" w:hAnsi="Segoe UI" w:cs="Segoe UI"/>
                <w:color w:val="000000"/>
                <w:kern w:val="0"/>
                <w:sz w:val="17"/>
                <w:szCs w:val="17"/>
                <w:lang w:val="en-GB"/>
              </w:rPr>
              <w:t xml:space="preserve">Internal loss-absorbing capacity available: the value in </w:t>
            </w:r>
            <w:r w:rsidRPr="00EB525A">
              <w:rPr>
                <w:rFonts w:ascii="Segoe UI" w:eastAsia="Times New Roman" w:hAnsi="Segoe UI" w:cs="Segoe UI"/>
                <w:kern w:val="0"/>
                <w:sz w:val="17"/>
                <w:szCs w:val="17"/>
                <w:lang w:val="en-GB" w:eastAsia="en-US"/>
              </w:rPr>
              <w:t xml:space="preserve">[KM2(A):1/a] </w:t>
            </w:r>
            <w:r w:rsidRPr="00EB525A">
              <w:rPr>
                <w:rFonts w:ascii="Segoe UI" w:eastAsia="新細明體" w:hAnsi="Segoe UI" w:cs="Segoe UI"/>
                <w:color w:val="000000"/>
                <w:kern w:val="0"/>
                <w:sz w:val="17"/>
                <w:szCs w:val="17"/>
                <w:lang w:val="en-GB"/>
              </w:rPr>
              <w:t xml:space="preserve">should be equal to the value in [TLAC1(A):22/a] of the material subsidiary with respect to the relevant position date, as applicable. </w:t>
            </w:r>
          </w:p>
        </w:tc>
      </w:tr>
      <w:tr w:rsidR="00EB525A" w:rsidRPr="00EB525A" w:rsidTr="00297CA5">
        <w:tc>
          <w:tcPr>
            <w:tcW w:w="567" w:type="dxa"/>
            <w:shd w:val="clear" w:color="auto" w:fill="auto"/>
          </w:tcPr>
          <w:p w:rsidR="00EB525A" w:rsidRPr="00EB525A" w:rsidRDefault="00EB525A" w:rsidP="00EB525A">
            <w:pPr>
              <w:keepLines/>
              <w:tabs>
                <w:tab w:val="left" w:pos="150"/>
                <w:tab w:val="left" w:pos="397"/>
                <w:tab w:val="left" w:pos="794"/>
                <w:tab w:val="left" w:pos="1191"/>
              </w:tabs>
              <w:spacing w:before="40" w:after="40"/>
              <w:rPr>
                <w:rFonts w:ascii="Segoe UI" w:eastAsia="Times New Roman" w:hAnsi="Segoe UI" w:cs="Segoe UI"/>
                <w:kern w:val="0"/>
                <w:sz w:val="17"/>
                <w:szCs w:val="17"/>
                <w:lang w:val="en-GB" w:eastAsia="en-US"/>
              </w:rPr>
            </w:pPr>
            <w:r w:rsidRPr="00EB525A">
              <w:rPr>
                <w:rFonts w:ascii="Segoe UI" w:eastAsia="Times New Roman" w:hAnsi="Segoe UI" w:cs="Segoe UI"/>
                <w:kern w:val="0"/>
                <w:sz w:val="17"/>
                <w:szCs w:val="17"/>
                <w:lang w:val="en-GB" w:eastAsia="en-US"/>
              </w:rPr>
              <w:t>2</w:t>
            </w:r>
          </w:p>
        </w:tc>
        <w:tc>
          <w:tcPr>
            <w:tcW w:w="8647" w:type="dxa"/>
            <w:shd w:val="clear" w:color="auto" w:fill="auto"/>
          </w:tcPr>
          <w:p w:rsidR="00EB525A" w:rsidRPr="00EB525A" w:rsidRDefault="00EB525A" w:rsidP="00EB525A">
            <w:pPr>
              <w:keepLines/>
              <w:tabs>
                <w:tab w:val="left" w:pos="150"/>
                <w:tab w:val="left" w:pos="397"/>
                <w:tab w:val="left" w:pos="794"/>
                <w:tab w:val="left" w:pos="1191"/>
              </w:tabs>
              <w:spacing w:before="40" w:after="40"/>
              <w:jc w:val="both"/>
              <w:rPr>
                <w:rFonts w:ascii="Segoe UI" w:eastAsia="新細明體" w:hAnsi="Segoe UI" w:cs="Segoe UI"/>
                <w:iCs/>
                <w:color w:val="000000"/>
                <w:kern w:val="0"/>
                <w:sz w:val="17"/>
                <w:szCs w:val="17"/>
                <w:lang w:val="en-GB"/>
              </w:rPr>
            </w:pPr>
            <w:r w:rsidRPr="00EB525A">
              <w:rPr>
                <w:rFonts w:ascii="Segoe UI" w:eastAsia="新細明體" w:hAnsi="Segoe UI" w:cs="Segoe UI"/>
                <w:iCs/>
                <w:color w:val="000000"/>
                <w:kern w:val="0"/>
                <w:sz w:val="17"/>
                <w:szCs w:val="17"/>
                <w:lang w:val="en-GB"/>
              </w:rPr>
              <w:t xml:space="preserve">Risk-weighted amount under the LAC Rules: </w:t>
            </w:r>
            <w:r w:rsidRPr="00EB525A">
              <w:rPr>
                <w:rFonts w:ascii="Segoe UI" w:eastAsia="新細明體" w:hAnsi="Segoe UI" w:cs="Segoe UI"/>
                <w:color w:val="000000"/>
                <w:kern w:val="0"/>
                <w:sz w:val="17"/>
                <w:szCs w:val="17"/>
                <w:lang w:val="en-GB"/>
              </w:rPr>
              <w:t>the value in</w:t>
            </w:r>
            <w:r w:rsidRPr="00EB525A">
              <w:rPr>
                <w:rFonts w:ascii="Segoe UI" w:eastAsia="Times New Roman" w:hAnsi="Segoe UI" w:cs="Segoe UI"/>
                <w:kern w:val="0"/>
                <w:sz w:val="17"/>
                <w:szCs w:val="17"/>
                <w:lang w:val="en-GB" w:eastAsia="en-US"/>
              </w:rPr>
              <w:t xml:space="preserve"> [KM2(A):2/a] </w:t>
            </w:r>
            <w:r w:rsidRPr="00EB525A">
              <w:rPr>
                <w:rFonts w:ascii="Segoe UI" w:eastAsia="新細明體" w:hAnsi="Segoe UI" w:cs="Segoe UI"/>
                <w:color w:val="000000"/>
                <w:kern w:val="0"/>
                <w:sz w:val="17"/>
                <w:szCs w:val="17"/>
                <w:lang w:val="en-GB"/>
              </w:rPr>
              <w:t>should be equal to the value in</w:t>
            </w:r>
            <w:r w:rsidRPr="00EB525A">
              <w:rPr>
                <w:rFonts w:ascii="Segoe UI" w:eastAsia="Times New Roman" w:hAnsi="Segoe UI" w:cs="Segoe UI"/>
                <w:kern w:val="0"/>
                <w:sz w:val="17"/>
                <w:szCs w:val="17"/>
                <w:lang w:val="en-GB" w:eastAsia="en-US"/>
              </w:rPr>
              <w:t xml:space="preserve"> [TLAC1(A):23/a] of the material subsidiary </w:t>
            </w:r>
            <w:r w:rsidRPr="00EB525A">
              <w:rPr>
                <w:rFonts w:ascii="Segoe UI" w:eastAsia="新細明體" w:hAnsi="Segoe UI" w:cs="Segoe UI"/>
                <w:color w:val="000000"/>
                <w:kern w:val="0"/>
                <w:sz w:val="17"/>
                <w:szCs w:val="17"/>
                <w:lang w:val="en-GB"/>
              </w:rPr>
              <w:t xml:space="preserve">with respect to the relevant position date, as applicable.  </w:t>
            </w:r>
          </w:p>
        </w:tc>
      </w:tr>
      <w:tr w:rsidR="00EB525A" w:rsidRPr="00EB525A" w:rsidTr="00297CA5">
        <w:tc>
          <w:tcPr>
            <w:tcW w:w="567" w:type="dxa"/>
            <w:shd w:val="clear" w:color="auto" w:fill="auto"/>
          </w:tcPr>
          <w:p w:rsidR="00EB525A" w:rsidRPr="00EB525A" w:rsidRDefault="00EB525A" w:rsidP="00EB525A">
            <w:pPr>
              <w:keepLines/>
              <w:tabs>
                <w:tab w:val="left" w:pos="150"/>
                <w:tab w:val="left" w:pos="397"/>
                <w:tab w:val="left" w:pos="794"/>
                <w:tab w:val="left" w:pos="1191"/>
              </w:tabs>
              <w:spacing w:before="40" w:after="40"/>
              <w:rPr>
                <w:rFonts w:ascii="Segoe UI" w:eastAsia="Times New Roman" w:hAnsi="Segoe UI" w:cs="Segoe UI"/>
                <w:kern w:val="0"/>
                <w:sz w:val="17"/>
                <w:szCs w:val="17"/>
                <w:lang w:val="en-GB" w:eastAsia="en-US"/>
              </w:rPr>
            </w:pPr>
            <w:r w:rsidRPr="00EB525A">
              <w:rPr>
                <w:rFonts w:ascii="Segoe UI" w:eastAsia="Times New Roman" w:hAnsi="Segoe UI" w:cs="Segoe UI"/>
                <w:kern w:val="0"/>
                <w:sz w:val="17"/>
                <w:szCs w:val="17"/>
                <w:lang w:val="en-GB" w:eastAsia="en-US"/>
              </w:rPr>
              <w:t>3</w:t>
            </w:r>
          </w:p>
        </w:tc>
        <w:tc>
          <w:tcPr>
            <w:tcW w:w="8647" w:type="dxa"/>
            <w:shd w:val="clear" w:color="auto" w:fill="auto"/>
          </w:tcPr>
          <w:p w:rsidR="00EB525A" w:rsidRPr="00EB525A" w:rsidRDefault="00EB525A" w:rsidP="00EB525A">
            <w:pPr>
              <w:keepLines/>
              <w:tabs>
                <w:tab w:val="left" w:pos="150"/>
                <w:tab w:val="left" w:pos="397"/>
                <w:tab w:val="left" w:pos="794"/>
                <w:tab w:val="left" w:pos="1191"/>
              </w:tabs>
              <w:spacing w:before="40" w:after="40"/>
              <w:jc w:val="both"/>
              <w:rPr>
                <w:rFonts w:ascii="Segoe UI" w:eastAsia="Times New Roman" w:hAnsi="Segoe UI" w:cs="Segoe UI"/>
                <w:kern w:val="0"/>
                <w:sz w:val="17"/>
                <w:szCs w:val="17"/>
                <w:lang w:val="en-GB" w:eastAsia="en-US"/>
              </w:rPr>
            </w:pPr>
            <w:r w:rsidRPr="00EB525A">
              <w:rPr>
                <w:rFonts w:ascii="Segoe UI" w:eastAsia="新細明體" w:hAnsi="Segoe UI" w:cs="Segoe UI"/>
                <w:iCs/>
                <w:color w:val="000000"/>
                <w:kern w:val="0"/>
                <w:sz w:val="17"/>
                <w:szCs w:val="17"/>
                <w:lang w:val="en-GB"/>
              </w:rPr>
              <w:t xml:space="preserve">Internal LAC risk-weighted ratio: </w:t>
            </w:r>
            <w:r w:rsidRPr="00EB525A">
              <w:rPr>
                <w:rFonts w:ascii="Segoe UI" w:eastAsia="新細明體" w:hAnsi="Segoe UI" w:cs="Segoe UI"/>
                <w:color w:val="000000"/>
                <w:kern w:val="0"/>
                <w:sz w:val="17"/>
                <w:szCs w:val="17"/>
                <w:lang w:val="en-GB"/>
              </w:rPr>
              <w:t>the value in</w:t>
            </w:r>
            <w:r w:rsidRPr="00EB525A">
              <w:rPr>
                <w:rFonts w:ascii="Segoe UI" w:eastAsia="Times New Roman" w:hAnsi="Segoe UI" w:cs="Segoe UI"/>
                <w:kern w:val="0"/>
                <w:sz w:val="17"/>
                <w:szCs w:val="17"/>
                <w:lang w:val="en-GB" w:eastAsia="en-US"/>
              </w:rPr>
              <w:t xml:space="preserve"> [KM2(A):3/a] </w:t>
            </w:r>
            <w:r w:rsidRPr="00EB525A">
              <w:rPr>
                <w:rFonts w:ascii="Segoe UI" w:eastAsia="新細明體" w:hAnsi="Segoe UI" w:cs="Segoe UI"/>
                <w:color w:val="000000"/>
                <w:kern w:val="0"/>
                <w:sz w:val="17"/>
                <w:szCs w:val="17"/>
                <w:lang w:val="en-GB"/>
              </w:rPr>
              <w:t xml:space="preserve">should be equal to the value in </w:t>
            </w:r>
            <w:r w:rsidRPr="00EB525A">
              <w:rPr>
                <w:rFonts w:ascii="Segoe UI" w:eastAsia="Times New Roman" w:hAnsi="Segoe UI" w:cs="Segoe UI"/>
                <w:kern w:val="0"/>
                <w:sz w:val="17"/>
                <w:szCs w:val="17"/>
                <w:lang w:val="en-GB" w:eastAsia="en-US"/>
              </w:rPr>
              <w:t>[TLAC1(A):25/a]</w:t>
            </w:r>
            <w:r w:rsidRPr="00EB525A">
              <w:rPr>
                <w:rFonts w:ascii="Segoe UI" w:eastAsia="新細明體" w:hAnsi="Segoe UI" w:cs="Segoe UI"/>
                <w:color w:val="000000"/>
                <w:kern w:val="0"/>
                <w:sz w:val="17"/>
                <w:szCs w:val="17"/>
                <w:lang w:val="en-GB"/>
              </w:rPr>
              <w:t xml:space="preserve"> of the material subsidiary with respect to the relevant position date, as applicable.  This is derived from internal loss-absorbing capacity available in row 1 divided by </w:t>
            </w:r>
            <w:r w:rsidRPr="00EB525A">
              <w:rPr>
                <w:rFonts w:ascii="Segoe UI" w:eastAsia="新細明體" w:hAnsi="Segoe UI" w:cs="Segoe UI"/>
                <w:iCs/>
                <w:color w:val="000000"/>
                <w:kern w:val="0"/>
                <w:sz w:val="17"/>
                <w:szCs w:val="17"/>
                <w:lang w:val="en-GB"/>
              </w:rPr>
              <w:t xml:space="preserve">risk-weighted amount under the LAC Rules in row 2.  </w:t>
            </w:r>
            <w:r w:rsidRPr="00EB525A">
              <w:rPr>
                <w:rFonts w:ascii="Segoe UI" w:hAnsi="Segoe UI" w:cs="Segoe UI"/>
                <w:sz w:val="17"/>
                <w:szCs w:val="17"/>
                <w:lang w:val="en-GB"/>
              </w:rPr>
              <w:t xml:space="preserve">The resultant ratio </w:t>
            </w:r>
            <w:r w:rsidRPr="00EB525A">
              <w:rPr>
                <w:rFonts w:ascii="Segoe UI" w:eastAsia="新細明體" w:hAnsi="Segoe UI" w:cs="Segoe UI"/>
                <w:color w:val="000000"/>
                <w:kern w:val="0"/>
                <w:sz w:val="17"/>
                <w:szCs w:val="17"/>
                <w:lang w:val="en-GB"/>
              </w:rPr>
              <w:t>should be expressed as a percentage.</w:t>
            </w:r>
          </w:p>
        </w:tc>
      </w:tr>
      <w:tr w:rsidR="00EB525A" w:rsidRPr="00EB525A" w:rsidTr="00297CA5">
        <w:tc>
          <w:tcPr>
            <w:tcW w:w="567" w:type="dxa"/>
            <w:shd w:val="clear" w:color="auto" w:fill="auto"/>
          </w:tcPr>
          <w:p w:rsidR="00EB525A" w:rsidRPr="00EB525A" w:rsidRDefault="00EB525A" w:rsidP="00EB525A">
            <w:pPr>
              <w:keepLines/>
              <w:tabs>
                <w:tab w:val="left" w:pos="150"/>
                <w:tab w:val="left" w:pos="397"/>
                <w:tab w:val="left" w:pos="794"/>
                <w:tab w:val="left" w:pos="1191"/>
              </w:tabs>
              <w:spacing w:before="40" w:after="40"/>
              <w:rPr>
                <w:rFonts w:ascii="Segoe UI" w:eastAsia="Times New Roman" w:hAnsi="Segoe UI" w:cs="Segoe UI"/>
                <w:kern w:val="0"/>
                <w:sz w:val="17"/>
                <w:szCs w:val="17"/>
                <w:lang w:val="en-GB" w:eastAsia="en-US"/>
              </w:rPr>
            </w:pPr>
            <w:r w:rsidRPr="00EB525A">
              <w:rPr>
                <w:rFonts w:ascii="Segoe UI" w:eastAsia="Times New Roman" w:hAnsi="Segoe UI" w:cs="Segoe UI"/>
                <w:kern w:val="0"/>
                <w:sz w:val="17"/>
                <w:szCs w:val="17"/>
                <w:lang w:val="en-GB" w:eastAsia="en-US"/>
              </w:rPr>
              <w:t>4</w:t>
            </w:r>
          </w:p>
        </w:tc>
        <w:tc>
          <w:tcPr>
            <w:tcW w:w="8647" w:type="dxa"/>
            <w:shd w:val="clear" w:color="auto" w:fill="auto"/>
          </w:tcPr>
          <w:p w:rsidR="00EB525A" w:rsidRPr="00EB525A" w:rsidRDefault="00EB525A" w:rsidP="00EB525A">
            <w:pPr>
              <w:keepLines/>
              <w:tabs>
                <w:tab w:val="left" w:pos="150"/>
                <w:tab w:val="left" w:pos="397"/>
                <w:tab w:val="left" w:pos="794"/>
                <w:tab w:val="left" w:pos="1191"/>
              </w:tabs>
              <w:spacing w:before="40" w:after="40"/>
              <w:jc w:val="both"/>
              <w:rPr>
                <w:rFonts w:ascii="Segoe UI" w:eastAsia="Times New Roman" w:hAnsi="Segoe UI" w:cs="Segoe UI"/>
                <w:kern w:val="0"/>
                <w:sz w:val="17"/>
                <w:szCs w:val="17"/>
                <w:lang w:val="en-GB" w:eastAsia="en-US"/>
              </w:rPr>
            </w:pPr>
            <w:r w:rsidRPr="00EB525A">
              <w:rPr>
                <w:rFonts w:ascii="Segoe UI" w:eastAsia="新細明體" w:hAnsi="Segoe UI" w:cs="Segoe UI"/>
                <w:iCs/>
                <w:color w:val="000000"/>
                <w:kern w:val="0"/>
                <w:sz w:val="17"/>
                <w:szCs w:val="17"/>
                <w:lang w:val="en-GB"/>
              </w:rPr>
              <w:t xml:space="preserve">Exposure measure under the LAC Rules: </w:t>
            </w:r>
            <w:r w:rsidRPr="00EB525A">
              <w:rPr>
                <w:rFonts w:ascii="Segoe UI" w:eastAsia="新細明體" w:hAnsi="Segoe UI" w:cs="Segoe UI"/>
                <w:color w:val="000000"/>
                <w:kern w:val="0"/>
                <w:sz w:val="17"/>
                <w:szCs w:val="17"/>
                <w:lang w:val="en-GB"/>
              </w:rPr>
              <w:t>the value in</w:t>
            </w:r>
            <w:r w:rsidRPr="00EB525A">
              <w:rPr>
                <w:rFonts w:ascii="Segoe UI" w:eastAsia="Times New Roman" w:hAnsi="Segoe UI" w:cs="Segoe UI"/>
                <w:kern w:val="0"/>
                <w:sz w:val="17"/>
                <w:szCs w:val="17"/>
                <w:lang w:val="en-GB" w:eastAsia="en-US"/>
              </w:rPr>
              <w:t xml:space="preserve"> [KM2(A):4/a] </w:t>
            </w:r>
            <w:r w:rsidRPr="00EB525A">
              <w:rPr>
                <w:rFonts w:ascii="Segoe UI" w:eastAsia="新細明體" w:hAnsi="Segoe UI" w:cs="Segoe UI"/>
                <w:color w:val="000000"/>
                <w:kern w:val="0"/>
                <w:sz w:val="17"/>
                <w:szCs w:val="17"/>
                <w:lang w:val="en-GB"/>
              </w:rPr>
              <w:t>should be equal to the value in</w:t>
            </w:r>
            <w:r w:rsidRPr="00EB525A">
              <w:rPr>
                <w:rFonts w:ascii="Segoe UI" w:eastAsia="Times New Roman" w:hAnsi="Segoe UI" w:cs="Segoe UI"/>
                <w:kern w:val="0"/>
                <w:sz w:val="17"/>
                <w:szCs w:val="17"/>
                <w:lang w:val="en-GB" w:eastAsia="en-US"/>
              </w:rPr>
              <w:t xml:space="preserve"> [TLAC1(A):24/a] of the material subsidiary </w:t>
            </w:r>
            <w:r w:rsidRPr="00EB525A">
              <w:rPr>
                <w:rFonts w:ascii="Segoe UI" w:eastAsia="新細明體" w:hAnsi="Segoe UI" w:cs="Segoe UI"/>
                <w:color w:val="000000"/>
                <w:kern w:val="0"/>
                <w:sz w:val="17"/>
                <w:szCs w:val="17"/>
                <w:lang w:val="en-GB"/>
              </w:rPr>
              <w:t>with respect to the relevant position date, as applicable.</w:t>
            </w:r>
          </w:p>
        </w:tc>
      </w:tr>
      <w:tr w:rsidR="00EB525A" w:rsidRPr="00EB525A" w:rsidTr="00297CA5">
        <w:tc>
          <w:tcPr>
            <w:tcW w:w="567" w:type="dxa"/>
            <w:shd w:val="clear" w:color="auto" w:fill="auto"/>
          </w:tcPr>
          <w:p w:rsidR="00EB525A" w:rsidRPr="00EB525A" w:rsidRDefault="00EB525A" w:rsidP="00EB525A">
            <w:pPr>
              <w:keepLines/>
              <w:tabs>
                <w:tab w:val="left" w:pos="150"/>
                <w:tab w:val="left" w:pos="397"/>
                <w:tab w:val="left" w:pos="794"/>
                <w:tab w:val="left" w:pos="1191"/>
              </w:tabs>
              <w:spacing w:before="40" w:after="40"/>
              <w:rPr>
                <w:rFonts w:ascii="Segoe UI" w:eastAsia="Times New Roman" w:hAnsi="Segoe UI" w:cs="Segoe UI"/>
                <w:kern w:val="0"/>
                <w:sz w:val="17"/>
                <w:szCs w:val="17"/>
                <w:lang w:val="en-GB" w:eastAsia="en-US"/>
              </w:rPr>
            </w:pPr>
            <w:r w:rsidRPr="00EB525A">
              <w:rPr>
                <w:rFonts w:ascii="Segoe UI" w:eastAsia="Times New Roman" w:hAnsi="Segoe UI" w:cs="Segoe UI"/>
                <w:kern w:val="0"/>
                <w:sz w:val="17"/>
                <w:szCs w:val="17"/>
                <w:lang w:val="en-GB" w:eastAsia="en-US"/>
              </w:rPr>
              <w:t>5</w:t>
            </w:r>
          </w:p>
        </w:tc>
        <w:tc>
          <w:tcPr>
            <w:tcW w:w="8647" w:type="dxa"/>
            <w:shd w:val="clear" w:color="auto" w:fill="auto"/>
          </w:tcPr>
          <w:p w:rsidR="00EB525A" w:rsidRPr="00EB525A" w:rsidRDefault="00EB525A" w:rsidP="00EB525A">
            <w:pPr>
              <w:keepLines/>
              <w:tabs>
                <w:tab w:val="left" w:pos="150"/>
                <w:tab w:val="left" w:pos="397"/>
                <w:tab w:val="left" w:pos="794"/>
                <w:tab w:val="left" w:pos="1191"/>
              </w:tabs>
              <w:spacing w:before="40" w:after="40"/>
              <w:jc w:val="both"/>
              <w:rPr>
                <w:rFonts w:ascii="Segoe UI" w:eastAsia="Times New Roman" w:hAnsi="Segoe UI" w:cs="Segoe UI"/>
                <w:kern w:val="0"/>
                <w:sz w:val="17"/>
                <w:szCs w:val="17"/>
                <w:lang w:val="en-GB" w:eastAsia="en-US"/>
              </w:rPr>
            </w:pPr>
            <w:r w:rsidRPr="00EB525A">
              <w:rPr>
                <w:rFonts w:ascii="Segoe UI" w:eastAsia="新細明體" w:hAnsi="Segoe UI" w:cs="Segoe UI"/>
                <w:color w:val="000000"/>
                <w:kern w:val="0"/>
                <w:sz w:val="17"/>
                <w:szCs w:val="17"/>
                <w:lang w:val="en-GB"/>
              </w:rPr>
              <w:t>Internal LAC leverage ratio: the value in</w:t>
            </w:r>
            <w:r w:rsidRPr="00EB525A">
              <w:rPr>
                <w:rFonts w:ascii="Segoe UI" w:eastAsia="Times New Roman" w:hAnsi="Segoe UI" w:cs="Segoe UI"/>
                <w:kern w:val="0"/>
                <w:sz w:val="17"/>
                <w:szCs w:val="17"/>
                <w:lang w:val="en-GB" w:eastAsia="en-US"/>
              </w:rPr>
              <w:t xml:space="preserve"> [KM2(A):5/a] </w:t>
            </w:r>
            <w:r w:rsidRPr="00EB525A">
              <w:rPr>
                <w:rFonts w:ascii="Segoe UI" w:eastAsia="新細明體" w:hAnsi="Segoe UI" w:cs="Segoe UI"/>
                <w:color w:val="000000"/>
                <w:kern w:val="0"/>
                <w:sz w:val="17"/>
                <w:szCs w:val="17"/>
                <w:lang w:val="en-GB"/>
              </w:rPr>
              <w:t>should be equal to the value in</w:t>
            </w:r>
            <w:r w:rsidRPr="00EB525A">
              <w:rPr>
                <w:rFonts w:ascii="Segoe UI" w:eastAsia="Times New Roman" w:hAnsi="Segoe UI" w:cs="Segoe UI"/>
                <w:kern w:val="0"/>
                <w:sz w:val="17"/>
                <w:szCs w:val="17"/>
                <w:lang w:val="en-GB" w:eastAsia="en-US"/>
              </w:rPr>
              <w:t xml:space="preserve"> [TLAC1(A):26/a]</w:t>
            </w:r>
            <w:r w:rsidRPr="00EB525A">
              <w:rPr>
                <w:rFonts w:ascii="Segoe UI" w:eastAsia="新細明體" w:hAnsi="Segoe UI" w:cs="Segoe UI"/>
                <w:color w:val="000000"/>
                <w:kern w:val="0"/>
                <w:sz w:val="17"/>
                <w:szCs w:val="17"/>
                <w:lang w:val="en-GB"/>
              </w:rPr>
              <w:t xml:space="preserve"> of the material subsidiary with respect to the relevant position date, as applicable.  This is derived from internal loss-absorbing capacity available in row 1 divided by </w:t>
            </w:r>
            <w:r w:rsidRPr="00EB525A">
              <w:rPr>
                <w:rFonts w:ascii="Segoe UI" w:eastAsia="新細明體" w:hAnsi="Segoe UI" w:cs="Segoe UI"/>
                <w:iCs/>
                <w:color w:val="000000"/>
                <w:kern w:val="0"/>
                <w:sz w:val="17"/>
                <w:szCs w:val="17"/>
                <w:lang w:val="en-GB"/>
              </w:rPr>
              <w:t xml:space="preserve">exposure measure under the LAC Rules in row 4.  </w:t>
            </w:r>
            <w:r w:rsidRPr="00EB525A">
              <w:rPr>
                <w:rFonts w:ascii="Segoe UI" w:hAnsi="Segoe UI" w:cs="Segoe UI"/>
                <w:sz w:val="17"/>
                <w:szCs w:val="17"/>
                <w:lang w:val="en-GB"/>
              </w:rPr>
              <w:t xml:space="preserve">The resultant ratio </w:t>
            </w:r>
            <w:r w:rsidRPr="00EB525A">
              <w:rPr>
                <w:rFonts w:ascii="Segoe UI" w:eastAsia="新細明體" w:hAnsi="Segoe UI" w:cs="Segoe UI"/>
                <w:color w:val="000000"/>
                <w:kern w:val="0"/>
                <w:sz w:val="17"/>
                <w:szCs w:val="17"/>
                <w:lang w:val="en-GB"/>
              </w:rPr>
              <w:t>should be expressed as a percentage.</w:t>
            </w:r>
          </w:p>
        </w:tc>
      </w:tr>
      <w:tr w:rsidR="00EB525A" w:rsidRPr="00EB525A" w:rsidTr="00297CA5">
        <w:tc>
          <w:tcPr>
            <w:tcW w:w="567" w:type="dxa"/>
            <w:shd w:val="clear" w:color="auto" w:fill="auto"/>
          </w:tcPr>
          <w:p w:rsidR="00EB525A" w:rsidRPr="00EB525A" w:rsidRDefault="00EB525A" w:rsidP="00EB525A">
            <w:pPr>
              <w:keepLines/>
              <w:tabs>
                <w:tab w:val="left" w:pos="150"/>
                <w:tab w:val="left" w:pos="397"/>
                <w:tab w:val="left" w:pos="794"/>
                <w:tab w:val="left" w:pos="1191"/>
              </w:tabs>
              <w:spacing w:before="40" w:after="40"/>
              <w:rPr>
                <w:rFonts w:ascii="Segoe UI" w:eastAsia="Times New Roman" w:hAnsi="Segoe UI" w:cs="Segoe UI"/>
                <w:kern w:val="0"/>
                <w:sz w:val="17"/>
                <w:szCs w:val="17"/>
                <w:lang w:val="en-GB" w:eastAsia="en-US"/>
              </w:rPr>
            </w:pPr>
            <w:r w:rsidRPr="00EB525A">
              <w:rPr>
                <w:rFonts w:ascii="Segoe UI" w:eastAsia="Times New Roman" w:hAnsi="Segoe UI" w:cs="Segoe UI"/>
                <w:kern w:val="0"/>
                <w:sz w:val="17"/>
                <w:szCs w:val="17"/>
                <w:lang w:val="en-GB" w:eastAsia="en-US"/>
              </w:rPr>
              <w:t>6a</w:t>
            </w:r>
          </w:p>
        </w:tc>
        <w:tc>
          <w:tcPr>
            <w:tcW w:w="8647" w:type="dxa"/>
            <w:shd w:val="clear" w:color="auto" w:fill="auto"/>
          </w:tcPr>
          <w:p w:rsidR="00EB525A" w:rsidRPr="00EB525A" w:rsidRDefault="00EB525A" w:rsidP="00EB525A">
            <w:pPr>
              <w:keepLines/>
              <w:tabs>
                <w:tab w:val="left" w:pos="397"/>
                <w:tab w:val="left" w:pos="794"/>
                <w:tab w:val="left" w:pos="1191"/>
              </w:tabs>
              <w:spacing w:before="40" w:after="40"/>
              <w:jc w:val="both"/>
              <w:rPr>
                <w:rFonts w:ascii="Segoe UI" w:eastAsia="Times New Roman" w:hAnsi="Segoe UI" w:cs="Segoe UI"/>
                <w:kern w:val="0"/>
                <w:sz w:val="17"/>
                <w:szCs w:val="17"/>
                <w:lang w:val="en-GB" w:eastAsia="en-GB"/>
              </w:rPr>
            </w:pPr>
            <w:r w:rsidRPr="00EB525A">
              <w:rPr>
                <w:rFonts w:ascii="Segoe UI" w:eastAsia="Times New Roman" w:hAnsi="Segoe UI" w:cs="Segoe UI"/>
                <w:kern w:val="0"/>
                <w:sz w:val="17"/>
                <w:szCs w:val="17"/>
                <w:lang w:val="en-GB" w:eastAsia="en-GB"/>
              </w:rPr>
              <w:t>The subordination exemption in the antepenultimate paragraph of Section 11 of the FSB TLAC Term Sheet does not apply in Hong Kong under the LAC Rules.</w:t>
            </w:r>
          </w:p>
        </w:tc>
      </w:tr>
      <w:tr w:rsidR="00EB525A" w:rsidRPr="00EB525A" w:rsidTr="00297CA5">
        <w:tc>
          <w:tcPr>
            <w:tcW w:w="567" w:type="dxa"/>
            <w:shd w:val="clear" w:color="auto" w:fill="auto"/>
          </w:tcPr>
          <w:p w:rsidR="00EB525A" w:rsidRPr="00EB525A" w:rsidRDefault="00EB525A" w:rsidP="00EB525A">
            <w:pPr>
              <w:keepLines/>
              <w:tabs>
                <w:tab w:val="left" w:pos="150"/>
                <w:tab w:val="left" w:pos="397"/>
                <w:tab w:val="left" w:pos="794"/>
                <w:tab w:val="left" w:pos="1191"/>
              </w:tabs>
              <w:spacing w:before="40" w:after="40"/>
              <w:rPr>
                <w:rFonts w:ascii="Segoe UI" w:eastAsia="Times New Roman" w:hAnsi="Segoe UI" w:cs="Segoe UI"/>
                <w:kern w:val="0"/>
                <w:sz w:val="17"/>
                <w:szCs w:val="17"/>
                <w:lang w:val="en-GB" w:eastAsia="en-US"/>
              </w:rPr>
            </w:pPr>
            <w:r w:rsidRPr="00EB525A">
              <w:rPr>
                <w:rFonts w:ascii="Segoe UI" w:eastAsia="Times New Roman" w:hAnsi="Segoe UI" w:cs="Segoe UI"/>
                <w:kern w:val="0"/>
                <w:sz w:val="17"/>
                <w:szCs w:val="17"/>
                <w:lang w:val="en-GB" w:eastAsia="en-US"/>
              </w:rPr>
              <w:t>6b</w:t>
            </w:r>
          </w:p>
        </w:tc>
        <w:tc>
          <w:tcPr>
            <w:tcW w:w="8647" w:type="dxa"/>
            <w:shd w:val="clear" w:color="auto" w:fill="auto"/>
          </w:tcPr>
          <w:p w:rsidR="00EB525A" w:rsidRPr="00EB525A" w:rsidRDefault="00EB525A" w:rsidP="00EB525A">
            <w:pPr>
              <w:keepLines/>
              <w:tabs>
                <w:tab w:val="left" w:pos="397"/>
                <w:tab w:val="left" w:pos="794"/>
                <w:tab w:val="left" w:pos="1191"/>
              </w:tabs>
              <w:spacing w:before="40" w:after="40"/>
              <w:jc w:val="both"/>
              <w:rPr>
                <w:rFonts w:ascii="Segoe UI" w:eastAsia="Times New Roman" w:hAnsi="Segoe UI" w:cs="Segoe UI"/>
                <w:kern w:val="0"/>
                <w:sz w:val="17"/>
                <w:szCs w:val="17"/>
                <w:lang w:val="en-GB" w:eastAsia="en-GB"/>
              </w:rPr>
            </w:pPr>
            <w:r w:rsidRPr="00EB525A">
              <w:rPr>
                <w:rFonts w:ascii="Segoe UI" w:eastAsia="Times New Roman" w:hAnsi="Segoe UI" w:cs="Segoe UI"/>
                <w:kern w:val="0"/>
                <w:sz w:val="17"/>
                <w:szCs w:val="17"/>
                <w:lang w:val="en-GB" w:eastAsia="en-GB"/>
              </w:rPr>
              <w:t>The subordination exemption in the penultimate paragraph of Section 11 of the FSB TLAC Term Sheet does not apply in Hong Kong under the LAC Rules.</w:t>
            </w:r>
          </w:p>
        </w:tc>
      </w:tr>
      <w:tr w:rsidR="00EB525A" w:rsidRPr="00EB525A" w:rsidTr="00297CA5">
        <w:tc>
          <w:tcPr>
            <w:tcW w:w="567" w:type="dxa"/>
            <w:shd w:val="clear" w:color="auto" w:fill="auto"/>
          </w:tcPr>
          <w:p w:rsidR="00EB525A" w:rsidRPr="00EB525A" w:rsidRDefault="00EB525A" w:rsidP="00EB525A">
            <w:pPr>
              <w:keepLines/>
              <w:tabs>
                <w:tab w:val="left" w:pos="150"/>
                <w:tab w:val="left" w:pos="397"/>
                <w:tab w:val="left" w:pos="794"/>
                <w:tab w:val="left" w:pos="1191"/>
              </w:tabs>
              <w:spacing w:before="40" w:after="40"/>
              <w:rPr>
                <w:rFonts w:ascii="Segoe UI" w:eastAsia="Times New Roman" w:hAnsi="Segoe UI" w:cs="Segoe UI"/>
                <w:kern w:val="0"/>
                <w:sz w:val="17"/>
                <w:szCs w:val="17"/>
                <w:lang w:val="en-GB" w:eastAsia="en-US"/>
              </w:rPr>
            </w:pPr>
            <w:r w:rsidRPr="00EB525A">
              <w:rPr>
                <w:rFonts w:ascii="Segoe UI" w:eastAsia="Times New Roman" w:hAnsi="Segoe UI" w:cs="Segoe UI"/>
                <w:kern w:val="0"/>
                <w:sz w:val="17"/>
                <w:szCs w:val="17"/>
                <w:lang w:val="en-GB" w:eastAsia="en-US"/>
              </w:rPr>
              <w:t>6c</w:t>
            </w:r>
          </w:p>
        </w:tc>
        <w:tc>
          <w:tcPr>
            <w:tcW w:w="8647" w:type="dxa"/>
            <w:shd w:val="clear" w:color="auto" w:fill="auto"/>
          </w:tcPr>
          <w:p w:rsidR="00EB525A" w:rsidRPr="00EB525A" w:rsidRDefault="00EB525A" w:rsidP="00EB525A">
            <w:pPr>
              <w:keepLines/>
              <w:tabs>
                <w:tab w:val="left" w:pos="397"/>
                <w:tab w:val="left" w:pos="794"/>
                <w:tab w:val="left" w:pos="1191"/>
              </w:tabs>
              <w:spacing w:before="40" w:after="40"/>
              <w:jc w:val="both"/>
              <w:rPr>
                <w:rFonts w:ascii="Segoe UI" w:eastAsia="Times New Roman" w:hAnsi="Segoe UI" w:cs="Segoe UI"/>
                <w:kern w:val="0"/>
                <w:sz w:val="17"/>
                <w:szCs w:val="17"/>
                <w:lang w:val="en-GB" w:eastAsia="en-GB"/>
              </w:rPr>
            </w:pPr>
            <w:r w:rsidRPr="00EB525A">
              <w:rPr>
                <w:rFonts w:ascii="Segoe UI" w:eastAsia="Times New Roman" w:hAnsi="Segoe UI" w:cs="Segoe UI"/>
                <w:kern w:val="0"/>
                <w:sz w:val="17"/>
                <w:szCs w:val="17"/>
                <w:lang w:val="en-GB" w:eastAsia="en-GB"/>
              </w:rPr>
              <w:t>The subordination exemption in the penultimate paragraph of Section 11 of the FSB TLAC Term Sheet does not apply in Hong Kong under the LAC Rules.</w:t>
            </w:r>
          </w:p>
        </w:tc>
      </w:tr>
    </w:tbl>
    <w:p w:rsidR="00EB525A" w:rsidRPr="00EB525A" w:rsidRDefault="00EB525A" w:rsidP="00EB525A">
      <w:pPr>
        <w:rPr>
          <w:lang w:val="en-GB"/>
        </w:rPr>
      </w:pPr>
    </w:p>
    <w:p w:rsidR="00A5707F" w:rsidRDefault="00A5707F">
      <w:pPr>
        <w:rPr>
          <w:lang w:val="en-GB"/>
        </w:rPr>
        <w:sectPr w:rsidR="00A5707F" w:rsidSect="00297CA5">
          <w:footerReference w:type="default" r:id="rId11"/>
          <w:pgSz w:w="11906" w:h="16838"/>
          <w:pgMar w:top="1440" w:right="1797" w:bottom="1440" w:left="1797" w:header="851" w:footer="992" w:gutter="0"/>
          <w:cols w:space="425"/>
          <w:docGrid w:type="lines" w:linePitch="360"/>
        </w:sectPr>
      </w:pPr>
    </w:p>
    <w:tbl>
      <w:tblPr>
        <w:tblW w:w="9242" w:type="dxa"/>
        <w:tblInd w:w="-459" w:type="dxa"/>
        <w:tblBorders>
          <w:top w:val="single" w:sz="4" w:space="0" w:color="auto"/>
          <w:bottom w:val="single" w:sz="4" w:space="0" w:color="auto"/>
          <w:insideH w:val="single" w:sz="4" w:space="0" w:color="auto"/>
          <w:insideV w:val="single" w:sz="4" w:space="0" w:color="auto"/>
        </w:tblBorders>
        <w:tblLook w:val="00A0" w:firstRow="1" w:lastRow="0" w:firstColumn="1" w:lastColumn="0" w:noHBand="0" w:noVBand="0"/>
      </w:tblPr>
      <w:tblGrid>
        <w:gridCol w:w="2127"/>
        <w:gridCol w:w="7115"/>
      </w:tblGrid>
      <w:tr w:rsidR="00A5707F" w:rsidRPr="00A5707F" w:rsidTr="00297CA5">
        <w:tc>
          <w:tcPr>
            <w:tcW w:w="9242" w:type="dxa"/>
            <w:gridSpan w:val="2"/>
            <w:tcBorders>
              <w:top w:val="nil"/>
            </w:tcBorders>
          </w:tcPr>
          <w:p w:rsidR="00A5707F" w:rsidRPr="00A5707F" w:rsidRDefault="00A5707F" w:rsidP="0026430D">
            <w:pPr>
              <w:widowControl/>
              <w:spacing w:before="40" w:after="40"/>
              <w:jc w:val="both"/>
              <w:rPr>
                <w:rFonts w:ascii="Segoe UI" w:eastAsia="Times New Roman" w:hAnsi="Segoe UI" w:cs="Times New Roman"/>
                <w:kern w:val="0"/>
                <w:sz w:val="22"/>
                <w:szCs w:val="20"/>
                <w:lang w:val="en-GB" w:eastAsia="en-US"/>
              </w:rPr>
            </w:pPr>
            <w:r w:rsidRPr="00A5707F">
              <w:rPr>
                <w:rFonts w:ascii="Segoe UI" w:eastAsia="Times New Roman" w:hAnsi="Segoe UI" w:cs="Times New Roman"/>
                <w:kern w:val="0"/>
                <w:sz w:val="22"/>
                <w:szCs w:val="20"/>
                <w:lang w:val="en-GB" w:eastAsia="en-US"/>
              </w:rPr>
              <w:lastRenderedPageBreak/>
              <w:t xml:space="preserve">Template KM2(B): Key metrics – TLAC requirements for non-HK resolution entity (at resolution group level) </w:t>
            </w:r>
          </w:p>
          <w:p w:rsidR="00A5707F" w:rsidRPr="00A5707F" w:rsidRDefault="00A5707F" w:rsidP="00A5707F">
            <w:pPr>
              <w:widowControl/>
              <w:spacing w:before="40" w:after="40"/>
              <w:rPr>
                <w:rFonts w:ascii="Segoe UI" w:eastAsia="Times New Roman" w:hAnsi="Segoe UI" w:cs="Times New Roman"/>
                <w:noProof/>
                <w:kern w:val="0"/>
                <w:sz w:val="17"/>
                <w:szCs w:val="20"/>
                <w:lang w:val="en-GB" w:eastAsia="en-GB"/>
              </w:rPr>
            </w:pPr>
          </w:p>
        </w:tc>
      </w:tr>
      <w:tr w:rsidR="00A5707F" w:rsidRPr="00A5707F" w:rsidTr="00297CA5">
        <w:tc>
          <w:tcPr>
            <w:tcW w:w="2127" w:type="dxa"/>
          </w:tcPr>
          <w:p w:rsidR="00A5707F" w:rsidRPr="00A5707F" w:rsidRDefault="00A5707F" w:rsidP="00A5707F">
            <w:pPr>
              <w:widowControl/>
              <w:spacing w:before="40" w:after="40"/>
              <w:rPr>
                <w:rFonts w:ascii="Segoe UI" w:eastAsia="Times New Roman" w:hAnsi="Segoe UI" w:cs="Times New Roman"/>
                <w:noProof/>
                <w:kern w:val="0"/>
                <w:sz w:val="17"/>
                <w:szCs w:val="20"/>
                <w:lang w:val="en-GB" w:eastAsia="en-GB"/>
              </w:rPr>
            </w:pPr>
            <w:r w:rsidRPr="00A5707F">
              <w:rPr>
                <w:rFonts w:ascii="Segoe UI" w:eastAsia="Times New Roman" w:hAnsi="Segoe UI" w:cs="Times New Roman"/>
                <w:b/>
                <w:kern w:val="0"/>
                <w:sz w:val="17"/>
                <w:szCs w:val="20"/>
                <w:lang w:val="en-GB" w:eastAsia="en-GB"/>
              </w:rPr>
              <w:t>Purpose:</w:t>
            </w:r>
            <w:r w:rsidRPr="00A5707F">
              <w:rPr>
                <w:rFonts w:ascii="Segoe UI" w:eastAsia="Times New Roman" w:hAnsi="Segoe UI" w:cs="Times New Roman"/>
                <w:kern w:val="0"/>
                <w:sz w:val="17"/>
                <w:szCs w:val="20"/>
                <w:lang w:val="en-GB" w:eastAsia="en-GB"/>
              </w:rPr>
              <w:t xml:space="preserve"> </w:t>
            </w:r>
          </w:p>
        </w:tc>
        <w:tc>
          <w:tcPr>
            <w:tcW w:w="7115" w:type="dxa"/>
          </w:tcPr>
          <w:p w:rsidR="00A5707F" w:rsidRPr="00A5707F" w:rsidRDefault="00A5707F" w:rsidP="00A5707F">
            <w:pPr>
              <w:widowControl/>
              <w:spacing w:before="40" w:after="40"/>
              <w:jc w:val="both"/>
              <w:rPr>
                <w:rFonts w:ascii="Segoe UI" w:eastAsia="新細明體" w:hAnsi="Segoe UI" w:cs="Times New Roman"/>
                <w:noProof/>
                <w:kern w:val="0"/>
                <w:sz w:val="17"/>
                <w:szCs w:val="20"/>
                <w:lang w:val="en-GB" w:eastAsia="en-GB"/>
              </w:rPr>
            </w:pPr>
            <w:r w:rsidRPr="00A5707F">
              <w:rPr>
                <w:rFonts w:ascii="Segoe UI" w:eastAsia="新細明體" w:hAnsi="Segoe UI" w:cs="Times New Roman"/>
                <w:noProof/>
                <w:kern w:val="0"/>
                <w:sz w:val="17"/>
                <w:szCs w:val="20"/>
                <w:lang w:val="en-GB" w:eastAsia="en-GB"/>
              </w:rPr>
              <w:t xml:space="preserve">For a material subsidiary in a resolution group with a non-HK resolution entity to provide summary information on external loss-absorbing capacity available, at resolution group level, of the non-HK resolution entity, to the extent that the material subsidiary can reasonably obtain the necessary information.  </w:t>
            </w:r>
          </w:p>
        </w:tc>
      </w:tr>
      <w:tr w:rsidR="00A5707F" w:rsidRPr="00A5707F" w:rsidTr="00297CA5">
        <w:tc>
          <w:tcPr>
            <w:tcW w:w="2127" w:type="dxa"/>
          </w:tcPr>
          <w:p w:rsidR="00A5707F" w:rsidRPr="00A5707F" w:rsidRDefault="00A5707F" w:rsidP="00A5707F">
            <w:pPr>
              <w:widowControl/>
              <w:spacing w:before="40" w:after="40"/>
              <w:rPr>
                <w:rFonts w:ascii="Segoe UI" w:eastAsia="Times New Roman" w:hAnsi="Segoe UI" w:cs="Times New Roman"/>
                <w:b/>
                <w:kern w:val="0"/>
                <w:sz w:val="17"/>
                <w:szCs w:val="20"/>
                <w:lang w:val="en-GB" w:eastAsia="en-GB"/>
              </w:rPr>
            </w:pPr>
            <w:r w:rsidRPr="00A5707F">
              <w:rPr>
                <w:rFonts w:ascii="Segoe UI" w:eastAsia="Times New Roman" w:hAnsi="Segoe UI" w:cs="Times New Roman"/>
                <w:b/>
                <w:kern w:val="0"/>
                <w:sz w:val="17"/>
                <w:szCs w:val="20"/>
                <w:lang w:val="en-GB" w:eastAsia="en-GB"/>
              </w:rPr>
              <w:t xml:space="preserve">Scope of application: </w:t>
            </w:r>
          </w:p>
        </w:tc>
        <w:tc>
          <w:tcPr>
            <w:tcW w:w="7115" w:type="dxa"/>
          </w:tcPr>
          <w:p w:rsidR="00A5707F" w:rsidRPr="00A5707F" w:rsidRDefault="00A5707F" w:rsidP="00A5707F">
            <w:pPr>
              <w:widowControl/>
              <w:tabs>
                <w:tab w:val="right" w:pos="6899"/>
              </w:tabs>
              <w:spacing w:before="40" w:after="40"/>
              <w:jc w:val="both"/>
              <w:rPr>
                <w:rFonts w:ascii="Segoe UI" w:eastAsia="新細明體" w:hAnsi="Segoe UI" w:cs="Times New Roman"/>
                <w:b/>
                <w:kern w:val="0"/>
                <w:sz w:val="17"/>
                <w:szCs w:val="20"/>
                <w:lang w:val="en-GB" w:eastAsia="en-GB"/>
              </w:rPr>
            </w:pPr>
            <w:r w:rsidRPr="00A5707F">
              <w:rPr>
                <w:rFonts w:ascii="Segoe UI" w:eastAsia="新細明體" w:hAnsi="Segoe UI" w:cs="Times New Roman"/>
                <w:kern w:val="0"/>
                <w:sz w:val="17"/>
                <w:szCs w:val="20"/>
                <w:lang w:val="en-GB" w:eastAsia="en-GB"/>
              </w:rPr>
              <w:t>The template is mandatory for all material subsidiaries under the Financial Institutions (Resolution) (Loss-absorbing Capacity Requirements – Banking Sector) Rules (“LAC Rules”).</w:t>
            </w:r>
            <w:r w:rsidRPr="00A5707F">
              <w:rPr>
                <w:rFonts w:ascii="Segoe UI" w:eastAsia="新細明體" w:hAnsi="Segoe UI" w:cs="Times New Roman"/>
                <w:kern w:val="0"/>
                <w:sz w:val="17"/>
                <w:szCs w:val="20"/>
                <w:lang w:val="en-GB" w:eastAsia="en-GB"/>
              </w:rPr>
              <w:tab/>
            </w:r>
          </w:p>
        </w:tc>
      </w:tr>
      <w:tr w:rsidR="00A5707F" w:rsidRPr="00A5707F" w:rsidTr="00297CA5">
        <w:tc>
          <w:tcPr>
            <w:tcW w:w="2127" w:type="dxa"/>
          </w:tcPr>
          <w:p w:rsidR="00A5707F" w:rsidRPr="00A5707F" w:rsidRDefault="00A5707F" w:rsidP="00A5707F">
            <w:pPr>
              <w:widowControl/>
              <w:spacing w:before="40" w:after="40"/>
              <w:rPr>
                <w:rFonts w:ascii="Segoe UI" w:eastAsia="Times New Roman" w:hAnsi="Segoe UI" w:cs="Times New Roman"/>
                <w:b/>
                <w:kern w:val="0"/>
                <w:sz w:val="17"/>
                <w:szCs w:val="20"/>
                <w:lang w:val="en-GB" w:eastAsia="en-GB"/>
              </w:rPr>
            </w:pPr>
            <w:r w:rsidRPr="00A5707F">
              <w:rPr>
                <w:rFonts w:ascii="Segoe UI" w:eastAsia="Times New Roman" w:hAnsi="Segoe UI" w:cs="Times New Roman"/>
                <w:b/>
                <w:kern w:val="0"/>
                <w:sz w:val="17"/>
                <w:szCs w:val="20"/>
                <w:lang w:val="en-GB" w:eastAsia="en-GB"/>
              </w:rPr>
              <w:t xml:space="preserve">Content: </w:t>
            </w:r>
          </w:p>
        </w:tc>
        <w:tc>
          <w:tcPr>
            <w:tcW w:w="7115" w:type="dxa"/>
          </w:tcPr>
          <w:p w:rsidR="00A5707F" w:rsidRPr="00A5707F" w:rsidRDefault="00A5707F" w:rsidP="00A5707F">
            <w:pPr>
              <w:widowControl/>
              <w:spacing w:before="40" w:after="40"/>
              <w:jc w:val="both"/>
              <w:rPr>
                <w:rFonts w:ascii="Segoe UI" w:eastAsia="新細明體" w:hAnsi="Segoe UI" w:cs="Times New Roman"/>
                <w:kern w:val="0"/>
                <w:sz w:val="17"/>
                <w:szCs w:val="20"/>
                <w:lang w:val="en-GB" w:eastAsia="en-GB"/>
              </w:rPr>
            </w:pPr>
            <w:r w:rsidRPr="00A5707F">
              <w:rPr>
                <w:rFonts w:ascii="Segoe UI" w:eastAsia="新細明體" w:hAnsi="Segoe UI" w:cs="Times New Roman"/>
                <w:kern w:val="0"/>
                <w:sz w:val="17"/>
                <w:szCs w:val="20"/>
                <w:lang w:val="en-GB" w:eastAsia="en-GB"/>
              </w:rPr>
              <w:t xml:space="preserve">Where applicable, key regulatory metrics related to external loss-absorbing capacity of the non-HK resolution entity of a material subsidiary.  Material subsidiaries are required to disclose the values for the current reporting period (designated by T in the template below) as well as the four previous quarterly reporting periods (designated by T-1 to T-4 respectively).  </w:t>
            </w:r>
          </w:p>
        </w:tc>
      </w:tr>
      <w:tr w:rsidR="00A5707F" w:rsidRPr="00A5707F" w:rsidTr="00297CA5">
        <w:tc>
          <w:tcPr>
            <w:tcW w:w="2127" w:type="dxa"/>
          </w:tcPr>
          <w:p w:rsidR="00A5707F" w:rsidRPr="00A5707F" w:rsidRDefault="00A5707F" w:rsidP="00A5707F">
            <w:pPr>
              <w:widowControl/>
              <w:spacing w:before="40" w:after="40"/>
              <w:rPr>
                <w:rFonts w:ascii="Segoe UI" w:eastAsia="Times New Roman" w:hAnsi="Segoe UI" w:cs="Times New Roman"/>
                <w:kern w:val="0"/>
                <w:sz w:val="17"/>
                <w:szCs w:val="20"/>
                <w:lang w:val="en-GB" w:eastAsia="en-GB"/>
              </w:rPr>
            </w:pPr>
            <w:r w:rsidRPr="00A5707F">
              <w:rPr>
                <w:rFonts w:ascii="Segoe UI" w:eastAsia="Times New Roman" w:hAnsi="Segoe UI" w:cs="Times New Roman"/>
                <w:b/>
                <w:kern w:val="0"/>
                <w:sz w:val="17"/>
                <w:szCs w:val="20"/>
                <w:lang w:val="en-GB" w:eastAsia="en-GB"/>
              </w:rPr>
              <w:t>Frequency:</w:t>
            </w:r>
            <w:r w:rsidRPr="00A5707F">
              <w:rPr>
                <w:rFonts w:ascii="Segoe UI" w:eastAsia="Times New Roman" w:hAnsi="Segoe UI" w:cs="Times New Roman"/>
                <w:kern w:val="0"/>
                <w:sz w:val="17"/>
                <w:szCs w:val="20"/>
                <w:lang w:val="en-GB" w:eastAsia="en-GB"/>
              </w:rPr>
              <w:t xml:space="preserve"> </w:t>
            </w:r>
          </w:p>
        </w:tc>
        <w:tc>
          <w:tcPr>
            <w:tcW w:w="7115" w:type="dxa"/>
          </w:tcPr>
          <w:p w:rsidR="00A5707F" w:rsidRPr="00A5707F" w:rsidRDefault="00A5707F" w:rsidP="00A5707F">
            <w:pPr>
              <w:widowControl/>
              <w:spacing w:before="40" w:after="40"/>
              <w:jc w:val="both"/>
              <w:rPr>
                <w:rFonts w:ascii="Segoe UI" w:eastAsia="新細明體" w:hAnsi="Segoe UI" w:cs="Times New Roman"/>
                <w:kern w:val="0"/>
                <w:sz w:val="17"/>
                <w:szCs w:val="20"/>
                <w:lang w:val="en-GB" w:eastAsia="en-GB"/>
              </w:rPr>
            </w:pPr>
            <w:r w:rsidRPr="00A5707F">
              <w:rPr>
                <w:rFonts w:ascii="Segoe UI" w:eastAsia="新細明體" w:hAnsi="Segoe UI" w:cs="Times New Roman"/>
                <w:kern w:val="0"/>
                <w:sz w:val="17"/>
                <w:szCs w:val="20"/>
                <w:lang w:val="en-GB" w:eastAsia="en-GB"/>
              </w:rPr>
              <w:t xml:space="preserve">Quarterly.  </w:t>
            </w:r>
          </w:p>
        </w:tc>
      </w:tr>
      <w:tr w:rsidR="00A5707F" w:rsidRPr="00A5707F" w:rsidTr="00297CA5">
        <w:tc>
          <w:tcPr>
            <w:tcW w:w="2127" w:type="dxa"/>
          </w:tcPr>
          <w:p w:rsidR="00A5707F" w:rsidRPr="00A5707F" w:rsidRDefault="00A5707F" w:rsidP="00A5707F">
            <w:pPr>
              <w:widowControl/>
              <w:spacing w:before="40" w:after="40"/>
              <w:rPr>
                <w:rFonts w:ascii="Segoe UI" w:eastAsia="Times New Roman" w:hAnsi="Segoe UI" w:cs="Times New Roman"/>
                <w:kern w:val="0"/>
                <w:sz w:val="17"/>
                <w:szCs w:val="20"/>
                <w:lang w:val="en-GB" w:eastAsia="en-GB"/>
              </w:rPr>
            </w:pPr>
            <w:r w:rsidRPr="00A5707F">
              <w:rPr>
                <w:rFonts w:ascii="Segoe UI" w:eastAsia="Times New Roman" w:hAnsi="Segoe UI" w:cs="Times New Roman"/>
                <w:b/>
                <w:kern w:val="0"/>
                <w:sz w:val="17"/>
                <w:szCs w:val="20"/>
                <w:lang w:val="en-GB" w:eastAsia="en-GB"/>
              </w:rPr>
              <w:t>Format:</w:t>
            </w:r>
            <w:r w:rsidRPr="00A5707F">
              <w:rPr>
                <w:rFonts w:ascii="Segoe UI" w:eastAsia="Times New Roman" w:hAnsi="Segoe UI" w:cs="Times New Roman"/>
                <w:kern w:val="0"/>
                <w:sz w:val="17"/>
                <w:szCs w:val="20"/>
                <w:lang w:val="en-GB" w:eastAsia="en-GB"/>
              </w:rPr>
              <w:t xml:space="preserve"> </w:t>
            </w:r>
          </w:p>
        </w:tc>
        <w:tc>
          <w:tcPr>
            <w:tcW w:w="7115" w:type="dxa"/>
          </w:tcPr>
          <w:p w:rsidR="00A5707F" w:rsidRPr="00A5707F" w:rsidRDefault="00A5707F" w:rsidP="00A5707F">
            <w:pPr>
              <w:widowControl/>
              <w:spacing w:before="40" w:after="40"/>
              <w:jc w:val="both"/>
              <w:rPr>
                <w:rFonts w:ascii="Segoe UI" w:eastAsia="新細明體" w:hAnsi="Segoe UI" w:cs="Times New Roman"/>
                <w:kern w:val="0"/>
                <w:sz w:val="17"/>
                <w:szCs w:val="20"/>
                <w:lang w:val="en-GB" w:eastAsia="en-GB"/>
              </w:rPr>
            </w:pPr>
            <w:r w:rsidRPr="00A5707F">
              <w:rPr>
                <w:rFonts w:ascii="Segoe UI" w:eastAsia="新細明體" w:hAnsi="Segoe UI" w:cs="Times New Roman"/>
                <w:kern w:val="0"/>
                <w:sz w:val="17"/>
                <w:szCs w:val="20"/>
                <w:lang w:val="en-GB" w:eastAsia="en-GB"/>
              </w:rPr>
              <w:t>Fixed.</w:t>
            </w:r>
          </w:p>
        </w:tc>
      </w:tr>
      <w:tr w:rsidR="00A5707F" w:rsidRPr="00A5707F" w:rsidTr="00297CA5">
        <w:tc>
          <w:tcPr>
            <w:tcW w:w="2127" w:type="dxa"/>
          </w:tcPr>
          <w:p w:rsidR="00A5707F" w:rsidRPr="00A5707F" w:rsidRDefault="00A5707F" w:rsidP="00A5707F">
            <w:pPr>
              <w:widowControl/>
              <w:spacing w:before="40" w:after="40"/>
              <w:rPr>
                <w:rFonts w:ascii="Segoe UI" w:eastAsia="Times New Roman" w:hAnsi="Segoe UI" w:cs="Times New Roman"/>
                <w:b/>
                <w:kern w:val="0"/>
                <w:sz w:val="17"/>
                <w:szCs w:val="20"/>
                <w:lang w:val="en-GB" w:eastAsia="en-GB"/>
              </w:rPr>
            </w:pPr>
            <w:r w:rsidRPr="00A5707F">
              <w:rPr>
                <w:rFonts w:ascii="Segoe UI" w:eastAsia="新細明體" w:hAnsi="Segoe UI" w:cs="Times New Roman"/>
                <w:b/>
                <w:kern w:val="0"/>
                <w:sz w:val="17"/>
                <w:szCs w:val="17"/>
                <w:lang w:val="en-GB" w:eastAsia="en-GB"/>
              </w:rPr>
              <w:t>Accompanying narrative</w:t>
            </w:r>
            <w:r w:rsidRPr="00A5707F">
              <w:rPr>
                <w:rFonts w:ascii="Segoe UI" w:eastAsia="新細明體" w:hAnsi="Segoe UI" w:cs="Times New Roman"/>
                <w:kern w:val="0"/>
                <w:sz w:val="17"/>
                <w:szCs w:val="17"/>
                <w:lang w:val="en-GB" w:eastAsia="en-GB"/>
              </w:rPr>
              <w:t>:</w:t>
            </w:r>
          </w:p>
        </w:tc>
        <w:tc>
          <w:tcPr>
            <w:tcW w:w="7115" w:type="dxa"/>
          </w:tcPr>
          <w:p w:rsidR="00A5707F" w:rsidRPr="00A5707F" w:rsidRDefault="00A5707F" w:rsidP="00A5707F">
            <w:pPr>
              <w:widowControl/>
              <w:spacing w:before="40" w:after="40"/>
              <w:jc w:val="both"/>
              <w:rPr>
                <w:rFonts w:ascii="Segoe UI" w:eastAsia="新細明體" w:hAnsi="Segoe UI" w:cs="Times New Roman"/>
                <w:kern w:val="0"/>
                <w:sz w:val="17"/>
                <w:szCs w:val="20"/>
                <w:lang w:val="en-GB" w:eastAsia="en-GB"/>
              </w:rPr>
            </w:pPr>
            <w:r w:rsidRPr="00A5707F">
              <w:rPr>
                <w:rFonts w:ascii="Segoe UI" w:eastAsia="新細明體" w:hAnsi="Segoe UI" w:cs="Times New Roman"/>
                <w:kern w:val="0"/>
                <w:sz w:val="17"/>
                <w:szCs w:val="20"/>
                <w:lang w:val="en-GB" w:eastAsia="en-GB"/>
              </w:rPr>
              <w:t>A material subsidiary should explain the key drivers behind any material changes across reporting periods for each value in a narrative commentary.</w:t>
            </w:r>
          </w:p>
        </w:tc>
      </w:tr>
      <w:tr w:rsidR="00A5707F" w:rsidRPr="00A5707F" w:rsidTr="00297CA5">
        <w:tc>
          <w:tcPr>
            <w:tcW w:w="2127" w:type="dxa"/>
          </w:tcPr>
          <w:p w:rsidR="00A5707F" w:rsidRPr="00A5707F" w:rsidRDefault="00A5707F" w:rsidP="00A5707F">
            <w:pPr>
              <w:widowControl/>
              <w:spacing w:before="40" w:after="40"/>
              <w:rPr>
                <w:rFonts w:ascii="Segoe UI" w:eastAsia="新細明體" w:hAnsi="Segoe UI" w:cs="Times New Roman"/>
                <w:b/>
                <w:kern w:val="0"/>
                <w:sz w:val="17"/>
                <w:szCs w:val="17"/>
                <w:highlight w:val="yellow"/>
                <w:lang w:val="en-GB" w:eastAsia="en-GB"/>
              </w:rPr>
            </w:pPr>
            <w:r w:rsidRPr="00A5707F">
              <w:rPr>
                <w:rFonts w:ascii="Segoe UI" w:eastAsia="新細明體" w:hAnsi="Segoe UI" w:cs="Times New Roman"/>
                <w:b/>
                <w:kern w:val="0"/>
                <w:sz w:val="17"/>
                <w:szCs w:val="17"/>
                <w:lang w:val="en-GB" w:eastAsia="en-GB"/>
              </w:rPr>
              <w:t>Corresponding LAC Rules rule</w:t>
            </w:r>
          </w:p>
        </w:tc>
        <w:tc>
          <w:tcPr>
            <w:tcW w:w="7115" w:type="dxa"/>
          </w:tcPr>
          <w:p w:rsidR="00A5707F" w:rsidRPr="00A5707F" w:rsidRDefault="00A5707F" w:rsidP="00A5707F">
            <w:pPr>
              <w:widowControl/>
              <w:spacing w:before="40" w:after="40"/>
              <w:jc w:val="both"/>
              <w:rPr>
                <w:rFonts w:ascii="Segoe UI" w:eastAsia="新細明體" w:hAnsi="Segoe UI" w:cs="Times New Roman"/>
                <w:kern w:val="0"/>
                <w:sz w:val="17"/>
                <w:szCs w:val="17"/>
                <w:highlight w:val="yellow"/>
                <w:lang w:val="en-GB" w:eastAsia="en-GB"/>
              </w:rPr>
            </w:pPr>
            <w:r w:rsidRPr="00A5707F">
              <w:rPr>
                <w:rFonts w:ascii="Segoe UI" w:eastAsia="新細明體" w:hAnsi="Segoe UI" w:cs="Times New Roman"/>
                <w:kern w:val="0"/>
                <w:sz w:val="17"/>
                <w:szCs w:val="17"/>
                <w:lang w:val="en-GB" w:eastAsia="en-GB"/>
              </w:rPr>
              <w:t>47(2)</w:t>
            </w:r>
          </w:p>
        </w:tc>
      </w:tr>
    </w:tbl>
    <w:p w:rsidR="00A5707F" w:rsidRPr="00A5707F" w:rsidRDefault="00A5707F" w:rsidP="00A5707F">
      <w:pPr>
        <w:widowControl/>
        <w:spacing w:before="120" w:after="120"/>
        <w:rPr>
          <w:rFonts w:ascii="Segoe UI" w:eastAsia="Times New Roman" w:hAnsi="Segoe UI" w:cs="Times New Roman"/>
          <w:kern w:val="0"/>
          <w:sz w:val="22"/>
          <w:szCs w:val="20"/>
          <w:lang w:val="en-GB" w:eastAsia="en-US"/>
        </w:rPr>
      </w:pPr>
    </w:p>
    <w:tbl>
      <w:tblPr>
        <w:tblW w:w="9964" w:type="dxa"/>
        <w:tblInd w:w="-539" w:type="dxa"/>
        <w:tblCellMar>
          <w:left w:w="28" w:type="dxa"/>
          <w:right w:w="28" w:type="dxa"/>
        </w:tblCellMar>
        <w:tblLook w:val="04A0" w:firstRow="1" w:lastRow="0" w:firstColumn="1" w:lastColumn="0" w:noHBand="0" w:noVBand="1"/>
      </w:tblPr>
      <w:tblGrid>
        <w:gridCol w:w="340"/>
        <w:gridCol w:w="85"/>
        <w:gridCol w:w="5954"/>
        <w:gridCol w:w="709"/>
        <w:gridCol w:w="709"/>
        <w:gridCol w:w="708"/>
        <w:gridCol w:w="709"/>
        <w:gridCol w:w="750"/>
      </w:tblGrid>
      <w:tr w:rsidR="00A5707F" w:rsidRPr="00A5707F" w:rsidTr="00297CA5">
        <w:trPr>
          <w:trHeight w:val="283"/>
        </w:trPr>
        <w:tc>
          <w:tcPr>
            <w:tcW w:w="340" w:type="dxa"/>
            <w:tcBorders>
              <w:top w:val="single" w:sz="4" w:space="0" w:color="auto"/>
              <w:left w:val="nil"/>
              <w:bottom w:val="nil"/>
              <w:right w:val="nil"/>
            </w:tcBorders>
            <w:shd w:val="clear" w:color="auto" w:fill="auto"/>
            <w:noWrap/>
            <w:vAlign w:val="center"/>
            <w:hideMark/>
          </w:tcPr>
          <w:p w:rsidR="00A5707F" w:rsidRPr="00A5707F" w:rsidRDefault="00A5707F" w:rsidP="00A5707F">
            <w:pPr>
              <w:widowControl/>
              <w:spacing w:line="200" w:lineRule="exact"/>
              <w:rPr>
                <w:rFonts w:ascii="Segoe UI" w:eastAsia="新細明體" w:hAnsi="Segoe UI" w:cs="Segoe UI"/>
                <w:color w:val="000000"/>
                <w:kern w:val="0"/>
                <w:sz w:val="17"/>
                <w:szCs w:val="17"/>
                <w:lang w:val="en-GB"/>
              </w:rPr>
            </w:pPr>
          </w:p>
        </w:tc>
        <w:tc>
          <w:tcPr>
            <w:tcW w:w="6039" w:type="dxa"/>
            <w:gridSpan w:val="2"/>
            <w:tcBorders>
              <w:top w:val="single" w:sz="4" w:space="0" w:color="auto"/>
              <w:left w:val="nil"/>
              <w:bottom w:val="nil"/>
              <w:right w:val="nil"/>
            </w:tcBorders>
            <w:shd w:val="clear" w:color="auto" w:fill="auto"/>
            <w:noWrap/>
            <w:vAlign w:val="center"/>
            <w:hideMark/>
          </w:tcPr>
          <w:p w:rsidR="00A5707F" w:rsidRPr="00A5707F" w:rsidRDefault="00A5707F" w:rsidP="00A5707F">
            <w:pPr>
              <w:widowControl/>
              <w:spacing w:line="200" w:lineRule="exact"/>
              <w:rPr>
                <w:rFonts w:ascii="Segoe UI" w:eastAsia="新細明體" w:hAnsi="Segoe UI" w:cs="Segoe UI"/>
                <w:color w:val="000000"/>
                <w:kern w:val="0"/>
                <w:sz w:val="17"/>
                <w:szCs w:val="17"/>
                <w:lang w:val="en-GB"/>
              </w:rPr>
            </w:pPr>
          </w:p>
        </w:tc>
        <w:tc>
          <w:tcPr>
            <w:tcW w:w="709" w:type="dxa"/>
            <w:tcBorders>
              <w:top w:val="single" w:sz="4" w:space="0" w:color="auto"/>
              <w:left w:val="single" w:sz="4" w:space="0" w:color="auto"/>
              <w:bottom w:val="single" w:sz="4" w:space="0" w:color="auto"/>
              <w:right w:val="single" w:sz="4" w:space="0" w:color="BFBFBF"/>
            </w:tcBorders>
            <w:shd w:val="clear" w:color="auto" w:fill="auto"/>
            <w:vAlign w:val="center"/>
            <w:hideMark/>
          </w:tcPr>
          <w:p w:rsidR="00A5707F" w:rsidRPr="00A5707F" w:rsidRDefault="00A5707F" w:rsidP="00A5707F">
            <w:pPr>
              <w:widowControl/>
              <w:spacing w:line="200" w:lineRule="exact"/>
              <w:jc w:val="center"/>
              <w:rPr>
                <w:rFonts w:ascii="Segoe UI" w:eastAsia="新細明體" w:hAnsi="Segoe UI" w:cs="Segoe UI"/>
                <w:color w:val="000000"/>
                <w:kern w:val="0"/>
                <w:sz w:val="17"/>
                <w:szCs w:val="17"/>
                <w:lang w:val="en-GB"/>
              </w:rPr>
            </w:pPr>
            <w:r w:rsidRPr="00A5707F">
              <w:rPr>
                <w:rFonts w:ascii="Segoe UI" w:eastAsia="新細明體" w:hAnsi="Segoe UI" w:cs="Segoe UI"/>
                <w:color w:val="000000"/>
                <w:kern w:val="0"/>
                <w:sz w:val="17"/>
                <w:szCs w:val="17"/>
                <w:lang w:val="en-GB"/>
              </w:rPr>
              <w:t>(a)</w:t>
            </w:r>
          </w:p>
        </w:tc>
        <w:tc>
          <w:tcPr>
            <w:tcW w:w="709" w:type="dxa"/>
            <w:tcBorders>
              <w:top w:val="single" w:sz="4" w:space="0" w:color="auto"/>
              <w:left w:val="nil"/>
              <w:bottom w:val="single" w:sz="4" w:space="0" w:color="auto"/>
              <w:right w:val="single" w:sz="4" w:space="0" w:color="BFBFBF"/>
            </w:tcBorders>
            <w:shd w:val="clear" w:color="auto" w:fill="auto"/>
            <w:vAlign w:val="center"/>
            <w:hideMark/>
          </w:tcPr>
          <w:p w:rsidR="00A5707F" w:rsidRPr="00A5707F" w:rsidRDefault="00A5707F" w:rsidP="00A5707F">
            <w:pPr>
              <w:widowControl/>
              <w:spacing w:line="200" w:lineRule="exact"/>
              <w:jc w:val="center"/>
              <w:rPr>
                <w:rFonts w:ascii="Segoe UI" w:eastAsia="新細明體" w:hAnsi="Segoe UI" w:cs="Segoe UI"/>
                <w:color w:val="000000"/>
                <w:kern w:val="0"/>
                <w:sz w:val="17"/>
                <w:szCs w:val="17"/>
                <w:lang w:val="en-GB"/>
              </w:rPr>
            </w:pPr>
            <w:r w:rsidRPr="00A5707F">
              <w:rPr>
                <w:rFonts w:ascii="Segoe UI" w:eastAsia="新細明體" w:hAnsi="Segoe UI" w:cs="Segoe UI"/>
                <w:color w:val="000000"/>
                <w:kern w:val="0"/>
                <w:sz w:val="17"/>
                <w:szCs w:val="17"/>
                <w:lang w:val="en-GB"/>
              </w:rPr>
              <w:t>(b)</w:t>
            </w:r>
          </w:p>
        </w:tc>
        <w:tc>
          <w:tcPr>
            <w:tcW w:w="708" w:type="dxa"/>
            <w:tcBorders>
              <w:top w:val="single" w:sz="4" w:space="0" w:color="auto"/>
              <w:left w:val="nil"/>
              <w:bottom w:val="single" w:sz="4" w:space="0" w:color="auto"/>
              <w:right w:val="single" w:sz="4" w:space="0" w:color="BFBFBF"/>
            </w:tcBorders>
            <w:shd w:val="clear" w:color="auto" w:fill="auto"/>
            <w:vAlign w:val="center"/>
            <w:hideMark/>
          </w:tcPr>
          <w:p w:rsidR="00A5707F" w:rsidRPr="00A5707F" w:rsidRDefault="00A5707F" w:rsidP="00A5707F">
            <w:pPr>
              <w:widowControl/>
              <w:spacing w:line="200" w:lineRule="exact"/>
              <w:jc w:val="center"/>
              <w:rPr>
                <w:rFonts w:ascii="Segoe UI" w:eastAsia="新細明體" w:hAnsi="Segoe UI" w:cs="Segoe UI"/>
                <w:color w:val="000000"/>
                <w:kern w:val="0"/>
                <w:sz w:val="17"/>
                <w:szCs w:val="17"/>
                <w:lang w:val="en-GB"/>
              </w:rPr>
            </w:pPr>
            <w:r w:rsidRPr="00A5707F">
              <w:rPr>
                <w:rFonts w:ascii="Segoe UI" w:eastAsia="新細明體" w:hAnsi="Segoe UI" w:cs="Segoe UI"/>
                <w:color w:val="000000"/>
                <w:kern w:val="0"/>
                <w:sz w:val="17"/>
                <w:szCs w:val="17"/>
                <w:lang w:val="en-GB"/>
              </w:rPr>
              <w:t>(c)</w:t>
            </w:r>
          </w:p>
        </w:tc>
        <w:tc>
          <w:tcPr>
            <w:tcW w:w="709" w:type="dxa"/>
            <w:tcBorders>
              <w:top w:val="single" w:sz="4" w:space="0" w:color="auto"/>
              <w:left w:val="nil"/>
              <w:bottom w:val="single" w:sz="4" w:space="0" w:color="auto"/>
              <w:right w:val="single" w:sz="4" w:space="0" w:color="BFBFBF"/>
            </w:tcBorders>
            <w:shd w:val="clear" w:color="auto" w:fill="auto"/>
            <w:vAlign w:val="center"/>
            <w:hideMark/>
          </w:tcPr>
          <w:p w:rsidR="00A5707F" w:rsidRPr="00A5707F" w:rsidRDefault="00A5707F" w:rsidP="00A5707F">
            <w:pPr>
              <w:widowControl/>
              <w:spacing w:line="200" w:lineRule="exact"/>
              <w:jc w:val="center"/>
              <w:rPr>
                <w:rFonts w:ascii="Segoe UI" w:eastAsia="新細明體" w:hAnsi="Segoe UI" w:cs="Segoe UI"/>
                <w:color w:val="000000"/>
                <w:kern w:val="0"/>
                <w:sz w:val="17"/>
                <w:szCs w:val="17"/>
                <w:lang w:val="en-GB"/>
              </w:rPr>
            </w:pPr>
            <w:r w:rsidRPr="00A5707F">
              <w:rPr>
                <w:rFonts w:ascii="Segoe UI" w:eastAsia="新細明體" w:hAnsi="Segoe UI" w:cs="Segoe UI"/>
                <w:color w:val="000000"/>
                <w:kern w:val="0"/>
                <w:sz w:val="17"/>
                <w:szCs w:val="17"/>
                <w:lang w:val="en-GB"/>
              </w:rPr>
              <w:t>(d)</w:t>
            </w:r>
          </w:p>
        </w:tc>
        <w:tc>
          <w:tcPr>
            <w:tcW w:w="750" w:type="dxa"/>
            <w:tcBorders>
              <w:top w:val="single" w:sz="4" w:space="0" w:color="auto"/>
              <w:left w:val="nil"/>
              <w:bottom w:val="single" w:sz="4" w:space="0" w:color="auto"/>
            </w:tcBorders>
            <w:shd w:val="clear" w:color="auto" w:fill="auto"/>
            <w:vAlign w:val="center"/>
            <w:hideMark/>
          </w:tcPr>
          <w:p w:rsidR="00A5707F" w:rsidRPr="00A5707F" w:rsidRDefault="00A5707F" w:rsidP="00A5707F">
            <w:pPr>
              <w:widowControl/>
              <w:spacing w:line="200" w:lineRule="exact"/>
              <w:jc w:val="center"/>
              <w:rPr>
                <w:rFonts w:ascii="Segoe UI" w:eastAsia="新細明體" w:hAnsi="Segoe UI" w:cs="Segoe UI"/>
                <w:color w:val="000000"/>
                <w:kern w:val="0"/>
                <w:sz w:val="17"/>
                <w:szCs w:val="17"/>
                <w:lang w:val="en-GB"/>
              </w:rPr>
            </w:pPr>
            <w:r w:rsidRPr="00A5707F">
              <w:rPr>
                <w:rFonts w:ascii="Segoe UI" w:eastAsia="新細明體" w:hAnsi="Segoe UI" w:cs="Segoe UI"/>
                <w:color w:val="000000"/>
                <w:kern w:val="0"/>
                <w:sz w:val="17"/>
                <w:szCs w:val="17"/>
                <w:lang w:val="en-GB"/>
              </w:rPr>
              <w:t>(e)</w:t>
            </w:r>
          </w:p>
        </w:tc>
      </w:tr>
      <w:tr w:rsidR="00A5707F" w:rsidRPr="00A5707F" w:rsidTr="00297CA5">
        <w:trPr>
          <w:trHeight w:val="247"/>
        </w:trPr>
        <w:tc>
          <w:tcPr>
            <w:tcW w:w="340" w:type="dxa"/>
            <w:tcBorders>
              <w:top w:val="nil"/>
              <w:left w:val="nil"/>
              <w:bottom w:val="single" w:sz="4" w:space="0" w:color="000000" w:themeColor="text1"/>
              <w:right w:val="nil"/>
            </w:tcBorders>
            <w:shd w:val="clear" w:color="auto" w:fill="auto"/>
            <w:noWrap/>
            <w:vAlign w:val="center"/>
            <w:hideMark/>
          </w:tcPr>
          <w:p w:rsidR="00A5707F" w:rsidRPr="00A5707F" w:rsidRDefault="00A5707F" w:rsidP="00A5707F">
            <w:pPr>
              <w:widowControl/>
              <w:spacing w:line="200" w:lineRule="exact"/>
              <w:rPr>
                <w:rFonts w:ascii="Segoe UI" w:eastAsia="新細明體" w:hAnsi="Segoe UI" w:cs="Segoe UI"/>
                <w:color w:val="000000"/>
                <w:kern w:val="0"/>
                <w:sz w:val="17"/>
                <w:szCs w:val="17"/>
                <w:lang w:val="en-GB"/>
              </w:rPr>
            </w:pPr>
          </w:p>
        </w:tc>
        <w:tc>
          <w:tcPr>
            <w:tcW w:w="6039" w:type="dxa"/>
            <w:gridSpan w:val="2"/>
            <w:tcBorders>
              <w:top w:val="nil"/>
              <w:left w:val="nil"/>
              <w:bottom w:val="single" w:sz="4" w:space="0" w:color="000000" w:themeColor="text1"/>
              <w:right w:val="nil"/>
            </w:tcBorders>
            <w:shd w:val="clear" w:color="auto" w:fill="auto"/>
            <w:noWrap/>
            <w:vAlign w:val="center"/>
            <w:hideMark/>
          </w:tcPr>
          <w:p w:rsidR="00A5707F" w:rsidRPr="00A5707F" w:rsidRDefault="00A5707F" w:rsidP="00A5707F">
            <w:pPr>
              <w:widowControl/>
              <w:spacing w:line="200" w:lineRule="exact"/>
              <w:rPr>
                <w:rFonts w:ascii="Segoe UI" w:eastAsia="新細明體" w:hAnsi="Segoe UI" w:cs="Segoe UI"/>
                <w:color w:val="000000"/>
                <w:kern w:val="0"/>
                <w:sz w:val="17"/>
                <w:szCs w:val="17"/>
                <w:lang w:val="en-GB"/>
              </w:rPr>
            </w:pPr>
          </w:p>
        </w:tc>
        <w:tc>
          <w:tcPr>
            <w:tcW w:w="709" w:type="dxa"/>
            <w:tcBorders>
              <w:top w:val="nil"/>
              <w:left w:val="single" w:sz="4" w:space="0" w:color="auto"/>
              <w:bottom w:val="single" w:sz="4" w:space="0" w:color="000000" w:themeColor="text1"/>
              <w:right w:val="single" w:sz="4" w:space="0" w:color="BFBFBF"/>
            </w:tcBorders>
            <w:shd w:val="clear" w:color="auto" w:fill="auto"/>
            <w:vAlign w:val="center"/>
            <w:hideMark/>
          </w:tcPr>
          <w:p w:rsidR="00A5707F" w:rsidRPr="00A5707F" w:rsidRDefault="00A5707F" w:rsidP="00A5707F">
            <w:pPr>
              <w:spacing w:line="200" w:lineRule="exact"/>
              <w:jc w:val="center"/>
              <w:rPr>
                <w:rFonts w:ascii="Segoe UI" w:hAnsi="Segoe UI" w:cs="Segoe UI"/>
                <w:sz w:val="17"/>
                <w:szCs w:val="17"/>
                <w:lang w:val="en-GB"/>
              </w:rPr>
            </w:pPr>
            <w:r w:rsidRPr="00A5707F">
              <w:rPr>
                <w:rFonts w:ascii="Segoe UI" w:hAnsi="Segoe UI" w:cs="Segoe UI"/>
                <w:sz w:val="17"/>
                <w:szCs w:val="17"/>
                <w:lang w:val="en-GB"/>
              </w:rPr>
              <w:t>T</w:t>
            </w:r>
          </w:p>
        </w:tc>
        <w:tc>
          <w:tcPr>
            <w:tcW w:w="709" w:type="dxa"/>
            <w:tcBorders>
              <w:top w:val="nil"/>
              <w:left w:val="nil"/>
              <w:bottom w:val="single" w:sz="4" w:space="0" w:color="000000" w:themeColor="text1"/>
              <w:right w:val="single" w:sz="4" w:space="0" w:color="BFBFBF"/>
            </w:tcBorders>
            <w:shd w:val="clear" w:color="auto" w:fill="auto"/>
            <w:vAlign w:val="center"/>
            <w:hideMark/>
          </w:tcPr>
          <w:p w:rsidR="00A5707F" w:rsidRPr="00A5707F" w:rsidRDefault="00A5707F" w:rsidP="00A5707F">
            <w:pPr>
              <w:spacing w:line="200" w:lineRule="exact"/>
              <w:jc w:val="center"/>
              <w:rPr>
                <w:rFonts w:ascii="Segoe UI" w:hAnsi="Segoe UI" w:cs="Segoe UI"/>
                <w:sz w:val="17"/>
                <w:szCs w:val="17"/>
                <w:lang w:val="en-GB"/>
              </w:rPr>
            </w:pPr>
            <w:r w:rsidRPr="00A5707F">
              <w:rPr>
                <w:rFonts w:ascii="Segoe UI" w:hAnsi="Segoe UI" w:cs="Segoe UI"/>
                <w:sz w:val="17"/>
                <w:szCs w:val="17"/>
                <w:lang w:val="en-GB"/>
              </w:rPr>
              <w:t>T-1</w:t>
            </w:r>
          </w:p>
        </w:tc>
        <w:tc>
          <w:tcPr>
            <w:tcW w:w="708" w:type="dxa"/>
            <w:tcBorders>
              <w:top w:val="nil"/>
              <w:left w:val="nil"/>
              <w:bottom w:val="single" w:sz="4" w:space="0" w:color="000000" w:themeColor="text1"/>
              <w:right w:val="single" w:sz="4" w:space="0" w:color="BFBFBF"/>
            </w:tcBorders>
            <w:shd w:val="clear" w:color="auto" w:fill="auto"/>
            <w:vAlign w:val="center"/>
            <w:hideMark/>
          </w:tcPr>
          <w:p w:rsidR="00A5707F" w:rsidRPr="00A5707F" w:rsidRDefault="00A5707F" w:rsidP="00A5707F">
            <w:pPr>
              <w:spacing w:line="200" w:lineRule="exact"/>
              <w:jc w:val="center"/>
              <w:rPr>
                <w:rFonts w:ascii="Segoe UI" w:hAnsi="Segoe UI" w:cs="Segoe UI"/>
                <w:sz w:val="17"/>
                <w:szCs w:val="17"/>
                <w:lang w:val="en-GB"/>
              </w:rPr>
            </w:pPr>
            <w:r w:rsidRPr="00A5707F">
              <w:rPr>
                <w:rFonts w:ascii="Segoe UI" w:hAnsi="Segoe UI" w:cs="Segoe UI"/>
                <w:sz w:val="17"/>
                <w:szCs w:val="17"/>
                <w:lang w:val="en-GB"/>
              </w:rPr>
              <w:t>T-2</w:t>
            </w:r>
          </w:p>
        </w:tc>
        <w:tc>
          <w:tcPr>
            <w:tcW w:w="709" w:type="dxa"/>
            <w:tcBorders>
              <w:top w:val="nil"/>
              <w:left w:val="nil"/>
              <w:bottom w:val="single" w:sz="4" w:space="0" w:color="000000" w:themeColor="text1"/>
              <w:right w:val="single" w:sz="4" w:space="0" w:color="BFBFBF"/>
            </w:tcBorders>
            <w:shd w:val="clear" w:color="auto" w:fill="auto"/>
            <w:vAlign w:val="center"/>
            <w:hideMark/>
          </w:tcPr>
          <w:p w:rsidR="00A5707F" w:rsidRPr="00A5707F" w:rsidRDefault="00A5707F" w:rsidP="00A5707F">
            <w:pPr>
              <w:spacing w:line="200" w:lineRule="exact"/>
              <w:jc w:val="center"/>
              <w:rPr>
                <w:rFonts w:ascii="Segoe UI" w:hAnsi="Segoe UI" w:cs="Segoe UI"/>
                <w:sz w:val="17"/>
                <w:szCs w:val="17"/>
                <w:lang w:val="en-GB"/>
              </w:rPr>
            </w:pPr>
            <w:r w:rsidRPr="00A5707F">
              <w:rPr>
                <w:rFonts w:ascii="Segoe UI" w:hAnsi="Segoe UI" w:cs="Segoe UI"/>
                <w:sz w:val="17"/>
                <w:szCs w:val="17"/>
                <w:lang w:val="en-GB"/>
              </w:rPr>
              <w:t>T-3</w:t>
            </w:r>
          </w:p>
        </w:tc>
        <w:tc>
          <w:tcPr>
            <w:tcW w:w="750" w:type="dxa"/>
            <w:tcBorders>
              <w:top w:val="nil"/>
              <w:left w:val="nil"/>
              <w:bottom w:val="single" w:sz="4" w:space="0" w:color="000000" w:themeColor="text1"/>
            </w:tcBorders>
            <w:shd w:val="clear" w:color="auto" w:fill="auto"/>
            <w:vAlign w:val="center"/>
            <w:hideMark/>
          </w:tcPr>
          <w:p w:rsidR="00A5707F" w:rsidRPr="00A5707F" w:rsidRDefault="00A5707F" w:rsidP="00A5707F">
            <w:pPr>
              <w:spacing w:line="200" w:lineRule="exact"/>
              <w:jc w:val="center"/>
              <w:rPr>
                <w:rFonts w:ascii="Segoe UI" w:hAnsi="Segoe UI" w:cs="Segoe UI"/>
                <w:sz w:val="17"/>
                <w:szCs w:val="17"/>
                <w:lang w:val="en-GB"/>
              </w:rPr>
            </w:pPr>
            <w:r w:rsidRPr="00A5707F">
              <w:rPr>
                <w:rFonts w:ascii="Segoe UI" w:hAnsi="Segoe UI" w:cs="Segoe UI"/>
                <w:sz w:val="17"/>
                <w:szCs w:val="17"/>
                <w:lang w:val="en-GB"/>
              </w:rPr>
              <w:t>T-4</w:t>
            </w:r>
          </w:p>
        </w:tc>
      </w:tr>
      <w:tr w:rsidR="00A5707F" w:rsidRPr="00A5707F" w:rsidTr="00297CA5">
        <w:trPr>
          <w:trHeight w:val="284"/>
        </w:trPr>
        <w:tc>
          <w:tcPr>
            <w:tcW w:w="9964" w:type="dxa"/>
            <w:gridSpan w:val="8"/>
            <w:tcBorders>
              <w:top w:val="single" w:sz="4" w:space="0" w:color="000000" w:themeColor="text1"/>
              <w:left w:val="nil"/>
              <w:bottom w:val="single" w:sz="4" w:space="0" w:color="000000" w:themeColor="text1"/>
            </w:tcBorders>
            <w:shd w:val="clear" w:color="auto" w:fill="D9D9D9" w:themeFill="background1" w:themeFillShade="D9"/>
            <w:noWrap/>
            <w:vAlign w:val="center"/>
          </w:tcPr>
          <w:p w:rsidR="00A5707F" w:rsidRPr="00A5707F" w:rsidRDefault="00A5707F" w:rsidP="00A5707F">
            <w:pPr>
              <w:widowControl/>
              <w:spacing w:line="200" w:lineRule="exact"/>
              <w:rPr>
                <w:rFonts w:ascii="Segoe UI" w:eastAsia="新細明體" w:hAnsi="Segoe UI" w:cs="Segoe UI"/>
                <w:color w:val="000000"/>
                <w:kern w:val="0"/>
                <w:sz w:val="17"/>
                <w:szCs w:val="17"/>
                <w:lang w:val="en-GB"/>
              </w:rPr>
            </w:pPr>
            <w:r w:rsidRPr="00A5707F">
              <w:rPr>
                <w:rFonts w:ascii="Segoe UI" w:eastAsia="新細明體" w:hAnsi="Segoe UI" w:cs="Segoe UI"/>
                <w:color w:val="000000"/>
                <w:kern w:val="0"/>
                <w:sz w:val="17"/>
                <w:szCs w:val="17"/>
                <w:lang w:val="en-GB"/>
              </w:rPr>
              <w:t>Of the non-HK resolution entity at resolution group level</w:t>
            </w:r>
          </w:p>
        </w:tc>
      </w:tr>
      <w:tr w:rsidR="00A5707F" w:rsidRPr="00A5707F" w:rsidTr="00297CA5">
        <w:trPr>
          <w:trHeight w:val="284"/>
        </w:trPr>
        <w:tc>
          <w:tcPr>
            <w:tcW w:w="425" w:type="dxa"/>
            <w:gridSpan w:val="2"/>
            <w:tcBorders>
              <w:top w:val="single" w:sz="4" w:space="0" w:color="000000" w:themeColor="text1"/>
              <w:left w:val="nil"/>
              <w:bottom w:val="single" w:sz="4" w:space="0" w:color="BFBFBF" w:themeColor="background1" w:themeShade="BF"/>
              <w:right w:val="single" w:sz="4" w:space="0" w:color="BFBFBF" w:themeColor="background1" w:themeShade="BF"/>
            </w:tcBorders>
            <w:shd w:val="clear" w:color="auto" w:fill="auto"/>
            <w:noWrap/>
            <w:vAlign w:val="center"/>
          </w:tcPr>
          <w:p w:rsidR="00A5707F" w:rsidRPr="00A5707F" w:rsidRDefault="00A5707F" w:rsidP="00A5707F">
            <w:pPr>
              <w:widowControl/>
              <w:spacing w:line="200" w:lineRule="exact"/>
              <w:rPr>
                <w:rFonts w:ascii="Segoe UI" w:eastAsia="新細明體" w:hAnsi="Segoe UI" w:cs="Segoe UI"/>
                <w:color w:val="000000"/>
                <w:kern w:val="0"/>
                <w:sz w:val="17"/>
                <w:szCs w:val="17"/>
                <w:lang w:val="en-GB"/>
              </w:rPr>
            </w:pPr>
            <w:r w:rsidRPr="00A5707F">
              <w:rPr>
                <w:rFonts w:ascii="Segoe UI" w:eastAsia="新細明體" w:hAnsi="Segoe UI" w:cs="Segoe UI"/>
                <w:color w:val="000000"/>
                <w:kern w:val="0"/>
                <w:sz w:val="17"/>
                <w:szCs w:val="17"/>
                <w:lang w:val="en-GB"/>
              </w:rPr>
              <w:t>1</w:t>
            </w:r>
          </w:p>
        </w:tc>
        <w:tc>
          <w:tcPr>
            <w:tcW w:w="5954" w:type="dxa"/>
            <w:tcBorders>
              <w:top w:val="single" w:sz="4" w:space="0" w:color="000000" w:themeColor="text1"/>
              <w:left w:val="single" w:sz="4" w:space="0" w:color="BFBFBF" w:themeColor="background1" w:themeShade="BF"/>
              <w:bottom w:val="single" w:sz="4" w:space="0" w:color="BFBFBF" w:themeColor="background1" w:themeShade="BF"/>
              <w:right w:val="single" w:sz="4" w:space="0" w:color="000000" w:themeColor="text1"/>
            </w:tcBorders>
            <w:shd w:val="clear" w:color="auto" w:fill="auto"/>
            <w:vAlign w:val="center"/>
          </w:tcPr>
          <w:p w:rsidR="00A5707F" w:rsidRPr="00A5707F" w:rsidRDefault="00A5707F" w:rsidP="00A5707F">
            <w:pPr>
              <w:widowControl/>
              <w:spacing w:line="200" w:lineRule="exact"/>
              <w:ind w:rightChars="47" w:right="113"/>
              <w:rPr>
                <w:rFonts w:ascii="Segoe UI" w:eastAsia="新細明體" w:hAnsi="Segoe UI" w:cs="Segoe UI"/>
                <w:color w:val="000000"/>
                <w:kern w:val="0"/>
                <w:sz w:val="17"/>
                <w:szCs w:val="17"/>
                <w:lang w:val="en-GB"/>
              </w:rPr>
            </w:pPr>
            <w:r w:rsidRPr="00A5707F">
              <w:rPr>
                <w:rFonts w:ascii="Segoe UI" w:eastAsia="新細明體" w:hAnsi="Segoe UI" w:cs="Segoe UI"/>
                <w:color w:val="000000"/>
                <w:kern w:val="0"/>
                <w:sz w:val="17"/>
                <w:szCs w:val="17"/>
                <w:lang w:val="en-GB"/>
              </w:rPr>
              <w:t>External loss-absorbing capacity available</w:t>
            </w:r>
          </w:p>
        </w:tc>
        <w:tc>
          <w:tcPr>
            <w:tcW w:w="709" w:type="dxa"/>
            <w:tcBorders>
              <w:top w:val="single" w:sz="4" w:space="0" w:color="000000" w:themeColor="text1"/>
              <w:left w:val="single" w:sz="4" w:space="0" w:color="000000" w:themeColor="text1"/>
              <w:bottom w:val="single" w:sz="4" w:space="0" w:color="BFBFBF" w:themeColor="background1" w:themeShade="BF"/>
              <w:right w:val="single" w:sz="4" w:space="0" w:color="BFBFBF" w:themeColor="background1" w:themeShade="BF"/>
            </w:tcBorders>
            <w:shd w:val="clear" w:color="auto" w:fill="auto"/>
            <w:noWrap/>
            <w:vAlign w:val="center"/>
          </w:tcPr>
          <w:p w:rsidR="00A5707F" w:rsidRPr="00A5707F" w:rsidRDefault="00A5707F" w:rsidP="00A5707F">
            <w:pPr>
              <w:widowControl/>
              <w:spacing w:line="200" w:lineRule="exact"/>
              <w:rPr>
                <w:rFonts w:ascii="Segoe UI" w:eastAsia="新細明體" w:hAnsi="Segoe UI" w:cs="Segoe UI"/>
                <w:color w:val="000000"/>
                <w:kern w:val="0"/>
                <w:sz w:val="17"/>
                <w:szCs w:val="17"/>
                <w:lang w:val="en-GB"/>
              </w:rPr>
            </w:pPr>
            <w:r w:rsidRPr="00A5707F">
              <w:rPr>
                <w:rFonts w:ascii="Segoe UI" w:eastAsia="新細明體" w:hAnsi="Segoe UI" w:cs="Segoe UI" w:hint="eastAsia"/>
                <w:color w:val="000000"/>
                <w:kern w:val="0"/>
                <w:sz w:val="17"/>
                <w:szCs w:val="17"/>
                <w:lang w:val="en-GB"/>
              </w:rPr>
              <w:t xml:space="preserve">　</w:t>
            </w:r>
          </w:p>
        </w:tc>
        <w:tc>
          <w:tcPr>
            <w:tcW w:w="709" w:type="dxa"/>
            <w:tcBorders>
              <w:top w:val="single" w:sz="4" w:space="0" w:color="000000" w:themeColor="text1"/>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center"/>
          </w:tcPr>
          <w:p w:rsidR="00A5707F" w:rsidRPr="00A5707F" w:rsidRDefault="00A5707F" w:rsidP="00A5707F">
            <w:pPr>
              <w:widowControl/>
              <w:spacing w:line="200" w:lineRule="exact"/>
              <w:rPr>
                <w:rFonts w:ascii="Segoe UI" w:eastAsia="新細明體" w:hAnsi="Segoe UI" w:cs="Segoe UI"/>
                <w:color w:val="000000"/>
                <w:kern w:val="0"/>
                <w:sz w:val="17"/>
                <w:szCs w:val="17"/>
                <w:lang w:val="en-GB"/>
              </w:rPr>
            </w:pPr>
            <w:r w:rsidRPr="00A5707F">
              <w:rPr>
                <w:rFonts w:ascii="Segoe UI" w:eastAsia="新細明體" w:hAnsi="Segoe UI" w:cs="Segoe UI" w:hint="eastAsia"/>
                <w:color w:val="000000"/>
                <w:kern w:val="0"/>
                <w:sz w:val="17"/>
                <w:szCs w:val="17"/>
                <w:lang w:val="en-GB"/>
              </w:rPr>
              <w:t xml:space="preserve">　</w:t>
            </w:r>
          </w:p>
        </w:tc>
        <w:tc>
          <w:tcPr>
            <w:tcW w:w="708" w:type="dxa"/>
            <w:tcBorders>
              <w:top w:val="single" w:sz="4" w:space="0" w:color="000000" w:themeColor="text1"/>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center"/>
          </w:tcPr>
          <w:p w:rsidR="00A5707F" w:rsidRPr="00A5707F" w:rsidRDefault="00A5707F" w:rsidP="00A5707F">
            <w:pPr>
              <w:widowControl/>
              <w:spacing w:line="200" w:lineRule="exact"/>
              <w:rPr>
                <w:rFonts w:ascii="Segoe UI" w:eastAsia="新細明體" w:hAnsi="Segoe UI" w:cs="Segoe UI"/>
                <w:color w:val="000000"/>
                <w:kern w:val="0"/>
                <w:sz w:val="17"/>
                <w:szCs w:val="17"/>
                <w:lang w:val="en-GB"/>
              </w:rPr>
            </w:pPr>
            <w:r w:rsidRPr="00A5707F">
              <w:rPr>
                <w:rFonts w:ascii="Segoe UI" w:eastAsia="新細明體" w:hAnsi="Segoe UI" w:cs="Segoe UI" w:hint="eastAsia"/>
                <w:color w:val="000000"/>
                <w:kern w:val="0"/>
                <w:sz w:val="17"/>
                <w:szCs w:val="17"/>
                <w:lang w:val="en-GB"/>
              </w:rPr>
              <w:t xml:space="preserve">　</w:t>
            </w:r>
          </w:p>
        </w:tc>
        <w:tc>
          <w:tcPr>
            <w:tcW w:w="709" w:type="dxa"/>
            <w:tcBorders>
              <w:top w:val="single" w:sz="4" w:space="0" w:color="000000" w:themeColor="text1"/>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center"/>
          </w:tcPr>
          <w:p w:rsidR="00A5707F" w:rsidRPr="00A5707F" w:rsidRDefault="00A5707F" w:rsidP="00A5707F">
            <w:pPr>
              <w:widowControl/>
              <w:spacing w:line="200" w:lineRule="exact"/>
              <w:rPr>
                <w:rFonts w:ascii="Segoe UI" w:eastAsia="新細明體" w:hAnsi="Segoe UI" w:cs="Segoe UI"/>
                <w:color w:val="000000"/>
                <w:kern w:val="0"/>
                <w:sz w:val="17"/>
                <w:szCs w:val="17"/>
                <w:lang w:val="en-GB"/>
              </w:rPr>
            </w:pPr>
            <w:r w:rsidRPr="00A5707F">
              <w:rPr>
                <w:rFonts w:ascii="Segoe UI" w:eastAsia="新細明體" w:hAnsi="Segoe UI" w:cs="Segoe UI" w:hint="eastAsia"/>
                <w:color w:val="000000"/>
                <w:kern w:val="0"/>
                <w:sz w:val="17"/>
                <w:szCs w:val="17"/>
                <w:lang w:val="en-GB"/>
              </w:rPr>
              <w:t xml:space="preserve">　</w:t>
            </w:r>
          </w:p>
        </w:tc>
        <w:tc>
          <w:tcPr>
            <w:tcW w:w="750" w:type="dxa"/>
            <w:tcBorders>
              <w:top w:val="single" w:sz="4" w:space="0" w:color="000000" w:themeColor="text1"/>
              <w:left w:val="single" w:sz="4" w:space="0" w:color="BFBFBF" w:themeColor="background1" w:themeShade="BF"/>
              <w:bottom w:val="single" w:sz="4" w:space="0" w:color="BFBFBF" w:themeColor="background1" w:themeShade="BF"/>
            </w:tcBorders>
            <w:shd w:val="clear" w:color="auto" w:fill="auto"/>
            <w:noWrap/>
            <w:vAlign w:val="center"/>
          </w:tcPr>
          <w:p w:rsidR="00A5707F" w:rsidRPr="00A5707F" w:rsidRDefault="00A5707F" w:rsidP="00A5707F">
            <w:pPr>
              <w:widowControl/>
              <w:spacing w:line="200" w:lineRule="exact"/>
              <w:rPr>
                <w:rFonts w:ascii="Segoe UI" w:eastAsia="新細明體" w:hAnsi="Segoe UI" w:cs="Segoe UI"/>
                <w:color w:val="000000"/>
                <w:kern w:val="0"/>
                <w:sz w:val="17"/>
                <w:szCs w:val="17"/>
                <w:lang w:val="en-GB"/>
              </w:rPr>
            </w:pPr>
            <w:r w:rsidRPr="00A5707F">
              <w:rPr>
                <w:rFonts w:ascii="Segoe UI" w:eastAsia="新細明體" w:hAnsi="Segoe UI" w:cs="Segoe UI" w:hint="eastAsia"/>
                <w:color w:val="000000"/>
                <w:kern w:val="0"/>
                <w:sz w:val="17"/>
                <w:szCs w:val="17"/>
                <w:lang w:val="en-GB"/>
              </w:rPr>
              <w:t xml:space="preserve">　</w:t>
            </w:r>
          </w:p>
        </w:tc>
      </w:tr>
      <w:tr w:rsidR="00A5707F" w:rsidRPr="00A5707F" w:rsidTr="00297CA5">
        <w:trPr>
          <w:trHeight w:val="284"/>
        </w:trPr>
        <w:tc>
          <w:tcPr>
            <w:tcW w:w="425" w:type="dxa"/>
            <w:gridSpan w:val="2"/>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auto"/>
            <w:noWrap/>
            <w:vAlign w:val="center"/>
          </w:tcPr>
          <w:p w:rsidR="00A5707F" w:rsidRPr="00A5707F" w:rsidRDefault="00A5707F" w:rsidP="00A5707F">
            <w:pPr>
              <w:widowControl/>
              <w:spacing w:line="200" w:lineRule="exact"/>
              <w:rPr>
                <w:rFonts w:ascii="Segoe UI" w:eastAsia="新細明體" w:hAnsi="Segoe UI" w:cs="Segoe UI"/>
                <w:color w:val="000000"/>
                <w:kern w:val="0"/>
                <w:sz w:val="17"/>
                <w:szCs w:val="17"/>
                <w:lang w:val="en-GB"/>
              </w:rPr>
            </w:pPr>
            <w:r w:rsidRPr="00A5707F">
              <w:rPr>
                <w:rFonts w:ascii="Segoe UI" w:eastAsia="新細明體" w:hAnsi="Segoe UI" w:cs="Segoe UI"/>
                <w:color w:val="000000"/>
                <w:kern w:val="0"/>
                <w:sz w:val="17"/>
                <w:szCs w:val="17"/>
                <w:lang w:val="en-GB"/>
              </w:rPr>
              <w:t>2</w:t>
            </w:r>
          </w:p>
        </w:tc>
        <w:tc>
          <w:tcPr>
            <w:tcW w:w="59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000000" w:themeColor="text1"/>
            </w:tcBorders>
            <w:shd w:val="clear" w:color="auto" w:fill="auto"/>
            <w:vAlign w:val="center"/>
          </w:tcPr>
          <w:p w:rsidR="00A5707F" w:rsidRPr="00A5707F" w:rsidRDefault="00A5707F" w:rsidP="00A5707F">
            <w:pPr>
              <w:widowControl/>
              <w:spacing w:line="200" w:lineRule="exact"/>
              <w:ind w:rightChars="47" w:right="113"/>
              <w:rPr>
                <w:rFonts w:ascii="Segoe UI" w:eastAsia="新細明體" w:hAnsi="Segoe UI" w:cs="Segoe UI"/>
                <w:iCs/>
                <w:color w:val="000000"/>
                <w:kern w:val="0"/>
                <w:sz w:val="17"/>
                <w:szCs w:val="17"/>
                <w:lang w:val="en-GB"/>
              </w:rPr>
            </w:pPr>
            <w:r w:rsidRPr="00A5707F">
              <w:rPr>
                <w:rFonts w:ascii="Segoe UI" w:eastAsia="新細明體" w:hAnsi="Segoe UI" w:cs="Segoe UI"/>
                <w:iCs/>
                <w:color w:val="000000"/>
                <w:kern w:val="0"/>
                <w:sz w:val="17"/>
                <w:szCs w:val="17"/>
                <w:lang w:val="en-GB"/>
              </w:rPr>
              <w:t xml:space="preserve">Total risk-weighted amount under the relevant non-HK LAC regime </w:t>
            </w:r>
          </w:p>
        </w:tc>
        <w:tc>
          <w:tcPr>
            <w:tcW w:w="709" w:type="dxa"/>
            <w:tcBorders>
              <w:top w:val="single" w:sz="4" w:space="0" w:color="BFBFBF" w:themeColor="background1" w:themeShade="BF"/>
              <w:left w:val="single" w:sz="4" w:space="0" w:color="000000" w:themeColor="text1"/>
              <w:bottom w:val="single" w:sz="4" w:space="0" w:color="BFBFBF" w:themeColor="background1" w:themeShade="BF"/>
              <w:right w:val="single" w:sz="4" w:space="0" w:color="BFBFBF" w:themeColor="background1" w:themeShade="BF"/>
            </w:tcBorders>
            <w:shd w:val="clear" w:color="auto" w:fill="auto"/>
            <w:noWrap/>
            <w:vAlign w:val="center"/>
          </w:tcPr>
          <w:p w:rsidR="00A5707F" w:rsidRPr="00A5707F" w:rsidRDefault="00A5707F" w:rsidP="00A5707F">
            <w:pPr>
              <w:widowControl/>
              <w:spacing w:line="200" w:lineRule="exact"/>
              <w:rPr>
                <w:rFonts w:ascii="Segoe UI" w:eastAsia="新細明體" w:hAnsi="Segoe UI" w:cs="Segoe UI"/>
                <w:color w:val="000000"/>
                <w:kern w:val="0"/>
                <w:sz w:val="17"/>
                <w:szCs w:val="17"/>
                <w:lang w:val="en-GB"/>
              </w:rPr>
            </w:pPr>
            <w:r w:rsidRPr="00A5707F">
              <w:rPr>
                <w:rFonts w:ascii="Segoe UI" w:eastAsia="新細明體" w:hAnsi="Segoe UI" w:cs="Segoe UI" w:hint="eastAsia"/>
                <w:color w:val="000000"/>
                <w:kern w:val="0"/>
                <w:sz w:val="17"/>
                <w:szCs w:val="17"/>
                <w:lang w:val="en-GB"/>
              </w:rPr>
              <w:t xml:space="preserve">　</w:t>
            </w:r>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center"/>
          </w:tcPr>
          <w:p w:rsidR="00A5707F" w:rsidRPr="00A5707F" w:rsidRDefault="00A5707F" w:rsidP="00A5707F">
            <w:pPr>
              <w:widowControl/>
              <w:spacing w:line="200" w:lineRule="exact"/>
              <w:rPr>
                <w:rFonts w:ascii="Segoe UI" w:eastAsia="新細明體" w:hAnsi="Segoe UI" w:cs="Segoe UI"/>
                <w:color w:val="000000"/>
                <w:kern w:val="0"/>
                <w:sz w:val="17"/>
                <w:szCs w:val="17"/>
                <w:lang w:val="en-GB"/>
              </w:rPr>
            </w:pPr>
            <w:r w:rsidRPr="00A5707F">
              <w:rPr>
                <w:rFonts w:ascii="Segoe UI" w:eastAsia="新細明體" w:hAnsi="Segoe UI" w:cs="Segoe UI" w:hint="eastAsia"/>
                <w:color w:val="000000"/>
                <w:kern w:val="0"/>
                <w:sz w:val="17"/>
                <w:szCs w:val="17"/>
                <w:lang w:val="en-GB"/>
              </w:rPr>
              <w:t xml:space="preserve">　</w:t>
            </w:r>
          </w:p>
        </w:tc>
        <w:tc>
          <w:tcPr>
            <w:tcW w:w="7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center"/>
          </w:tcPr>
          <w:p w:rsidR="00A5707F" w:rsidRPr="00A5707F" w:rsidRDefault="00A5707F" w:rsidP="00A5707F">
            <w:pPr>
              <w:widowControl/>
              <w:spacing w:line="200" w:lineRule="exact"/>
              <w:rPr>
                <w:rFonts w:ascii="Segoe UI" w:eastAsia="新細明體" w:hAnsi="Segoe UI" w:cs="Segoe UI"/>
                <w:color w:val="000000"/>
                <w:kern w:val="0"/>
                <w:sz w:val="17"/>
                <w:szCs w:val="17"/>
                <w:lang w:val="en-GB"/>
              </w:rPr>
            </w:pPr>
            <w:r w:rsidRPr="00A5707F">
              <w:rPr>
                <w:rFonts w:ascii="Segoe UI" w:eastAsia="新細明體" w:hAnsi="Segoe UI" w:cs="Segoe UI" w:hint="eastAsia"/>
                <w:color w:val="000000"/>
                <w:kern w:val="0"/>
                <w:sz w:val="17"/>
                <w:szCs w:val="17"/>
                <w:lang w:val="en-GB"/>
              </w:rPr>
              <w:t xml:space="preserve">　</w:t>
            </w:r>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center"/>
          </w:tcPr>
          <w:p w:rsidR="00A5707F" w:rsidRPr="00A5707F" w:rsidRDefault="00A5707F" w:rsidP="00A5707F">
            <w:pPr>
              <w:widowControl/>
              <w:spacing w:line="200" w:lineRule="exact"/>
              <w:rPr>
                <w:rFonts w:ascii="Segoe UI" w:eastAsia="新細明體" w:hAnsi="Segoe UI" w:cs="Segoe UI"/>
                <w:color w:val="000000"/>
                <w:kern w:val="0"/>
                <w:sz w:val="17"/>
                <w:szCs w:val="17"/>
                <w:lang w:val="en-GB"/>
              </w:rPr>
            </w:pPr>
            <w:r w:rsidRPr="00A5707F">
              <w:rPr>
                <w:rFonts w:ascii="Segoe UI" w:eastAsia="新細明體" w:hAnsi="Segoe UI" w:cs="Segoe UI" w:hint="eastAsia"/>
                <w:color w:val="000000"/>
                <w:kern w:val="0"/>
                <w:sz w:val="17"/>
                <w:szCs w:val="17"/>
                <w:lang w:val="en-GB"/>
              </w:rPr>
              <w:t xml:space="preserve">　</w:t>
            </w:r>
          </w:p>
        </w:tc>
        <w:tc>
          <w:tcPr>
            <w:tcW w:w="750"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auto"/>
            <w:noWrap/>
            <w:vAlign w:val="center"/>
          </w:tcPr>
          <w:p w:rsidR="00A5707F" w:rsidRPr="00A5707F" w:rsidRDefault="00A5707F" w:rsidP="00A5707F">
            <w:pPr>
              <w:widowControl/>
              <w:spacing w:line="200" w:lineRule="exact"/>
              <w:rPr>
                <w:rFonts w:ascii="Segoe UI" w:eastAsia="新細明體" w:hAnsi="Segoe UI" w:cs="Segoe UI"/>
                <w:color w:val="000000"/>
                <w:kern w:val="0"/>
                <w:sz w:val="17"/>
                <w:szCs w:val="17"/>
                <w:lang w:val="en-GB"/>
              </w:rPr>
            </w:pPr>
            <w:r w:rsidRPr="00A5707F">
              <w:rPr>
                <w:rFonts w:ascii="Segoe UI" w:eastAsia="新細明體" w:hAnsi="Segoe UI" w:cs="Segoe UI" w:hint="eastAsia"/>
                <w:color w:val="000000"/>
                <w:kern w:val="0"/>
                <w:sz w:val="17"/>
                <w:szCs w:val="17"/>
                <w:lang w:val="en-GB"/>
              </w:rPr>
              <w:t xml:space="preserve">　</w:t>
            </w:r>
          </w:p>
        </w:tc>
      </w:tr>
      <w:tr w:rsidR="00A5707F" w:rsidRPr="00A5707F" w:rsidTr="00297CA5">
        <w:trPr>
          <w:trHeight w:val="284"/>
        </w:trPr>
        <w:tc>
          <w:tcPr>
            <w:tcW w:w="425" w:type="dxa"/>
            <w:gridSpan w:val="2"/>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auto"/>
            <w:noWrap/>
            <w:vAlign w:val="center"/>
          </w:tcPr>
          <w:p w:rsidR="00A5707F" w:rsidRPr="00A5707F" w:rsidRDefault="00A5707F" w:rsidP="00A5707F">
            <w:pPr>
              <w:widowControl/>
              <w:spacing w:line="200" w:lineRule="exact"/>
              <w:rPr>
                <w:rFonts w:ascii="Segoe UI" w:eastAsia="新細明體" w:hAnsi="Segoe UI" w:cs="Segoe UI"/>
                <w:color w:val="000000"/>
                <w:kern w:val="0"/>
                <w:sz w:val="17"/>
                <w:szCs w:val="17"/>
                <w:lang w:val="en-GB"/>
              </w:rPr>
            </w:pPr>
            <w:r w:rsidRPr="00A5707F">
              <w:rPr>
                <w:rFonts w:ascii="Segoe UI" w:eastAsia="新細明體" w:hAnsi="Segoe UI" w:cs="Segoe UI"/>
                <w:color w:val="000000"/>
                <w:kern w:val="0"/>
                <w:sz w:val="17"/>
                <w:szCs w:val="17"/>
                <w:lang w:val="en-GB"/>
              </w:rPr>
              <w:t>3</w:t>
            </w:r>
          </w:p>
        </w:tc>
        <w:tc>
          <w:tcPr>
            <w:tcW w:w="59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000000" w:themeColor="text1"/>
            </w:tcBorders>
            <w:shd w:val="clear" w:color="auto" w:fill="auto"/>
            <w:vAlign w:val="center"/>
          </w:tcPr>
          <w:p w:rsidR="00A5707F" w:rsidRPr="00A5707F" w:rsidRDefault="00A5707F" w:rsidP="00A5707F">
            <w:pPr>
              <w:widowControl/>
              <w:spacing w:line="200" w:lineRule="exact"/>
              <w:ind w:rightChars="47" w:right="113"/>
              <w:rPr>
                <w:rFonts w:ascii="Segoe UI" w:eastAsia="新細明體" w:hAnsi="Segoe UI" w:cs="Segoe UI"/>
                <w:iCs/>
                <w:color w:val="000000"/>
                <w:kern w:val="0"/>
                <w:sz w:val="17"/>
                <w:szCs w:val="17"/>
                <w:lang w:val="en-GB"/>
              </w:rPr>
            </w:pPr>
            <w:r w:rsidRPr="00A5707F">
              <w:rPr>
                <w:rFonts w:ascii="Segoe UI" w:eastAsia="新細明體" w:hAnsi="Segoe UI" w:cs="Segoe UI"/>
                <w:iCs/>
                <w:color w:val="000000"/>
                <w:kern w:val="0"/>
                <w:sz w:val="17"/>
                <w:szCs w:val="17"/>
                <w:lang w:val="en-GB"/>
              </w:rPr>
              <w:t>External loss-absorbing capacity as a percentage of risk-weighted amount</w:t>
            </w:r>
          </w:p>
        </w:tc>
        <w:tc>
          <w:tcPr>
            <w:tcW w:w="709" w:type="dxa"/>
            <w:tcBorders>
              <w:top w:val="single" w:sz="4" w:space="0" w:color="BFBFBF" w:themeColor="background1" w:themeShade="BF"/>
              <w:left w:val="single" w:sz="4" w:space="0" w:color="000000" w:themeColor="text1"/>
              <w:bottom w:val="single" w:sz="4" w:space="0" w:color="BFBFBF" w:themeColor="background1" w:themeShade="BF"/>
              <w:right w:val="single" w:sz="4" w:space="0" w:color="BFBFBF" w:themeColor="background1" w:themeShade="BF"/>
            </w:tcBorders>
            <w:shd w:val="clear" w:color="auto" w:fill="auto"/>
            <w:noWrap/>
            <w:vAlign w:val="center"/>
          </w:tcPr>
          <w:p w:rsidR="00A5707F" w:rsidRPr="00A5707F" w:rsidRDefault="00A5707F" w:rsidP="00A5707F">
            <w:pPr>
              <w:widowControl/>
              <w:spacing w:line="200" w:lineRule="exact"/>
              <w:rPr>
                <w:rFonts w:ascii="Segoe UI" w:eastAsia="新細明體" w:hAnsi="Segoe UI" w:cs="Segoe UI"/>
                <w:color w:val="000000"/>
                <w:kern w:val="0"/>
                <w:sz w:val="17"/>
                <w:szCs w:val="17"/>
                <w:lang w:val="en-GB"/>
              </w:rPr>
            </w:pPr>
            <w:r w:rsidRPr="00A5707F">
              <w:rPr>
                <w:rFonts w:ascii="Segoe UI" w:eastAsia="新細明體" w:hAnsi="Segoe UI" w:cs="Segoe UI" w:hint="eastAsia"/>
                <w:color w:val="000000"/>
                <w:kern w:val="0"/>
                <w:sz w:val="17"/>
                <w:szCs w:val="17"/>
                <w:lang w:val="en-GB"/>
              </w:rPr>
              <w:t xml:space="preserve">　</w:t>
            </w:r>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center"/>
          </w:tcPr>
          <w:p w:rsidR="00A5707F" w:rsidRPr="00A5707F" w:rsidRDefault="00A5707F" w:rsidP="00A5707F">
            <w:pPr>
              <w:widowControl/>
              <w:spacing w:line="200" w:lineRule="exact"/>
              <w:rPr>
                <w:rFonts w:ascii="Segoe UI" w:eastAsia="新細明體" w:hAnsi="Segoe UI" w:cs="Segoe UI"/>
                <w:color w:val="000000"/>
                <w:kern w:val="0"/>
                <w:sz w:val="17"/>
                <w:szCs w:val="17"/>
                <w:lang w:val="en-GB"/>
              </w:rPr>
            </w:pPr>
            <w:r w:rsidRPr="00A5707F">
              <w:rPr>
                <w:rFonts w:ascii="Segoe UI" w:eastAsia="新細明體" w:hAnsi="Segoe UI" w:cs="Segoe UI" w:hint="eastAsia"/>
                <w:color w:val="000000"/>
                <w:kern w:val="0"/>
                <w:sz w:val="17"/>
                <w:szCs w:val="17"/>
                <w:lang w:val="en-GB"/>
              </w:rPr>
              <w:t xml:space="preserve">　</w:t>
            </w:r>
          </w:p>
        </w:tc>
        <w:tc>
          <w:tcPr>
            <w:tcW w:w="7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center"/>
          </w:tcPr>
          <w:p w:rsidR="00A5707F" w:rsidRPr="00A5707F" w:rsidRDefault="00A5707F" w:rsidP="00A5707F">
            <w:pPr>
              <w:widowControl/>
              <w:spacing w:line="200" w:lineRule="exact"/>
              <w:rPr>
                <w:rFonts w:ascii="Segoe UI" w:eastAsia="新細明體" w:hAnsi="Segoe UI" w:cs="Segoe UI"/>
                <w:color w:val="000000"/>
                <w:kern w:val="0"/>
                <w:sz w:val="17"/>
                <w:szCs w:val="17"/>
                <w:lang w:val="en-GB"/>
              </w:rPr>
            </w:pPr>
            <w:r w:rsidRPr="00A5707F">
              <w:rPr>
                <w:rFonts w:ascii="Segoe UI" w:eastAsia="新細明體" w:hAnsi="Segoe UI" w:cs="Segoe UI" w:hint="eastAsia"/>
                <w:color w:val="000000"/>
                <w:kern w:val="0"/>
                <w:sz w:val="17"/>
                <w:szCs w:val="17"/>
                <w:lang w:val="en-GB"/>
              </w:rPr>
              <w:t xml:space="preserve">　</w:t>
            </w:r>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center"/>
          </w:tcPr>
          <w:p w:rsidR="00A5707F" w:rsidRPr="00A5707F" w:rsidRDefault="00A5707F" w:rsidP="00A5707F">
            <w:pPr>
              <w:widowControl/>
              <w:spacing w:line="200" w:lineRule="exact"/>
              <w:rPr>
                <w:rFonts w:ascii="Segoe UI" w:eastAsia="新細明體" w:hAnsi="Segoe UI" w:cs="Segoe UI"/>
                <w:color w:val="000000"/>
                <w:kern w:val="0"/>
                <w:sz w:val="17"/>
                <w:szCs w:val="17"/>
                <w:lang w:val="en-GB"/>
              </w:rPr>
            </w:pPr>
            <w:r w:rsidRPr="00A5707F">
              <w:rPr>
                <w:rFonts w:ascii="Segoe UI" w:eastAsia="新細明體" w:hAnsi="Segoe UI" w:cs="Segoe UI" w:hint="eastAsia"/>
                <w:color w:val="000000"/>
                <w:kern w:val="0"/>
                <w:sz w:val="17"/>
                <w:szCs w:val="17"/>
                <w:lang w:val="en-GB"/>
              </w:rPr>
              <w:t xml:space="preserve">　</w:t>
            </w:r>
          </w:p>
        </w:tc>
        <w:tc>
          <w:tcPr>
            <w:tcW w:w="750"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auto"/>
            <w:noWrap/>
            <w:vAlign w:val="center"/>
          </w:tcPr>
          <w:p w:rsidR="00A5707F" w:rsidRPr="00A5707F" w:rsidRDefault="00A5707F" w:rsidP="00A5707F">
            <w:pPr>
              <w:widowControl/>
              <w:spacing w:line="200" w:lineRule="exact"/>
              <w:rPr>
                <w:rFonts w:ascii="Segoe UI" w:eastAsia="新細明體" w:hAnsi="Segoe UI" w:cs="Segoe UI"/>
                <w:color w:val="000000"/>
                <w:kern w:val="0"/>
                <w:sz w:val="17"/>
                <w:szCs w:val="17"/>
                <w:lang w:val="en-GB"/>
              </w:rPr>
            </w:pPr>
            <w:r w:rsidRPr="00A5707F">
              <w:rPr>
                <w:rFonts w:ascii="Segoe UI" w:eastAsia="新細明體" w:hAnsi="Segoe UI" w:cs="Segoe UI" w:hint="eastAsia"/>
                <w:color w:val="000000"/>
                <w:kern w:val="0"/>
                <w:sz w:val="17"/>
                <w:szCs w:val="17"/>
                <w:lang w:val="en-GB"/>
              </w:rPr>
              <w:t xml:space="preserve">　</w:t>
            </w:r>
          </w:p>
        </w:tc>
      </w:tr>
      <w:tr w:rsidR="00A5707F" w:rsidRPr="00A5707F" w:rsidTr="00297CA5">
        <w:trPr>
          <w:trHeight w:val="284"/>
        </w:trPr>
        <w:tc>
          <w:tcPr>
            <w:tcW w:w="425" w:type="dxa"/>
            <w:gridSpan w:val="2"/>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auto"/>
            <w:noWrap/>
            <w:vAlign w:val="center"/>
          </w:tcPr>
          <w:p w:rsidR="00A5707F" w:rsidRPr="00A5707F" w:rsidRDefault="00A5707F" w:rsidP="00A5707F">
            <w:pPr>
              <w:widowControl/>
              <w:spacing w:line="200" w:lineRule="exact"/>
              <w:rPr>
                <w:rFonts w:ascii="Segoe UI" w:eastAsia="新細明體" w:hAnsi="Segoe UI" w:cs="Segoe UI"/>
                <w:color w:val="000000"/>
                <w:kern w:val="0"/>
                <w:sz w:val="17"/>
                <w:szCs w:val="17"/>
                <w:lang w:val="en-GB"/>
              </w:rPr>
            </w:pPr>
            <w:r w:rsidRPr="00A5707F">
              <w:rPr>
                <w:rFonts w:ascii="Segoe UI" w:eastAsia="新細明體" w:hAnsi="Segoe UI" w:cs="Segoe UI"/>
                <w:color w:val="000000"/>
                <w:kern w:val="0"/>
                <w:sz w:val="17"/>
                <w:szCs w:val="17"/>
                <w:lang w:val="en-GB"/>
              </w:rPr>
              <w:t>4</w:t>
            </w:r>
          </w:p>
        </w:tc>
        <w:tc>
          <w:tcPr>
            <w:tcW w:w="59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000000" w:themeColor="text1"/>
            </w:tcBorders>
            <w:shd w:val="clear" w:color="auto" w:fill="auto"/>
            <w:vAlign w:val="center"/>
          </w:tcPr>
          <w:p w:rsidR="00A5707F" w:rsidRPr="00A5707F" w:rsidRDefault="00A5707F" w:rsidP="00A5707F">
            <w:pPr>
              <w:widowControl/>
              <w:spacing w:line="200" w:lineRule="exact"/>
              <w:ind w:rightChars="47" w:right="113"/>
              <w:rPr>
                <w:rFonts w:ascii="Segoe UI" w:eastAsia="新細明體" w:hAnsi="Segoe UI" w:cs="Segoe UI"/>
                <w:iCs/>
                <w:color w:val="000000"/>
                <w:kern w:val="0"/>
                <w:sz w:val="17"/>
                <w:szCs w:val="17"/>
                <w:lang w:val="en-GB"/>
              </w:rPr>
            </w:pPr>
            <w:r w:rsidRPr="00A5707F">
              <w:rPr>
                <w:rFonts w:ascii="Segoe UI" w:eastAsia="新細明體" w:hAnsi="Segoe UI" w:cs="Segoe UI"/>
                <w:iCs/>
                <w:color w:val="000000"/>
                <w:kern w:val="0"/>
                <w:sz w:val="17"/>
                <w:szCs w:val="17"/>
                <w:lang w:val="en-GB"/>
              </w:rPr>
              <w:t xml:space="preserve">Leverage ratio exposure measure under the relevant non-HK LAC regime </w:t>
            </w:r>
          </w:p>
        </w:tc>
        <w:tc>
          <w:tcPr>
            <w:tcW w:w="709" w:type="dxa"/>
            <w:tcBorders>
              <w:top w:val="single" w:sz="4" w:space="0" w:color="BFBFBF" w:themeColor="background1" w:themeShade="BF"/>
              <w:left w:val="single" w:sz="4" w:space="0" w:color="000000" w:themeColor="text1"/>
              <w:bottom w:val="single" w:sz="4" w:space="0" w:color="BFBFBF" w:themeColor="background1" w:themeShade="BF"/>
              <w:right w:val="single" w:sz="4" w:space="0" w:color="BFBFBF" w:themeColor="background1" w:themeShade="BF"/>
            </w:tcBorders>
            <w:shd w:val="clear" w:color="auto" w:fill="auto"/>
            <w:noWrap/>
            <w:vAlign w:val="center"/>
          </w:tcPr>
          <w:p w:rsidR="00A5707F" w:rsidRPr="00A5707F" w:rsidRDefault="00A5707F" w:rsidP="00A5707F">
            <w:pPr>
              <w:widowControl/>
              <w:spacing w:line="200" w:lineRule="exact"/>
              <w:rPr>
                <w:rFonts w:ascii="Segoe UI" w:eastAsia="新細明體" w:hAnsi="Segoe UI" w:cs="Segoe UI"/>
                <w:color w:val="000000"/>
                <w:kern w:val="0"/>
                <w:sz w:val="17"/>
                <w:szCs w:val="17"/>
                <w:lang w:val="en-GB"/>
              </w:rPr>
            </w:pPr>
            <w:r w:rsidRPr="00A5707F">
              <w:rPr>
                <w:rFonts w:ascii="Segoe UI" w:eastAsia="新細明體" w:hAnsi="Segoe UI" w:cs="Segoe UI" w:hint="eastAsia"/>
                <w:color w:val="000000"/>
                <w:kern w:val="0"/>
                <w:sz w:val="17"/>
                <w:szCs w:val="17"/>
                <w:lang w:val="en-GB"/>
              </w:rPr>
              <w:t xml:space="preserve">　</w:t>
            </w:r>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center"/>
          </w:tcPr>
          <w:p w:rsidR="00A5707F" w:rsidRPr="00A5707F" w:rsidRDefault="00A5707F" w:rsidP="00A5707F">
            <w:pPr>
              <w:widowControl/>
              <w:spacing w:line="200" w:lineRule="exact"/>
              <w:rPr>
                <w:rFonts w:ascii="Segoe UI" w:eastAsia="新細明體" w:hAnsi="Segoe UI" w:cs="Segoe UI"/>
                <w:color w:val="000000"/>
                <w:kern w:val="0"/>
                <w:sz w:val="17"/>
                <w:szCs w:val="17"/>
                <w:lang w:val="en-GB"/>
              </w:rPr>
            </w:pPr>
            <w:r w:rsidRPr="00A5707F">
              <w:rPr>
                <w:rFonts w:ascii="Segoe UI" w:eastAsia="新細明體" w:hAnsi="Segoe UI" w:cs="Segoe UI" w:hint="eastAsia"/>
                <w:color w:val="000000"/>
                <w:kern w:val="0"/>
                <w:sz w:val="17"/>
                <w:szCs w:val="17"/>
                <w:lang w:val="en-GB"/>
              </w:rPr>
              <w:t xml:space="preserve">　</w:t>
            </w:r>
          </w:p>
        </w:tc>
        <w:tc>
          <w:tcPr>
            <w:tcW w:w="7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center"/>
          </w:tcPr>
          <w:p w:rsidR="00A5707F" w:rsidRPr="00A5707F" w:rsidRDefault="00A5707F" w:rsidP="00A5707F">
            <w:pPr>
              <w:widowControl/>
              <w:spacing w:line="200" w:lineRule="exact"/>
              <w:rPr>
                <w:rFonts w:ascii="Segoe UI" w:eastAsia="新細明體" w:hAnsi="Segoe UI" w:cs="Segoe UI"/>
                <w:color w:val="000000"/>
                <w:kern w:val="0"/>
                <w:sz w:val="17"/>
                <w:szCs w:val="17"/>
                <w:lang w:val="en-GB"/>
              </w:rPr>
            </w:pPr>
            <w:r w:rsidRPr="00A5707F">
              <w:rPr>
                <w:rFonts w:ascii="Segoe UI" w:eastAsia="新細明體" w:hAnsi="Segoe UI" w:cs="Segoe UI" w:hint="eastAsia"/>
                <w:color w:val="000000"/>
                <w:kern w:val="0"/>
                <w:sz w:val="17"/>
                <w:szCs w:val="17"/>
                <w:lang w:val="en-GB"/>
              </w:rPr>
              <w:t xml:space="preserve">　</w:t>
            </w:r>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center"/>
          </w:tcPr>
          <w:p w:rsidR="00A5707F" w:rsidRPr="00A5707F" w:rsidRDefault="00A5707F" w:rsidP="00A5707F">
            <w:pPr>
              <w:widowControl/>
              <w:spacing w:line="200" w:lineRule="exact"/>
              <w:rPr>
                <w:rFonts w:ascii="Segoe UI" w:eastAsia="新細明體" w:hAnsi="Segoe UI" w:cs="Segoe UI"/>
                <w:color w:val="000000"/>
                <w:kern w:val="0"/>
                <w:sz w:val="17"/>
                <w:szCs w:val="17"/>
                <w:lang w:val="en-GB"/>
              </w:rPr>
            </w:pPr>
            <w:r w:rsidRPr="00A5707F">
              <w:rPr>
                <w:rFonts w:ascii="Segoe UI" w:eastAsia="新細明體" w:hAnsi="Segoe UI" w:cs="Segoe UI" w:hint="eastAsia"/>
                <w:color w:val="000000"/>
                <w:kern w:val="0"/>
                <w:sz w:val="17"/>
                <w:szCs w:val="17"/>
                <w:lang w:val="en-GB"/>
              </w:rPr>
              <w:t xml:space="preserve">　</w:t>
            </w:r>
          </w:p>
        </w:tc>
        <w:tc>
          <w:tcPr>
            <w:tcW w:w="750"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auto"/>
            <w:noWrap/>
            <w:vAlign w:val="center"/>
          </w:tcPr>
          <w:p w:rsidR="00A5707F" w:rsidRPr="00A5707F" w:rsidRDefault="00A5707F" w:rsidP="00A5707F">
            <w:pPr>
              <w:widowControl/>
              <w:spacing w:line="200" w:lineRule="exact"/>
              <w:rPr>
                <w:rFonts w:ascii="Segoe UI" w:eastAsia="新細明體" w:hAnsi="Segoe UI" w:cs="Segoe UI"/>
                <w:color w:val="000000"/>
                <w:kern w:val="0"/>
                <w:sz w:val="17"/>
                <w:szCs w:val="17"/>
                <w:lang w:val="en-GB"/>
              </w:rPr>
            </w:pPr>
            <w:r w:rsidRPr="00A5707F">
              <w:rPr>
                <w:rFonts w:ascii="Segoe UI" w:eastAsia="新細明體" w:hAnsi="Segoe UI" w:cs="Segoe UI" w:hint="eastAsia"/>
                <w:color w:val="000000"/>
                <w:kern w:val="0"/>
                <w:sz w:val="17"/>
                <w:szCs w:val="17"/>
                <w:lang w:val="en-GB"/>
              </w:rPr>
              <w:t xml:space="preserve">　</w:t>
            </w:r>
          </w:p>
        </w:tc>
      </w:tr>
      <w:tr w:rsidR="00A5707F" w:rsidRPr="00A5707F" w:rsidTr="00297CA5">
        <w:trPr>
          <w:trHeight w:val="284"/>
        </w:trPr>
        <w:tc>
          <w:tcPr>
            <w:tcW w:w="425" w:type="dxa"/>
            <w:gridSpan w:val="2"/>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auto"/>
            <w:noWrap/>
            <w:vAlign w:val="center"/>
          </w:tcPr>
          <w:p w:rsidR="00A5707F" w:rsidRPr="00A5707F" w:rsidRDefault="00A5707F" w:rsidP="00A5707F">
            <w:pPr>
              <w:widowControl/>
              <w:spacing w:line="200" w:lineRule="exact"/>
              <w:rPr>
                <w:rFonts w:ascii="Segoe UI" w:eastAsia="新細明體" w:hAnsi="Segoe UI" w:cs="Segoe UI"/>
                <w:color w:val="000000"/>
                <w:kern w:val="0"/>
                <w:sz w:val="17"/>
                <w:szCs w:val="17"/>
                <w:lang w:val="en-GB"/>
              </w:rPr>
            </w:pPr>
            <w:r w:rsidRPr="00A5707F">
              <w:rPr>
                <w:rFonts w:ascii="Segoe UI" w:eastAsia="新細明體" w:hAnsi="Segoe UI" w:cs="Segoe UI"/>
                <w:color w:val="000000"/>
                <w:kern w:val="0"/>
                <w:sz w:val="17"/>
                <w:szCs w:val="17"/>
                <w:lang w:val="en-GB"/>
              </w:rPr>
              <w:t>5</w:t>
            </w:r>
          </w:p>
        </w:tc>
        <w:tc>
          <w:tcPr>
            <w:tcW w:w="59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000000" w:themeColor="text1"/>
            </w:tcBorders>
            <w:shd w:val="clear" w:color="auto" w:fill="auto"/>
            <w:vAlign w:val="center"/>
          </w:tcPr>
          <w:p w:rsidR="00A5707F" w:rsidRPr="00A5707F" w:rsidRDefault="00A5707F" w:rsidP="00A5707F">
            <w:pPr>
              <w:widowControl/>
              <w:spacing w:line="200" w:lineRule="exact"/>
              <w:ind w:rightChars="47" w:right="113"/>
              <w:rPr>
                <w:rFonts w:ascii="Segoe UI" w:eastAsia="新細明體" w:hAnsi="Segoe UI" w:cs="Segoe UI"/>
                <w:color w:val="000000"/>
                <w:kern w:val="0"/>
                <w:sz w:val="17"/>
                <w:szCs w:val="17"/>
                <w:lang w:val="en-GB"/>
              </w:rPr>
            </w:pPr>
            <w:r w:rsidRPr="00A5707F">
              <w:rPr>
                <w:rFonts w:ascii="Segoe UI" w:eastAsia="新細明體" w:hAnsi="Segoe UI" w:cs="Segoe UI"/>
                <w:color w:val="000000"/>
                <w:kern w:val="0"/>
                <w:sz w:val="17"/>
                <w:szCs w:val="17"/>
                <w:lang w:val="en-GB"/>
              </w:rPr>
              <w:t>External loss-absorbing capacity as a percentage of leverage ratio exposure measure</w:t>
            </w:r>
          </w:p>
        </w:tc>
        <w:tc>
          <w:tcPr>
            <w:tcW w:w="709" w:type="dxa"/>
            <w:tcBorders>
              <w:top w:val="single" w:sz="4" w:space="0" w:color="BFBFBF" w:themeColor="background1" w:themeShade="BF"/>
              <w:left w:val="single" w:sz="4" w:space="0" w:color="000000" w:themeColor="text1"/>
              <w:bottom w:val="single" w:sz="4" w:space="0" w:color="BFBFBF" w:themeColor="background1" w:themeShade="BF"/>
              <w:right w:val="single" w:sz="4" w:space="0" w:color="BFBFBF" w:themeColor="background1" w:themeShade="BF"/>
            </w:tcBorders>
            <w:shd w:val="clear" w:color="auto" w:fill="auto"/>
            <w:noWrap/>
            <w:vAlign w:val="center"/>
          </w:tcPr>
          <w:p w:rsidR="00A5707F" w:rsidRPr="00A5707F" w:rsidRDefault="00A5707F" w:rsidP="00A5707F">
            <w:pPr>
              <w:widowControl/>
              <w:spacing w:line="200" w:lineRule="exact"/>
              <w:rPr>
                <w:rFonts w:ascii="Segoe UI" w:eastAsia="新細明體" w:hAnsi="Segoe UI" w:cs="Segoe UI"/>
                <w:color w:val="000000"/>
                <w:kern w:val="0"/>
                <w:sz w:val="17"/>
                <w:szCs w:val="17"/>
                <w:lang w:val="en-GB"/>
              </w:rPr>
            </w:pPr>
            <w:r w:rsidRPr="00A5707F">
              <w:rPr>
                <w:rFonts w:ascii="Segoe UI" w:eastAsia="新細明體" w:hAnsi="Segoe UI" w:cs="Segoe UI" w:hint="eastAsia"/>
                <w:color w:val="000000"/>
                <w:kern w:val="0"/>
                <w:sz w:val="17"/>
                <w:szCs w:val="17"/>
                <w:lang w:val="en-GB"/>
              </w:rPr>
              <w:t xml:space="preserve">　</w:t>
            </w:r>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center"/>
          </w:tcPr>
          <w:p w:rsidR="00A5707F" w:rsidRPr="00A5707F" w:rsidRDefault="00A5707F" w:rsidP="00A5707F">
            <w:pPr>
              <w:widowControl/>
              <w:spacing w:line="200" w:lineRule="exact"/>
              <w:rPr>
                <w:rFonts w:ascii="Segoe UI" w:eastAsia="新細明體" w:hAnsi="Segoe UI" w:cs="Segoe UI"/>
                <w:color w:val="000000"/>
                <w:kern w:val="0"/>
                <w:sz w:val="17"/>
                <w:szCs w:val="17"/>
                <w:lang w:val="en-GB"/>
              </w:rPr>
            </w:pPr>
            <w:r w:rsidRPr="00A5707F">
              <w:rPr>
                <w:rFonts w:ascii="Segoe UI" w:eastAsia="新細明體" w:hAnsi="Segoe UI" w:cs="Segoe UI" w:hint="eastAsia"/>
                <w:color w:val="000000"/>
                <w:kern w:val="0"/>
                <w:sz w:val="17"/>
                <w:szCs w:val="17"/>
                <w:lang w:val="en-GB"/>
              </w:rPr>
              <w:t xml:space="preserve">　</w:t>
            </w:r>
          </w:p>
        </w:tc>
        <w:tc>
          <w:tcPr>
            <w:tcW w:w="7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center"/>
          </w:tcPr>
          <w:p w:rsidR="00A5707F" w:rsidRPr="00A5707F" w:rsidRDefault="00A5707F" w:rsidP="00A5707F">
            <w:pPr>
              <w:widowControl/>
              <w:spacing w:line="200" w:lineRule="exact"/>
              <w:rPr>
                <w:rFonts w:ascii="Segoe UI" w:eastAsia="新細明體" w:hAnsi="Segoe UI" w:cs="Segoe UI"/>
                <w:color w:val="000000"/>
                <w:kern w:val="0"/>
                <w:sz w:val="17"/>
                <w:szCs w:val="17"/>
                <w:lang w:val="en-GB"/>
              </w:rPr>
            </w:pPr>
            <w:r w:rsidRPr="00A5707F">
              <w:rPr>
                <w:rFonts w:ascii="Segoe UI" w:eastAsia="新細明體" w:hAnsi="Segoe UI" w:cs="Segoe UI" w:hint="eastAsia"/>
                <w:color w:val="000000"/>
                <w:kern w:val="0"/>
                <w:sz w:val="17"/>
                <w:szCs w:val="17"/>
                <w:lang w:val="en-GB"/>
              </w:rPr>
              <w:t xml:space="preserve">　</w:t>
            </w:r>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center"/>
          </w:tcPr>
          <w:p w:rsidR="00A5707F" w:rsidRPr="00A5707F" w:rsidRDefault="00A5707F" w:rsidP="00A5707F">
            <w:pPr>
              <w:widowControl/>
              <w:spacing w:line="200" w:lineRule="exact"/>
              <w:rPr>
                <w:rFonts w:ascii="Segoe UI" w:eastAsia="新細明體" w:hAnsi="Segoe UI" w:cs="Segoe UI"/>
                <w:color w:val="000000"/>
                <w:kern w:val="0"/>
                <w:sz w:val="17"/>
                <w:szCs w:val="17"/>
                <w:lang w:val="en-GB"/>
              </w:rPr>
            </w:pPr>
            <w:r w:rsidRPr="00A5707F">
              <w:rPr>
                <w:rFonts w:ascii="Segoe UI" w:eastAsia="新細明體" w:hAnsi="Segoe UI" w:cs="Segoe UI" w:hint="eastAsia"/>
                <w:color w:val="000000"/>
                <w:kern w:val="0"/>
                <w:sz w:val="17"/>
                <w:szCs w:val="17"/>
                <w:lang w:val="en-GB"/>
              </w:rPr>
              <w:t xml:space="preserve">　</w:t>
            </w:r>
          </w:p>
        </w:tc>
        <w:tc>
          <w:tcPr>
            <w:tcW w:w="750"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auto"/>
            <w:noWrap/>
            <w:vAlign w:val="center"/>
          </w:tcPr>
          <w:p w:rsidR="00A5707F" w:rsidRPr="00A5707F" w:rsidRDefault="00A5707F" w:rsidP="00A5707F">
            <w:pPr>
              <w:widowControl/>
              <w:spacing w:line="200" w:lineRule="exact"/>
              <w:rPr>
                <w:rFonts w:ascii="Segoe UI" w:eastAsia="新細明體" w:hAnsi="Segoe UI" w:cs="Segoe UI"/>
                <w:color w:val="000000"/>
                <w:kern w:val="0"/>
                <w:sz w:val="17"/>
                <w:szCs w:val="17"/>
                <w:lang w:val="en-GB"/>
              </w:rPr>
            </w:pPr>
            <w:r w:rsidRPr="00A5707F">
              <w:rPr>
                <w:rFonts w:ascii="Segoe UI" w:eastAsia="新細明體" w:hAnsi="Segoe UI" w:cs="Segoe UI" w:hint="eastAsia"/>
                <w:color w:val="000000"/>
                <w:kern w:val="0"/>
                <w:sz w:val="17"/>
                <w:szCs w:val="17"/>
                <w:lang w:val="en-GB"/>
              </w:rPr>
              <w:t xml:space="preserve">　</w:t>
            </w:r>
          </w:p>
        </w:tc>
      </w:tr>
      <w:tr w:rsidR="00A5707F" w:rsidRPr="00A5707F" w:rsidTr="00297CA5">
        <w:trPr>
          <w:trHeight w:val="284"/>
        </w:trPr>
        <w:tc>
          <w:tcPr>
            <w:tcW w:w="425" w:type="dxa"/>
            <w:gridSpan w:val="2"/>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auto"/>
            <w:noWrap/>
            <w:vAlign w:val="center"/>
          </w:tcPr>
          <w:p w:rsidR="00A5707F" w:rsidRPr="00A5707F" w:rsidRDefault="00A5707F" w:rsidP="00A5707F">
            <w:pPr>
              <w:widowControl/>
              <w:spacing w:line="200" w:lineRule="exact"/>
              <w:rPr>
                <w:rFonts w:ascii="Segoe UI" w:eastAsia="新細明體" w:hAnsi="Segoe UI" w:cs="Segoe UI"/>
                <w:color w:val="000000"/>
                <w:kern w:val="0"/>
                <w:sz w:val="17"/>
                <w:szCs w:val="17"/>
                <w:lang w:val="en-GB"/>
              </w:rPr>
            </w:pPr>
            <w:r w:rsidRPr="00A5707F">
              <w:rPr>
                <w:rFonts w:ascii="Segoe UI" w:eastAsia="新細明體" w:hAnsi="Segoe UI" w:cs="Segoe UI"/>
                <w:color w:val="000000"/>
                <w:kern w:val="0"/>
                <w:sz w:val="17"/>
                <w:szCs w:val="17"/>
                <w:lang w:val="en-GB"/>
              </w:rPr>
              <w:t>6a</w:t>
            </w:r>
          </w:p>
        </w:tc>
        <w:tc>
          <w:tcPr>
            <w:tcW w:w="59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000000" w:themeColor="text1"/>
            </w:tcBorders>
            <w:shd w:val="clear" w:color="auto" w:fill="auto"/>
            <w:vAlign w:val="center"/>
          </w:tcPr>
          <w:p w:rsidR="00A5707F" w:rsidRPr="00A5707F" w:rsidRDefault="00A5707F" w:rsidP="00A5707F">
            <w:pPr>
              <w:widowControl/>
              <w:spacing w:line="200" w:lineRule="exact"/>
              <w:ind w:rightChars="47" w:right="113"/>
              <w:rPr>
                <w:rFonts w:ascii="Segoe UI" w:eastAsia="新細明體" w:hAnsi="Segoe UI" w:cs="Segoe UI"/>
                <w:color w:val="000000"/>
                <w:kern w:val="0"/>
                <w:sz w:val="17"/>
                <w:szCs w:val="17"/>
                <w:lang w:val="en-GB"/>
              </w:rPr>
            </w:pPr>
            <w:r w:rsidRPr="00A5707F">
              <w:rPr>
                <w:rFonts w:ascii="Segoe UI" w:eastAsia="新細明體" w:hAnsi="Segoe UI" w:cs="Segoe UI"/>
                <w:color w:val="000000"/>
                <w:kern w:val="0"/>
                <w:sz w:val="17"/>
                <w:szCs w:val="17"/>
                <w:lang w:val="en-GB"/>
              </w:rPr>
              <w:t>Does the subordination exemption in the antepenultimate paragraph of Section 11 of the FSB TLAC Term Sheet apply?</w:t>
            </w:r>
          </w:p>
        </w:tc>
        <w:tc>
          <w:tcPr>
            <w:tcW w:w="709" w:type="dxa"/>
            <w:tcBorders>
              <w:top w:val="single" w:sz="4" w:space="0" w:color="BFBFBF" w:themeColor="background1" w:themeShade="BF"/>
              <w:left w:val="single" w:sz="4" w:space="0" w:color="000000" w:themeColor="text1"/>
              <w:bottom w:val="single" w:sz="4" w:space="0" w:color="BFBFBF" w:themeColor="background1" w:themeShade="BF"/>
              <w:right w:val="single" w:sz="4" w:space="0" w:color="BFBFBF" w:themeColor="background1" w:themeShade="BF"/>
            </w:tcBorders>
            <w:shd w:val="clear" w:color="auto" w:fill="auto"/>
            <w:noWrap/>
            <w:vAlign w:val="center"/>
          </w:tcPr>
          <w:p w:rsidR="00A5707F" w:rsidRPr="00A5707F" w:rsidRDefault="00A5707F" w:rsidP="00A5707F">
            <w:pPr>
              <w:widowControl/>
              <w:spacing w:line="200" w:lineRule="exact"/>
              <w:jc w:val="center"/>
              <w:rPr>
                <w:rFonts w:ascii="Segoe UI" w:eastAsia="新細明體" w:hAnsi="Segoe UI" w:cs="Segoe UI"/>
                <w:color w:val="000000"/>
                <w:kern w:val="0"/>
                <w:sz w:val="17"/>
                <w:szCs w:val="17"/>
                <w:lang w:val="en-GB"/>
              </w:rPr>
            </w:pPr>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center"/>
          </w:tcPr>
          <w:p w:rsidR="00A5707F" w:rsidRPr="00A5707F" w:rsidRDefault="00A5707F" w:rsidP="00A5707F">
            <w:pPr>
              <w:widowControl/>
              <w:spacing w:line="200" w:lineRule="exact"/>
              <w:jc w:val="center"/>
              <w:rPr>
                <w:rFonts w:ascii="Segoe UI" w:eastAsia="新細明體" w:hAnsi="Segoe UI" w:cs="Segoe UI"/>
                <w:color w:val="000000"/>
                <w:kern w:val="0"/>
                <w:sz w:val="17"/>
                <w:szCs w:val="17"/>
                <w:lang w:val="en-GB"/>
              </w:rPr>
            </w:pPr>
          </w:p>
        </w:tc>
        <w:tc>
          <w:tcPr>
            <w:tcW w:w="7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center"/>
          </w:tcPr>
          <w:p w:rsidR="00A5707F" w:rsidRPr="00A5707F" w:rsidRDefault="00A5707F" w:rsidP="00A5707F">
            <w:pPr>
              <w:widowControl/>
              <w:spacing w:line="200" w:lineRule="exact"/>
              <w:jc w:val="center"/>
              <w:rPr>
                <w:rFonts w:ascii="Segoe UI" w:eastAsia="新細明體" w:hAnsi="Segoe UI" w:cs="Segoe UI"/>
                <w:color w:val="000000"/>
                <w:kern w:val="0"/>
                <w:sz w:val="17"/>
                <w:szCs w:val="17"/>
                <w:lang w:val="en-GB"/>
              </w:rPr>
            </w:pPr>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center"/>
          </w:tcPr>
          <w:p w:rsidR="00A5707F" w:rsidRPr="00A5707F" w:rsidRDefault="00A5707F" w:rsidP="00A5707F">
            <w:pPr>
              <w:widowControl/>
              <w:spacing w:line="200" w:lineRule="exact"/>
              <w:jc w:val="center"/>
              <w:rPr>
                <w:rFonts w:ascii="Segoe UI" w:eastAsia="新細明體" w:hAnsi="Segoe UI" w:cs="Segoe UI"/>
                <w:color w:val="000000"/>
                <w:kern w:val="0"/>
                <w:sz w:val="17"/>
                <w:szCs w:val="17"/>
                <w:lang w:val="en-GB"/>
              </w:rPr>
            </w:pPr>
          </w:p>
        </w:tc>
        <w:tc>
          <w:tcPr>
            <w:tcW w:w="750"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auto"/>
            <w:noWrap/>
            <w:vAlign w:val="center"/>
          </w:tcPr>
          <w:p w:rsidR="00A5707F" w:rsidRPr="00A5707F" w:rsidRDefault="00A5707F" w:rsidP="00A5707F">
            <w:pPr>
              <w:widowControl/>
              <w:spacing w:line="200" w:lineRule="exact"/>
              <w:jc w:val="center"/>
              <w:rPr>
                <w:rFonts w:ascii="Segoe UI" w:eastAsia="新細明體" w:hAnsi="Segoe UI" w:cs="Segoe UI"/>
                <w:color w:val="000000"/>
                <w:kern w:val="0"/>
                <w:sz w:val="17"/>
                <w:szCs w:val="17"/>
                <w:lang w:val="en-GB"/>
              </w:rPr>
            </w:pPr>
          </w:p>
        </w:tc>
      </w:tr>
      <w:tr w:rsidR="00A5707F" w:rsidRPr="00A5707F" w:rsidTr="00297CA5">
        <w:trPr>
          <w:trHeight w:val="284"/>
        </w:trPr>
        <w:tc>
          <w:tcPr>
            <w:tcW w:w="425" w:type="dxa"/>
            <w:gridSpan w:val="2"/>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auto"/>
            <w:noWrap/>
            <w:vAlign w:val="center"/>
          </w:tcPr>
          <w:p w:rsidR="00A5707F" w:rsidRPr="00A5707F" w:rsidRDefault="00A5707F" w:rsidP="00A5707F">
            <w:pPr>
              <w:widowControl/>
              <w:spacing w:line="200" w:lineRule="exact"/>
              <w:rPr>
                <w:rFonts w:ascii="Segoe UI" w:eastAsia="新細明體" w:hAnsi="Segoe UI" w:cs="Segoe UI"/>
                <w:color w:val="000000"/>
                <w:kern w:val="0"/>
                <w:sz w:val="17"/>
                <w:szCs w:val="17"/>
                <w:lang w:val="en-GB"/>
              </w:rPr>
            </w:pPr>
            <w:r w:rsidRPr="00A5707F">
              <w:rPr>
                <w:rFonts w:ascii="Segoe UI" w:eastAsia="新細明體" w:hAnsi="Segoe UI" w:cs="Segoe UI"/>
                <w:color w:val="000000"/>
                <w:kern w:val="0"/>
                <w:sz w:val="17"/>
                <w:szCs w:val="17"/>
                <w:lang w:val="en-GB"/>
              </w:rPr>
              <w:t>6b</w:t>
            </w:r>
          </w:p>
        </w:tc>
        <w:tc>
          <w:tcPr>
            <w:tcW w:w="59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000000" w:themeColor="text1"/>
            </w:tcBorders>
            <w:shd w:val="clear" w:color="auto" w:fill="auto"/>
            <w:vAlign w:val="center"/>
          </w:tcPr>
          <w:p w:rsidR="00A5707F" w:rsidRPr="00A5707F" w:rsidRDefault="00A5707F" w:rsidP="00A5707F">
            <w:pPr>
              <w:widowControl/>
              <w:spacing w:line="200" w:lineRule="exact"/>
              <w:ind w:rightChars="47" w:right="113"/>
              <w:rPr>
                <w:rFonts w:ascii="Segoe UI" w:eastAsia="新細明體" w:hAnsi="Segoe UI" w:cs="Segoe UI"/>
                <w:color w:val="000000"/>
                <w:kern w:val="0"/>
                <w:sz w:val="17"/>
                <w:szCs w:val="17"/>
                <w:lang w:val="en-GB"/>
              </w:rPr>
            </w:pPr>
            <w:r w:rsidRPr="00A5707F">
              <w:rPr>
                <w:rFonts w:ascii="Segoe UI" w:eastAsia="新細明體" w:hAnsi="Segoe UI" w:cs="Segoe UI"/>
                <w:color w:val="000000"/>
                <w:kern w:val="0"/>
                <w:sz w:val="17"/>
                <w:szCs w:val="17"/>
                <w:lang w:val="en-GB"/>
              </w:rPr>
              <w:t>Does the subordination exemption in the penultimate paragraph of Section 11 of the FSB TLAC Term Sheet apply?</w:t>
            </w:r>
          </w:p>
        </w:tc>
        <w:tc>
          <w:tcPr>
            <w:tcW w:w="709" w:type="dxa"/>
            <w:tcBorders>
              <w:top w:val="single" w:sz="4" w:space="0" w:color="BFBFBF" w:themeColor="background1" w:themeShade="BF"/>
              <w:left w:val="single" w:sz="4" w:space="0" w:color="000000" w:themeColor="text1"/>
              <w:bottom w:val="single" w:sz="4" w:space="0" w:color="BFBFBF" w:themeColor="background1" w:themeShade="BF"/>
              <w:right w:val="single" w:sz="4" w:space="0" w:color="BFBFBF" w:themeColor="background1" w:themeShade="BF"/>
            </w:tcBorders>
            <w:shd w:val="clear" w:color="auto" w:fill="auto"/>
            <w:noWrap/>
            <w:vAlign w:val="center"/>
          </w:tcPr>
          <w:p w:rsidR="00A5707F" w:rsidRPr="00A5707F" w:rsidRDefault="00A5707F" w:rsidP="00A5707F">
            <w:pPr>
              <w:widowControl/>
              <w:spacing w:line="200" w:lineRule="exact"/>
              <w:jc w:val="center"/>
              <w:rPr>
                <w:rFonts w:ascii="Segoe UI" w:eastAsia="新細明體" w:hAnsi="Segoe UI" w:cs="Segoe UI"/>
                <w:color w:val="000000"/>
                <w:kern w:val="0"/>
                <w:sz w:val="17"/>
                <w:szCs w:val="17"/>
                <w:lang w:val="en-GB"/>
              </w:rPr>
            </w:pPr>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center"/>
          </w:tcPr>
          <w:p w:rsidR="00A5707F" w:rsidRPr="00A5707F" w:rsidRDefault="00A5707F" w:rsidP="00A5707F">
            <w:pPr>
              <w:widowControl/>
              <w:spacing w:line="200" w:lineRule="exact"/>
              <w:jc w:val="center"/>
              <w:rPr>
                <w:rFonts w:ascii="Segoe UI" w:eastAsia="新細明體" w:hAnsi="Segoe UI" w:cs="Segoe UI"/>
                <w:color w:val="000000"/>
                <w:kern w:val="0"/>
                <w:sz w:val="17"/>
                <w:szCs w:val="17"/>
                <w:lang w:val="en-GB"/>
              </w:rPr>
            </w:pPr>
          </w:p>
        </w:tc>
        <w:tc>
          <w:tcPr>
            <w:tcW w:w="7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center"/>
          </w:tcPr>
          <w:p w:rsidR="00A5707F" w:rsidRPr="00A5707F" w:rsidRDefault="00A5707F" w:rsidP="00A5707F">
            <w:pPr>
              <w:widowControl/>
              <w:spacing w:line="200" w:lineRule="exact"/>
              <w:jc w:val="center"/>
              <w:rPr>
                <w:rFonts w:ascii="Segoe UI" w:eastAsia="新細明體" w:hAnsi="Segoe UI" w:cs="Segoe UI"/>
                <w:color w:val="000000"/>
                <w:kern w:val="0"/>
                <w:sz w:val="17"/>
                <w:szCs w:val="17"/>
                <w:lang w:val="en-GB"/>
              </w:rPr>
            </w:pPr>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noWrap/>
            <w:vAlign w:val="center"/>
          </w:tcPr>
          <w:p w:rsidR="00A5707F" w:rsidRPr="00A5707F" w:rsidRDefault="00A5707F" w:rsidP="00A5707F">
            <w:pPr>
              <w:widowControl/>
              <w:spacing w:line="200" w:lineRule="exact"/>
              <w:jc w:val="center"/>
              <w:rPr>
                <w:rFonts w:ascii="Segoe UI" w:eastAsia="新細明體" w:hAnsi="Segoe UI" w:cs="Segoe UI"/>
                <w:color w:val="000000"/>
                <w:kern w:val="0"/>
                <w:sz w:val="17"/>
                <w:szCs w:val="17"/>
                <w:lang w:val="en-GB"/>
              </w:rPr>
            </w:pPr>
          </w:p>
        </w:tc>
        <w:tc>
          <w:tcPr>
            <w:tcW w:w="750"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auto"/>
            <w:noWrap/>
            <w:vAlign w:val="center"/>
          </w:tcPr>
          <w:p w:rsidR="00A5707F" w:rsidRPr="00A5707F" w:rsidRDefault="00A5707F" w:rsidP="00A5707F">
            <w:pPr>
              <w:widowControl/>
              <w:spacing w:line="200" w:lineRule="exact"/>
              <w:jc w:val="center"/>
              <w:rPr>
                <w:rFonts w:ascii="Segoe UI" w:eastAsia="新細明體" w:hAnsi="Segoe UI" w:cs="Segoe UI"/>
                <w:color w:val="000000"/>
                <w:kern w:val="0"/>
                <w:sz w:val="17"/>
                <w:szCs w:val="17"/>
                <w:lang w:val="en-GB"/>
              </w:rPr>
            </w:pPr>
          </w:p>
        </w:tc>
      </w:tr>
      <w:tr w:rsidR="00A5707F" w:rsidRPr="00A5707F" w:rsidTr="00297CA5">
        <w:trPr>
          <w:trHeight w:val="1222"/>
        </w:trPr>
        <w:tc>
          <w:tcPr>
            <w:tcW w:w="425" w:type="dxa"/>
            <w:gridSpan w:val="2"/>
            <w:tcBorders>
              <w:top w:val="single" w:sz="4" w:space="0" w:color="BFBFBF" w:themeColor="background1" w:themeShade="BF"/>
              <w:left w:val="nil"/>
              <w:bottom w:val="single" w:sz="4" w:space="0" w:color="000000" w:themeColor="text1"/>
              <w:right w:val="single" w:sz="4" w:space="0" w:color="BFBFBF" w:themeColor="background1" w:themeShade="BF"/>
            </w:tcBorders>
            <w:shd w:val="clear" w:color="auto" w:fill="auto"/>
            <w:noWrap/>
            <w:vAlign w:val="center"/>
          </w:tcPr>
          <w:p w:rsidR="00A5707F" w:rsidRPr="00A5707F" w:rsidRDefault="00A5707F" w:rsidP="00A5707F">
            <w:pPr>
              <w:widowControl/>
              <w:spacing w:line="200" w:lineRule="exact"/>
              <w:jc w:val="both"/>
              <w:rPr>
                <w:rFonts w:ascii="Segoe UI" w:eastAsia="新細明體" w:hAnsi="Segoe UI" w:cs="Segoe UI"/>
                <w:color w:val="000000"/>
                <w:kern w:val="0"/>
                <w:sz w:val="17"/>
                <w:szCs w:val="17"/>
                <w:lang w:val="en-GB"/>
              </w:rPr>
            </w:pPr>
            <w:r w:rsidRPr="00A5707F">
              <w:rPr>
                <w:rFonts w:ascii="Segoe UI" w:eastAsia="新細明體" w:hAnsi="Segoe UI" w:cs="Segoe UI"/>
                <w:color w:val="000000"/>
                <w:kern w:val="0"/>
                <w:sz w:val="17"/>
                <w:szCs w:val="17"/>
                <w:lang w:val="en-GB"/>
              </w:rPr>
              <w:t>6c</w:t>
            </w:r>
          </w:p>
        </w:tc>
        <w:tc>
          <w:tcPr>
            <w:tcW w:w="5954" w:type="dxa"/>
            <w:tcBorders>
              <w:top w:val="single" w:sz="4" w:space="0" w:color="BFBFBF" w:themeColor="background1" w:themeShade="BF"/>
              <w:left w:val="single" w:sz="4" w:space="0" w:color="BFBFBF" w:themeColor="background1" w:themeShade="BF"/>
              <w:bottom w:val="single" w:sz="4" w:space="0" w:color="000000" w:themeColor="text1"/>
              <w:right w:val="single" w:sz="4" w:space="0" w:color="000000" w:themeColor="text1"/>
            </w:tcBorders>
            <w:shd w:val="clear" w:color="auto" w:fill="auto"/>
            <w:vAlign w:val="center"/>
          </w:tcPr>
          <w:p w:rsidR="00A5707F" w:rsidRPr="00A5707F" w:rsidRDefault="00A5707F" w:rsidP="00A5707F">
            <w:pPr>
              <w:widowControl/>
              <w:spacing w:line="200" w:lineRule="exact"/>
              <w:ind w:rightChars="47" w:right="113"/>
              <w:jc w:val="both"/>
              <w:rPr>
                <w:rFonts w:ascii="Segoe UI" w:eastAsia="新細明體" w:hAnsi="Segoe UI" w:cs="Segoe UI"/>
                <w:color w:val="000000"/>
                <w:kern w:val="0"/>
                <w:sz w:val="17"/>
                <w:szCs w:val="17"/>
                <w:lang w:val="en-GB"/>
              </w:rPr>
            </w:pPr>
            <w:r w:rsidRPr="00A5707F">
              <w:rPr>
                <w:rFonts w:ascii="Segoe UI" w:eastAsia="新細明體" w:hAnsi="Segoe UI" w:cs="Segoe UI"/>
                <w:color w:val="000000"/>
                <w:kern w:val="0"/>
                <w:sz w:val="17"/>
                <w:szCs w:val="17"/>
                <w:lang w:val="en-GB"/>
              </w:rPr>
              <w:t>If the capped subordination exemption applies, the amount of funding issued that ranks pari passu with excluded liabilities and that is recognised as external loss-absorbing capacity, divided by funding issued that ranks pari passu with excluded liabilities and that would be recognised as external loss-absorbing capacity if no cap was applied</w:t>
            </w:r>
          </w:p>
        </w:tc>
        <w:tc>
          <w:tcPr>
            <w:tcW w:w="709" w:type="dxa"/>
            <w:tcBorders>
              <w:top w:val="single" w:sz="4" w:space="0" w:color="BFBFBF" w:themeColor="background1" w:themeShade="BF"/>
              <w:left w:val="single" w:sz="4" w:space="0" w:color="000000" w:themeColor="text1"/>
              <w:bottom w:val="single" w:sz="4" w:space="0" w:color="000000" w:themeColor="text1"/>
              <w:right w:val="single" w:sz="4" w:space="0" w:color="BFBFBF" w:themeColor="background1" w:themeShade="BF"/>
            </w:tcBorders>
            <w:shd w:val="clear" w:color="auto" w:fill="auto"/>
            <w:noWrap/>
            <w:vAlign w:val="center"/>
          </w:tcPr>
          <w:p w:rsidR="00A5707F" w:rsidRPr="00A5707F" w:rsidRDefault="00A5707F" w:rsidP="00A5707F">
            <w:pPr>
              <w:widowControl/>
              <w:spacing w:line="200" w:lineRule="exact"/>
              <w:jc w:val="center"/>
              <w:rPr>
                <w:rFonts w:ascii="Segoe UI" w:eastAsia="新細明體" w:hAnsi="Segoe UI" w:cs="Segoe UI"/>
                <w:color w:val="000000"/>
                <w:kern w:val="0"/>
                <w:sz w:val="17"/>
                <w:szCs w:val="17"/>
                <w:lang w:val="en-GB"/>
              </w:rPr>
            </w:pPr>
          </w:p>
        </w:tc>
        <w:tc>
          <w:tcPr>
            <w:tcW w:w="709" w:type="dxa"/>
            <w:tcBorders>
              <w:top w:val="single" w:sz="4" w:space="0" w:color="BFBFBF" w:themeColor="background1" w:themeShade="BF"/>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vAlign w:val="center"/>
          </w:tcPr>
          <w:p w:rsidR="00A5707F" w:rsidRPr="00A5707F" w:rsidRDefault="00A5707F" w:rsidP="00A5707F">
            <w:pPr>
              <w:widowControl/>
              <w:spacing w:line="200" w:lineRule="exact"/>
              <w:jc w:val="center"/>
              <w:rPr>
                <w:rFonts w:ascii="Segoe UI" w:eastAsia="新細明體" w:hAnsi="Segoe UI" w:cs="Segoe UI"/>
                <w:color w:val="000000"/>
                <w:kern w:val="0"/>
                <w:sz w:val="17"/>
                <w:szCs w:val="17"/>
                <w:lang w:val="en-GB"/>
              </w:rPr>
            </w:pPr>
          </w:p>
        </w:tc>
        <w:tc>
          <w:tcPr>
            <w:tcW w:w="708" w:type="dxa"/>
            <w:tcBorders>
              <w:top w:val="single" w:sz="4" w:space="0" w:color="BFBFBF" w:themeColor="background1" w:themeShade="BF"/>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vAlign w:val="center"/>
          </w:tcPr>
          <w:p w:rsidR="00A5707F" w:rsidRPr="00A5707F" w:rsidRDefault="00A5707F" w:rsidP="00A5707F">
            <w:pPr>
              <w:widowControl/>
              <w:spacing w:line="200" w:lineRule="exact"/>
              <w:jc w:val="center"/>
              <w:rPr>
                <w:rFonts w:ascii="Segoe UI" w:eastAsia="新細明體" w:hAnsi="Segoe UI" w:cs="Segoe UI"/>
                <w:color w:val="000000"/>
                <w:kern w:val="0"/>
                <w:sz w:val="17"/>
                <w:szCs w:val="17"/>
                <w:lang w:val="en-GB"/>
              </w:rPr>
            </w:pPr>
          </w:p>
        </w:tc>
        <w:tc>
          <w:tcPr>
            <w:tcW w:w="709" w:type="dxa"/>
            <w:tcBorders>
              <w:top w:val="single" w:sz="4" w:space="0" w:color="BFBFBF" w:themeColor="background1" w:themeShade="BF"/>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vAlign w:val="center"/>
          </w:tcPr>
          <w:p w:rsidR="00A5707F" w:rsidRPr="00A5707F" w:rsidRDefault="00A5707F" w:rsidP="00A5707F">
            <w:pPr>
              <w:widowControl/>
              <w:spacing w:line="200" w:lineRule="exact"/>
              <w:jc w:val="center"/>
              <w:rPr>
                <w:rFonts w:ascii="Segoe UI" w:eastAsia="新細明體" w:hAnsi="Segoe UI" w:cs="Segoe UI"/>
                <w:color w:val="000000"/>
                <w:kern w:val="0"/>
                <w:sz w:val="17"/>
                <w:szCs w:val="17"/>
                <w:lang w:val="en-GB"/>
              </w:rPr>
            </w:pPr>
          </w:p>
        </w:tc>
        <w:tc>
          <w:tcPr>
            <w:tcW w:w="750" w:type="dxa"/>
            <w:tcBorders>
              <w:top w:val="single" w:sz="4" w:space="0" w:color="BFBFBF" w:themeColor="background1" w:themeShade="BF"/>
              <w:left w:val="single" w:sz="4" w:space="0" w:color="BFBFBF" w:themeColor="background1" w:themeShade="BF"/>
              <w:bottom w:val="single" w:sz="4" w:space="0" w:color="000000" w:themeColor="text1"/>
            </w:tcBorders>
            <w:shd w:val="clear" w:color="auto" w:fill="auto"/>
            <w:noWrap/>
            <w:vAlign w:val="center"/>
          </w:tcPr>
          <w:p w:rsidR="00A5707F" w:rsidRPr="00A5707F" w:rsidRDefault="00A5707F" w:rsidP="00A5707F">
            <w:pPr>
              <w:widowControl/>
              <w:spacing w:line="200" w:lineRule="exact"/>
              <w:jc w:val="center"/>
              <w:rPr>
                <w:rFonts w:ascii="Segoe UI" w:eastAsia="新細明體" w:hAnsi="Segoe UI" w:cs="Segoe UI"/>
                <w:color w:val="000000"/>
                <w:kern w:val="0"/>
                <w:sz w:val="17"/>
                <w:szCs w:val="17"/>
                <w:lang w:val="en-GB"/>
              </w:rPr>
            </w:pPr>
          </w:p>
        </w:tc>
      </w:tr>
      <w:tr w:rsidR="00A5707F" w:rsidRPr="00A5707F" w:rsidTr="00297CA5">
        <w:trPr>
          <w:gridAfter w:val="1"/>
          <w:wAfter w:w="750" w:type="dxa"/>
          <w:trHeight w:val="1134"/>
        </w:trPr>
        <w:tc>
          <w:tcPr>
            <w:tcW w:w="9214" w:type="dxa"/>
            <w:gridSpan w:val="7"/>
            <w:tcBorders>
              <w:top w:val="single" w:sz="4" w:space="0" w:color="BFBFBF" w:themeColor="background1" w:themeShade="BF"/>
              <w:left w:val="nil"/>
              <w:bottom w:val="single" w:sz="4" w:space="0" w:color="auto"/>
            </w:tcBorders>
            <w:shd w:val="clear" w:color="auto" w:fill="auto"/>
            <w:noWrap/>
          </w:tcPr>
          <w:p w:rsidR="00A5707F" w:rsidRPr="00A5707F" w:rsidRDefault="00A5707F" w:rsidP="00A5707F">
            <w:pPr>
              <w:widowControl/>
              <w:snapToGrid w:val="0"/>
              <w:spacing w:before="40" w:after="40" w:line="240" w:lineRule="exact"/>
              <w:jc w:val="both"/>
              <w:rPr>
                <w:rFonts w:ascii="Segoe UI" w:eastAsia="Times New Roman" w:hAnsi="Segoe UI" w:cs="Segoe UI"/>
                <w:i/>
                <w:kern w:val="0"/>
                <w:sz w:val="17"/>
                <w:szCs w:val="17"/>
                <w:lang w:val="en-GB" w:eastAsia="it-IT"/>
              </w:rPr>
            </w:pPr>
            <w:r w:rsidRPr="00A5707F">
              <w:rPr>
                <w:rFonts w:ascii="Segoe UI" w:eastAsia="Times New Roman" w:hAnsi="Segoe UI" w:cs="Segoe UI"/>
                <w:i/>
                <w:kern w:val="0"/>
                <w:sz w:val="17"/>
                <w:szCs w:val="17"/>
                <w:lang w:val="en-GB" w:eastAsia="it-IT"/>
              </w:rPr>
              <w:lastRenderedPageBreak/>
              <w:t>Points to note:</w:t>
            </w:r>
          </w:p>
          <w:p w:rsidR="00A5707F" w:rsidRPr="00A5707F" w:rsidRDefault="00A5707F" w:rsidP="006E5C79">
            <w:pPr>
              <w:widowControl/>
              <w:numPr>
                <w:ilvl w:val="0"/>
                <w:numId w:val="5"/>
              </w:numPr>
              <w:spacing w:before="40" w:after="40" w:line="240" w:lineRule="exact"/>
              <w:jc w:val="both"/>
              <w:rPr>
                <w:rFonts w:ascii="Segoe UI" w:eastAsia="新細明體" w:hAnsi="Segoe UI" w:cs="Segoe UI"/>
                <w:i/>
                <w:color w:val="000000"/>
                <w:kern w:val="0"/>
                <w:sz w:val="17"/>
                <w:szCs w:val="17"/>
                <w:lang w:val="en-GB"/>
              </w:rPr>
            </w:pPr>
            <w:r w:rsidRPr="00A5707F">
              <w:rPr>
                <w:rFonts w:ascii="Segoe UI" w:eastAsia="新細明體" w:hAnsi="Segoe UI" w:cs="Segoe UI"/>
                <w:i/>
                <w:color w:val="000000"/>
                <w:kern w:val="0"/>
                <w:sz w:val="17"/>
                <w:szCs w:val="17"/>
                <w:lang w:val="en-GB"/>
              </w:rPr>
              <w:t xml:space="preserve">Under the BCBS’s standards on Pillar 3 disclosure requirements – consolidated and enhanced framework (March 2017), template KM2 applies to the disclosure of loss-absorbing capacity at the resolution group level.  A </w:t>
            </w:r>
            <w:r w:rsidRPr="00A5707F">
              <w:rPr>
                <w:rFonts w:ascii="Segoe UI" w:eastAsia="新細明體" w:hAnsi="Segoe UI" w:cs="Times New Roman"/>
                <w:i/>
                <w:noProof/>
                <w:kern w:val="0"/>
                <w:sz w:val="17"/>
                <w:szCs w:val="20"/>
                <w:lang w:val="en-GB" w:eastAsia="en-GB"/>
              </w:rPr>
              <w:t>material subsidiary under the LAC Rules in a resolution group with a non-HK resolution entity should, to the extent that the material subsidiary can reasonably obtain the necessary information, fill in the above template, which applies to the disclosure of external loss-absorbing capacity of such non-HK resolution entity at resolution group level.</w:t>
            </w:r>
          </w:p>
          <w:p w:rsidR="00A5707F" w:rsidRPr="00A5707F" w:rsidRDefault="00A5707F" w:rsidP="006E5C79">
            <w:pPr>
              <w:widowControl/>
              <w:numPr>
                <w:ilvl w:val="0"/>
                <w:numId w:val="5"/>
              </w:numPr>
              <w:spacing w:before="40" w:after="40" w:line="240" w:lineRule="exact"/>
              <w:jc w:val="both"/>
              <w:rPr>
                <w:rFonts w:ascii="Segoe UI" w:eastAsia="新細明體" w:hAnsi="Segoe UI" w:cs="Segoe UI"/>
                <w:i/>
                <w:color w:val="000000"/>
                <w:kern w:val="0"/>
                <w:sz w:val="17"/>
                <w:szCs w:val="17"/>
                <w:lang w:val="en-GB"/>
              </w:rPr>
            </w:pPr>
            <w:r w:rsidRPr="00A5707F">
              <w:rPr>
                <w:rFonts w:ascii="Segoe UI" w:eastAsia="新細明體" w:hAnsi="Segoe UI" w:cs="Segoe UI"/>
                <w:i/>
                <w:color w:val="000000"/>
                <w:kern w:val="0"/>
                <w:sz w:val="17"/>
                <w:szCs w:val="17"/>
                <w:lang w:val="en-GB"/>
              </w:rPr>
              <w:t>The material subsidiary may, subject to rule 56 of the LAC Rules being satisfied, treat disclosures made by a group company (e.g. the non-HK resolution entity) as disclosures required to be made under rule 47(2) of the LAC Rules and as specified in the above template.</w:t>
            </w:r>
          </w:p>
          <w:p w:rsidR="00A5707F" w:rsidRPr="00A5707F" w:rsidRDefault="00A5707F" w:rsidP="006E5C79">
            <w:pPr>
              <w:widowControl/>
              <w:numPr>
                <w:ilvl w:val="0"/>
                <w:numId w:val="5"/>
              </w:numPr>
              <w:spacing w:before="40" w:after="40" w:line="240" w:lineRule="exact"/>
              <w:jc w:val="both"/>
              <w:rPr>
                <w:rFonts w:ascii="Segoe UI" w:eastAsia="新細明體" w:hAnsi="Segoe UI" w:cs="Segoe UI"/>
                <w:i/>
                <w:color w:val="000000"/>
                <w:kern w:val="0"/>
                <w:sz w:val="17"/>
                <w:szCs w:val="17"/>
                <w:lang w:val="en-GB"/>
              </w:rPr>
            </w:pPr>
            <w:r w:rsidRPr="00A5707F">
              <w:rPr>
                <w:rFonts w:ascii="Segoe UI" w:eastAsia="新細明體" w:hAnsi="Segoe UI" w:cs="Segoe UI"/>
                <w:i/>
                <w:color w:val="000000"/>
                <w:kern w:val="0"/>
                <w:sz w:val="17"/>
                <w:szCs w:val="17"/>
                <w:lang w:val="en-GB"/>
              </w:rPr>
              <w:t xml:space="preserve">Disclosures are prospective during the first period of implementation and build up quarterly comparatives over time.  Enter “NA” in the columns with respect to periods prior to the first period of implementation.   </w:t>
            </w:r>
          </w:p>
          <w:p w:rsidR="00A5707F" w:rsidRPr="00A5707F" w:rsidRDefault="00A5707F" w:rsidP="006E5C79">
            <w:pPr>
              <w:widowControl/>
              <w:numPr>
                <w:ilvl w:val="0"/>
                <w:numId w:val="5"/>
              </w:numPr>
              <w:spacing w:before="40" w:after="40" w:line="240" w:lineRule="exact"/>
              <w:jc w:val="both"/>
              <w:rPr>
                <w:rFonts w:ascii="Segoe UI" w:eastAsia="新細明體" w:hAnsi="Segoe UI" w:cs="Segoe UI"/>
                <w:color w:val="000000"/>
                <w:kern w:val="0"/>
                <w:sz w:val="17"/>
                <w:szCs w:val="17"/>
                <w:lang w:val="en-GB"/>
              </w:rPr>
            </w:pPr>
            <w:r w:rsidRPr="00A5707F">
              <w:rPr>
                <w:rFonts w:ascii="Segoe UI" w:eastAsia="新細明體" w:hAnsi="Segoe UI" w:cs="Segoe UI"/>
                <w:i/>
                <w:color w:val="000000"/>
                <w:kern w:val="0"/>
                <w:sz w:val="17"/>
                <w:szCs w:val="17"/>
                <w:lang w:val="en-GB"/>
              </w:rPr>
              <w:t>Where the functional currency of the non-HK resolution entity of a material subsidiary is a currency other than Hong Kong dollars and that the material subsidiary reports amounts in this template in Hong Kong dollars, the closing middle market T/T rates prevailing at the end of the current reporting period should be used for conversion purposes.</w:t>
            </w:r>
          </w:p>
          <w:p w:rsidR="00A5707F" w:rsidRPr="0026430D" w:rsidRDefault="00A5707F" w:rsidP="006E5C79">
            <w:pPr>
              <w:widowControl/>
              <w:numPr>
                <w:ilvl w:val="0"/>
                <w:numId w:val="5"/>
              </w:numPr>
              <w:spacing w:before="40" w:after="40" w:line="240" w:lineRule="exact"/>
              <w:jc w:val="both"/>
              <w:rPr>
                <w:rFonts w:ascii="Segoe UI" w:eastAsia="新細明體" w:hAnsi="Segoe UI" w:cs="Segoe UI"/>
                <w:i/>
                <w:color w:val="000000"/>
                <w:kern w:val="0"/>
                <w:sz w:val="17"/>
                <w:szCs w:val="17"/>
                <w:lang w:val="en-GB"/>
              </w:rPr>
            </w:pPr>
            <w:r w:rsidRPr="0026430D">
              <w:rPr>
                <w:rFonts w:ascii="Segoe UI" w:eastAsia="新細明體" w:hAnsi="Segoe UI" w:cs="Segoe UI"/>
                <w:i/>
                <w:color w:val="000000"/>
                <w:kern w:val="0"/>
                <w:sz w:val="17"/>
                <w:szCs w:val="17"/>
                <w:lang w:val="en-GB"/>
              </w:rPr>
              <w:t xml:space="preserve">Where the necessary information for certain items is not available or cannot be reasonably obtained by the material subsidiary owing to a requirement under a regulatory regime in the jurisdiction of the non-HK resolution entity (“non-HK jurisdiction”) that corresponds to a LAC requirement (“relevant non-HK LAC regime”) not having been implemented, the material subsidiary should report total regulatory capital available of the non-HK resolution entity in row 1, and fill in rows 2 to 5 using the values of total regulatory capital, risk-weighted amount and leverage ratio exposure measure of the entity under the regulatory capital regime of the non-HK jurisdiction.  An explanatory note should be included to explain that the relevant non-HK LAC regime in the non-HK jurisdiction is not yet implemented and that the values for rows 1 to 5 are reported on the aforesaid basis as proxies.  The material subsidiary may enter “NA” for the other rows.  </w:t>
            </w:r>
          </w:p>
          <w:p w:rsidR="00A5707F" w:rsidRPr="0026430D" w:rsidRDefault="00A5707F" w:rsidP="006E5C79">
            <w:pPr>
              <w:widowControl/>
              <w:numPr>
                <w:ilvl w:val="0"/>
                <w:numId w:val="5"/>
              </w:numPr>
              <w:spacing w:before="40" w:after="40" w:line="240" w:lineRule="exact"/>
              <w:jc w:val="both"/>
              <w:rPr>
                <w:rFonts w:ascii="Segoe UI" w:eastAsia="新細明體" w:hAnsi="Segoe UI" w:cs="Segoe UI"/>
                <w:i/>
                <w:color w:val="000000"/>
                <w:kern w:val="0"/>
                <w:sz w:val="17"/>
                <w:szCs w:val="17"/>
                <w:lang w:val="en-GB"/>
              </w:rPr>
            </w:pPr>
            <w:r w:rsidRPr="0026430D">
              <w:rPr>
                <w:rFonts w:ascii="Segoe UI" w:eastAsia="新細明體" w:hAnsi="Segoe UI" w:cs="Segoe UI"/>
                <w:i/>
                <w:color w:val="000000"/>
                <w:kern w:val="0"/>
                <w:sz w:val="17"/>
                <w:szCs w:val="17"/>
                <w:lang w:val="en-GB"/>
              </w:rPr>
              <w:t>Where certain information, such as the non-HK resolution entity’s regulatory capital available, risk-weighted amount and leverage ratio exposure measure, is not available or cannot be reasonably obtained by the material subsidiary for a certain reporting period owing to the lack of public disclosure requirements with respect to the information for the period under the regulatory capital regime in the non-HK jurisdiction or the relevant non-HK LAC regime, the material subsidiary may enter “NA” for the corresponding cells in this template.  An explanatory note should be included in the template of the same reporting period to explain the reasons behind unavailability of the information.</w:t>
            </w:r>
          </w:p>
          <w:p w:rsidR="00A5707F" w:rsidRPr="00A5707F" w:rsidRDefault="00A5707F" w:rsidP="006E5C79">
            <w:pPr>
              <w:widowControl/>
              <w:numPr>
                <w:ilvl w:val="0"/>
                <w:numId w:val="5"/>
              </w:numPr>
              <w:spacing w:before="40" w:after="40" w:line="240" w:lineRule="exact"/>
              <w:jc w:val="both"/>
              <w:rPr>
                <w:rFonts w:ascii="Segoe UI" w:eastAsia="新細明體" w:hAnsi="Segoe UI" w:cs="Segoe UI"/>
                <w:color w:val="000000"/>
                <w:kern w:val="0"/>
                <w:sz w:val="17"/>
                <w:szCs w:val="17"/>
                <w:lang w:val="en-GB"/>
              </w:rPr>
            </w:pPr>
            <w:r w:rsidRPr="0026430D">
              <w:rPr>
                <w:rFonts w:ascii="Segoe UI" w:eastAsia="新細明體" w:hAnsi="Segoe UI" w:cs="Segoe UI"/>
                <w:i/>
                <w:color w:val="000000"/>
                <w:kern w:val="0"/>
                <w:sz w:val="17"/>
                <w:szCs w:val="17"/>
                <w:lang w:val="en-GB"/>
              </w:rPr>
              <w:t>Where the necessary information for an item is not available or cannot be reasonably obtained by the material subsidiary in other cases, enter “NA” in the relevant row and include an explanatory note to explain the reasons behind unavailability of the information.</w:t>
            </w:r>
          </w:p>
        </w:tc>
      </w:tr>
    </w:tbl>
    <w:p w:rsidR="00A5707F" w:rsidRPr="00A5707F" w:rsidRDefault="00A5707F" w:rsidP="00A5707F">
      <w:pPr>
        <w:widowControl/>
        <w:spacing w:before="120" w:after="120"/>
        <w:rPr>
          <w:rFonts w:ascii="Segoe UI" w:eastAsia="Times New Roman" w:hAnsi="Segoe UI" w:cs="Times New Roman"/>
          <w:kern w:val="0"/>
          <w:sz w:val="22"/>
          <w:szCs w:val="20"/>
          <w:lang w:val="en-GB" w:eastAsia="en-US"/>
        </w:rPr>
      </w:pPr>
    </w:p>
    <w:tbl>
      <w:tblPr>
        <w:tblW w:w="9214"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8647"/>
      </w:tblGrid>
      <w:tr w:rsidR="00A5707F" w:rsidRPr="00A5707F" w:rsidTr="00297CA5">
        <w:trPr>
          <w:tblHeader/>
        </w:trPr>
        <w:tc>
          <w:tcPr>
            <w:tcW w:w="9214" w:type="dxa"/>
            <w:gridSpan w:val="2"/>
            <w:shd w:val="clear" w:color="auto" w:fill="BFBFBF"/>
          </w:tcPr>
          <w:p w:rsidR="00A5707F" w:rsidRPr="00A5707F" w:rsidRDefault="00A5707F" w:rsidP="00A5707F">
            <w:pPr>
              <w:keepLines/>
              <w:tabs>
                <w:tab w:val="left" w:pos="150"/>
                <w:tab w:val="left" w:pos="397"/>
                <w:tab w:val="left" w:pos="794"/>
                <w:tab w:val="left" w:pos="1191"/>
              </w:tabs>
              <w:spacing w:before="40" w:after="40"/>
              <w:rPr>
                <w:rFonts w:ascii="Segoe UI" w:eastAsia="新細明體" w:hAnsi="Segoe UI" w:cs="Times New Roman"/>
                <w:b/>
                <w:kern w:val="0"/>
                <w:sz w:val="17"/>
                <w:szCs w:val="20"/>
                <w:lang w:val="en-GB" w:eastAsia="en-GB"/>
              </w:rPr>
            </w:pPr>
            <w:r w:rsidRPr="00A5707F">
              <w:rPr>
                <w:rFonts w:ascii="Segoe UI" w:eastAsia="新細明體" w:hAnsi="Segoe UI" w:cs="Times New Roman"/>
                <w:b/>
                <w:kern w:val="0"/>
                <w:sz w:val="17"/>
                <w:szCs w:val="20"/>
                <w:lang w:val="en-GB" w:eastAsia="en-GB"/>
              </w:rPr>
              <w:t>Explanatory Note</w:t>
            </w:r>
          </w:p>
        </w:tc>
      </w:tr>
      <w:tr w:rsidR="00A5707F" w:rsidRPr="00A5707F" w:rsidTr="00297CA5">
        <w:tc>
          <w:tcPr>
            <w:tcW w:w="9214" w:type="dxa"/>
            <w:gridSpan w:val="2"/>
            <w:shd w:val="clear" w:color="auto" w:fill="F2F2F2"/>
          </w:tcPr>
          <w:p w:rsidR="00A5707F" w:rsidRPr="00A5707F" w:rsidRDefault="00A5707F" w:rsidP="00A5707F">
            <w:pPr>
              <w:keepLines/>
              <w:tabs>
                <w:tab w:val="left" w:pos="150"/>
                <w:tab w:val="left" w:pos="397"/>
                <w:tab w:val="left" w:pos="794"/>
                <w:tab w:val="left" w:pos="1191"/>
              </w:tabs>
              <w:spacing w:before="40" w:after="40"/>
              <w:rPr>
                <w:rFonts w:ascii="Segoe UI" w:eastAsia="新細明體" w:hAnsi="Segoe UI" w:cs="Times New Roman"/>
                <w:b/>
                <w:kern w:val="0"/>
                <w:sz w:val="17"/>
                <w:szCs w:val="20"/>
                <w:lang w:val="en-GB" w:eastAsia="en-GB"/>
              </w:rPr>
            </w:pPr>
            <w:r w:rsidRPr="00A5707F">
              <w:rPr>
                <w:rFonts w:ascii="Segoe UI" w:eastAsia="新細明體" w:hAnsi="Segoe UI" w:cs="Times New Roman"/>
                <w:b/>
                <w:kern w:val="0"/>
                <w:sz w:val="17"/>
                <w:szCs w:val="20"/>
                <w:lang w:val="en-GB" w:eastAsia="en-GB"/>
              </w:rPr>
              <w:t>Rows</w:t>
            </w:r>
          </w:p>
        </w:tc>
      </w:tr>
      <w:tr w:rsidR="00A5707F" w:rsidRPr="00A5707F" w:rsidTr="00297CA5">
        <w:tc>
          <w:tcPr>
            <w:tcW w:w="567" w:type="dxa"/>
            <w:shd w:val="clear" w:color="auto" w:fill="auto"/>
          </w:tcPr>
          <w:p w:rsidR="00A5707F" w:rsidRPr="00A5707F" w:rsidRDefault="00A5707F" w:rsidP="00A5707F">
            <w:pPr>
              <w:keepLines/>
              <w:tabs>
                <w:tab w:val="left" w:pos="150"/>
                <w:tab w:val="left" w:pos="397"/>
                <w:tab w:val="left" w:pos="794"/>
                <w:tab w:val="left" w:pos="1191"/>
              </w:tabs>
              <w:spacing w:before="40" w:after="40"/>
              <w:rPr>
                <w:rFonts w:ascii="Segoe UI" w:eastAsia="Times New Roman" w:hAnsi="Segoe UI" w:cs="Segoe UI"/>
                <w:kern w:val="0"/>
                <w:sz w:val="17"/>
                <w:szCs w:val="17"/>
                <w:lang w:val="en-GB" w:eastAsia="en-US"/>
              </w:rPr>
            </w:pPr>
            <w:r w:rsidRPr="00A5707F">
              <w:rPr>
                <w:rFonts w:ascii="Segoe UI" w:eastAsia="Times New Roman" w:hAnsi="Segoe UI" w:cs="Segoe UI"/>
                <w:kern w:val="0"/>
                <w:sz w:val="17"/>
                <w:szCs w:val="17"/>
                <w:lang w:val="en-GB" w:eastAsia="en-US"/>
              </w:rPr>
              <w:t>1</w:t>
            </w:r>
          </w:p>
        </w:tc>
        <w:tc>
          <w:tcPr>
            <w:tcW w:w="8647" w:type="dxa"/>
            <w:shd w:val="clear" w:color="auto" w:fill="auto"/>
          </w:tcPr>
          <w:p w:rsidR="00A5707F" w:rsidRPr="00A5707F" w:rsidRDefault="00A5707F" w:rsidP="00A5707F">
            <w:pPr>
              <w:keepLines/>
              <w:tabs>
                <w:tab w:val="left" w:pos="397"/>
                <w:tab w:val="left" w:pos="794"/>
                <w:tab w:val="left" w:pos="1191"/>
              </w:tabs>
              <w:spacing w:before="40" w:after="40"/>
              <w:jc w:val="both"/>
              <w:rPr>
                <w:rFonts w:ascii="Segoe UI" w:eastAsia="Times New Roman" w:hAnsi="Segoe UI" w:cs="Segoe UI"/>
                <w:kern w:val="0"/>
                <w:sz w:val="17"/>
                <w:szCs w:val="17"/>
                <w:lang w:val="en-GB" w:eastAsia="en-GB"/>
              </w:rPr>
            </w:pPr>
            <w:r w:rsidRPr="00A5707F">
              <w:rPr>
                <w:rFonts w:ascii="Segoe UI" w:eastAsia="Times New Roman" w:hAnsi="Segoe UI" w:cs="Segoe UI"/>
                <w:kern w:val="0"/>
                <w:sz w:val="17"/>
                <w:szCs w:val="17"/>
                <w:lang w:val="en-GB" w:eastAsia="en-GB"/>
              </w:rPr>
              <w:t>External loss-absorb</w:t>
            </w:r>
            <w:r w:rsidRPr="00EB650E">
              <w:rPr>
                <w:rFonts w:ascii="Segoe UI" w:eastAsia="Times New Roman" w:hAnsi="Segoe UI" w:cs="Segoe UI"/>
                <w:kern w:val="0"/>
                <w:sz w:val="17"/>
                <w:szCs w:val="17"/>
                <w:lang w:val="en-GB" w:eastAsia="en-GB"/>
              </w:rPr>
              <w:t>ing capacity available: the value in [KM2(B):1/a] should be the amount of external loss-absorbing capacity of the non-HK resolution entity recognised as being able to count towards a requirement under the relevant non-HK LAC regime, at resolution group level.</w:t>
            </w:r>
          </w:p>
        </w:tc>
      </w:tr>
      <w:tr w:rsidR="00A5707F" w:rsidRPr="00A5707F" w:rsidTr="00297CA5">
        <w:tc>
          <w:tcPr>
            <w:tcW w:w="567" w:type="dxa"/>
            <w:shd w:val="clear" w:color="auto" w:fill="auto"/>
          </w:tcPr>
          <w:p w:rsidR="00A5707F" w:rsidRPr="00A5707F" w:rsidRDefault="00A5707F" w:rsidP="00A5707F">
            <w:pPr>
              <w:keepLines/>
              <w:tabs>
                <w:tab w:val="left" w:pos="150"/>
                <w:tab w:val="left" w:pos="397"/>
                <w:tab w:val="left" w:pos="794"/>
                <w:tab w:val="left" w:pos="1191"/>
              </w:tabs>
              <w:spacing w:before="40" w:after="40"/>
              <w:rPr>
                <w:rFonts w:ascii="Segoe UI" w:eastAsia="Times New Roman" w:hAnsi="Segoe UI" w:cs="Segoe UI"/>
                <w:kern w:val="0"/>
                <w:sz w:val="17"/>
                <w:szCs w:val="17"/>
                <w:lang w:val="en-GB" w:eastAsia="en-US"/>
              </w:rPr>
            </w:pPr>
            <w:r w:rsidRPr="00A5707F">
              <w:rPr>
                <w:rFonts w:ascii="Segoe UI" w:eastAsia="Times New Roman" w:hAnsi="Segoe UI" w:cs="Segoe UI"/>
                <w:kern w:val="0"/>
                <w:sz w:val="17"/>
                <w:szCs w:val="17"/>
                <w:lang w:val="en-GB" w:eastAsia="en-US"/>
              </w:rPr>
              <w:t>2</w:t>
            </w:r>
          </w:p>
        </w:tc>
        <w:tc>
          <w:tcPr>
            <w:tcW w:w="8647" w:type="dxa"/>
            <w:shd w:val="clear" w:color="auto" w:fill="auto"/>
          </w:tcPr>
          <w:p w:rsidR="00A5707F" w:rsidRPr="00A5707F" w:rsidRDefault="00A5707F" w:rsidP="00A5707F">
            <w:pPr>
              <w:keepLines/>
              <w:tabs>
                <w:tab w:val="left" w:pos="397"/>
                <w:tab w:val="left" w:pos="794"/>
                <w:tab w:val="left" w:pos="1191"/>
              </w:tabs>
              <w:spacing w:before="40" w:after="40"/>
              <w:jc w:val="both"/>
              <w:rPr>
                <w:rFonts w:ascii="Segoe UI" w:eastAsia="Times New Roman" w:hAnsi="Segoe UI" w:cs="Segoe UI"/>
                <w:kern w:val="0"/>
                <w:sz w:val="17"/>
                <w:szCs w:val="17"/>
                <w:lang w:val="en-GB" w:eastAsia="en-GB"/>
              </w:rPr>
            </w:pPr>
            <w:r w:rsidRPr="00A5707F">
              <w:rPr>
                <w:rFonts w:ascii="Segoe UI" w:eastAsia="Times New Roman" w:hAnsi="Segoe UI" w:cs="Segoe UI"/>
                <w:kern w:val="0"/>
                <w:sz w:val="17"/>
                <w:szCs w:val="17"/>
                <w:lang w:val="en-GB" w:eastAsia="en-GB"/>
              </w:rPr>
              <w:t>Total risk-weighted amount under the relevant non-HK LAC regime: the value in [KM2(B):2/a] should be the amount of total risk-weighted amount of the non-HK resolution entity, determined in accordance with the relevant non-HK LAC regime, at resolution group level.</w:t>
            </w:r>
          </w:p>
        </w:tc>
      </w:tr>
      <w:tr w:rsidR="00A5707F" w:rsidRPr="00A5707F" w:rsidTr="00297CA5">
        <w:tc>
          <w:tcPr>
            <w:tcW w:w="567" w:type="dxa"/>
            <w:shd w:val="clear" w:color="auto" w:fill="auto"/>
          </w:tcPr>
          <w:p w:rsidR="00A5707F" w:rsidRPr="00A5707F" w:rsidRDefault="00A5707F" w:rsidP="00A5707F">
            <w:pPr>
              <w:keepLines/>
              <w:tabs>
                <w:tab w:val="left" w:pos="150"/>
                <w:tab w:val="left" w:pos="397"/>
                <w:tab w:val="left" w:pos="794"/>
                <w:tab w:val="left" w:pos="1191"/>
              </w:tabs>
              <w:spacing w:before="40" w:after="40"/>
              <w:rPr>
                <w:rFonts w:ascii="Segoe UI" w:eastAsia="Times New Roman" w:hAnsi="Segoe UI" w:cs="Segoe UI"/>
                <w:kern w:val="0"/>
                <w:sz w:val="17"/>
                <w:szCs w:val="17"/>
                <w:lang w:val="en-GB" w:eastAsia="en-US"/>
              </w:rPr>
            </w:pPr>
            <w:r w:rsidRPr="00A5707F">
              <w:rPr>
                <w:rFonts w:ascii="Segoe UI" w:eastAsia="Times New Roman" w:hAnsi="Segoe UI" w:cs="Segoe UI"/>
                <w:kern w:val="0"/>
                <w:sz w:val="17"/>
                <w:szCs w:val="17"/>
                <w:lang w:val="en-GB" w:eastAsia="en-US"/>
              </w:rPr>
              <w:t>3</w:t>
            </w:r>
          </w:p>
        </w:tc>
        <w:tc>
          <w:tcPr>
            <w:tcW w:w="8647" w:type="dxa"/>
            <w:shd w:val="clear" w:color="auto" w:fill="auto"/>
          </w:tcPr>
          <w:p w:rsidR="00A5707F" w:rsidRPr="00A5707F" w:rsidRDefault="00A5707F" w:rsidP="00A5707F">
            <w:pPr>
              <w:keepLines/>
              <w:tabs>
                <w:tab w:val="left" w:pos="397"/>
                <w:tab w:val="left" w:pos="794"/>
                <w:tab w:val="left" w:pos="1191"/>
              </w:tabs>
              <w:spacing w:before="40" w:after="40"/>
              <w:jc w:val="both"/>
              <w:rPr>
                <w:rFonts w:ascii="Segoe UI" w:eastAsia="Times New Roman" w:hAnsi="Segoe UI" w:cs="Segoe UI"/>
                <w:kern w:val="0"/>
                <w:sz w:val="17"/>
                <w:szCs w:val="17"/>
                <w:lang w:val="en-GB" w:eastAsia="en-GB"/>
              </w:rPr>
            </w:pPr>
            <w:r w:rsidRPr="00A5707F">
              <w:rPr>
                <w:rFonts w:ascii="Segoe UI" w:eastAsia="Times New Roman" w:hAnsi="Segoe UI" w:cs="Segoe UI"/>
                <w:kern w:val="0"/>
                <w:sz w:val="17"/>
                <w:szCs w:val="17"/>
                <w:lang w:val="en-GB" w:eastAsia="en-GB"/>
              </w:rPr>
              <w:t>External loss-absorbing capacity as a percentage of risk-weighted amount: the value in [KM2(B):3/a] should be derived from external loss-absorbing capacity available in row 1 divided by total risk-weighted amount in row 2.  The resultant ratio should be expressed as a percentage.</w:t>
            </w:r>
          </w:p>
        </w:tc>
      </w:tr>
      <w:tr w:rsidR="00A5707F" w:rsidRPr="00A5707F" w:rsidTr="00297CA5">
        <w:tc>
          <w:tcPr>
            <w:tcW w:w="567" w:type="dxa"/>
            <w:shd w:val="clear" w:color="auto" w:fill="auto"/>
          </w:tcPr>
          <w:p w:rsidR="00A5707F" w:rsidRPr="00A5707F" w:rsidRDefault="00A5707F" w:rsidP="00A5707F">
            <w:pPr>
              <w:keepLines/>
              <w:tabs>
                <w:tab w:val="left" w:pos="150"/>
                <w:tab w:val="left" w:pos="397"/>
                <w:tab w:val="left" w:pos="794"/>
                <w:tab w:val="left" w:pos="1191"/>
              </w:tabs>
              <w:spacing w:before="40" w:after="40"/>
              <w:rPr>
                <w:rFonts w:ascii="Segoe UI" w:eastAsia="Times New Roman" w:hAnsi="Segoe UI" w:cs="Segoe UI"/>
                <w:kern w:val="0"/>
                <w:sz w:val="17"/>
                <w:szCs w:val="17"/>
                <w:lang w:val="en-GB" w:eastAsia="en-US"/>
              </w:rPr>
            </w:pPr>
            <w:r w:rsidRPr="00A5707F">
              <w:rPr>
                <w:rFonts w:ascii="Segoe UI" w:eastAsia="Times New Roman" w:hAnsi="Segoe UI" w:cs="Segoe UI"/>
                <w:kern w:val="0"/>
                <w:sz w:val="17"/>
                <w:szCs w:val="17"/>
                <w:lang w:val="en-GB" w:eastAsia="en-US"/>
              </w:rPr>
              <w:t>4</w:t>
            </w:r>
          </w:p>
        </w:tc>
        <w:tc>
          <w:tcPr>
            <w:tcW w:w="8647" w:type="dxa"/>
            <w:shd w:val="clear" w:color="auto" w:fill="auto"/>
          </w:tcPr>
          <w:p w:rsidR="00A5707F" w:rsidRPr="00A5707F" w:rsidRDefault="00A5707F" w:rsidP="00A5707F">
            <w:pPr>
              <w:keepLines/>
              <w:tabs>
                <w:tab w:val="left" w:pos="397"/>
                <w:tab w:val="left" w:pos="794"/>
                <w:tab w:val="left" w:pos="1191"/>
              </w:tabs>
              <w:spacing w:before="40" w:after="40"/>
              <w:jc w:val="both"/>
              <w:rPr>
                <w:rFonts w:ascii="Segoe UI" w:eastAsia="Times New Roman" w:hAnsi="Segoe UI" w:cs="Segoe UI"/>
                <w:kern w:val="0"/>
                <w:sz w:val="17"/>
                <w:szCs w:val="17"/>
                <w:lang w:val="en-GB" w:eastAsia="en-GB"/>
              </w:rPr>
            </w:pPr>
            <w:r w:rsidRPr="00A5707F">
              <w:rPr>
                <w:rFonts w:ascii="Segoe UI" w:eastAsia="Times New Roman" w:hAnsi="Segoe UI" w:cs="Segoe UI"/>
                <w:kern w:val="0"/>
                <w:sz w:val="17"/>
                <w:szCs w:val="17"/>
                <w:lang w:val="en-GB" w:eastAsia="en-GB"/>
              </w:rPr>
              <w:t xml:space="preserve">Leverage ratio exposure measure under the relevant non-HK LAC regime: the value in [KM2(B):4/a] should be the amount of the leverage ratio exposure measure of the non-HK resolution entity, determined in accordance with </w:t>
            </w:r>
            <w:r w:rsidRPr="00A5707F">
              <w:rPr>
                <w:rFonts w:ascii="Segoe UI" w:eastAsia="Times New Roman" w:hAnsi="Segoe UI" w:cs="Segoe UI"/>
                <w:kern w:val="0"/>
                <w:sz w:val="17"/>
                <w:szCs w:val="17"/>
                <w:lang w:val="en-GB" w:eastAsia="en-GB"/>
              </w:rPr>
              <w:lastRenderedPageBreak/>
              <w:t>the relevant non-HK LAC regime, at resolution group level.</w:t>
            </w:r>
          </w:p>
        </w:tc>
      </w:tr>
      <w:tr w:rsidR="00A5707F" w:rsidRPr="00A5707F" w:rsidTr="00297CA5">
        <w:tc>
          <w:tcPr>
            <w:tcW w:w="567" w:type="dxa"/>
            <w:shd w:val="clear" w:color="auto" w:fill="auto"/>
          </w:tcPr>
          <w:p w:rsidR="00A5707F" w:rsidRPr="00A5707F" w:rsidRDefault="00A5707F" w:rsidP="00A5707F">
            <w:pPr>
              <w:keepLines/>
              <w:tabs>
                <w:tab w:val="left" w:pos="150"/>
                <w:tab w:val="left" w:pos="397"/>
                <w:tab w:val="left" w:pos="794"/>
                <w:tab w:val="left" w:pos="1191"/>
              </w:tabs>
              <w:spacing w:before="40" w:after="40"/>
              <w:rPr>
                <w:rFonts w:ascii="Segoe UI" w:eastAsia="Times New Roman" w:hAnsi="Segoe UI" w:cs="Segoe UI"/>
                <w:kern w:val="0"/>
                <w:sz w:val="17"/>
                <w:szCs w:val="17"/>
                <w:lang w:val="en-GB" w:eastAsia="en-US"/>
              </w:rPr>
            </w:pPr>
            <w:r w:rsidRPr="00A5707F">
              <w:rPr>
                <w:rFonts w:ascii="Segoe UI" w:eastAsia="Times New Roman" w:hAnsi="Segoe UI" w:cs="Segoe UI"/>
                <w:kern w:val="0"/>
                <w:sz w:val="17"/>
                <w:szCs w:val="17"/>
                <w:lang w:val="en-GB" w:eastAsia="en-US"/>
              </w:rPr>
              <w:lastRenderedPageBreak/>
              <w:t>5</w:t>
            </w:r>
          </w:p>
        </w:tc>
        <w:tc>
          <w:tcPr>
            <w:tcW w:w="8647" w:type="dxa"/>
            <w:shd w:val="clear" w:color="auto" w:fill="auto"/>
          </w:tcPr>
          <w:p w:rsidR="00A5707F" w:rsidRPr="00A5707F" w:rsidRDefault="00A5707F" w:rsidP="00A5707F">
            <w:pPr>
              <w:keepLines/>
              <w:tabs>
                <w:tab w:val="left" w:pos="397"/>
                <w:tab w:val="left" w:pos="794"/>
                <w:tab w:val="left" w:pos="1191"/>
              </w:tabs>
              <w:spacing w:before="40" w:after="40"/>
              <w:jc w:val="both"/>
              <w:rPr>
                <w:rFonts w:ascii="Segoe UI" w:eastAsia="Times New Roman" w:hAnsi="Segoe UI" w:cs="Segoe UI"/>
                <w:kern w:val="0"/>
                <w:sz w:val="17"/>
                <w:szCs w:val="17"/>
                <w:lang w:val="en-GB" w:eastAsia="en-GB"/>
              </w:rPr>
            </w:pPr>
            <w:r w:rsidRPr="00A5707F">
              <w:rPr>
                <w:rFonts w:ascii="Segoe UI" w:eastAsia="新細明體" w:hAnsi="Segoe UI" w:cs="Segoe UI"/>
                <w:color w:val="000000"/>
                <w:kern w:val="0"/>
                <w:sz w:val="17"/>
                <w:szCs w:val="17"/>
                <w:lang w:val="en-GB"/>
              </w:rPr>
              <w:t>External loss-absorbing capacity as a percentage of leverage ratio exposure measure: the value in</w:t>
            </w:r>
            <w:r w:rsidRPr="00A5707F">
              <w:rPr>
                <w:rFonts w:ascii="Segoe UI" w:eastAsia="Times New Roman" w:hAnsi="Segoe UI" w:cs="Segoe UI"/>
                <w:kern w:val="0"/>
                <w:sz w:val="17"/>
                <w:szCs w:val="17"/>
                <w:lang w:val="en-GB" w:eastAsia="en-US"/>
              </w:rPr>
              <w:t xml:space="preserve"> [KM2(B):5/a] </w:t>
            </w:r>
            <w:r w:rsidRPr="00A5707F">
              <w:rPr>
                <w:rFonts w:ascii="Segoe UI" w:eastAsia="新細明體" w:hAnsi="Segoe UI" w:cs="Segoe UI"/>
                <w:color w:val="000000"/>
                <w:kern w:val="0"/>
                <w:sz w:val="17"/>
                <w:szCs w:val="17"/>
                <w:lang w:val="en-GB"/>
              </w:rPr>
              <w:t>should be derived from external loss-absorbing capacity available in row 1 divided by l</w:t>
            </w:r>
            <w:r w:rsidRPr="00A5707F">
              <w:rPr>
                <w:rFonts w:ascii="Segoe UI" w:eastAsia="新細明體" w:hAnsi="Segoe UI" w:cs="Segoe UI"/>
                <w:iCs/>
                <w:color w:val="000000"/>
                <w:kern w:val="0"/>
                <w:sz w:val="17"/>
                <w:szCs w:val="17"/>
                <w:lang w:val="en-GB"/>
              </w:rPr>
              <w:t xml:space="preserve">everage ratio exposure measure in row 4.  </w:t>
            </w:r>
            <w:r w:rsidRPr="00A5707F">
              <w:rPr>
                <w:rFonts w:ascii="Segoe UI" w:hAnsi="Segoe UI" w:cs="Segoe UI"/>
                <w:sz w:val="17"/>
                <w:szCs w:val="17"/>
                <w:lang w:val="en-GB"/>
              </w:rPr>
              <w:t xml:space="preserve">The resultant ratio </w:t>
            </w:r>
            <w:r w:rsidRPr="00A5707F">
              <w:rPr>
                <w:rFonts w:ascii="Segoe UI" w:eastAsia="新細明體" w:hAnsi="Segoe UI" w:cs="Segoe UI"/>
                <w:color w:val="000000"/>
                <w:kern w:val="0"/>
                <w:sz w:val="17"/>
                <w:szCs w:val="17"/>
                <w:lang w:val="en-GB"/>
              </w:rPr>
              <w:t>should be expressed as a percentage.</w:t>
            </w:r>
          </w:p>
        </w:tc>
      </w:tr>
      <w:tr w:rsidR="00A5707F" w:rsidRPr="00A5707F" w:rsidTr="00297CA5">
        <w:tc>
          <w:tcPr>
            <w:tcW w:w="567" w:type="dxa"/>
            <w:shd w:val="clear" w:color="auto" w:fill="auto"/>
          </w:tcPr>
          <w:p w:rsidR="00A5707F" w:rsidRPr="00A5707F" w:rsidRDefault="00A5707F" w:rsidP="00A5707F">
            <w:pPr>
              <w:keepLines/>
              <w:tabs>
                <w:tab w:val="left" w:pos="150"/>
                <w:tab w:val="left" w:pos="397"/>
                <w:tab w:val="left" w:pos="794"/>
                <w:tab w:val="left" w:pos="1191"/>
              </w:tabs>
              <w:spacing w:before="40" w:after="40"/>
              <w:rPr>
                <w:rFonts w:ascii="Segoe UI" w:eastAsia="Times New Roman" w:hAnsi="Segoe UI" w:cs="Segoe UI"/>
                <w:kern w:val="0"/>
                <w:sz w:val="17"/>
                <w:szCs w:val="17"/>
                <w:lang w:val="en-GB" w:eastAsia="en-US"/>
              </w:rPr>
            </w:pPr>
            <w:r w:rsidRPr="00A5707F">
              <w:rPr>
                <w:rFonts w:ascii="Segoe UI" w:eastAsia="Times New Roman" w:hAnsi="Segoe UI" w:cs="Segoe UI"/>
                <w:kern w:val="0"/>
                <w:sz w:val="17"/>
                <w:szCs w:val="17"/>
                <w:lang w:val="en-GB" w:eastAsia="en-US"/>
              </w:rPr>
              <w:t>6a</w:t>
            </w:r>
          </w:p>
        </w:tc>
        <w:tc>
          <w:tcPr>
            <w:tcW w:w="8647" w:type="dxa"/>
            <w:shd w:val="clear" w:color="auto" w:fill="auto"/>
          </w:tcPr>
          <w:p w:rsidR="00A5707F" w:rsidRPr="00A5707F" w:rsidRDefault="00A5707F" w:rsidP="00A5707F">
            <w:pPr>
              <w:keepLines/>
              <w:tabs>
                <w:tab w:val="left" w:pos="397"/>
                <w:tab w:val="left" w:pos="794"/>
                <w:tab w:val="left" w:pos="1191"/>
              </w:tabs>
              <w:spacing w:before="40" w:after="40"/>
              <w:jc w:val="both"/>
              <w:rPr>
                <w:rFonts w:ascii="Segoe UI" w:eastAsia="Times New Roman" w:hAnsi="Segoe UI" w:cs="Segoe UI"/>
                <w:kern w:val="0"/>
                <w:sz w:val="17"/>
                <w:szCs w:val="17"/>
                <w:lang w:val="en-GB" w:eastAsia="en-GB"/>
              </w:rPr>
            </w:pPr>
            <w:r w:rsidRPr="00A5707F">
              <w:rPr>
                <w:rFonts w:ascii="Segoe UI" w:eastAsia="Times New Roman" w:hAnsi="Segoe UI" w:cs="Segoe UI"/>
                <w:kern w:val="0"/>
                <w:sz w:val="17"/>
                <w:szCs w:val="17"/>
                <w:lang w:val="en-GB" w:eastAsia="en-GB"/>
              </w:rPr>
              <w:t xml:space="preserve">[KM2(B):6a] refers to the uncapped exemption in Section 11 of the FSB TLAC Term Sheet, for jurisdictions in which all liabilities excluded from TLAC specified in Section 10 of the FSB TLAC Term Sheet are statutorily excluded from the scope of the bail-in tool and therefore cannot legally be written down or converted to equity in a bail-in resolution.  </w:t>
            </w:r>
          </w:p>
          <w:p w:rsidR="00A5707F" w:rsidRPr="00A5707F" w:rsidRDefault="00A5707F" w:rsidP="00A5707F">
            <w:pPr>
              <w:keepLines/>
              <w:tabs>
                <w:tab w:val="left" w:pos="397"/>
                <w:tab w:val="left" w:pos="794"/>
                <w:tab w:val="left" w:pos="1191"/>
              </w:tabs>
              <w:spacing w:before="40" w:after="40"/>
              <w:jc w:val="both"/>
              <w:rPr>
                <w:rFonts w:ascii="Segoe UI" w:eastAsia="Times New Roman" w:hAnsi="Segoe UI" w:cs="Segoe UI"/>
                <w:i/>
                <w:kern w:val="0"/>
                <w:sz w:val="17"/>
                <w:szCs w:val="17"/>
                <w:lang w:val="en-GB" w:eastAsia="en-GB"/>
              </w:rPr>
            </w:pPr>
            <w:r w:rsidRPr="00A5707F">
              <w:rPr>
                <w:rFonts w:ascii="Segoe UI" w:eastAsia="Times New Roman" w:hAnsi="Segoe UI" w:cs="Segoe UI"/>
                <w:i/>
                <w:kern w:val="0"/>
                <w:sz w:val="17"/>
                <w:szCs w:val="17"/>
                <w:lang w:val="en-GB" w:eastAsia="en-GB"/>
              </w:rPr>
              <w:t>Enter: [Yes] or [No]</w:t>
            </w:r>
          </w:p>
        </w:tc>
      </w:tr>
      <w:tr w:rsidR="00A5707F" w:rsidRPr="00A5707F" w:rsidTr="00297CA5">
        <w:tc>
          <w:tcPr>
            <w:tcW w:w="567" w:type="dxa"/>
            <w:shd w:val="clear" w:color="auto" w:fill="auto"/>
          </w:tcPr>
          <w:p w:rsidR="00A5707F" w:rsidRPr="00A5707F" w:rsidRDefault="00A5707F" w:rsidP="00A5707F">
            <w:pPr>
              <w:keepLines/>
              <w:tabs>
                <w:tab w:val="left" w:pos="150"/>
                <w:tab w:val="left" w:pos="397"/>
                <w:tab w:val="left" w:pos="794"/>
                <w:tab w:val="left" w:pos="1191"/>
              </w:tabs>
              <w:spacing w:before="40" w:after="40"/>
              <w:rPr>
                <w:rFonts w:ascii="Segoe UI" w:eastAsia="Times New Roman" w:hAnsi="Segoe UI" w:cs="Segoe UI"/>
                <w:kern w:val="0"/>
                <w:sz w:val="17"/>
                <w:szCs w:val="17"/>
                <w:lang w:val="en-GB" w:eastAsia="en-US"/>
              </w:rPr>
            </w:pPr>
            <w:r w:rsidRPr="00A5707F">
              <w:rPr>
                <w:rFonts w:ascii="Segoe UI" w:eastAsia="Times New Roman" w:hAnsi="Segoe UI" w:cs="Segoe UI"/>
                <w:kern w:val="0"/>
                <w:sz w:val="17"/>
                <w:szCs w:val="17"/>
                <w:lang w:val="en-GB" w:eastAsia="en-US"/>
              </w:rPr>
              <w:t>6b</w:t>
            </w:r>
          </w:p>
        </w:tc>
        <w:tc>
          <w:tcPr>
            <w:tcW w:w="8647" w:type="dxa"/>
            <w:shd w:val="clear" w:color="auto" w:fill="auto"/>
          </w:tcPr>
          <w:p w:rsidR="00A5707F" w:rsidRPr="00A5707F" w:rsidRDefault="00A5707F" w:rsidP="00A5707F">
            <w:pPr>
              <w:keepLines/>
              <w:tabs>
                <w:tab w:val="left" w:pos="397"/>
                <w:tab w:val="left" w:pos="794"/>
                <w:tab w:val="left" w:pos="1191"/>
              </w:tabs>
              <w:spacing w:before="40" w:after="40"/>
              <w:jc w:val="both"/>
              <w:rPr>
                <w:rFonts w:ascii="Segoe UI" w:eastAsia="Times New Roman" w:hAnsi="Segoe UI" w:cs="Segoe UI"/>
                <w:kern w:val="0"/>
                <w:sz w:val="17"/>
                <w:szCs w:val="17"/>
                <w:lang w:val="en-GB" w:eastAsia="en-GB"/>
              </w:rPr>
            </w:pPr>
            <w:r w:rsidRPr="00A5707F">
              <w:rPr>
                <w:rFonts w:ascii="Segoe UI" w:eastAsia="Times New Roman" w:hAnsi="Segoe UI" w:cs="Segoe UI"/>
                <w:kern w:val="0"/>
                <w:sz w:val="17"/>
                <w:szCs w:val="17"/>
                <w:lang w:val="en-GB" w:eastAsia="en-GB"/>
              </w:rPr>
              <w:t>[KM2(B):6b] refers to the capped exemption in Section 11 of the FSB TLAC Term Sheet, for jurisdictions where the resolution authority may, under exceptional circumstances specified in the applicable resolution law, exclude or partially exclude from bail-in all of the liabilities excluded from TLAC specified in Section 10 of the FSB TLAC Term Sheet, and where the relevant authorities have permitted liabilities that would otherwise be eligible to count as external TLAC but which rank alongside those excluded liabilities in the insolvency creditor hierarchy to contribute a quantum equivalent of up to 2.5% risk-weighted amount (from 2019) or 3.5% risk-weighted amount (from 2022).</w:t>
            </w:r>
          </w:p>
          <w:p w:rsidR="00A5707F" w:rsidRPr="00A5707F" w:rsidRDefault="00A5707F" w:rsidP="00A5707F">
            <w:pPr>
              <w:keepLines/>
              <w:tabs>
                <w:tab w:val="left" w:pos="397"/>
                <w:tab w:val="left" w:pos="794"/>
                <w:tab w:val="left" w:pos="1191"/>
              </w:tabs>
              <w:spacing w:before="40" w:after="40"/>
              <w:jc w:val="both"/>
              <w:rPr>
                <w:rFonts w:ascii="Segoe UI" w:eastAsia="Times New Roman" w:hAnsi="Segoe UI" w:cs="Segoe UI"/>
                <w:i/>
                <w:kern w:val="0"/>
                <w:sz w:val="17"/>
                <w:szCs w:val="17"/>
                <w:lang w:val="en-GB" w:eastAsia="en-GB"/>
              </w:rPr>
            </w:pPr>
            <w:r w:rsidRPr="00A5707F">
              <w:rPr>
                <w:rFonts w:ascii="Segoe UI" w:eastAsia="Times New Roman" w:hAnsi="Segoe UI" w:cs="Segoe UI"/>
                <w:i/>
                <w:kern w:val="0"/>
                <w:sz w:val="17"/>
                <w:szCs w:val="17"/>
                <w:lang w:val="en-GB" w:eastAsia="en-GB"/>
              </w:rPr>
              <w:t>Enter: [Yes] or [No]</w:t>
            </w:r>
          </w:p>
        </w:tc>
      </w:tr>
      <w:tr w:rsidR="00A5707F" w:rsidRPr="00A5707F" w:rsidTr="00297CA5">
        <w:tc>
          <w:tcPr>
            <w:tcW w:w="567" w:type="dxa"/>
            <w:shd w:val="clear" w:color="auto" w:fill="auto"/>
          </w:tcPr>
          <w:p w:rsidR="00A5707F" w:rsidRPr="00A5707F" w:rsidRDefault="00A5707F" w:rsidP="00A5707F">
            <w:pPr>
              <w:keepLines/>
              <w:tabs>
                <w:tab w:val="left" w:pos="150"/>
                <w:tab w:val="left" w:pos="397"/>
                <w:tab w:val="left" w:pos="794"/>
                <w:tab w:val="left" w:pos="1191"/>
              </w:tabs>
              <w:spacing w:before="40" w:after="40"/>
              <w:rPr>
                <w:rFonts w:ascii="Segoe UI" w:eastAsia="Times New Roman" w:hAnsi="Segoe UI" w:cs="Segoe UI"/>
                <w:kern w:val="0"/>
                <w:sz w:val="17"/>
                <w:szCs w:val="17"/>
                <w:lang w:val="en-GB" w:eastAsia="en-US"/>
              </w:rPr>
            </w:pPr>
            <w:r w:rsidRPr="00A5707F">
              <w:rPr>
                <w:rFonts w:ascii="Segoe UI" w:eastAsia="Times New Roman" w:hAnsi="Segoe UI" w:cs="Segoe UI"/>
                <w:kern w:val="0"/>
                <w:sz w:val="17"/>
                <w:szCs w:val="17"/>
                <w:lang w:val="en-GB" w:eastAsia="en-US"/>
              </w:rPr>
              <w:t>6c</w:t>
            </w:r>
          </w:p>
        </w:tc>
        <w:tc>
          <w:tcPr>
            <w:tcW w:w="8647" w:type="dxa"/>
            <w:shd w:val="clear" w:color="auto" w:fill="auto"/>
          </w:tcPr>
          <w:p w:rsidR="00A5707F" w:rsidRPr="00A5707F" w:rsidRDefault="00A5707F" w:rsidP="00A5707F">
            <w:pPr>
              <w:autoSpaceDE w:val="0"/>
              <w:autoSpaceDN w:val="0"/>
              <w:adjustRightInd w:val="0"/>
              <w:jc w:val="both"/>
              <w:rPr>
                <w:rFonts w:ascii="Segoe UI" w:eastAsia="Times New Roman" w:hAnsi="Segoe UI" w:cs="Segoe UI"/>
                <w:kern w:val="0"/>
                <w:sz w:val="17"/>
                <w:szCs w:val="17"/>
                <w:lang w:val="en-GB" w:eastAsia="en-GB"/>
              </w:rPr>
            </w:pPr>
            <w:r w:rsidRPr="00A5707F">
              <w:rPr>
                <w:rFonts w:ascii="Segoe UI" w:eastAsia="Times New Roman" w:hAnsi="Segoe UI" w:cs="Segoe UI"/>
                <w:kern w:val="0"/>
                <w:sz w:val="17"/>
                <w:szCs w:val="17"/>
                <w:lang w:val="en-GB" w:eastAsia="en-GB"/>
              </w:rPr>
              <w:t xml:space="preserve">Only applicable if the answer to [KM2(B):6b] is entered [Yes].  The value in [KM2(B):6c/a] should be equal to the quotient, at resolution group level, of (a) the amount recognised as external loss-absorbing capacity of the non-HK resolution entity under the relevant non-HK LAC regime after application of the cap in the penultimate paragraph of Section 11 of the FSB TLAC Term Sheet divided by (b) funding issued by the non-HK resolution entity which is not subordinated to liabilities excluded from external loss-absorbing capacity but meet all other FSB TLAC Term Sheet requirements.  </w:t>
            </w:r>
            <w:r w:rsidRPr="00A5707F">
              <w:rPr>
                <w:rFonts w:ascii="Segoe UI" w:hAnsi="Segoe UI" w:cs="Segoe UI"/>
                <w:color w:val="000000"/>
                <w:kern w:val="0"/>
                <w:sz w:val="17"/>
                <w:szCs w:val="17"/>
                <w:lang w:val="en-GB"/>
              </w:rPr>
              <w:t xml:space="preserve">The resultant ratio </w:t>
            </w:r>
            <w:r w:rsidRPr="00A5707F">
              <w:rPr>
                <w:rFonts w:ascii="Segoe UI" w:eastAsia="新細明體" w:hAnsi="Segoe UI" w:cs="Segoe UI"/>
                <w:color w:val="000000"/>
                <w:kern w:val="0"/>
                <w:sz w:val="17"/>
                <w:szCs w:val="17"/>
                <w:lang w:val="en-GB"/>
              </w:rPr>
              <w:t>should be expressed as a percentage.</w:t>
            </w:r>
          </w:p>
        </w:tc>
      </w:tr>
    </w:tbl>
    <w:p w:rsidR="00A5707F" w:rsidRPr="00A5707F" w:rsidRDefault="00A5707F" w:rsidP="00A5707F">
      <w:pPr>
        <w:rPr>
          <w:lang w:val="en-GB"/>
        </w:rPr>
      </w:pPr>
    </w:p>
    <w:p w:rsidR="00A5707F" w:rsidRPr="00A5707F" w:rsidRDefault="00A5707F" w:rsidP="00A5707F">
      <w:pPr>
        <w:rPr>
          <w:lang w:val="en-GB"/>
        </w:rPr>
      </w:pPr>
    </w:p>
    <w:p w:rsidR="00C95003" w:rsidRDefault="00C95003">
      <w:pPr>
        <w:rPr>
          <w:lang w:val="en-GB"/>
        </w:rPr>
        <w:sectPr w:rsidR="00C95003" w:rsidSect="00297CA5">
          <w:footerReference w:type="default" r:id="rId12"/>
          <w:pgSz w:w="11906" w:h="16838"/>
          <w:pgMar w:top="1440" w:right="1797" w:bottom="1440" w:left="1797" w:header="851" w:footer="992" w:gutter="0"/>
          <w:cols w:space="425"/>
          <w:docGrid w:type="lines" w:linePitch="360"/>
        </w:sectPr>
      </w:pPr>
    </w:p>
    <w:tbl>
      <w:tblPr>
        <w:tblW w:w="9242" w:type="dxa"/>
        <w:tblInd w:w="-459" w:type="dxa"/>
        <w:tblBorders>
          <w:top w:val="single" w:sz="4" w:space="0" w:color="auto"/>
          <w:bottom w:val="single" w:sz="4" w:space="0" w:color="auto"/>
          <w:insideH w:val="single" w:sz="4" w:space="0" w:color="auto"/>
          <w:insideV w:val="single" w:sz="4" w:space="0" w:color="auto"/>
        </w:tblBorders>
        <w:tblLook w:val="00A0" w:firstRow="1" w:lastRow="0" w:firstColumn="1" w:lastColumn="0" w:noHBand="0" w:noVBand="0"/>
      </w:tblPr>
      <w:tblGrid>
        <w:gridCol w:w="2008"/>
        <w:gridCol w:w="7234"/>
      </w:tblGrid>
      <w:tr w:rsidR="00C95003" w:rsidRPr="00C95003" w:rsidTr="00297CA5">
        <w:tc>
          <w:tcPr>
            <w:tcW w:w="9242" w:type="dxa"/>
            <w:gridSpan w:val="2"/>
            <w:tcBorders>
              <w:top w:val="nil"/>
            </w:tcBorders>
          </w:tcPr>
          <w:p w:rsidR="00C95003" w:rsidRPr="00C95003" w:rsidRDefault="00C95003" w:rsidP="00C95003">
            <w:pPr>
              <w:widowControl/>
              <w:spacing w:before="40" w:after="40"/>
              <w:jc w:val="both"/>
              <w:rPr>
                <w:rFonts w:ascii="Segoe UI" w:eastAsia="Times New Roman" w:hAnsi="Segoe UI" w:cs="Times New Roman"/>
                <w:noProof/>
                <w:kern w:val="0"/>
                <w:sz w:val="17"/>
                <w:szCs w:val="20"/>
                <w:lang w:val="en-GB" w:eastAsia="en-GB"/>
              </w:rPr>
            </w:pPr>
            <w:r w:rsidRPr="00C95003">
              <w:rPr>
                <w:rFonts w:ascii="Segoe UI" w:eastAsia="Times New Roman" w:hAnsi="Segoe UI" w:cs="Times New Roman"/>
                <w:kern w:val="0"/>
                <w:sz w:val="22"/>
                <w:szCs w:val="20"/>
                <w:lang w:val="en-GB" w:eastAsia="en-US"/>
              </w:rPr>
              <w:lastRenderedPageBreak/>
              <w:t>Template CCA(A): Main features of regulatory capital instruments and non-capital LAC debt instruments</w:t>
            </w:r>
          </w:p>
        </w:tc>
      </w:tr>
      <w:tr w:rsidR="00C95003" w:rsidRPr="00C95003" w:rsidTr="00297CA5">
        <w:tc>
          <w:tcPr>
            <w:tcW w:w="2008" w:type="dxa"/>
          </w:tcPr>
          <w:p w:rsidR="00C95003" w:rsidRPr="00C95003" w:rsidRDefault="00C95003" w:rsidP="00C95003">
            <w:pPr>
              <w:widowControl/>
              <w:spacing w:before="40" w:after="40"/>
              <w:rPr>
                <w:rFonts w:ascii="Segoe UI" w:eastAsia="Times New Roman" w:hAnsi="Segoe UI" w:cs="Times New Roman"/>
                <w:noProof/>
                <w:kern w:val="0"/>
                <w:sz w:val="17"/>
                <w:szCs w:val="20"/>
                <w:lang w:val="en-GB" w:eastAsia="en-GB"/>
              </w:rPr>
            </w:pPr>
            <w:r w:rsidRPr="00C95003">
              <w:rPr>
                <w:rFonts w:ascii="Segoe UI" w:eastAsia="Times New Roman" w:hAnsi="Segoe UI" w:cs="Times New Roman"/>
                <w:b/>
                <w:kern w:val="0"/>
                <w:sz w:val="17"/>
                <w:szCs w:val="20"/>
                <w:lang w:val="en-GB" w:eastAsia="en-GB"/>
              </w:rPr>
              <w:t>Purpose:</w:t>
            </w:r>
          </w:p>
        </w:tc>
        <w:tc>
          <w:tcPr>
            <w:tcW w:w="7234" w:type="dxa"/>
          </w:tcPr>
          <w:p w:rsidR="00C95003" w:rsidRPr="00C95003" w:rsidRDefault="00C95003" w:rsidP="00C95003">
            <w:pPr>
              <w:widowControl/>
              <w:spacing w:before="40" w:after="40"/>
              <w:jc w:val="both"/>
              <w:rPr>
                <w:rFonts w:ascii="Segoe UI" w:eastAsia="Times New Roman" w:hAnsi="Segoe UI" w:cs="Times New Roman"/>
                <w:kern w:val="0"/>
                <w:sz w:val="17"/>
                <w:szCs w:val="17"/>
                <w:lang w:val="en-GB" w:eastAsia="en-US"/>
              </w:rPr>
            </w:pPr>
            <w:r w:rsidRPr="00C95003">
              <w:rPr>
                <w:rFonts w:ascii="Segoe UI" w:eastAsia="Times New Roman" w:hAnsi="Segoe UI" w:cs="Times New Roman"/>
                <w:kern w:val="0"/>
                <w:sz w:val="17"/>
                <w:szCs w:val="17"/>
                <w:lang w:val="en-GB" w:eastAsia="en-US"/>
              </w:rPr>
              <w:t xml:space="preserve">To provide a description of the main features of a resolution entity or a material subsidiary’s Common Equity Tier 1 (“CET1”), Additional Tier 1 (“AT1”), Tier 2 (“T2”) capital instruments and non-capital LAC debt instruments, as applicable, that are recognised as part of its loss-absorbing capacity under the </w:t>
            </w:r>
            <w:r w:rsidRPr="00C95003">
              <w:rPr>
                <w:rFonts w:ascii="Segoe UI" w:eastAsia="新細明體" w:hAnsi="Segoe UI" w:cs="Times New Roman"/>
                <w:kern w:val="0"/>
                <w:sz w:val="17"/>
                <w:szCs w:val="20"/>
                <w:lang w:val="en-GB" w:eastAsia="en-GB"/>
              </w:rPr>
              <w:t>Financial Institutions (Resolution) (Loss-absorbing Capacity Requirements – Banking Sector) Rules (“</w:t>
            </w:r>
            <w:r w:rsidRPr="00C95003">
              <w:rPr>
                <w:rFonts w:ascii="Segoe UI" w:eastAsia="Times New Roman" w:hAnsi="Segoe UI" w:cs="Times New Roman"/>
                <w:kern w:val="0"/>
                <w:sz w:val="17"/>
                <w:szCs w:val="17"/>
                <w:lang w:val="en-GB" w:eastAsia="en-US"/>
              </w:rPr>
              <w:t xml:space="preserve">LAC Rules”).  </w:t>
            </w:r>
          </w:p>
        </w:tc>
      </w:tr>
      <w:tr w:rsidR="00C95003" w:rsidRPr="00C95003" w:rsidTr="00297CA5">
        <w:tc>
          <w:tcPr>
            <w:tcW w:w="2008" w:type="dxa"/>
          </w:tcPr>
          <w:p w:rsidR="00C95003" w:rsidRPr="00C95003" w:rsidRDefault="00C95003" w:rsidP="00C95003">
            <w:pPr>
              <w:widowControl/>
              <w:spacing w:before="40" w:after="40"/>
              <w:rPr>
                <w:rFonts w:ascii="Segoe UI" w:eastAsia="Times New Roman" w:hAnsi="Segoe UI" w:cs="Times New Roman"/>
                <w:b/>
                <w:kern w:val="0"/>
                <w:sz w:val="17"/>
                <w:szCs w:val="20"/>
                <w:lang w:val="en-GB" w:eastAsia="en-GB"/>
              </w:rPr>
            </w:pPr>
            <w:r w:rsidRPr="00C95003">
              <w:rPr>
                <w:rFonts w:ascii="Segoe UI" w:eastAsia="Times New Roman" w:hAnsi="Segoe UI" w:cs="Times New Roman"/>
                <w:b/>
                <w:kern w:val="0"/>
                <w:sz w:val="17"/>
                <w:szCs w:val="20"/>
                <w:lang w:val="en-GB" w:eastAsia="en-GB"/>
              </w:rPr>
              <w:t>Scope of application:</w:t>
            </w:r>
          </w:p>
        </w:tc>
        <w:tc>
          <w:tcPr>
            <w:tcW w:w="7234" w:type="dxa"/>
          </w:tcPr>
          <w:p w:rsidR="00C95003" w:rsidRPr="00C95003" w:rsidRDefault="00C95003" w:rsidP="00C95003">
            <w:pPr>
              <w:widowControl/>
              <w:spacing w:before="40" w:after="40"/>
              <w:jc w:val="both"/>
              <w:rPr>
                <w:rFonts w:ascii="Segoe UI" w:eastAsia="新細明體" w:hAnsi="Segoe UI" w:cs="Times New Roman"/>
                <w:kern w:val="0"/>
                <w:sz w:val="17"/>
                <w:szCs w:val="20"/>
                <w:lang w:val="en-GB" w:eastAsia="en-GB"/>
              </w:rPr>
            </w:pPr>
            <w:r w:rsidRPr="00C95003">
              <w:rPr>
                <w:rFonts w:ascii="Segoe UI" w:eastAsia="新細明體" w:hAnsi="Segoe UI" w:cs="Times New Roman"/>
                <w:kern w:val="0"/>
                <w:sz w:val="17"/>
                <w:szCs w:val="20"/>
                <w:lang w:val="en-GB" w:eastAsia="en-GB"/>
              </w:rPr>
              <w:t xml:space="preserve">The template is mandatory for all resolution entities and material subsidiaries under the LAC Rules for all instruments included in their loss-absorbing capacity.    </w:t>
            </w:r>
          </w:p>
        </w:tc>
      </w:tr>
      <w:tr w:rsidR="00C95003" w:rsidRPr="00C95003" w:rsidTr="00297CA5">
        <w:tc>
          <w:tcPr>
            <w:tcW w:w="2008" w:type="dxa"/>
          </w:tcPr>
          <w:p w:rsidR="00C95003" w:rsidRPr="00C95003" w:rsidRDefault="00C95003" w:rsidP="00C95003">
            <w:pPr>
              <w:widowControl/>
              <w:spacing w:before="40" w:after="40"/>
              <w:rPr>
                <w:rFonts w:ascii="Segoe UI" w:eastAsia="Times New Roman" w:hAnsi="Segoe UI" w:cs="Times New Roman"/>
                <w:b/>
                <w:kern w:val="0"/>
                <w:sz w:val="17"/>
                <w:szCs w:val="20"/>
                <w:lang w:val="en-GB" w:eastAsia="en-GB"/>
              </w:rPr>
            </w:pPr>
            <w:r w:rsidRPr="00C95003">
              <w:rPr>
                <w:rFonts w:ascii="Segoe UI" w:eastAsia="Times New Roman" w:hAnsi="Segoe UI" w:cs="Times New Roman"/>
                <w:b/>
                <w:kern w:val="0"/>
                <w:sz w:val="17"/>
                <w:szCs w:val="20"/>
                <w:lang w:val="en-GB" w:eastAsia="en-GB"/>
              </w:rPr>
              <w:t>Content:</w:t>
            </w:r>
          </w:p>
        </w:tc>
        <w:tc>
          <w:tcPr>
            <w:tcW w:w="7234" w:type="dxa"/>
          </w:tcPr>
          <w:p w:rsidR="00C95003" w:rsidRPr="00C95003" w:rsidRDefault="00C95003" w:rsidP="00C95003">
            <w:pPr>
              <w:widowControl/>
              <w:spacing w:before="40" w:after="40"/>
              <w:jc w:val="both"/>
              <w:rPr>
                <w:rFonts w:ascii="Segoe UI" w:eastAsia="Times New Roman" w:hAnsi="Segoe UI" w:cs="Times New Roman"/>
                <w:kern w:val="0"/>
                <w:sz w:val="17"/>
                <w:szCs w:val="20"/>
                <w:lang w:val="en-GB" w:eastAsia="en-GB"/>
              </w:rPr>
            </w:pPr>
            <w:r w:rsidRPr="00C95003">
              <w:rPr>
                <w:rFonts w:ascii="Segoe UI" w:eastAsia="Times New Roman" w:hAnsi="Segoe UI" w:cs="Times New Roman"/>
                <w:kern w:val="0"/>
                <w:sz w:val="17"/>
                <w:szCs w:val="20"/>
                <w:lang w:val="en-GB" w:eastAsia="en-GB"/>
              </w:rPr>
              <w:t>Qualitative and quantitative information.</w:t>
            </w:r>
          </w:p>
        </w:tc>
      </w:tr>
      <w:tr w:rsidR="00C95003" w:rsidRPr="00C95003" w:rsidTr="00297CA5">
        <w:tc>
          <w:tcPr>
            <w:tcW w:w="2008" w:type="dxa"/>
          </w:tcPr>
          <w:p w:rsidR="00C95003" w:rsidRPr="00C95003" w:rsidRDefault="00C95003" w:rsidP="00C95003">
            <w:pPr>
              <w:widowControl/>
              <w:spacing w:before="40" w:after="40"/>
              <w:rPr>
                <w:rFonts w:ascii="Segoe UI" w:eastAsia="Times New Roman" w:hAnsi="Segoe UI" w:cs="Times New Roman"/>
                <w:kern w:val="0"/>
                <w:sz w:val="17"/>
                <w:szCs w:val="20"/>
                <w:lang w:val="en-GB" w:eastAsia="en-GB"/>
              </w:rPr>
            </w:pPr>
            <w:r w:rsidRPr="00C95003">
              <w:rPr>
                <w:rFonts w:ascii="Segoe UI" w:eastAsia="Times New Roman" w:hAnsi="Segoe UI" w:cs="Times New Roman"/>
                <w:b/>
                <w:kern w:val="0"/>
                <w:sz w:val="17"/>
                <w:szCs w:val="20"/>
                <w:lang w:val="en-GB" w:eastAsia="en-GB"/>
              </w:rPr>
              <w:t>Frequency:</w:t>
            </w:r>
          </w:p>
        </w:tc>
        <w:tc>
          <w:tcPr>
            <w:tcW w:w="7234" w:type="dxa"/>
          </w:tcPr>
          <w:p w:rsidR="00C95003" w:rsidRPr="00C95003" w:rsidRDefault="00C95003" w:rsidP="00C95003">
            <w:pPr>
              <w:widowControl/>
              <w:spacing w:before="40" w:after="40"/>
              <w:jc w:val="both"/>
              <w:rPr>
                <w:rFonts w:ascii="Segoe UI" w:eastAsia="Times New Roman" w:hAnsi="Segoe UI" w:cs="Times New Roman"/>
                <w:kern w:val="0"/>
                <w:sz w:val="17"/>
                <w:szCs w:val="20"/>
                <w:lang w:val="en-GB" w:eastAsia="en-GB"/>
              </w:rPr>
            </w:pPr>
            <w:r w:rsidRPr="00C95003">
              <w:rPr>
                <w:rFonts w:ascii="Segoe UI" w:eastAsia="Times New Roman" w:hAnsi="Segoe UI" w:cs="Times New Roman"/>
                <w:kern w:val="0"/>
                <w:sz w:val="17"/>
                <w:szCs w:val="20"/>
                <w:lang w:val="en-GB" w:eastAsia="en-GB"/>
              </w:rPr>
              <w:t xml:space="preserve">Semi-annual.  </w:t>
            </w:r>
          </w:p>
          <w:p w:rsidR="00C95003" w:rsidRPr="00C95003" w:rsidRDefault="00C95003" w:rsidP="00C95003">
            <w:pPr>
              <w:widowControl/>
              <w:spacing w:before="40" w:after="40"/>
              <w:jc w:val="both"/>
              <w:rPr>
                <w:rFonts w:ascii="Segoe UI" w:eastAsia="Times New Roman" w:hAnsi="Segoe UI" w:cs="Times New Roman"/>
                <w:kern w:val="0"/>
                <w:sz w:val="17"/>
                <w:szCs w:val="20"/>
                <w:lang w:val="en-GB" w:eastAsia="en-GB"/>
              </w:rPr>
            </w:pPr>
            <w:r w:rsidRPr="00C95003">
              <w:rPr>
                <w:rFonts w:ascii="Segoe UI" w:eastAsia="Times New Roman" w:hAnsi="Segoe UI" w:cs="Times New Roman"/>
                <w:kern w:val="0"/>
                <w:sz w:val="17"/>
                <w:szCs w:val="20"/>
                <w:lang w:val="en-GB" w:eastAsia="en-GB"/>
              </w:rPr>
              <w:t>This template should be updated whenever a capital instrument or a non-capital LAC debt instrument is issued, repaid, included in or excluded from the external or internal loss-absorbing capacity by a resolution entity or material subsidiary, as applicable, and whenever there is a redemption, conversion / write-down, or any other material change in the nature of the relevant instrument.  The resolution entity or material subsidiary should include the web link to the issuances made over the previous period in each disclosure statement.</w:t>
            </w:r>
          </w:p>
        </w:tc>
      </w:tr>
      <w:tr w:rsidR="00C95003" w:rsidRPr="00C95003" w:rsidTr="00297CA5">
        <w:tc>
          <w:tcPr>
            <w:tcW w:w="2008" w:type="dxa"/>
          </w:tcPr>
          <w:p w:rsidR="00C95003" w:rsidRPr="00C95003" w:rsidRDefault="00C95003" w:rsidP="00C95003">
            <w:pPr>
              <w:widowControl/>
              <w:spacing w:before="40" w:after="40"/>
              <w:rPr>
                <w:rFonts w:ascii="Segoe UI" w:eastAsia="Times New Roman" w:hAnsi="Segoe UI" w:cs="Times New Roman"/>
                <w:kern w:val="0"/>
                <w:sz w:val="17"/>
                <w:szCs w:val="20"/>
                <w:lang w:val="en-GB" w:eastAsia="en-GB"/>
              </w:rPr>
            </w:pPr>
            <w:r w:rsidRPr="00C95003">
              <w:rPr>
                <w:rFonts w:ascii="Segoe UI" w:eastAsia="Times New Roman" w:hAnsi="Segoe UI" w:cs="Times New Roman"/>
                <w:b/>
                <w:kern w:val="0"/>
                <w:sz w:val="17"/>
                <w:szCs w:val="20"/>
                <w:lang w:val="en-GB" w:eastAsia="en-GB"/>
              </w:rPr>
              <w:t>Format:</w:t>
            </w:r>
          </w:p>
        </w:tc>
        <w:tc>
          <w:tcPr>
            <w:tcW w:w="7234" w:type="dxa"/>
          </w:tcPr>
          <w:p w:rsidR="00C95003" w:rsidRPr="00C95003" w:rsidRDefault="00C95003" w:rsidP="00C95003">
            <w:pPr>
              <w:widowControl/>
              <w:spacing w:before="40" w:after="40"/>
              <w:jc w:val="both"/>
              <w:rPr>
                <w:rFonts w:ascii="Segoe UI" w:eastAsia="Times New Roman" w:hAnsi="Segoe UI" w:cs="Times New Roman"/>
                <w:kern w:val="0"/>
                <w:sz w:val="17"/>
                <w:szCs w:val="20"/>
                <w:lang w:val="en-GB" w:eastAsia="en-GB"/>
              </w:rPr>
            </w:pPr>
            <w:r w:rsidRPr="00C95003">
              <w:rPr>
                <w:rFonts w:ascii="Segoe UI" w:eastAsia="Times New Roman" w:hAnsi="Segoe UI" w:cs="Times New Roman"/>
                <w:kern w:val="0"/>
                <w:sz w:val="17"/>
                <w:szCs w:val="20"/>
                <w:lang w:val="en-GB" w:eastAsia="en-GB"/>
              </w:rPr>
              <w:t>Flexible.</w:t>
            </w:r>
          </w:p>
        </w:tc>
      </w:tr>
      <w:tr w:rsidR="00C95003" w:rsidRPr="00C95003" w:rsidTr="00297CA5">
        <w:tc>
          <w:tcPr>
            <w:tcW w:w="2008" w:type="dxa"/>
          </w:tcPr>
          <w:p w:rsidR="00C95003" w:rsidRPr="00C95003" w:rsidRDefault="00C95003" w:rsidP="00C95003">
            <w:pPr>
              <w:widowControl/>
              <w:spacing w:before="40" w:after="40"/>
              <w:rPr>
                <w:rFonts w:ascii="Segoe UI" w:eastAsia="Times New Roman" w:hAnsi="Segoe UI" w:cs="Times New Roman"/>
                <w:kern w:val="0"/>
                <w:sz w:val="20"/>
                <w:szCs w:val="17"/>
                <w:lang w:val="en-GB" w:eastAsia="en-US"/>
              </w:rPr>
            </w:pPr>
            <w:r w:rsidRPr="00C95003">
              <w:rPr>
                <w:rFonts w:ascii="Segoe UI" w:eastAsia="Times New Roman" w:hAnsi="Segoe UI" w:cs="Times New Roman"/>
                <w:b/>
                <w:kern w:val="0"/>
                <w:sz w:val="17"/>
                <w:szCs w:val="20"/>
                <w:lang w:val="en-GB" w:eastAsia="en-GB"/>
              </w:rPr>
              <w:t>Accompanying</w:t>
            </w:r>
            <w:r w:rsidRPr="00C95003">
              <w:rPr>
                <w:rFonts w:ascii="Segoe UI" w:eastAsia="Times New Roman" w:hAnsi="Segoe UI" w:cs="Times New Roman"/>
                <w:b/>
                <w:bCs/>
                <w:kern w:val="0"/>
                <w:sz w:val="17"/>
                <w:szCs w:val="17"/>
                <w:lang w:val="en-GB" w:eastAsia="en-US"/>
              </w:rPr>
              <w:t xml:space="preserve"> information: </w:t>
            </w:r>
          </w:p>
        </w:tc>
        <w:tc>
          <w:tcPr>
            <w:tcW w:w="7234" w:type="dxa"/>
          </w:tcPr>
          <w:p w:rsidR="00C95003" w:rsidRPr="00C95003" w:rsidRDefault="00C95003" w:rsidP="00C95003">
            <w:pPr>
              <w:widowControl/>
              <w:spacing w:before="40" w:after="40"/>
              <w:jc w:val="both"/>
              <w:rPr>
                <w:rFonts w:ascii="Segoe UI" w:eastAsia="Times New Roman" w:hAnsi="Segoe UI" w:cs="Times New Roman"/>
                <w:kern w:val="0"/>
                <w:sz w:val="17"/>
                <w:szCs w:val="20"/>
                <w:lang w:val="en-GB" w:eastAsia="en-GB"/>
              </w:rPr>
            </w:pPr>
            <w:r w:rsidRPr="00C95003">
              <w:rPr>
                <w:rFonts w:ascii="Segoe UI" w:eastAsia="Times New Roman" w:hAnsi="Segoe UI" w:cs="Times New Roman"/>
                <w:kern w:val="0"/>
                <w:sz w:val="17"/>
                <w:szCs w:val="20"/>
                <w:lang w:val="en-GB" w:eastAsia="en-GB"/>
              </w:rPr>
              <w:t>The full terms and conditions of all instruments included in the external or internal loss-absorbing capacity of a resolution entity or material subsidiary, as applicable, should be made available on its internet website.</w:t>
            </w:r>
          </w:p>
        </w:tc>
      </w:tr>
      <w:tr w:rsidR="00C95003" w:rsidRPr="00C95003" w:rsidTr="00297CA5">
        <w:trPr>
          <w:trHeight w:val="543"/>
        </w:trPr>
        <w:tc>
          <w:tcPr>
            <w:tcW w:w="2008" w:type="dxa"/>
            <w:tcBorders>
              <w:bottom w:val="single" w:sz="4" w:space="0" w:color="auto"/>
            </w:tcBorders>
          </w:tcPr>
          <w:p w:rsidR="00C95003" w:rsidRPr="00C95003" w:rsidRDefault="00C95003" w:rsidP="00C95003">
            <w:pPr>
              <w:widowControl/>
              <w:spacing w:before="40" w:after="40"/>
              <w:rPr>
                <w:rFonts w:ascii="Segoe UI" w:eastAsia="Times New Roman" w:hAnsi="Segoe UI" w:cs="Times New Roman"/>
                <w:b/>
                <w:kern w:val="0"/>
                <w:sz w:val="17"/>
                <w:szCs w:val="20"/>
                <w:lang w:val="en-GB" w:eastAsia="en-GB"/>
              </w:rPr>
            </w:pPr>
            <w:r w:rsidRPr="00C95003">
              <w:rPr>
                <w:rFonts w:ascii="Segoe UI" w:eastAsia="Times New Roman" w:hAnsi="Segoe UI" w:cs="Times New Roman"/>
                <w:b/>
                <w:kern w:val="0"/>
                <w:sz w:val="17"/>
                <w:szCs w:val="20"/>
                <w:lang w:val="en-GB" w:eastAsia="en-GB"/>
              </w:rPr>
              <w:t>Corresponding LAC Rules rule:</w:t>
            </w:r>
          </w:p>
        </w:tc>
        <w:tc>
          <w:tcPr>
            <w:tcW w:w="7234" w:type="dxa"/>
            <w:tcBorders>
              <w:bottom w:val="single" w:sz="4" w:space="0" w:color="auto"/>
            </w:tcBorders>
          </w:tcPr>
          <w:p w:rsidR="00C95003" w:rsidRPr="00C95003" w:rsidRDefault="00C95003" w:rsidP="00C95003">
            <w:pPr>
              <w:widowControl/>
              <w:spacing w:before="40" w:after="40"/>
              <w:jc w:val="both"/>
              <w:rPr>
                <w:rFonts w:ascii="Segoe UI" w:eastAsia="Times New Roman" w:hAnsi="Segoe UI" w:cs="Times New Roman"/>
                <w:kern w:val="0"/>
                <w:sz w:val="17"/>
                <w:szCs w:val="20"/>
                <w:lang w:val="en-GB" w:eastAsia="en-GB"/>
              </w:rPr>
            </w:pPr>
            <w:r w:rsidRPr="00C95003">
              <w:rPr>
                <w:rFonts w:ascii="Segoe UI" w:eastAsia="Times New Roman" w:hAnsi="Segoe UI" w:cs="Times New Roman"/>
                <w:kern w:val="0"/>
                <w:sz w:val="17"/>
                <w:szCs w:val="20"/>
                <w:lang w:val="en-GB" w:eastAsia="en-GB"/>
              </w:rPr>
              <w:t xml:space="preserve">51 </w:t>
            </w:r>
          </w:p>
          <w:p w:rsidR="00C95003" w:rsidRPr="00C95003" w:rsidRDefault="00C95003" w:rsidP="00C95003">
            <w:pPr>
              <w:widowControl/>
              <w:spacing w:before="40" w:after="40"/>
              <w:jc w:val="both"/>
              <w:rPr>
                <w:rFonts w:ascii="Segoe UI" w:eastAsia="Times New Roman" w:hAnsi="Segoe UI" w:cs="Times New Roman"/>
                <w:kern w:val="0"/>
                <w:sz w:val="17"/>
                <w:szCs w:val="20"/>
                <w:lang w:val="en-GB" w:eastAsia="en-GB"/>
              </w:rPr>
            </w:pPr>
          </w:p>
        </w:tc>
      </w:tr>
      <w:tr w:rsidR="00C95003" w:rsidRPr="00C95003" w:rsidTr="00297CA5">
        <w:trPr>
          <w:trHeight w:val="543"/>
        </w:trPr>
        <w:tc>
          <w:tcPr>
            <w:tcW w:w="9242" w:type="dxa"/>
            <w:gridSpan w:val="2"/>
            <w:tcBorders>
              <w:bottom w:val="nil"/>
            </w:tcBorders>
          </w:tcPr>
          <w:p w:rsidR="00C95003" w:rsidRPr="00C95003" w:rsidRDefault="00C95003" w:rsidP="00C95003">
            <w:pPr>
              <w:widowControl/>
              <w:spacing w:before="40" w:after="40"/>
              <w:jc w:val="both"/>
              <w:rPr>
                <w:rFonts w:ascii="Segoe UI" w:eastAsia="Times New Roman" w:hAnsi="Segoe UI" w:cs="Times New Roman"/>
                <w:kern w:val="0"/>
                <w:sz w:val="17"/>
                <w:szCs w:val="20"/>
                <w:lang w:val="en-GB" w:eastAsia="en-GB"/>
              </w:rPr>
            </w:pPr>
          </w:p>
        </w:tc>
      </w:tr>
    </w:tbl>
    <w:tbl>
      <w:tblPr>
        <w:tblStyle w:val="TableGrid"/>
        <w:tblW w:w="9214" w:type="dxa"/>
        <w:tblInd w:w="-459" w:type="dxa"/>
        <w:tblBorders>
          <w:left w:val="none" w:sz="0" w:space="0" w:color="auto"/>
          <w:right w:val="none" w:sz="0" w:space="0" w:color="auto"/>
        </w:tblBorders>
        <w:tblLook w:val="04A0" w:firstRow="1" w:lastRow="0" w:firstColumn="1" w:lastColumn="0" w:noHBand="0" w:noVBand="1"/>
      </w:tblPr>
      <w:tblGrid>
        <w:gridCol w:w="486"/>
        <w:gridCol w:w="6471"/>
        <w:gridCol w:w="2257"/>
      </w:tblGrid>
      <w:tr w:rsidR="00C95003" w:rsidRPr="00C95003" w:rsidTr="00297CA5">
        <w:trPr>
          <w:trHeight w:val="203"/>
          <w:tblHeader/>
        </w:trPr>
        <w:tc>
          <w:tcPr>
            <w:tcW w:w="486" w:type="dxa"/>
            <w:tcBorders>
              <w:top w:val="nil"/>
              <w:bottom w:val="nil"/>
              <w:right w:val="nil"/>
            </w:tcBorders>
          </w:tcPr>
          <w:p w:rsidR="00C95003" w:rsidRPr="00C95003" w:rsidRDefault="00C95003" w:rsidP="00C95003">
            <w:pPr>
              <w:widowControl/>
              <w:spacing w:before="20" w:after="20" w:line="240" w:lineRule="exact"/>
              <w:rPr>
                <w:rFonts w:ascii="Segoe UI" w:eastAsia="Times New Roman" w:hAnsi="Segoe UI" w:cs="Segoe UI"/>
                <w:kern w:val="0"/>
                <w:sz w:val="17"/>
                <w:szCs w:val="17"/>
                <w:lang w:val="en-GB" w:eastAsia="en-US"/>
              </w:rPr>
            </w:pPr>
          </w:p>
        </w:tc>
        <w:tc>
          <w:tcPr>
            <w:tcW w:w="6471" w:type="dxa"/>
            <w:tcBorders>
              <w:top w:val="nil"/>
              <w:left w:val="nil"/>
              <w:bottom w:val="nil"/>
            </w:tcBorders>
          </w:tcPr>
          <w:p w:rsidR="00C95003" w:rsidRPr="00C95003" w:rsidRDefault="00C95003" w:rsidP="00C95003">
            <w:pPr>
              <w:widowControl/>
              <w:spacing w:before="20" w:after="20" w:line="240" w:lineRule="exact"/>
              <w:rPr>
                <w:rFonts w:ascii="Segoe UI" w:eastAsia="Times New Roman" w:hAnsi="Segoe UI" w:cs="Segoe UI"/>
                <w:kern w:val="0"/>
                <w:sz w:val="17"/>
                <w:szCs w:val="17"/>
                <w:lang w:val="en-GB" w:eastAsia="en-US"/>
              </w:rPr>
            </w:pPr>
          </w:p>
          <w:p w:rsidR="00C95003" w:rsidRPr="00C95003" w:rsidRDefault="00C95003" w:rsidP="00C95003">
            <w:pPr>
              <w:widowControl/>
              <w:spacing w:before="20" w:after="20" w:line="240" w:lineRule="exact"/>
              <w:rPr>
                <w:rFonts w:ascii="Segoe UI" w:eastAsia="Times New Roman" w:hAnsi="Segoe UI" w:cs="Segoe UI"/>
                <w:kern w:val="0"/>
                <w:sz w:val="17"/>
                <w:szCs w:val="17"/>
                <w:lang w:val="en-GB" w:eastAsia="en-US"/>
              </w:rPr>
            </w:pPr>
          </w:p>
        </w:tc>
        <w:tc>
          <w:tcPr>
            <w:tcW w:w="2257" w:type="dxa"/>
            <w:tcBorders>
              <w:top w:val="single" w:sz="4" w:space="0" w:color="auto"/>
              <w:right w:val="single" w:sz="4" w:space="0" w:color="auto"/>
            </w:tcBorders>
            <w:vAlign w:val="center"/>
          </w:tcPr>
          <w:p w:rsidR="00C95003" w:rsidRPr="00C95003" w:rsidRDefault="00C95003" w:rsidP="00C95003">
            <w:pPr>
              <w:widowControl/>
              <w:snapToGrid w:val="0"/>
              <w:spacing w:before="20" w:after="20" w:line="240" w:lineRule="exact"/>
              <w:jc w:val="center"/>
              <w:rPr>
                <w:rFonts w:ascii="Segoe UI" w:eastAsia="Times New Roman" w:hAnsi="Segoe UI" w:cs="Segoe UI"/>
                <w:kern w:val="0"/>
                <w:sz w:val="17"/>
                <w:szCs w:val="17"/>
                <w:lang w:val="en-GB" w:eastAsia="en-US"/>
              </w:rPr>
            </w:pPr>
            <w:r w:rsidRPr="00C95003">
              <w:rPr>
                <w:rFonts w:ascii="Segoe UI" w:eastAsia="Times New Roman" w:hAnsi="Segoe UI" w:cs="Segoe UI"/>
                <w:kern w:val="0"/>
                <w:sz w:val="17"/>
                <w:szCs w:val="17"/>
                <w:lang w:val="en-GB" w:eastAsia="en-US"/>
              </w:rPr>
              <w:t>(a)</w:t>
            </w:r>
          </w:p>
        </w:tc>
      </w:tr>
      <w:tr w:rsidR="00C95003" w:rsidRPr="00C95003" w:rsidTr="00297CA5">
        <w:trPr>
          <w:tblHeader/>
        </w:trPr>
        <w:tc>
          <w:tcPr>
            <w:tcW w:w="486" w:type="dxa"/>
            <w:tcBorders>
              <w:top w:val="nil"/>
              <w:right w:val="nil"/>
            </w:tcBorders>
          </w:tcPr>
          <w:p w:rsidR="00C95003" w:rsidRPr="00C95003" w:rsidRDefault="00C95003" w:rsidP="00C95003">
            <w:pPr>
              <w:widowControl/>
              <w:spacing w:before="20" w:after="20" w:line="240" w:lineRule="exact"/>
              <w:rPr>
                <w:rFonts w:ascii="Segoe UI" w:eastAsia="Times New Roman" w:hAnsi="Segoe UI" w:cs="Segoe UI"/>
                <w:kern w:val="0"/>
                <w:sz w:val="17"/>
                <w:szCs w:val="17"/>
                <w:lang w:val="en-GB" w:eastAsia="en-US"/>
              </w:rPr>
            </w:pPr>
          </w:p>
        </w:tc>
        <w:tc>
          <w:tcPr>
            <w:tcW w:w="6471" w:type="dxa"/>
            <w:tcBorders>
              <w:top w:val="nil"/>
              <w:left w:val="nil"/>
            </w:tcBorders>
          </w:tcPr>
          <w:p w:rsidR="00C95003" w:rsidRPr="00C95003" w:rsidRDefault="00C95003" w:rsidP="00C95003">
            <w:pPr>
              <w:widowControl/>
              <w:spacing w:before="20" w:after="20" w:line="240" w:lineRule="exact"/>
              <w:rPr>
                <w:rFonts w:ascii="Segoe UI" w:eastAsia="Times New Roman" w:hAnsi="Segoe UI" w:cs="Segoe UI"/>
                <w:kern w:val="0"/>
                <w:sz w:val="17"/>
                <w:szCs w:val="17"/>
                <w:lang w:val="en-GB" w:eastAsia="en-US"/>
              </w:rPr>
            </w:pPr>
          </w:p>
        </w:tc>
        <w:tc>
          <w:tcPr>
            <w:tcW w:w="2257" w:type="dxa"/>
            <w:tcBorders>
              <w:right w:val="single" w:sz="4" w:space="0" w:color="auto"/>
            </w:tcBorders>
          </w:tcPr>
          <w:p w:rsidR="00C95003" w:rsidRPr="00C95003" w:rsidRDefault="00C95003" w:rsidP="00C95003">
            <w:pPr>
              <w:widowControl/>
              <w:snapToGrid w:val="0"/>
              <w:spacing w:before="20" w:after="20" w:line="240" w:lineRule="exact"/>
              <w:jc w:val="center"/>
              <w:rPr>
                <w:rFonts w:ascii="Segoe UI" w:eastAsia="Times New Roman" w:hAnsi="Segoe UI" w:cs="Segoe UI"/>
                <w:b/>
                <w:kern w:val="0"/>
                <w:sz w:val="17"/>
                <w:szCs w:val="17"/>
                <w:lang w:val="en-GB" w:eastAsia="en-US"/>
              </w:rPr>
            </w:pPr>
            <w:r w:rsidRPr="00C95003">
              <w:rPr>
                <w:rFonts w:ascii="Segoe UI" w:eastAsia="Times New Roman" w:hAnsi="Segoe UI" w:cs="Segoe UI"/>
                <w:b/>
                <w:kern w:val="0"/>
                <w:sz w:val="17"/>
                <w:szCs w:val="17"/>
                <w:lang w:val="en-GB" w:eastAsia="en-US"/>
              </w:rPr>
              <w:t>Quantitative / qualitative information</w:t>
            </w:r>
          </w:p>
        </w:tc>
      </w:tr>
      <w:tr w:rsidR="00C95003" w:rsidRPr="00C95003" w:rsidTr="00297CA5">
        <w:tc>
          <w:tcPr>
            <w:tcW w:w="486" w:type="dxa"/>
          </w:tcPr>
          <w:p w:rsidR="00C95003" w:rsidRPr="00C95003" w:rsidRDefault="00C95003" w:rsidP="00C95003">
            <w:pPr>
              <w:widowControl/>
              <w:spacing w:before="20" w:after="20" w:line="240" w:lineRule="exact"/>
              <w:rPr>
                <w:rFonts w:ascii="Segoe UI" w:eastAsia="Times New Roman" w:hAnsi="Segoe UI" w:cs="Segoe UI"/>
                <w:kern w:val="0"/>
                <w:sz w:val="17"/>
                <w:szCs w:val="17"/>
                <w:lang w:val="en-GB" w:eastAsia="en-US"/>
              </w:rPr>
            </w:pPr>
            <w:r w:rsidRPr="00C95003">
              <w:rPr>
                <w:rFonts w:ascii="Segoe UI" w:eastAsia="Times New Roman" w:hAnsi="Segoe UI" w:cs="Segoe UI"/>
                <w:kern w:val="0"/>
                <w:sz w:val="17"/>
                <w:szCs w:val="17"/>
                <w:lang w:val="en-GB" w:eastAsia="en-US"/>
              </w:rPr>
              <w:t>1</w:t>
            </w:r>
          </w:p>
        </w:tc>
        <w:tc>
          <w:tcPr>
            <w:tcW w:w="6471" w:type="dxa"/>
          </w:tcPr>
          <w:p w:rsidR="00C95003" w:rsidRPr="00C95003" w:rsidRDefault="00C95003" w:rsidP="00C95003">
            <w:pPr>
              <w:widowControl/>
              <w:spacing w:before="20" w:after="20" w:line="240" w:lineRule="exact"/>
              <w:rPr>
                <w:rFonts w:ascii="Segoe UI" w:eastAsia="Times New Roman" w:hAnsi="Segoe UI" w:cs="Segoe UI"/>
                <w:kern w:val="0"/>
                <w:sz w:val="17"/>
                <w:szCs w:val="17"/>
                <w:lang w:val="en-GB" w:eastAsia="en-US"/>
              </w:rPr>
            </w:pPr>
            <w:r w:rsidRPr="00C95003">
              <w:rPr>
                <w:rFonts w:ascii="Segoe UI" w:eastAsia="Times New Roman" w:hAnsi="Segoe UI" w:cs="Segoe UI"/>
                <w:kern w:val="0"/>
                <w:sz w:val="17"/>
                <w:szCs w:val="17"/>
                <w:lang w:val="en-GB" w:eastAsia="en-US"/>
              </w:rPr>
              <w:t>Issuer</w:t>
            </w:r>
          </w:p>
        </w:tc>
        <w:tc>
          <w:tcPr>
            <w:tcW w:w="2257" w:type="dxa"/>
            <w:tcBorders>
              <w:right w:val="single" w:sz="4" w:space="0" w:color="auto"/>
            </w:tcBorders>
          </w:tcPr>
          <w:p w:rsidR="00C95003" w:rsidRPr="00C95003" w:rsidRDefault="00C95003" w:rsidP="00C95003">
            <w:pPr>
              <w:widowControl/>
              <w:spacing w:before="20" w:after="20" w:line="240" w:lineRule="exact"/>
              <w:rPr>
                <w:rFonts w:ascii="Segoe UI" w:eastAsia="Times New Roman" w:hAnsi="Segoe UI" w:cs="Segoe UI"/>
                <w:kern w:val="0"/>
                <w:sz w:val="17"/>
                <w:szCs w:val="17"/>
                <w:lang w:val="en-GB" w:eastAsia="en-US"/>
              </w:rPr>
            </w:pPr>
          </w:p>
        </w:tc>
      </w:tr>
      <w:tr w:rsidR="00C95003" w:rsidRPr="00C95003" w:rsidTr="00297CA5">
        <w:tc>
          <w:tcPr>
            <w:tcW w:w="486" w:type="dxa"/>
          </w:tcPr>
          <w:p w:rsidR="00C95003" w:rsidRPr="00C95003" w:rsidRDefault="00C95003" w:rsidP="00C95003">
            <w:pPr>
              <w:widowControl/>
              <w:spacing w:before="20" w:after="20" w:line="240" w:lineRule="exact"/>
              <w:rPr>
                <w:rFonts w:ascii="Segoe UI" w:eastAsia="Times New Roman" w:hAnsi="Segoe UI" w:cs="Segoe UI"/>
                <w:kern w:val="0"/>
                <w:sz w:val="17"/>
                <w:szCs w:val="17"/>
                <w:lang w:val="en-GB" w:eastAsia="en-US"/>
              </w:rPr>
            </w:pPr>
            <w:r w:rsidRPr="00C95003">
              <w:rPr>
                <w:rFonts w:ascii="Segoe UI" w:eastAsia="Times New Roman" w:hAnsi="Segoe UI" w:cs="Segoe UI"/>
                <w:kern w:val="0"/>
                <w:sz w:val="17"/>
                <w:szCs w:val="17"/>
                <w:lang w:val="en-GB" w:eastAsia="en-US"/>
              </w:rPr>
              <w:t>2</w:t>
            </w:r>
          </w:p>
        </w:tc>
        <w:tc>
          <w:tcPr>
            <w:tcW w:w="6471" w:type="dxa"/>
          </w:tcPr>
          <w:p w:rsidR="00C95003" w:rsidRPr="00C95003" w:rsidRDefault="00C95003" w:rsidP="00C95003">
            <w:pPr>
              <w:widowControl/>
              <w:spacing w:before="20" w:after="20" w:line="240" w:lineRule="exact"/>
              <w:rPr>
                <w:rFonts w:ascii="Segoe UI" w:eastAsia="Times New Roman" w:hAnsi="Segoe UI" w:cs="Segoe UI"/>
                <w:kern w:val="0"/>
                <w:sz w:val="17"/>
                <w:szCs w:val="17"/>
                <w:lang w:val="en-GB" w:eastAsia="en-US"/>
              </w:rPr>
            </w:pPr>
            <w:r w:rsidRPr="00C95003">
              <w:rPr>
                <w:rFonts w:ascii="Segoe UI" w:eastAsia="Times New Roman" w:hAnsi="Segoe UI" w:cs="Segoe UI"/>
                <w:kern w:val="0"/>
                <w:sz w:val="17"/>
                <w:szCs w:val="17"/>
                <w:lang w:val="en-GB" w:eastAsia="en-US"/>
              </w:rPr>
              <w:t>Unique identifier (e.g. CUSIP, ISIN or Bloomberg identifier for private placement)</w:t>
            </w:r>
          </w:p>
        </w:tc>
        <w:tc>
          <w:tcPr>
            <w:tcW w:w="2257" w:type="dxa"/>
            <w:tcBorders>
              <w:right w:val="single" w:sz="4" w:space="0" w:color="auto"/>
            </w:tcBorders>
          </w:tcPr>
          <w:p w:rsidR="00C95003" w:rsidRPr="00C95003" w:rsidRDefault="00C95003" w:rsidP="00C95003">
            <w:pPr>
              <w:widowControl/>
              <w:spacing w:before="20" w:after="20" w:line="240" w:lineRule="exact"/>
              <w:rPr>
                <w:rFonts w:ascii="Segoe UI" w:eastAsia="Times New Roman" w:hAnsi="Segoe UI" w:cs="Segoe UI"/>
                <w:kern w:val="0"/>
                <w:sz w:val="17"/>
                <w:szCs w:val="17"/>
                <w:lang w:val="en-GB" w:eastAsia="en-US"/>
              </w:rPr>
            </w:pPr>
          </w:p>
        </w:tc>
      </w:tr>
      <w:tr w:rsidR="00C95003" w:rsidRPr="00C95003" w:rsidTr="00297CA5">
        <w:tc>
          <w:tcPr>
            <w:tcW w:w="486" w:type="dxa"/>
          </w:tcPr>
          <w:p w:rsidR="00C95003" w:rsidRPr="00C95003" w:rsidRDefault="00C95003" w:rsidP="00C95003">
            <w:pPr>
              <w:widowControl/>
              <w:spacing w:before="20" w:after="20" w:line="240" w:lineRule="exact"/>
              <w:rPr>
                <w:rFonts w:ascii="Segoe UI" w:eastAsia="Times New Roman" w:hAnsi="Segoe UI" w:cs="Segoe UI"/>
                <w:kern w:val="0"/>
                <w:sz w:val="17"/>
                <w:szCs w:val="17"/>
                <w:lang w:val="en-GB" w:eastAsia="en-US"/>
              </w:rPr>
            </w:pPr>
            <w:r w:rsidRPr="00C95003">
              <w:rPr>
                <w:rFonts w:ascii="Segoe UI" w:eastAsia="Times New Roman" w:hAnsi="Segoe UI" w:cs="Segoe UI"/>
                <w:kern w:val="0"/>
                <w:sz w:val="17"/>
                <w:szCs w:val="17"/>
                <w:lang w:val="en-GB" w:eastAsia="en-US"/>
              </w:rPr>
              <w:t>3</w:t>
            </w:r>
          </w:p>
        </w:tc>
        <w:tc>
          <w:tcPr>
            <w:tcW w:w="6471" w:type="dxa"/>
          </w:tcPr>
          <w:p w:rsidR="00C95003" w:rsidRPr="00C95003" w:rsidRDefault="00C95003" w:rsidP="00C95003">
            <w:pPr>
              <w:widowControl/>
              <w:spacing w:before="20" w:after="20" w:line="240" w:lineRule="exact"/>
              <w:rPr>
                <w:rFonts w:ascii="Segoe UI" w:eastAsia="Times New Roman" w:hAnsi="Segoe UI" w:cs="Segoe UI"/>
                <w:kern w:val="0"/>
                <w:sz w:val="17"/>
                <w:szCs w:val="17"/>
                <w:lang w:val="en-GB" w:eastAsia="en-US"/>
              </w:rPr>
            </w:pPr>
            <w:r w:rsidRPr="00C95003">
              <w:rPr>
                <w:rFonts w:ascii="Segoe UI" w:eastAsia="Times New Roman" w:hAnsi="Segoe UI" w:cs="Segoe UI"/>
                <w:kern w:val="0"/>
                <w:sz w:val="17"/>
                <w:szCs w:val="17"/>
                <w:lang w:val="en-GB" w:eastAsia="en-US"/>
              </w:rPr>
              <w:t>Governing law(s) of the instrument</w:t>
            </w:r>
          </w:p>
        </w:tc>
        <w:tc>
          <w:tcPr>
            <w:tcW w:w="2257" w:type="dxa"/>
            <w:tcBorders>
              <w:right w:val="single" w:sz="4" w:space="0" w:color="auto"/>
            </w:tcBorders>
          </w:tcPr>
          <w:p w:rsidR="00C95003" w:rsidRPr="00C95003" w:rsidRDefault="00C95003" w:rsidP="00C95003">
            <w:pPr>
              <w:widowControl/>
              <w:spacing w:before="20" w:after="20" w:line="240" w:lineRule="exact"/>
              <w:rPr>
                <w:rFonts w:ascii="Segoe UI" w:eastAsia="Times New Roman" w:hAnsi="Segoe UI" w:cs="Segoe UI"/>
                <w:kern w:val="0"/>
                <w:sz w:val="17"/>
                <w:szCs w:val="17"/>
                <w:lang w:val="en-GB" w:eastAsia="en-US"/>
              </w:rPr>
            </w:pPr>
          </w:p>
        </w:tc>
      </w:tr>
      <w:tr w:rsidR="00C95003" w:rsidRPr="00C95003" w:rsidTr="00297CA5">
        <w:tc>
          <w:tcPr>
            <w:tcW w:w="486" w:type="dxa"/>
            <w:shd w:val="clear" w:color="auto" w:fill="auto"/>
          </w:tcPr>
          <w:p w:rsidR="00C95003" w:rsidRPr="00C95003" w:rsidRDefault="00C95003" w:rsidP="00C95003">
            <w:pPr>
              <w:widowControl/>
              <w:spacing w:before="20" w:after="20" w:line="240" w:lineRule="exact"/>
              <w:rPr>
                <w:rFonts w:ascii="Segoe UI" w:eastAsia="Times New Roman" w:hAnsi="Segoe UI" w:cs="Segoe UI"/>
                <w:kern w:val="0"/>
                <w:sz w:val="17"/>
                <w:szCs w:val="17"/>
                <w:lang w:val="en-GB" w:eastAsia="en-US"/>
              </w:rPr>
            </w:pPr>
            <w:r w:rsidRPr="00C95003">
              <w:rPr>
                <w:rFonts w:ascii="Segoe UI" w:eastAsia="Times New Roman" w:hAnsi="Segoe UI" w:cs="Segoe UI"/>
                <w:kern w:val="0"/>
                <w:sz w:val="17"/>
                <w:szCs w:val="17"/>
                <w:lang w:val="en-GB" w:eastAsia="en-US"/>
              </w:rPr>
              <w:t>3a</w:t>
            </w:r>
          </w:p>
        </w:tc>
        <w:tc>
          <w:tcPr>
            <w:tcW w:w="6471" w:type="dxa"/>
            <w:shd w:val="clear" w:color="auto" w:fill="auto"/>
          </w:tcPr>
          <w:p w:rsidR="00C95003" w:rsidRPr="00C95003" w:rsidRDefault="00C95003" w:rsidP="00C95003">
            <w:pPr>
              <w:widowControl/>
              <w:spacing w:before="20" w:after="20" w:line="240" w:lineRule="exact"/>
              <w:rPr>
                <w:rFonts w:ascii="Segoe UI" w:eastAsia="Times New Roman" w:hAnsi="Segoe UI" w:cs="Segoe UI"/>
                <w:kern w:val="0"/>
                <w:sz w:val="17"/>
                <w:szCs w:val="17"/>
                <w:lang w:val="en-GB" w:eastAsia="en-US"/>
              </w:rPr>
            </w:pPr>
            <w:r w:rsidRPr="00C95003">
              <w:rPr>
                <w:rFonts w:ascii="Segoe UI" w:eastAsia="Times New Roman" w:hAnsi="Segoe UI" w:cs="Segoe UI"/>
                <w:kern w:val="0"/>
                <w:sz w:val="17"/>
                <w:szCs w:val="17"/>
                <w:lang w:val="en-GB" w:eastAsia="en-US"/>
              </w:rPr>
              <w:t>Means by which enforceability requirement of Section 13 of the TLAC Term Sheet is achieved (for non-capital LAC debt instruments governed by non-Hong Kong law)</w:t>
            </w:r>
          </w:p>
        </w:tc>
        <w:tc>
          <w:tcPr>
            <w:tcW w:w="2257" w:type="dxa"/>
            <w:tcBorders>
              <w:right w:val="single" w:sz="4" w:space="0" w:color="auto"/>
            </w:tcBorders>
            <w:shd w:val="clear" w:color="auto" w:fill="auto"/>
          </w:tcPr>
          <w:p w:rsidR="00C95003" w:rsidRPr="00C95003" w:rsidRDefault="00C95003" w:rsidP="00C95003">
            <w:pPr>
              <w:widowControl/>
              <w:spacing w:before="20" w:after="20" w:line="240" w:lineRule="exact"/>
              <w:rPr>
                <w:rFonts w:ascii="Segoe UI" w:eastAsia="Times New Roman" w:hAnsi="Segoe UI" w:cs="Segoe UI"/>
                <w:kern w:val="0"/>
                <w:sz w:val="17"/>
                <w:szCs w:val="17"/>
                <w:lang w:val="en-GB" w:eastAsia="en-US"/>
              </w:rPr>
            </w:pPr>
          </w:p>
        </w:tc>
      </w:tr>
      <w:tr w:rsidR="00C95003" w:rsidRPr="00C95003" w:rsidTr="00297CA5">
        <w:tc>
          <w:tcPr>
            <w:tcW w:w="486" w:type="dxa"/>
            <w:shd w:val="clear" w:color="auto" w:fill="auto"/>
          </w:tcPr>
          <w:p w:rsidR="00C95003" w:rsidRPr="00C95003" w:rsidRDefault="00C95003" w:rsidP="00C95003">
            <w:pPr>
              <w:widowControl/>
              <w:spacing w:before="20" w:after="20" w:line="240" w:lineRule="exact"/>
              <w:rPr>
                <w:rFonts w:ascii="Segoe UI" w:eastAsia="Times New Roman" w:hAnsi="Segoe UI" w:cs="Segoe UI"/>
                <w:kern w:val="0"/>
                <w:sz w:val="17"/>
                <w:szCs w:val="17"/>
                <w:lang w:val="en-GB" w:eastAsia="en-US"/>
              </w:rPr>
            </w:pPr>
          </w:p>
        </w:tc>
        <w:tc>
          <w:tcPr>
            <w:tcW w:w="6471" w:type="dxa"/>
            <w:shd w:val="clear" w:color="auto" w:fill="auto"/>
          </w:tcPr>
          <w:p w:rsidR="00C95003" w:rsidRPr="00C95003" w:rsidRDefault="00C95003" w:rsidP="00C95003">
            <w:pPr>
              <w:widowControl/>
              <w:spacing w:before="20" w:after="20" w:line="240" w:lineRule="exact"/>
              <w:rPr>
                <w:rFonts w:ascii="Segoe UI" w:eastAsia="Times New Roman" w:hAnsi="Segoe UI" w:cs="Segoe UI"/>
                <w:i/>
                <w:kern w:val="0"/>
                <w:sz w:val="17"/>
                <w:szCs w:val="17"/>
                <w:lang w:val="en-GB" w:eastAsia="en-US"/>
              </w:rPr>
            </w:pPr>
            <w:r w:rsidRPr="00C95003">
              <w:rPr>
                <w:rFonts w:ascii="Segoe UI" w:eastAsia="Times New Roman" w:hAnsi="Segoe UI" w:cs="Segoe UI"/>
                <w:i/>
                <w:kern w:val="0"/>
                <w:sz w:val="17"/>
                <w:szCs w:val="17"/>
                <w:lang w:val="en-GB" w:eastAsia="en-US"/>
              </w:rPr>
              <w:t>Regulatory treatment</w:t>
            </w:r>
          </w:p>
        </w:tc>
        <w:tc>
          <w:tcPr>
            <w:tcW w:w="2257" w:type="dxa"/>
            <w:tcBorders>
              <w:right w:val="single" w:sz="4" w:space="0" w:color="auto"/>
            </w:tcBorders>
            <w:shd w:val="clear" w:color="auto" w:fill="auto"/>
          </w:tcPr>
          <w:p w:rsidR="00C95003" w:rsidRPr="00C95003" w:rsidRDefault="00C95003" w:rsidP="00C95003">
            <w:pPr>
              <w:widowControl/>
              <w:spacing w:before="20" w:after="20" w:line="240" w:lineRule="exact"/>
              <w:rPr>
                <w:rFonts w:ascii="Segoe UI" w:eastAsia="Times New Roman" w:hAnsi="Segoe UI" w:cs="Segoe UI"/>
                <w:kern w:val="0"/>
                <w:sz w:val="17"/>
                <w:szCs w:val="17"/>
                <w:lang w:val="en-GB" w:eastAsia="en-US"/>
              </w:rPr>
            </w:pPr>
          </w:p>
        </w:tc>
      </w:tr>
      <w:tr w:rsidR="00C95003" w:rsidRPr="00C95003" w:rsidTr="00297CA5">
        <w:tc>
          <w:tcPr>
            <w:tcW w:w="486" w:type="dxa"/>
          </w:tcPr>
          <w:p w:rsidR="00C95003" w:rsidRPr="00C95003" w:rsidRDefault="00C95003" w:rsidP="00C95003">
            <w:pPr>
              <w:widowControl/>
              <w:spacing w:before="20" w:after="20" w:line="240" w:lineRule="exact"/>
              <w:rPr>
                <w:rFonts w:ascii="Segoe UI" w:eastAsia="Times New Roman" w:hAnsi="Segoe UI" w:cs="Segoe UI"/>
                <w:kern w:val="0"/>
                <w:sz w:val="17"/>
                <w:szCs w:val="17"/>
                <w:lang w:val="en-GB" w:eastAsia="en-US"/>
              </w:rPr>
            </w:pPr>
            <w:r w:rsidRPr="00C95003">
              <w:rPr>
                <w:rFonts w:ascii="Segoe UI" w:eastAsia="Times New Roman" w:hAnsi="Segoe UI" w:cs="Segoe UI"/>
                <w:kern w:val="0"/>
                <w:sz w:val="17"/>
                <w:szCs w:val="17"/>
                <w:lang w:val="en-GB" w:eastAsia="en-US"/>
              </w:rPr>
              <w:t>4</w:t>
            </w:r>
          </w:p>
        </w:tc>
        <w:tc>
          <w:tcPr>
            <w:tcW w:w="6471" w:type="dxa"/>
          </w:tcPr>
          <w:p w:rsidR="00C95003" w:rsidRPr="00C95003" w:rsidRDefault="00C95003" w:rsidP="00C95003">
            <w:pPr>
              <w:widowControl/>
              <w:spacing w:before="20" w:after="20" w:line="240" w:lineRule="exact"/>
              <w:ind w:leftChars="165" w:left="396"/>
              <w:rPr>
                <w:rFonts w:ascii="Segoe UI" w:eastAsia="Times New Roman" w:hAnsi="Segoe UI" w:cs="Segoe UI"/>
                <w:kern w:val="0"/>
                <w:sz w:val="17"/>
                <w:szCs w:val="17"/>
                <w:lang w:val="en-GB" w:eastAsia="en-US"/>
              </w:rPr>
            </w:pPr>
            <w:r w:rsidRPr="00C95003">
              <w:rPr>
                <w:rFonts w:ascii="Segoe UI" w:eastAsia="Times New Roman" w:hAnsi="Segoe UI" w:cs="Segoe UI"/>
                <w:kern w:val="0"/>
                <w:sz w:val="17"/>
                <w:szCs w:val="17"/>
                <w:lang w:val="en-GB" w:eastAsia="en-US"/>
              </w:rPr>
              <w:t>Transitional Basel III rules</w:t>
            </w:r>
            <w:r w:rsidRPr="00C95003">
              <w:rPr>
                <w:rFonts w:ascii="Segoe UI" w:eastAsia="Times New Roman" w:hAnsi="Segoe UI" w:cs="Segoe UI"/>
                <w:kern w:val="0"/>
                <w:sz w:val="17"/>
                <w:szCs w:val="17"/>
                <w:vertAlign w:val="superscript"/>
                <w:lang w:val="en-GB" w:eastAsia="en-US"/>
              </w:rPr>
              <w:footnoteReference w:id="1"/>
            </w:r>
          </w:p>
        </w:tc>
        <w:tc>
          <w:tcPr>
            <w:tcW w:w="2257" w:type="dxa"/>
            <w:tcBorders>
              <w:right w:val="single" w:sz="4" w:space="0" w:color="auto"/>
            </w:tcBorders>
          </w:tcPr>
          <w:p w:rsidR="00C95003" w:rsidRPr="00C95003" w:rsidRDefault="00C95003" w:rsidP="00C95003">
            <w:pPr>
              <w:widowControl/>
              <w:spacing w:before="20" w:after="20" w:line="240" w:lineRule="exact"/>
              <w:rPr>
                <w:rFonts w:ascii="Segoe UI" w:eastAsia="Times New Roman" w:hAnsi="Segoe UI" w:cs="Segoe UI"/>
                <w:kern w:val="0"/>
                <w:sz w:val="17"/>
                <w:szCs w:val="17"/>
                <w:lang w:val="en-GB" w:eastAsia="en-US"/>
              </w:rPr>
            </w:pPr>
          </w:p>
        </w:tc>
      </w:tr>
      <w:tr w:rsidR="00C95003" w:rsidRPr="00C95003" w:rsidTr="00297CA5">
        <w:tc>
          <w:tcPr>
            <w:tcW w:w="486" w:type="dxa"/>
          </w:tcPr>
          <w:p w:rsidR="00C95003" w:rsidRPr="00C95003" w:rsidRDefault="00C95003" w:rsidP="00C95003">
            <w:pPr>
              <w:widowControl/>
              <w:spacing w:before="20" w:after="20" w:line="240" w:lineRule="exact"/>
              <w:rPr>
                <w:rFonts w:ascii="Segoe UI" w:eastAsia="Times New Roman" w:hAnsi="Segoe UI" w:cs="Segoe UI"/>
                <w:kern w:val="0"/>
                <w:sz w:val="17"/>
                <w:szCs w:val="17"/>
                <w:lang w:val="en-GB" w:eastAsia="en-US"/>
              </w:rPr>
            </w:pPr>
            <w:r w:rsidRPr="00C95003">
              <w:rPr>
                <w:rFonts w:ascii="Segoe UI" w:eastAsia="Times New Roman" w:hAnsi="Segoe UI" w:cs="Segoe UI"/>
                <w:kern w:val="0"/>
                <w:sz w:val="17"/>
                <w:szCs w:val="17"/>
                <w:lang w:val="en-GB" w:eastAsia="en-US"/>
              </w:rPr>
              <w:lastRenderedPageBreak/>
              <w:t>5</w:t>
            </w:r>
          </w:p>
        </w:tc>
        <w:tc>
          <w:tcPr>
            <w:tcW w:w="6471" w:type="dxa"/>
          </w:tcPr>
          <w:p w:rsidR="00C95003" w:rsidRPr="00C95003" w:rsidRDefault="00C95003" w:rsidP="00C95003">
            <w:pPr>
              <w:widowControl/>
              <w:spacing w:before="20" w:after="20" w:line="240" w:lineRule="exact"/>
              <w:ind w:leftChars="165" w:left="396"/>
              <w:rPr>
                <w:rFonts w:ascii="Segoe UI" w:eastAsia="Times New Roman" w:hAnsi="Segoe UI" w:cs="Segoe UI"/>
                <w:kern w:val="0"/>
                <w:sz w:val="17"/>
                <w:szCs w:val="17"/>
                <w:lang w:val="en-GB" w:eastAsia="en-US"/>
              </w:rPr>
            </w:pPr>
            <w:r w:rsidRPr="00C95003">
              <w:rPr>
                <w:rFonts w:ascii="Segoe UI" w:eastAsia="Times New Roman" w:hAnsi="Segoe UI" w:cs="Segoe UI"/>
                <w:kern w:val="0"/>
                <w:sz w:val="17"/>
                <w:szCs w:val="17"/>
                <w:lang w:val="en-GB" w:eastAsia="en-US"/>
              </w:rPr>
              <w:t>Post-transitional Basel III rules</w:t>
            </w:r>
            <w:r w:rsidRPr="00C95003">
              <w:rPr>
                <w:rFonts w:ascii="Segoe UI" w:eastAsia="Times New Roman" w:hAnsi="Segoe UI" w:cs="Segoe UI"/>
                <w:kern w:val="0"/>
                <w:sz w:val="17"/>
                <w:szCs w:val="17"/>
                <w:vertAlign w:val="superscript"/>
                <w:lang w:val="en-GB" w:eastAsia="en-US"/>
              </w:rPr>
              <w:footnoteReference w:id="2"/>
            </w:r>
          </w:p>
        </w:tc>
        <w:tc>
          <w:tcPr>
            <w:tcW w:w="2257" w:type="dxa"/>
            <w:tcBorders>
              <w:right w:val="single" w:sz="4" w:space="0" w:color="auto"/>
            </w:tcBorders>
          </w:tcPr>
          <w:p w:rsidR="00C95003" w:rsidRPr="00C95003" w:rsidRDefault="00C95003" w:rsidP="00C95003">
            <w:pPr>
              <w:widowControl/>
              <w:spacing w:before="20" w:after="20" w:line="240" w:lineRule="exact"/>
              <w:rPr>
                <w:rFonts w:ascii="Segoe UI" w:eastAsia="Times New Roman" w:hAnsi="Segoe UI" w:cs="Segoe UI"/>
                <w:kern w:val="0"/>
                <w:sz w:val="17"/>
                <w:szCs w:val="17"/>
                <w:lang w:val="en-GB" w:eastAsia="en-US"/>
              </w:rPr>
            </w:pPr>
          </w:p>
        </w:tc>
      </w:tr>
      <w:tr w:rsidR="00C95003" w:rsidRPr="00C95003" w:rsidTr="00297CA5">
        <w:tc>
          <w:tcPr>
            <w:tcW w:w="486" w:type="dxa"/>
          </w:tcPr>
          <w:p w:rsidR="00C95003" w:rsidRPr="00C95003" w:rsidRDefault="00C95003" w:rsidP="00C95003">
            <w:pPr>
              <w:widowControl/>
              <w:spacing w:before="20" w:after="20" w:line="240" w:lineRule="exact"/>
              <w:rPr>
                <w:rFonts w:ascii="Segoe UI" w:eastAsia="Times New Roman" w:hAnsi="Segoe UI" w:cs="Segoe UI"/>
                <w:kern w:val="0"/>
                <w:sz w:val="17"/>
                <w:szCs w:val="17"/>
                <w:lang w:val="en-GB" w:eastAsia="en-US"/>
              </w:rPr>
            </w:pPr>
            <w:r w:rsidRPr="00C95003">
              <w:rPr>
                <w:rFonts w:ascii="Segoe UI" w:eastAsia="Times New Roman" w:hAnsi="Segoe UI" w:cs="Segoe UI"/>
                <w:kern w:val="0"/>
                <w:sz w:val="17"/>
                <w:szCs w:val="17"/>
                <w:lang w:val="en-GB" w:eastAsia="en-US"/>
              </w:rPr>
              <w:t>6</w:t>
            </w:r>
          </w:p>
        </w:tc>
        <w:tc>
          <w:tcPr>
            <w:tcW w:w="6471" w:type="dxa"/>
          </w:tcPr>
          <w:p w:rsidR="00C95003" w:rsidRPr="00C95003" w:rsidRDefault="00C95003" w:rsidP="00C95003">
            <w:pPr>
              <w:widowControl/>
              <w:spacing w:before="20" w:after="20" w:line="240" w:lineRule="exact"/>
              <w:ind w:leftChars="165" w:left="396"/>
              <w:rPr>
                <w:rFonts w:ascii="Segoe UI" w:eastAsia="Times New Roman" w:hAnsi="Segoe UI" w:cs="Segoe UI"/>
                <w:kern w:val="0"/>
                <w:sz w:val="17"/>
                <w:szCs w:val="17"/>
                <w:lang w:val="en-GB" w:eastAsia="en-US"/>
              </w:rPr>
            </w:pPr>
            <w:r w:rsidRPr="00C95003">
              <w:rPr>
                <w:rFonts w:ascii="Segoe UI" w:eastAsia="Times New Roman" w:hAnsi="Segoe UI" w:cs="Segoe UI"/>
                <w:kern w:val="0"/>
                <w:sz w:val="17"/>
                <w:szCs w:val="17"/>
                <w:lang w:val="en-GB" w:eastAsia="en-US"/>
              </w:rPr>
              <w:t>Eligible at solo / group / solo and group (for regulatory capital purposes)</w:t>
            </w:r>
          </w:p>
        </w:tc>
        <w:tc>
          <w:tcPr>
            <w:tcW w:w="2257" w:type="dxa"/>
            <w:tcBorders>
              <w:right w:val="single" w:sz="4" w:space="0" w:color="auto"/>
            </w:tcBorders>
          </w:tcPr>
          <w:p w:rsidR="00C95003" w:rsidRPr="00C95003" w:rsidRDefault="00C95003" w:rsidP="00C95003">
            <w:pPr>
              <w:widowControl/>
              <w:spacing w:before="20" w:after="20" w:line="240" w:lineRule="exact"/>
              <w:rPr>
                <w:rFonts w:ascii="Segoe UI" w:eastAsia="Times New Roman" w:hAnsi="Segoe UI" w:cs="Segoe UI"/>
                <w:kern w:val="0"/>
                <w:sz w:val="17"/>
                <w:szCs w:val="17"/>
                <w:lang w:val="en-GB" w:eastAsia="en-US"/>
              </w:rPr>
            </w:pPr>
          </w:p>
        </w:tc>
      </w:tr>
      <w:tr w:rsidR="00C95003" w:rsidRPr="00C95003" w:rsidTr="00297CA5">
        <w:tc>
          <w:tcPr>
            <w:tcW w:w="486" w:type="dxa"/>
          </w:tcPr>
          <w:p w:rsidR="00C95003" w:rsidRPr="00C95003" w:rsidRDefault="00C95003" w:rsidP="00C95003">
            <w:pPr>
              <w:widowControl/>
              <w:spacing w:before="20" w:after="20" w:line="240" w:lineRule="exact"/>
              <w:rPr>
                <w:rFonts w:ascii="Segoe UI" w:eastAsia="Times New Roman" w:hAnsi="Segoe UI" w:cs="Segoe UI"/>
                <w:kern w:val="0"/>
                <w:sz w:val="17"/>
                <w:szCs w:val="17"/>
                <w:lang w:val="en-GB" w:eastAsia="en-US"/>
              </w:rPr>
            </w:pPr>
            <w:r w:rsidRPr="00C95003">
              <w:rPr>
                <w:rFonts w:ascii="Segoe UI" w:eastAsia="Times New Roman" w:hAnsi="Segoe UI" w:cs="Segoe UI"/>
                <w:kern w:val="0"/>
                <w:sz w:val="17"/>
                <w:szCs w:val="17"/>
                <w:lang w:val="en-GB" w:eastAsia="en-US"/>
              </w:rPr>
              <w:t>6a</w:t>
            </w:r>
          </w:p>
        </w:tc>
        <w:tc>
          <w:tcPr>
            <w:tcW w:w="6471" w:type="dxa"/>
          </w:tcPr>
          <w:p w:rsidR="00C95003" w:rsidRPr="00C95003" w:rsidRDefault="00C95003" w:rsidP="00C95003">
            <w:pPr>
              <w:widowControl/>
              <w:spacing w:before="20" w:after="20" w:line="240" w:lineRule="exact"/>
              <w:ind w:leftChars="165" w:left="396"/>
              <w:rPr>
                <w:rFonts w:ascii="Segoe UI" w:eastAsia="Times New Roman" w:hAnsi="Segoe UI" w:cs="Segoe UI"/>
                <w:kern w:val="0"/>
                <w:sz w:val="17"/>
                <w:szCs w:val="17"/>
                <w:lang w:val="en-GB" w:eastAsia="en-US"/>
              </w:rPr>
            </w:pPr>
            <w:r w:rsidRPr="00C95003">
              <w:rPr>
                <w:rFonts w:ascii="Segoe UI" w:eastAsia="Times New Roman" w:hAnsi="Segoe UI" w:cs="Segoe UI"/>
                <w:kern w:val="0"/>
                <w:sz w:val="17"/>
                <w:szCs w:val="17"/>
                <w:lang w:val="en-GB" w:eastAsia="en-US"/>
              </w:rPr>
              <w:t>Eligible at solo / LAC consolidation group / solo and LAC consolidation group (for LAC purposes)</w:t>
            </w:r>
          </w:p>
        </w:tc>
        <w:tc>
          <w:tcPr>
            <w:tcW w:w="2257" w:type="dxa"/>
            <w:tcBorders>
              <w:right w:val="single" w:sz="4" w:space="0" w:color="auto"/>
            </w:tcBorders>
          </w:tcPr>
          <w:p w:rsidR="00C95003" w:rsidRPr="00C95003" w:rsidRDefault="00C95003" w:rsidP="00C95003">
            <w:pPr>
              <w:widowControl/>
              <w:spacing w:before="20" w:after="20" w:line="240" w:lineRule="exact"/>
              <w:rPr>
                <w:rFonts w:ascii="Segoe UI" w:eastAsia="Times New Roman" w:hAnsi="Segoe UI" w:cs="Segoe UI"/>
                <w:kern w:val="0"/>
                <w:sz w:val="17"/>
                <w:szCs w:val="17"/>
                <w:lang w:val="en-GB" w:eastAsia="en-US"/>
              </w:rPr>
            </w:pPr>
          </w:p>
        </w:tc>
      </w:tr>
      <w:tr w:rsidR="00C95003" w:rsidRPr="00C95003" w:rsidTr="00297CA5">
        <w:tc>
          <w:tcPr>
            <w:tcW w:w="486" w:type="dxa"/>
          </w:tcPr>
          <w:p w:rsidR="00C95003" w:rsidRPr="00C95003" w:rsidRDefault="00C95003" w:rsidP="00C95003">
            <w:pPr>
              <w:widowControl/>
              <w:spacing w:before="20" w:after="20" w:line="240" w:lineRule="exact"/>
              <w:rPr>
                <w:rFonts w:ascii="Segoe UI" w:eastAsia="Times New Roman" w:hAnsi="Segoe UI" w:cs="Segoe UI"/>
                <w:kern w:val="0"/>
                <w:sz w:val="17"/>
                <w:szCs w:val="17"/>
                <w:lang w:val="en-GB" w:eastAsia="en-US"/>
              </w:rPr>
            </w:pPr>
            <w:r w:rsidRPr="00C95003">
              <w:rPr>
                <w:rFonts w:ascii="Segoe UI" w:eastAsia="Times New Roman" w:hAnsi="Segoe UI" w:cs="Segoe UI"/>
                <w:kern w:val="0"/>
                <w:sz w:val="17"/>
                <w:szCs w:val="17"/>
                <w:lang w:val="en-GB" w:eastAsia="en-US"/>
              </w:rPr>
              <w:t>7</w:t>
            </w:r>
          </w:p>
        </w:tc>
        <w:tc>
          <w:tcPr>
            <w:tcW w:w="6471" w:type="dxa"/>
          </w:tcPr>
          <w:p w:rsidR="00C95003" w:rsidRPr="00C95003" w:rsidRDefault="00C95003" w:rsidP="00C95003">
            <w:pPr>
              <w:widowControl/>
              <w:spacing w:before="20" w:after="20" w:line="240" w:lineRule="exact"/>
              <w:ind w:leftChars="165" w:left="396"/>
              <w:rPr>
                <w:rFonts w:ascii="Segoe UI" w:eastAsia="Times New Roman" w:hAnsi="Segoe UI" w:cs="Segoe UI"/>
                <w:kern w:val="0"/>
                <w:sz w:val="17"/>
                <w:szCs w:val="17"/>
                <w:lang w:val="en-GB" w:eastAsia="en-US"/>
              </w:rPr>
            </w:pPr>
            <w:r w:rsidRPr="00C95003">
              <w:rPr>
                <w:rFonts w:ascii="Segoe UI" w:eastAsia="Times New Roman" w:hAnsi="Segoe UI" w:cs="Segoe UI"/>
                <w:kern w:val="0"/>
                <w:sz w:val="17"/>
                <w:szCs w:val="17"/>
                <w:lang w:val="en-GB" w:eastAsia="en-US"/>
              </w:rPr>
              <w:t>Instrument type (types to be specified by each jurisdiction)</w:t>
            </w:r>
          </w:p>
        </w:tc>
        <w:tc>
          <w:tcPr>
            <w:tcW w:w="2257" w:type="dxa"/>
            <w:tcBorders>
              <w:right w:val="single" w:sz="4" w:space="0" w:color="auto"/>
            </w:tcBorders>
          </w:tcPr>
          <w:p w:rsidR="00C95003" w:rsidRPr="00C95003" w:rsidRDefault="00C95003" w:rsidP="00C95003">
            <w:pPr>
              <w:widowControl/>
              <w:spacing w:before="20" w:after="20" w:line="240" w:lineRule="exact"/>
              <w:rPr>
                <w:rFonts w:ascii="Segoe UI" w:eastAsia="Times New Roman" w:hAnsi="Segoe UI" w:cs="Segoe UI"/>
                <w:kern w:val="0"/>
                <w:sz w:val="17"/>
                <w:szCs w:val="17"/>
                <w:lang w:val="en-GB" w:eastAsia="en-US"/>
              </w:rPr>
            </w:pPr>
          </w:p>
        </w:tc>
      </w:tr>
      <w:tr w:rsidR="00C95003" w:rsidRPr="00C95003" w:rsidTr="00297CA5">
        <w:tc>
          <w:tcPr>
            <w:tcW w:w="486" w:type="dxa"/>
          </w:tcPr>
          <w:p w:rsidR="00C95003" w:rsidRPr="00C95003" w:rsidRDefault="00C95003" w:rsidP="00C95003">
            <w:pPr>
              <w:widowControl/>
              <w:spacing w:before="20" w:after="20" w:line="240" w:lineRule="exact"/>
              <w:rPr>
                <w:rFonts w:ascii="Segoe UI" w:eastAsia="Times New Roman" w:hAnsi="Segoe UI" w:cs="Segoe UI"/>
                <w:kern w:val="0"/>
                <w:sz w:val="17"/>
                <w:szCs w:val="17"/>
                <w:lang w:val="en-GB" w:eastAsia="en-US"/>
              </w:rPr>
            </w:pPr>
            <w:r w:rsidRPr="00C95003">
              <w:rPr>
                <w:rFonts w:ascii="Segoe UI" w:eastAsia="Times New Roman" w:hAnsi="Segoe UI" w:cs="Segoe UI"/>
                <w:kern w:val="0"/>
                <w:sz w:val="17"/>
                <w:szCs w:val="17"/>
                <w:lang w:val="en-GB" w:eastAsia="en-US"/>
              </w:rPr>
              <w:t>8</w:t>
            </w:r>
          </w:p>
        </w:tc>
        <w:tc>
          <w:tcPr>
            <w:tcW w:w="6471" w:type="dxa"/>
          </w:tcPr>
          <w:p w:rsidR="00C95003" w:rsidRPr="00C95003" w:rsidRDefault="00C95003" w:rsidP="00C95003">
            <w:pPr>
              <w:widowControl/>
              <w:spacing w:before="20" w:after="20" w:line="240" w:lineRule="exact"/>
              <w:rPr>
                <w:rFonts w:ascii="Segoe UI" w:eastAsia="Times New Roman" w:hAnsi="Segoe UI" w:cs="Segoe UI"/>
                <w:kern w:val="0"/>
                <w:sz w:val="17"/>
                <w:szCs w:val="17"/>
                <w:lang w:val="en-GB" w:eastAsia="en-US"/>
              </w:rPr>
            </w:pPr>
            <w:r w:rsidRPr="00C95003">
              <w:rPr>
                <w:rFonts w:ascii="Segoe UI" w:eastAsia="Times New Roman" w:hAnsi="Segoe UI" w:cs="Segoe UI"/>
                <w:kern w:val="0"/>
                <w:sz w:val="17"/>
                <w:szCs w:val="17"/>
                <w:lang w:val="en-GB" w:eastAsia="en-US"/>
              </w:rPr>
              <w:t>Amount recognised in regulatory capital (currency in millions, as of most recent reporting date)</w:t>
            </w:r>
          </w:p>
        </w:tc>
        <w:tc>
          <w:tcPr>
            <w:tcW w:w="2257" w:type="dxa"/>
            <w:tcBorders>
              <w:right w:val="single" w:sz="4" w:space="0" w:color="auto"/>
            </w:tcBorders>
          </w:tcPr>
          <w:p w:rsidR="00C95003" w:rsidRPr="00C95003" w:rsidRDefault="00C95003" w:rsidP="00C95003">
            <w:pPr>
              <w:widowControl/>
              <w:spacing w:before="20" w:after="20" w:line="240" w:lineRule="exact"/>
              <w:rPr>
                <w:rFonts w:ascii="Segoe UI" w:eastAsia="Times New Roman" w:hAnsi="Segoe UI" w:cs="Segoe UI"/>
                <w:kern w:val="0"/>
                <w:sz w:val="17"/>
                <w:szCs w:val="17"/>
                <w:lang w:val="en-GB" w:eastAsia="en-US"/>
              </w:rPr>
            </w:pPr>
          </w:p>
        </w:tc>
      </w:tr>
      <w:tr w:rsidR="00C95003" w:rsidRPr="00C95003" w:rsidTr="00297CA5">
        <w:trPr>
          <w:trHeight w:val="205"/>
        </w:trPr>
        <w:tc>
          <w:tcPr>
            <w:tcW w:w="486" w:type="dxa"/>
          </w:tcPr>
          <w:p w:rsidR="00C95003" w:rsidRPr="00C95003" w:rsidRDefault="00C95003" w:rsidP="00C95003">
            <w:pPr>
              <w:widowControl/>
              <w:spacing w:before="20" w:after="20" w:line="240" w:lineRule="exact"/>
              <w:rPr>
                <w:rFonts w:ascii="Segoe UI" w:eastAsia="Times New Roman" w:hAnsi="Segoe UI" w:cs="Segoe UI"/>
                <w:kern w:val="0"/>
                <w:sz w:val="17"/>
                <w:szCs w:val="17"/>
                <w:lang w:val="en-GB" w:eastAsia="en-US"/>
              </w:rPr>
            </w:pPr>
            <w:r w:rsidRPr="00C95003">
              <w:rPr>
                <w:rFonts w:ascii="Segoe UI" w:eastAsia="Times New Roman" w:hAnsi="Segoe UI" w:cs="Segoe UI"/>
                <w:kern w:val="0"/>
                <w:sz w:val="17"/>
                <w:szCs w:val="17"/>
                <w:lang w:val="en-GB" w:eastAsia="en-US"/>
              </w:rPr>
              <w:t>8a</w:t>
            </w:r>
          </w:p>
        </w:tc>
        <w:tc>
          <w:tcPr>
            <w:tcW w:w="6471" w:type="dxa"/>
          </w:tcPr>
          <w:p w:rsidR="00C95003" w:rsidRPr="00C95003" w:rsidRDefault="00C95003" w:rsidP="00C95003">
            <w:pPr>
              <w:widowControl/>
              <w:spacing w:before="20" w:after="20" w:line="240" w:lineRule="exact"/>
              <w:rPr>
                <w:rFonts w:ascii="Segoe UI" w:eastAsia="Times New Roman" w:hAnsi="Segoe UI" w:cs="Segoe UI"/>
                <w:kern w:val="0"/>
                <w:sz w:val="17"/>
                <w:szCs w:val="17"/>
                <w:lang w:val="en-GB" w:eastAsia="en-US"/>
              </w:rPr>
            </w:pPr>
            <w:r w:rsidRPr="00C95003">
              <w:rPr>
                <w:rFonts w:ascii="Segoe UI" w:eastAsia="Times New Roman" w:hAnsi="Segoe UI" w:cs="Segoe UI"/>
                <w:kern w:val="0"/>
                <w:sz w:val="17"/>
                <w:szCs w:val="17"/>
                <w:lang w:val="en-GB" w:eastAsia="en-US"/>
              </w:rPr>
              <w:t>Amount recognised in loss-absorbing capacity (currency in millions, as of most recent reporting date)</w:t>
            </w:r>
          </w:p>
        </w:tc>
        <w:tc>
          <w:tcPr>
            <w:tcW w:w="2257" w:type="dxa"/>
            <w:tcBorders>
              <w:right w:val="single" w:sz="4" w:space="0" w:color="auto"/>
            </w:tcBorders>
          </w:tcPr>
          <w:p w:rsidR="00C95003" w:rsidRPr="00C95003" w:rsidRDefault="00C95003" w:rsidP="00C95003">
            <w:pPr>
              <w:widowControl/>
              <w:spacing w:before="20" w:after="20" w:line="240" w:lineRule="exact"/>
              <w:rPr>
                <w:rFonts w:ascii="Segoe UI" w:eastAsia="Times New Roman" w:hAnsi="Segoe UI" w:cs="Segoe UI"/>
                <w:kern w:val="0"/>
                <w:sz w:val="17"/>
                <w:szCs w:val="17"/>
                <w:lang w:val="en-GB" w:eastAsia="en-US"/>
              </w:rPr>
            </w:pPr>
          </w:p>
        </w:tc>
      </w:tr>
      <w:tr w:rsidR="00C95003" w:rsidRPr="00C95003" w:rsidTr="00297CA5">
        <w:trPr>
          <w:trHeight w:val="205"/>
        </w:trPr>
        <w:tc>
          <w:tcPr>
            <w:tcW w:w="486" w:type="dxa"/>
          </w:tcPr>
          <w:p w:rsidR="00C95003" w:rsidRPr="00C95003" w:rsidRDefault="00C95003" w:rsidP="00C95003">
            <w:pPr>
              <w:widowControl/>
              <w:spacing w:before="20" w:after="20" w:line="240" w:lineRule="exact"/>
              <w:rPr>
                <w:rFonts w:ascii="Segoe UI" w:eastAsia="Times New Roman" w:hAnsi="Segoe UI" w:cs="Segoe UI"/>
                <w:kern w:val="0"/>
                <w:sz w:val="17"/>
                <w:szCs w:val="17"/>
                <w:lang w:val="en-GB" w:eastAsia="en-US"/>
              </w:rPr>
            </w:pPr>
            <w:r w:rsidRPr="00C95003">
              <w:rPr>
                <w:rFonts w:ascii="Segoe UI" w:eastAsia="Times New Roman" w:hAnsi="Segoe UI" w:cs="Segoe UI"/>
                <w:kern w:val="0"/>
                <w:sz w:val="17"/>
                <w:szCs w:val="17"/>
                <w:lang w:val="en-GB" w:eastAsia="en-US"/>
              </w:rPr>
              <w:t>9</w:t>
            </w:r>
          </w:p>
        </w:tc>
        <w:tc>
          <w:tcPr>
            <w:tcW w:w="6471" w:type="dxa"/>
          </w:tcPr>
          <w:p w:rsidR="00C95003" w:rsidRPr="00C95003" w:rsidRDefault="00C95003" w:rsidP="00C95003">
            <w:pPr>
              <w:widowControl/>
              <w:spacing w:before="20" w:after="20" w:line="240" w:lineRule="exact"/>
              <w:rPr>
                <w:rFonts w:ascii="Segoe UI" w:eastAsia="Times New Roman" w:hAnsi="Segoe UI" w:cs="Segoe UI"/>
                <w:kern w:val="0"/>
                <w:sz w:val="17"/>
                <w:szCs w:val="17"/>
                <w:lang w:val="en-GB" w:eastAsia="en-US"/>
              </w:rPr>
            </w:pPr>
            <w:r w:rsidRPr="00C95003">
              <w:rPr>
                <w:rFonts w:ascii="Segoe UI" w:eastAsia="Times New Roman" w:hAnsi="Segoe UI" w:cs="Segoe UI"/>
                <w:kern w:val="0"/>
                <w:sz w:val="17"/>
                <w:szCs w:val="17"/>
                <w:lang w:val="en-GB" w:eastAsia="en-US"/>
              </w:rPr>
              <w:t>Par value of instrument</w:t>
            </w:r>
          </w:p>
        </w:tc>
        <w:tc>
          <w:tcPr>
            <w:tcW w:w="2257" w:type="dxa"/>
            <w:tcBorders>
              <w:right w:val="single" w:sz="4" w:space="0" w:color="auto"/>
            </w:tcBorders>
          </w:tcPr>
          <w:p w:rsidR="00C95003" w:rsidRPr="00C95003" w:rsidRDefault="00C95003" w:rsidP="00C95003">
            <w:pPr>
              <w:widowControl/>
              <w:spacing w:before="20" w:after="20" w:line="240" w:lineRule="exact"/>
              <w:rPr>
                <w:rFonts w:ascii="Segoe UI" w:eastAsia="Times New Roman" w:hAnsi="Segoe UI" w:cs="Segoe UI"/>
                <w:kern w:val="0"/>
                <w:sz w:val="17"/>
                <w:szCs w:val="17"/>
                <w:lang w:val="en-GB" w:eastAsia="en-US"/>
              </w:rPr>
            </w:pPr>
          </w:p>
        </w:tc>
      </w:tr>
      <w:tr w:rsidR="00C95003" w:rsidRPr="00C95003" w:rsidTr="00297CA5">
        <w:tc>
          <w:tcPr>
            <w:tcW w:w="486" w:type="dxa"/>
          </w:tcPr>
          <w:p w:rsidR="00C95003" w:rsidRPr="00C95003" w:rsidRDefault="00C95003" w:rsidP="00C95003">
            <w:pPr>
              <w:widowControl/>
              <w:spacing w:before="20" w:after="20" w:line="240" w:lineRule="exact"/>
              <w:rPr>
                <w:rFonts w:ascii="Segoe UI" w:eastAsia="Times New Roman" w:hAnsi="Segoe UI" w:cs="Segoe UI"/>
                <w:kern w:val="0"/>
                <w:sz w:val="17"/>
                <w:szCs w:val="17"/>
                <w:lang w:val="en-GB" w:eastAsia="en-US"/>
              </w:rPr>
            </w:pPr>
            <w:r w:rsidRPr="00C95003">
              <w:rPr>
                <w:rFonts w:ascii="Segoe UI" w:eastAsia="Times New Roman" w:hAnsi="Segoe UI" w:cs="Segoe UI"/>
                <w:kern w:val="0"/>
                <w:sz w:val="17"/>
                <w:szCs w:val="17"/>
                <w:lang w:val="en-GB" w:eastAsia="en-US"/>
              </w:rPr>
              <w:t>10</w:t>
            </w:r>
          </w:p>
        </w:tc>
        <w:tc>
          <w:tcPr>
            <w:tcW w:w="6471" w:type="dxa"/>
          </w:tcPr>
          <w:p w:rsidR="00C95003" w:rsidRPr="00C95003" w:rsidRDefault="00C95003" w:rsidP="00C95003">
            <w:pPr>
              <w:widowControl/>
              <w:spacing w:before="20" w:after="20" w:line="240" w:lineRule="exact"/>
              <w:rPr>
                <w:rFonts w:ascii="Segoe UI" w:eastAsia="Times New Roman" w:hAnsi="Segoe UI" w:cs="Segoe UI"/>
                <w:kern w:val="0"/>
                <w:sz w:val="17"/>
                <w:szCs w:val="17"/>
                <w:lang w:val="en-GB" w:eastAsia="en-US"/>
              </w:rPr>
            </w:pPr>
            <w:r w:rsidRPr="00C95003">
              <w:rPr>
                <w:rFonts w:ascii="Segoe UI" w:eastAsia="Times New Roman" w:hAnsi="Segoe UI" w:cs="Segoe UI"/>
                <w:kern w:val="0"/>
                <w:sz w:val="17"/>
                <w:szCs w:val="17"/>
                <w:lang w:val="en-GB" w:eastAsia="en-US"/>
              </w:rPr>
              <w:t>Accounting classification</w:t>
            </w:r>
          </w:p>
        </w:tc>
        <w:tc>
          <w:tcPr>
            <w:tcW w:w="2257" w:type="dxa"/>
            <w:tcBorders>
              <w:right w:val="single" w:sz="4" w:space="0" w:color="auto"/>
            </w:tcBorders>
          </w:tcPr>
          <w:p w:rsidR="00C95003" w:rsidRPr="00C95003" w:rsidRDefault="00C95003" w:rsidP="00C95003">
            <w:pPr>
              <w:widowControl/>
              <w:spacing w:before="20" w:after="20" w:line="240" w:lineRule="exact"/>
              <w:rPr>
                <w:rFonts w:ascii="Segoe UI" w:eastAsia="Times New Roman" w:hAnsi="Segoe UI" w:cs="Segoe UI"/>
                <w:kern w:val="0"/>
                <w:sz w:val="17"/>
                <w:szCs w:val="17"/>
                <w:lang w:val="en-GB" w:eastAsia="en-US"/>
              </w:rPr>
            </w:pPr>
          </w:p>
        </w:tc>
      </w:tr>
      <w:tr w:rsidR="00C95003" w:rsidRPr="00C95003" w:rsidTr="00297CA5">
        <w:tc>
          <w:tcPr>
            <w:tcW w:w="486" w:type="dxa"/>
          </w:tcPr>
          <w:p w:rsidR="00C95003" w:rsidRPr="00C95003" w:rsidRDefault="00C95003" w:rsidP="00C95003">
            <w:pPr>
              <w:widowControl/>
              <w:spacing w:before="20" w:after="20" w:line="240" w:lineRule="exact"/>
              <w:rPr>
                <w:rFonts w:ascii="Segoe UI" w:eastAsia="Times New Roman" w:hAnsi="Segoe UI" w:cs="Segoe UI"/>
                <w:kern w:val="0"/>
                <w:sz w:val="17"/>
                <w:szCs w:val="17"/>
                <w:lang w:val="en-GB" w:eastAsia="en-US"/>
              </w:rPr>
            </w:pPr>
            <w:r w:rsidRPr="00C95003">
              <w:rPr>
                <w:rFonts w:ascii="Segoe UI" w:eastAsia="Times New Roman" w:hAnsi="Segoe UI" w:cs="Segoe UI"/>
                <w:kern w:val="0"/>
                <w:sz w:val="17"/>
                <w:szCs w:val="17"/>
                <w:lang w:val="en-GB" w:eastAsia="en-US"/>
              </w:rPr>
              <w:t>11</w:t>
            </w:r>
          </w:p>
        </w:tc>
        <w:tc>
          <w:tcPr>
            <w:tcW w:w="6471" w:type="dxa"/>
          </w:tcPr>
          <w:p w:rsidR="00C95003" w:rsidRPr="00C95003" w:rsidRDefault="00C95003" w:rsidP="00C95003">
            <w:pPr>
              <w:widowControl/>
              <w:spacing w:before="20" w:after="20" w:line="240" w:lineRule="exact"/>
              <w:rPr>
                <w:rFonts w:ascii="Segoe UI" w:eastAsia="Times New Roman" w:hAnsi="Segoe UI" w:cs="Segoe UI"/>
                <w:kern w:val="0"/>
                <w:sz w:val="17"/>
                <w:szCs w:val="17"/>
                <w:lang w:val="en-GB" w:eastAsia="en-US"/>
              </w:rPr>
            </w:pPr>
            <w:r w:rsidRPr="00C95003">
              <w:rPr>
                <w:rFonts w:ascii="Segoe UI" w:eastAsia="Times New Roman" w:hAnsi="Segoe UI" w:cs="Segoe UI"/>
                <w:kern w:val="0"/>
                <w:sz w:val="17"/>
                <w:szCs w:val="17"/>
                <w:lang w:val="en-GB" w:eastAsia="en-US"/>
              </w:rPr>
              <w:t>Original date of issuance</w:t>
            </w:r>
          </w:p>
        </w:tc>
        <w:tc>
          <w:tcPr>
            <w:tcW w:w="2257" w:type="dxa"/>
            <w:tcBorders>
              <w:right w:val="single" w:sz="4" w:space="0" w:color="auto"/>
            </w:tcBorders>
          </w:tcPr>
          <w:p w:rsidR="00C95003" w:rsidRPr="00C95003" w:rsidRDefault="00C95003" w:rsidP="00C95003">
            <w:pPr>
              <w:widowControl/>
              <w:spacing w:before="20" w:after="20" w:line="240" w:lineRule="exact"/>
              <w:rPr>
                <w:rFonts w:ascii="Segoe UI" w:eastAsia="Times New Roman" w:hAnsi="Segoe UI" w:cs="Segoe UI"/>
                <w:kern w:val="0"/>
                <w:sz w:val="17"/>
                <w:szCs w:val="17"/>
                <w:lang w:val="en-GB" w:eastAsia="en-US"/>
              </w:rPr>
            </w:pPr>
          </w:p>
        </w:tc>
      </w:tr>
      <w:tr w:rsidR="00C95003" w:rsidRPr="00C95003" w:rsidTr="00297CA5">
        <w:tc>
          <w:tcPr>
            <w:tcW w:w="486" w:type="dxa"/>
          </w:tcPr>
          <w:p w:rsidR="00C95003" w:rsidRPr="00C95003" w:rsidRDefault="00C95003" w:rsidP="00C95003">
            <w:pPr>
              <w:widowControl/>
              <w:spacing w:before="20" w:after="20" w:line="240" w:lineRule="exact"/>
              <w:rPr>
                <w:rFonts w:ascii="Segoe UI" w:eastAsia="Times New Roman" w:hAnsi="Segoe UI" w:cs="Segoe UI"/>
                <w:kern w:val="0"/>
                <w:sz w:val="17"/>
                <w:szCs w:val="17"/>
                <w:lang w:val="en-GB" w:eastAsia="en-US"/>
              </w:rPr>
            </w:pPr>
            <w:r w:rsidRPr="00C95003">
              <w:rPr>
                <w:rFonts w:ascii="Segoe UI" w:eastAsia="Times New Roman" w:hAnsi="Segoe UI" w:cs="Segoe UI"/>
                <w:kern w:val="0"/>
                <w:sz w:val="17"/>
                <w:szCs w:val="17"/>
                <w:lang w:val="en-GB" w:eastAsia="en-US"/>
              </w:rPr>
              <w:t>12</w:t>
            </w:r>
          </w:p>
        </w:tc>
        <w:tc>
          <w:tcPr>
            <w:tcW w:w="6471" w:type="dxa"/>
          </w:tcPr>
          <w:p w:rsidR="00C95003" w:rsidRPr="00C95003" w:rsidRDefault="00C95003" w:rsidP="00C95003">
            <w:pPr>
              <w:widowControl/>
              <w:spacing w:before="20" w:after="20" w:line="240" w:lineRule="exact"/>
              <w:rPr>
                <w:rFonts w:ascii="Segoe UI" w:eastAsia="Times New Roman" w:hAnsi="Segoe UI" w:cs="Segoe UI"/>
                <w:kern w:val="0"/>
                <w:sz w:val="17"/>
                <w:szCs w:val="17"/>
                <w:lang w:val="en-GB" w:eastAsia="en-US"/>
              </w:rPr>
            </w:pPr>
            <w:r w:rsidRPr="00C95003">
              <w:rPr>
                <w:rFonts w:ascii="Segoe UI" w:eastAsia="Times New Roman" w:hAnsi="Segoe UI" w:cs="Segoe UI"/>
                <w:kern w:val="0"/>
                <w:sz w:val="17"/>
                <w:szCs w:val="17"/>
                <w:lang w:val="en-GB" w:eastAsia="en-US"/>
              </w:rPr>
              <w:t>Perpetual or dated</w:t>
            </w:r>
          </w:p>
        </w:tc>
        <w:tc>
          <w:tcPr>
            <w:tcW w:w="2257" w:type="dxa"/>
            <w:tcBorders>
              <w:right w:val="single" w:sz="4" w:space="0" w:color="auto"/>
            </w:tcBorders>
          </w:tcPr>
          <w:p w:rsidR="00C95003" w:rsidRPr="00C95003" w:rsidRDefault="00C95003" w:rsidP="00C95003">
            <w:pPr>
              <w:widowControl/>
              <w:spacing w:before="20" w:after="20" w:line="240" w:lineRule="exact"/>
              <w:rPr>
                <w:rFonts w:ascii="Segoe UI" w:eastAsia="Times New Roman" w:hAnsi="Segoe UI" w:cs="Segoe UI"/>
                <w:kern w:val="0"/>
                <w:sz w:val="17"/>
                <w:szCs w:val="17"/>
                <w:lang w:val="en-GB" w:eastAsia="en-US"/>
              </w:rPr>
            </w:pPr>
          </w:p>
        </w:tc>
      </w:tr>
      <w:tr w:rsidR="00C95003" w:rsidRPr="00C95003" w:rsidTr="00297CA5">
        <w:tc>
          <w:tcPr>
            <w:tcW w:w="486" w:type="dxa"/>
          </w:tcPr>
          <w:p w:rsidR="00C95003" w:rsidRPr="00C95003" w:rsidRDefault="00C95003" w:rsidP="00C95003">
            <w:pPr>
              <w:widowControl/>
              <w:spacing w:before="20" w:after="20" w:line="240" w:lineRule="exact"/>
              <w:rPr>
                <w:rFonts w:ascii="Segoe UI" w:eastAsia="Times New Roman" w:hAnsi="Segoe UI" w:cs="Segoe UI"/>
                <w:kern w:val="0"/>
                <w:sz w:val="17"/>
                <w:szCs w:val="17"/>
                <w:lang w:val="en-GB" w:eastAsia="en-US"/>
              </w:rPr>
            </w:pPr>
            <w:r w:rsidRPr="00C95003">
              <w:rPr>
                <w:rFonts w:ascii="Segoe UI" w:eastAsia="Times New Roman" w:hAnsi="Segoe UI" w:cs="Segoe UI"/>
                <w:kern w:val="0"/>
                <w:sz w:val="17"/>
                <w:szCs w:val="17"/>
                <w:lang w:val="en-GB" w:eastAsia="en-US"/>
              </w:rPr>
              <w:t>13</w:t>
            </w:r>
          </w:p>
        </w:tc>
        <w:tc>
          <w:tcPr>
            <w:tcW w:w="6471" w:type="dxa"/>
          </w:tcPr>
          <w:p w:rsidR="00C95003" w:rsidRPr="00C95003" w:rsidRDefault="00C95003" w:rsidP="00C95003">
            <w:pPr>
              <w:widowControl/>
              <w:spacing w:before="20" w:after="20" w:line="240" w:lineRule="exact"/>
              <w:ind w:leftChars="165" w:left="396"/>
              <w:rPr>
                <w:rFonts w:ascii="Segoe UI" w:eastAsia="Times New Roman" w:hAnsi="Segoe UI" w:cs="Segoe UI"/>
                <w:kern w:val="0"/>
                <w:sz w:val="17"/>
                <w:szCs w:val="17"/>
                <w:lang w:val="en-GB" w:eastAsia="en-US"/>
              </w:rPr>
            </w:pPr>
            <w:r w:rsidRPr="00C95003">
              <w:rPr>
                <w:rFonts w:ascii="Segoe UI" w:eastAsia="Times New Roman" w:hAnsi="Segoe UI" w:cs="Segoe UI"/>
                <w:kern w:val="0"/>
                <w:sz w:val="17"/>
                <w:szCs w:val="17"/>
                <w:lang w:val="en-GB" w:eastAsia="en-US"/>
              </w:rPr>
              <w:t>Original maturity date</w:t>
            </w:r>
          </w:p>
        </w:tc>
        <w:tc>
          <w:tcPr>
            <w:tcW w:w="2257" w:type="dxa"/>
            <w:tcBorders>
              <w:right w:val="single" w:sz="4" w:space="0" w:color="auto"/>
            </w:tcBorders>
          </w:tcPr>
          <w:p w:rsidR="00C95003" w:rsidRPr="00C95003" w:rsidRDefault="00C95003" w:rsidP="00C95003">
            <w:pPr>
              <w:widowControl/>
              <w:spacing w:before="20" w:after="20" w:line="240" w:lineRule="exact"/>
              <w:rPr>
                <w:rFonts w:ascii="Segoe UI" w:eastAsia="Times New Roman" w:hAnsi="Segoe UI" w:cs="Segoe UI"/>
                <w:kern w:val="0"/>
                <w:sz w:val="17"/>
                <w:szCs w:val="17"/>
                <w:lang w:val="en-GB" w:eastAsia="en-US"/>
              </w:rPr>
            </w:pPr>
          </w:p>
        </w:tc>
      </w:tr>
      <w:tr w:rsidR="00C95003" w:rsidRPr="00C95003" w:rsidTr="00297CA5">
        <w:tc>
          <w:tcPr>
            <w:tcW w:w="486" w:type="dxa"/>
          </w:tcPr>
          <w:p w:rsidR="00C95003" w:rsidRPr="00C95003" w:rsidRDefault="00C95003" w:rsidP="00C95003">
            <w:pPr>
              <w:widowControl/>
              <w:spacing w:before="20" w:after="20" w:line="240" w:lineRule="exact"/>
              <w:rPr>
                <w:rFonts w:ascii="Segoe UI" w:eastAsia="Times New Roman" w:hAnsi="Segoe UI" w:cs="Segoe UI"/>
                <w:kern w:val="0"/>
                <w:sz w:val="17"/>
                <w:szCs w:val="17"/>
                <w:lang w:val="en-GB" w:eastAsia="en-US"/>
              </w:rPr>
            </w:pPr>
            <w:r w:rsidRPr="00C95003">
              <w:rPr>
                <w:rFonts w:ascii="Segoe UI" w:eastAsia="Times New Roman" w:hAnsi="Segoe UI" w:cs="Segoe UI"/>
                <w:kern w:val="0"/>
                <w:sz w:val="17"/>
                <w:szCs w:val="17"/>
                <w:lang w:val="en-GB" w:eastAsia="en-US"/>
              </w:rPr>
              <w:t>14</w:t>
            </w:r>
          </w:p>
        </w:tc>
        <w:tc>
          <w:tcPr>
            <w:tcW w:w="6471" w:type="dxa"/>
          </w:tcPr>
          <w:p w:rsidR="00C95003" w:rsidRPr="00C95003" w:rsidRDefault="00C95003" w:rsidP="00C95003">
            <w:pPr>
              <w:widowControl/>
              <w:spacing w:before="20" w:after="20" w:line="240" w:lineRule="exact"/>
              <w:rPr>
                <w:rFonts w:ascii="Segoe UI" w:eastAsia="Times New Roman" w:hAnsi="Segoe UI" w:cs="Segoe UI"/>
                <w:kern w:val="0"/>
                <w:sz w:val="17"/>
                <w:szCs w:val="17"/>
                <w:lang w:val="en-GB" w:eastAsia="en-US"/>
              </w:rPr>
            </w:pPr>
            <w:r w:rsidRPr="00C95003">
              <w:rPr>
                <w:rFonts w:ascii="Segoe UI" w:eastAsia="Times New Roman" w:hAnsi="Segoe UI" w:cs="Segoe UI"/>
                <w:kern w:val="0"/>
                <w:sz w:val="17"/>
                <w:szCs w:val="17"/>
                <w:lang w:val="en-GB" w:eastAsia="en-US"/>
              </w:rPr>
              <w:t>Issuer call subject to prior supervisory approval</w:t>
            </w:r>
          </w:p>
        </w:tc>
        <w:tc>
          <w:tcPr>
            <w:tcW w:w="2257" w:type="dxa"/>
            <w:tcBorders>
              <w:right w:val="single" w:sz="4" w:space="0" w:color="auto"/>
            </w:tcBorders>
          </w:tcPr>
          <w:p w:rsidR="00C95003" w:rsidRPr="00C95003" w:rsidRDefault="00C95003" w:rsidP="00C95003">
            <w:pPr>
              <w:widowControl/>
              <w:spacing w:before="20" w:after="20" w:line="240" w:lineRule="exact"/>
              <w:rPr>
                <w:rFonts w:ascii="Segoe UI" w:eastAsia="Times New Roman" w:hAnsi="Segoe UI" w:cs="Segoe UI"/>
                <w:kern w:val="0"/>
                <w:sz w:val="17"/>
                <w:szCs w:val="17"/>
                <w:lang w:val="en-GB" w:eastAsia="en-US"/>
              </w:rPr>
            </w:pPr>
          </w:p>
        </w:tc>
      </w:tr>
      <w:tr w:rsidR="00C95003" w:rsidRPr="00C95003" w:rsidTr="00297CA5">
        <w:tc>
          <w:tcPr>
            <w:tcW w:w="486" w:type="dxa"/>
          </w:tcPr>
          <w:p w:rsidR="00C95003" w:rsidRPr="00C95003" w:rsidRDefault="00C95003" w:rsidP="00C95003">
            <w:pPr>
              <w:widowControl/>
              <w:spacing w:before="20" w:after="20" w:line="240" w:lineRule="exact"/>
              <w:rPr>
                <w:rFonts w:ascii="Segoe UI" w:eastAsia="Times New Roman" w:hAnsi="Segoe UI" w:cs="Segoe UI"/>
                <w:kern w:val="0"/>
                <w:sz w:val="17"/>
                <w:szCs w:val="17"/>
                <w:lang w:val="en-GB" w:eastAsia="en-US"/>
              </w:rPr>
            </w:pPr>
            <w:r w:rsidRPr="00C95003">
              <w:rPr>
                <w:rFonts w:ascii="Segoe UI" w:eastAsia="Times New Roman" w:hAnsi="Segoe UI" w:cs="Segoe UI"/>
                <w:kern w:val="0"/>
                <w:sz w:val="17"/>
                <w:szCs w:val="17"/>
                <w:lang w:val="en-GB" w:eastAsia="en-US"/>
              </w:rPr>
              <w:t>15</w:t>
            </w:r>
          </w:p>
        </w:tc>
        <w:tc>
          <w:tcPr>
            <w:tcW w:w="6471" w:type="dxa"/>
          </w:tcPr>
          <w:p w:rsidR="00C95003" w:rsidRPr="00C95003" w:rsidRDefault="00C95003" w:rsidP="00C95003">
            <w:pPr>
              <w:widowControl/>
              <w:spacing w:before="20" w:after="20" w:line="240" w:lineRule="exact"/>
              <w:ind w:leftChars="165" w:left="396"/>
              <w:rPr>
                <w:rFonts w:ascii="Segoe UI" w:eastAsia="Times New Roman" w:hAnsi="Segoe UI" w:cs="Segoe UI"/>
                <w:kern w:val="0"/>
                <w:sz w:val="17"/>
                <w:szCs w:val="17"/>
                <w:lang w:val="en-GB" w:eastAsia="en-US"/>
              </w:rPr>
            </w:pPr>
            <w:r w:rsidRPr="00C95003">
              <w:rPr>
                <w:rFonts w:ascii="Segoe UI" w:eastAsia="Times New Roman" w:hAnsi="Segoe UI" w:cs="Segoe UI"/>
                <w:kern w:val="0"/>
                <w:sz w:val="17"/>
                <w:szCs w:val="17"/>
                <w:lang w:val="en-GB" w:eastAsia="en-US"/>
              </w:rPr>
              <w:t>Optional call date, contingent call dates and redemption price</w:t>
            </w:r>
          </w:p>
        </w:tc>
        <w:tc>
          <w:tcPr>
            <w:tcW w:w="2257" w:type="dxa"/>
            <w:tcBorders>
              <w:right w:val="single" w:sz="4" w:space="0" w:color="auto"/>
            </w:tcBorders>
          </w:tcPr>
          <w:p w:rsidR="00C95003" w:rsidRPr="00C95003" w:rsidRDefault="00C95003" w:rsidP="00C95003">
            <w:pPr>
              <w:widowControl/>
              <w:spacing w:before="20" w:after="20" w:line="240" w:lineRule="exact"/>
              <w:rPr>
                <w:rFonts w:ascii="Segoe UI" w:eastAsia="Times New Roman" w:hAnsi="Segoe UI" w:cs="Segoe UI"/>
                <w:kern w:val="0"/>
                <w:sz w:val="17"/>
                <w:szCs w:val="17"/>
                <w:lang w:val="en-GB" w:eastAsia="en-US"/>
              </w:rPr>
            </w:pPr>
          </w:p>
        </w:tc>
      </w:tr>
      <w:tr w:rsidR="00C95003" w:rsidRPr="00C95003" w:rsidTr="00297CA5">
        <w:tc>
          <w:tcPr>
            <w:tcW w:w="486" w:type="dxa"/>
          </w:tcPr>
          <w:p w:rsidR="00C95003" w:rsidRPr="00C95003" w:rsidRDefault="00C95003" w:rsidP="00C95003">
            <w:pPr>
              <w:widowControl/>
              <w:spacing w:before="20" w:after="20" w:line="240" w:lineRule="exact"/>
              <w:rPr>
                <w:rFonts w:ascii="Segoe UI" w:eastAsia="Times New Roman" w:hAnsi="Segoe UI" w:cs="Segoe UI"/>
                <w:kern w:val="0"/>
                <w:sz w:val="17"/>
                <w:szCs w:val="17"/>
                <w:lang w:val="en-GB" w:eastAsia="en-US"/>
              </w:rPr>
            </w:pPr>
            <w:r w:rsidRPr="00C95003">
              <w:rPr>
                <w:rFonts w:ascii="Segoe UI" w:eastAsia="Times New Roman" w:hAnsi="Segoe UI" w:cs="Segoe UI"/>
                <w:kern w:val="0"/>
                <w:sz w:val="17"/>
                <w:szCs w:val="17"/>
                <w:lang w:val="en-GB" w:eastAsia="en-US"/>
              </w:rPr>
              <w:t>16</w:t>
            </w:r>
          </w:p>
        </w:tc>
        <w:tc>
          <w:tcPr>
            <w:tcW w:w="6471" w:type="dxa"/>
          </w:tcPr>
          <w:p w:rsidR="00C95003" w:rsidRPr="00C95003" w:rsidRDefault="00C95003" w:rsidP="00C95003">
            <w:pPr>
              <w:widowControl/>
              <w:spacing w:before="20" w:after="20" w:line="240" w:lineRule="exact"/>
              <w:ind w:leftChars="165" w:left="396"/>
              <w:rPr>
                <w:rFonts w:ascii="Segoe UI" w:eastAsia="Times New Roman" w:hAnsi="Segoe UI" w:cs="Segoe UI"/>
                <w:kern w:val="0"/>
                <w:sz w:val="17"/>
                <w:szCs w:val="17"/>
                <w:lang w:val="en-GB" w:eastAsia="en-US"/>
              </w:rPr>
            </w:pPr>
            <w:r w:rsidRPr="00C95003">
              <w:rPr>
                <w:rFonts w:ascii="Segoe UI" w:eastAsia="Times New Roman" w:hAnsi="Segoe UI" w:cs="Segoe UI"/>
                <w:kern w:val="0"/>
                <w:sz w:val="17"/>
                <w:szCs w:val="17"/>
                <w:lang w:val="en-GB" w:eastAsia="en-US"/>
              </w:rPr>
              <w:t>Subsequent call dates, if applicable</w:t>
            </w:r>
          </w:p>
        </w:tc>
        <w:tc>
          <w:tcPr>
            <w:tcW w:w="2257" w:type="dxa"/>
            <w:tcBorders>
              <w:right w:val="single" w:sz="4" w:space="0" w:color="auto"/>
            </w:tcBorders>
          </w:tcPr>
          <w:p w:rsidR="00C95003" w:rsidRPr="00C95003" w:rsidRDefault="00C95003" w:rsidP="00C95003">
            <w:pPr>
              <w:widowControl/>
              <w:spacing w:before="20" w:after="20" w:line="240" w:lineRule="exact"/>
              <w:rPr>
                <w:rFonts w:ascii="Segoe UI" w:eastAsia="Times New Roman" w:hAnsi="Segoe UI" w:cs="Segoe UI"/>
                <w:kern w:val="0"/>
                <w:sz w:val="17"/>
                <w:szCs w:val="17"/>
                <w:lang w:val="en-GB" w:eastAsia="en-US"/>
              </w:rPr>
            </w:pPr>
          </w:p>
        </w:tc>
      </w:tr>
      <w:tr w:rsidR="00C95003" w:rsidRPr="00C95003" w:rsidTr="00297CA5">
        <w:tc>
          <w:tcPr>
            <w:tcW w:w="486" w:type="dxa"/>
            <w:shd w:val="clear" w:color="auto" w:fill="auto"/>
          </w:tcPr>
          <w:p w:rsidR="00C95003" w:rsidRPr="00C95003" w:rsidRDefault="00C95003" w:rsidP="00C95003">
            <w:pPr>
              <w:widowControl/>
              <w:spacing w:before="20" w:after="20" w:line="240" w:lineRule="exact"/>
              <w:rPr>
                <w:rFonts w:ascii="Segoe UI" w:eastAsia="Times New Roman" w:hAnsi="Segoe UI" w:cs="Segoe UI"/>
                <w:kern w:val="0"/>
                <w:sz w:val="17"/>
                <w:szCs w:val="17"/>
                <w:lang w:val="en-GB" w:eastAsia="en-US"/>
              </w:rPr>
            </w:pPr>
          </w:p>
        </w:tc>
        <w:tc>
          <w:tcPr>
            <w:tcW w:w="6471" w:type="dxa"/>
            <w:shd w:val="clear" w:color="auto" w:fill="auto"/>
          </w:tcPr>
          <w:p w:rsidR="00C95003" w:rsidRPr="00C95003" w:rsidRDefault="00C95003" w:rsidP="00C95003">
            <w:pPr>
              <w:widowControl/>
              <w:spacing w:before="20" w:after="20" w:line="240" w:lineRule="exact"/>
              <w:rPr>
                <w:rFonts w:ascii="Segoe UI" w:eastAsia="Times New Roman" w:hAnsi="Segoe UI" w:cs="Segoe UI"/>
                <w:i/>
                <w:kern w:val="0"/>
                <w:sz w:val="17"/>
                <w:szCs w:val="17"/>
                <w:lang w:val="en-GB" w:eastAsia="en-US"/>
              </w:rPr>
            </w:pPr>
            <w:r w:rsidRPr="00C95003">
              <w:rPr>
                <w:rFonts w:ascii="Segoe UI" w:eastAsia="Times New Roman" w:hAnsi="Segoe UI" w:cs="Segoe UI"/>
                <w:i/>
                <w:kern w:val="0"/>
                <w:sz w:val="17"/>
                <w:szCs w:val="17"/>
                <w:lang w:val="en-GB" w:eastAsia="en-US"/>
              </w:rPr>
              <w:t>Coupons / dividends</w:t>
            </w:r>
          </w:p>
        </w:tc>
        <w:tc>
          <w:tcPr>
            <w:tcW w:w="2257" w:type="dxa"/>
            <w:tcBorders>
              <w:right w:val="single" w:sz="4" w:space="0" w:color="auto"/>
            </w:tcBorders>
            <w:shd w:val="clear" w:color="auto" w:fill="auto"/>
          </w:tcPr>
          <w:p w:rsidR="00C95003" w:rsidRPr="00C95003" w:rsidRDefault="00C95003" w:rsidP="00C95003">
            <w:pPr>
              <w:widowControl/>
              <w:spacing w:before="20" w:after="20" w:line="240" w:lineRule="exact"/>
              <w:rPr>
                <w:rFonts w:ascii="Segoe UI" w:eastAsia="Times New Roman" w:hAnsi="Segoe UI" w:cs="Segoe UI"/>
                <w:kern w:val="0"/>
                <w:sz w:val="17"/>
                <w:szCs w:val="17"/>
                <w:lang w:val="en-GB" w:eastAsia="en-US"/>
              </w:rPr>
            </w:pPr>
          </w:p>
        </w:tc>
      </w:tr>
      <w:tr w:rsidR="00C95003" w:rsidRPr="00C95003" w:rsidTr="00297CA5">
        <w:tc>
          <w:tcPr>
            <w:tcW w:w="486" w:type="dxa"/>
          </w:tcPr>
          <w:p w:rsidR="00C95003" w:rsidRPr="00C95003" w:rsidRDefault="00C95003" w:rsidP="00C95003">
            <w:pPr>
              <w:widowControl/>
              <w:spacing w:before="20" w:after="20" w:line="240" w:lineRule="exact"/>
              <w:rPr>
                <w:rFonts w:ascii="Segoe UI" w:eastAsia="Times New Roman" w:hAnsi="Segoe UI" w:cs="Segoe UI"/>
                <w:kern w:val="0"/>
                <w:sz w:val="17"/>
                <w:szCs w:val="17"/>
                <w:lang w:val="en-GB" w:eastAsia="en-US"/>
              </w:rPr>
            </w:pPr>
            <w:r w:rsidRPr="00C95003">
              <w:rPr>
                <w:rFonts w:ascii="Segoe UI" w:eastAsia="Times New Roman" w:hAnsi="Segoe UI" w:cs="Segoe UI"/>
                <w:kern w:val="0"/>
                <w:sz w:val="17"/>
                <w:szCs w:val="17"/>
                <w:lang w:val="en-GB" w:eastAsia="en-US"/>
              </w:rPr>
              <w:t>17</w:t>
            </w:r>
          </w:p>
        </w:tc>
        <w:tc>
          <w:tcPr>
            <w:tcW w:w="6471" w:type="dxa"/>
          </w:tcPr>
          <w:p w:rsidR="00C95003" w:rsidRPr="00C95003" w:rsidRDefault="00C95003" w:rsidP="00C95003">
            <w:pPr>
              <w:widowControl/>
              <w:spacing w:before="20" w:after="20" w:line="240" w:lineRule="exact"/>
              <w:ind w:leftChars="165" w:left="396"/>
              <w:rPr>
                <w:rFonts w:ascii="Segoe UI" w:eastAsia="Times New Roman" w:hAnsi="Segoe UI" w:cs="Segoe UI"/>
                <w:kern w:val="0"/>
                <w:sz w:val="17"/>
                <w:szCs w:val="17"/>
                <w:lang w:val="en-GB" w:eastAsia="en-US"/>
              </w:rPr>
            </w:pPr>
            <w:r w:rsidRPr="00C95003">
              <w:rPr>
                <w:rFonts w:ascii="Segoe UI" w:eastAsia="Times New Roman" w:hAnsi="Segoe UI" w:cs="Segoe UI"/>
                <w:kern w:val="0"/>
                <w:sz w:val="17"/>
                <w:szCs w:val="17"/>
                <w:lang w:val="en-GB" w:eastAsia="en-US"/>
              </w:rPr>
              <w:t>Fixed or floating dividend / coupon</w:t>
            </w:r>
          </w:p>
        </w:tc>
        <w:tc>
          <w:tcPr>
            <w:tcW w:w="2257" w:type="dxa"/>
            <w:tcBorders>
              <w:right w:val="single" w:sz="4" w:space="0" w:color="auto"/>
            </w:tcBorders>
          </w:tcPr>
          <w:p w:rsidR="00C95003" w:rsidRPr="00C95003" w:rsidRDefault="00C95003" w:rsidP="00C95003">
            <w:pPr>
              <w:widowControl/>
              <w:spacing w:before="20" w:after="20" w:line="240" w:lineRule="exact"/>
              <w:rPr>
                <w:rFonts w:ascii="Segoe UI" w:eastAsia="Times New Roman" w:hAnsi="Segoe UI" w:cs="Segoe UI"/>
                <w:kern w:val="0"/>
                <w:sz w:val="17"/>
                <w:szCs w:val="17"/>
                <w:lang w:val="en-GB" w:eastAsia="en-US"/>
              </w:rPr>
            </w:pPr>
          </w:p>
        </w:tc>
      </w:tr>
      <w:tr w:rsidR="00C95003" w:rsidRPr="00C95003" w:rsidTr="00297CA5">
        <w:tc>
          <w:tcPr>
            <w:tcW w:w="486" w:type="dxa"/>
          </w:tcPr>
          <w:p w:rsidR="00C95003" w:rsidRPr="00C95003" w:rsidRDefault="00C95003" w:rsidP="00C95003">
            <w:pPr>
              <w:widowControl/>
              <w:spacing w:before="20" w:after="20" w:line="240" w:lineRule="exact"/>
              <w:rPr>
                <w:rFonts w:ascii="Segoe UI" w:eastAsia="Times New Roman" w:hAnsi="Segoe UI" w:cs="Segoe UI"/>
                <w:kern w:val="0"/>
                <w:sz w:val="17"/>
                <w:szCs w:val="17"/>
                <w:lang w:val="en-GB" w:eastAsia="en-US"/>
              </w:rPr>
            </w:pPr>
            <w:r w:rsidRPr="00C95003">
              <w:rPr>
                <w:rFonts w:ascii="Segoe UI" w:eastAsia="Times New Roman" w:hAnsi="Segoe UI" w:cs="Segoe UI"/>
                <w:kern w:val="0"/>
                <w:sz w:val="17"/>
                <w:szCs w:val="17"/>
                <w:lang w:val="en-GB" w:eastAsia="en-US"/>
              </w:rPr>
              <w:t>18</w:t>
            </w:r>
          </w:p>
        </w:tc>
        <w:tc>
          <w:tcPr>
            <w:tcW w:w="6471" w:type="dxa"/>
          </w:tcPr>
          <w:p w:rsidR="00C95003" w:rsidRPr="00C95003" w:rsidRDefault="00C95003" w:rsidP="00C95003">
            <w:pPr>
              <w:widowControl/>
              <w:spacing w:before="20" w:after="20" w:line="240" w:lineRule="exact"/>
              <w:ind w:leftChars="165" w:left="396"/>
              <w:rPr>
                <w:rFonts w:ascii="Segoe UI" w:eastAsia="Times New Roman" w:hAnsi="Segoe UI" w:cs="Segoe UI"/>
                <w:kern w:val="0"/>
                <w:sz w:val="17"/>
                <w:szCs w:val="17"/>
                <w:lang w:val="en-GB" w:eastAsia="en-US"/>
              </w:rPr>
            </w:pPr>
            <w:r w:rsidRPr="00C95003">
              <w:rPr>
                <w:rFonts w:ascii="Segoe UI" w:eastAsia="Times New Roman" w:hAnsi="Segoe UI" w:cs="Segoe UI"/>
                <w:kern w:val="0"/>
                <w:sz w:val="17"/>
                <w:szCs w:val="17"/>
                <w:lang w:val="en-GB" w:eastAsia="en-US"/>
              </w:rPr>
              <w:t>Coupon rate and any related index</w:t>
            </w:r>
          </w:p>
        </w:tc>
        <w:tc>
          <w:tcPr>
            <w:tcW w:w="2257" w:type="dxa"/>
            <w:tcBorders>
              <w:right w:val="single" w:sz="4" w:space="0" w:color="auto"/>
            </w:tcBorders>
          </w:tcPr>
          <w:p w:rsidR="00C95003" w:rsidRPr="00C95003" w:rsidRDefault="00C95003" w:rsidP="00C95003">
            <w:pPr>
              <w:widowControl/>
              <w:spacing w:before="20" w:after="20" w:line="240" w:lineRule="exact"/>
              <w:rPr>
                <w:rFonts w:ascii="Segoe UI" w:eastAsia="Times New Roman" w:hAnsi="Segoe UI" w:cs="Segoe UI"/>
                <w:kern w:val="0"/>
                <w:sz w:val="17"/>
                <w:szCs w:val="17"/>
                <w:lang w:val="en-GB" w:eastAsia="en-US"/>
              </w:rPr>
            </w:pPr>
          </w:p>
        </w:tc>
      </w:tr>
      <w:tr w:rsidR="00C95003" w:rsidRPr="00C95003" w:rsidTr="00297CA5">
        <w:tc>
          <w:tcPr>
            <w:tcW w:w="486" w:type="dxa"/>
          </w:tcPr>
          <w:p w:rsidR="00C95003" w:rsidRPr="00C95003" w:rsidRDefault="00C95003" w:rsidP="00C95003">
            <w:pPr>
              <w:widowControl/>
              <w:spacing w:before="20" w:after="20" w:line="240" w:lineRule="exact"/>
              <w:rPr>
                <w:rFonts w:ascii="Segoe UI" w:eastAsia="Times New Roman" w:hAnsi="Segoe UI" w:cs="Segoe UI"/>
                <w:kern w:val="0"/>
                <w:sz w:val="17"/>
                <w:szCs w:val="17"/>
                <w:lang w:val="en-GB" w:eastAsia="en-US"/>
              </w:rPr>
            </w:pPr>
            <w:r w:rsidRPr="00C95003">
              <w:rPr>
                <w:rFonts w:ascii="Segoe UI" w:eastAsia="Times New Roman" w:hAnsi="Segoe UI" w:cs="Segoe UI"/>
                <w:kern w:val="0"/>
                <w:sz w:val="17"/>
                <w:szCs w:val="17"/>
                <w:lang w:val="en-GB" w:eastAsia="en-US"/>
              </w:rPr>
              <w:t>19</w:t>
            </w:r>
          </w:p>
        </w:tc>
        <w:tc>
          <w:tcPr>
            <w:tcW w:w="6471" w:type="dxa"/>
          </w:tcPr>
          <w:p w:rsidR="00C95003" w:rsidRPr="00C95003" w:rsidRDefault="00C95003" w:rsidP="00C95003">
            <w:pPr>
              <w:widowControl/>
              <w:spacing w:before="20" w:after="20" w:line="240" w:lineRule="exact"/>
              <w:ind w:leftChars="165" w:left="396"/>
              <w:rPr>
                <w:rFonts w:ascii="Segoe UI" w:eastAsia="Times New Roman" w:hAnsi="Segoe UI" w:cs="Segoe UI"/>
                <w:kern w:val="0"/>
                <w:sz w:val="17"/>
                <w:szCs w:val="17"/>
                <w:lang w:val="en-GB" w:eastAsia="en-US"/>
              </w:rPr>
            </w:pPr>
            <w:r w:rsidRPr="00C95003">
              <w:rPr>
                <w:rFonts w:ascii="Segoe UI" w:eastAsia="Times New Roman" w:hAnsi="Segoe UI" w:cs="Segoe UI"/>
                <w:kern w:val="0"/>
                <w:sz w:val="17"/>
                <w:szCs w:val="17"/>
                <w:lang w:val="en-GB" w:eastAsia="en-US"/>
              </w:rPr>
              <w:t>Existence of a dividend stopper</w:t>
            </w:r>
          </w:p>
        </w:tc>
        <w:tc>
          <w:tcPr>
            <w:tcW w:w="2257" w:type="dxa"/>
            <w:tcBorders>
              <w:right w:val="single" w:sz="4" w:space="0" w:color="auto"/>
            </w:tcBorders>
          </w:tcPr>
          <w:p w:rsidR="00C95003" w:rsidRPr="00C95003" w:rsidRDefault="00C95003" w:rsidP="00C95003">
            <w:pPr>
              <w:widowControl/>
              <w:spacing w:before="20" w:after="20" w:line="240" w:lineRule="exact"/>
              <w:rPr>
                <w:rFonts w:ascii="Segoe UI" w:eastAsia="Times New Roman" w:hAnsi="Segoe UI" w:cs="Segoe UI"/>
                <w:kern w:val="0"/>
                <w:sz w:val="17"/>
                <w:szCs w:val="17"/>
                <w:lang w:val="en-GB" w:eastAsia="en-US"/>
              </w:rPr>
            </w:pPr>
          </w:p>
        </w:tc>
      </w:tr>
      <w:tr w:rsidR="00C95003" w:rsidRPr="00C95003" w:rsidTr="00297CA5">
        <w:tc>
          <w:tcPr>
            <w:tcW w:w="486" w:type="dxa"/>
          </w:tcPr>
          <w:p w:rsidR="00C95003" w:rsidRPr="00C95003" w:rsidRDefault="00C95003" w:rsidP="00C95003">
            <w:pPr>
              <w:widowControl/>
              <w:spacing w:before="20" w:after="20" w:line="240" w:lineRule="exact"/>
              <w:rPr>
                <w:rFonts w:ascii="Segoe UI" w:eastAsia="Times New Roman" w:hAnsi="Segoe UI" w:cs="Segoe UI"/>
                <w:kern w:val="0"/>
                <w:sz w:val="17"/>
                <w:szCs w:val="17"/>
                <w:lang w:val="en-GB" w:eastAsia="en-US"/>
              </w:rPr>
            </w:pPr>
            <w:r w:rsidRPr="00C95003">
              <w:rPr>
                <w:rFonts w:ascii="Segoe UI" w:eastAsia="Times New Roman" w:hAnsi="Segoe UI" w:cs="Segoe UI"/>
                <w:kern w:val="0"/>
                <w:sz w:val="17"/>
                <w:szCs w:val="17"/>
                <w:lang w:val="en-GB" w:eastAsia="en-US"/>
              </w:rPr>
              <w:t>20</w:t>
            </w:r>
          </w:p>
        </w:tc>
        <w:tc>
          <w:tcPr>
            <w:tcW w:w="6471" w:type="dxa"/>
          </w:tcPr>
          <w:p w:rsidR="00C95003" w:rsidRPr="00C95003" w:rsidRDefault="00C95003" w:rsidP="00C95003">
            <w:pPr>
              <w:widowControl/>
              <w:spacing w:before="20" w:after="20" w:line="240" w:lineRule="exact"/>
              <w:ind w:leftChars="165" w:left="396"/>
              <w:rPr>
                <w:rFonts w:ascii="Segoe UI" w:eastAsia="Times New Roman" w:hAnsi="Segoe UI" w:cs="Segoe UI"/>
                <w:kern w:val="0"/>
                <w:sz w:val="17"/>
                <w:szCs w:val="17"/>
                <w:lang w:val="en-GB" w:eastAsia="en-US"/>
              </w:rPr>
            </w:pPr>
            <w:r w:rsidRPr="00C95003">
              <w:rPr>
                <w:rFonts w:ascii="Segoe UI" w:eastAsia="Times New Roman" w:hAnsi="Segoe UI" w:cs="Segoe UI"/>
                <w:kern w:val="0"/>
                <w:sz w:val="17"/>
                <w:szCs w:val="17"/>
                <w:lang w:val="en-GB" w:eastAsia="en-US"/>
              </w:rPr>
              <w:t>Fully discretionary, partially discretionary or mandatory</w:t>
            </w:r>
          </w:p>
        </w:tc>
        <w:tc>
          <w:tcPr>
            <w:tcW w:w="2257" w:type="dxa"/>
            <w:tcBorders>
              <w:right w:val="single" w:sz="4" w:space="0" w:color="auto"/>
            </w:tcBorders>
          </w:tcPr>
          <w:p w:rsidR="00C95003" w:rsidRPr="00C95003" w:rsidRDefault="00C95003" w:rsidP="00C95003">
            <w:pPr>
              <w:widowControl/>
              <w:spacing w:before="20" w:after="20" w:line="240" w:lineRule="exact"/>
              <w:rPr>
                <w:rFonts w:ascii="Segoe UI" w:eastAsia="Times New Roman" w:hAnsi="Segoe UI" w:cs="Segoe UI"/>
                <w:kern w:val="0"/>
                <w:sz w:val="17"/>
                <w:szCs w:val="17"/>
                <w:lang w:val="en-GB" w:eastAsia="en-US"/>
              </w:rPr>
            </w:pPr>
          </w:p>
        </w:tc>
      </w:tr>
      <w:tr w:rsidR="00C95003" w:rsidRPr="00C95003" w:rsidTr="00297CA5">
        <w:tc>
          <w:tcPr>
            <w:tcW w:w="486" w:type="dxa"/>
          </w:tcPr>
          <w:p w:rsidR="00C95003" w:rsidRPr="00C95003" w:rsidRDefault="00C95003" w:rsidP="00C95003">
            <w:pPr>
              <w:widowControl/>
              <w:spacing w:before="20" w:after="20" w:line="240" w:lineRule="exact"/>
              <w:rPr>
                <w:rFonts w:ascii="Segoe UI" w:eastAsia="Times New Roman" w:hAnsi="Segoe UI" w:cs="Segoe UI"/>
                <w:kern w:val="0"/>
                <w:sz w:val="17"/>
                <w:szCs w:val="17"/>
                <w:lang w:val="en-GB" w:eastAsia="en-US"/>
              </w:rPr>
            </w:pPr>
            <w:r w:rsidRPr="00C95003">
              <w:rPr>
                <w:rFonts w:ascii="Segoe UI" w:eastAsia="Times New Roman" w:hAnsi="Segoe UI" w:cs="Segoe UI"/>
                <w:kern w:val="0"/>
                <w:sz w:val="17"/>
                <w:szCs w:val="17"/>
                <w:lang w:val="en-GB" w:eastAsia="en-US"/>
              </w:rPr>
              <w:t>21</w:t>
            </w:r>
          </w:p>
        </w:tc>
        <w:tc>
          <w:tcPr>
            <w:tcW w:w="6471" w:type="dxa"/>
          </w:tcPr>
          <w:p w:rsidR="00C95003" w:rsidRPr="00C95003" w:rsidRDefault="00C95003" w:rsidP="00C95003">
            <w:pPr>
              <w:widowControl/>
              <w:spacing w:before="20" w:after="20" w:line="240" w:lineRule="exact"/>
              <w:ind w:leftChars="165" w:left="396"/>
              <w:rPr>
                <w:rFonts w:ascii="Segoe UI" w:eastAsia="Times New Roman" w:hAnsi="Segoe UI" w:cs="Segoe UI"/>
                <w:kern w:val="0"/>
                <w:sz w:val="17"/>
                <w:szCs w:val="17"/>
                <w:lang w:val="en-GB" w:eastAsia="en-US"/>
              </w:rPr>
            </w:pPr>
            <w:r w:rsidRPr="00C95003">
              <w:rPr>
                <w:rFonts w:ascii="Segoe UI" w:eastAsia="Times New Roman" w:hAnsi="Segoe UI" w:cs="Segoe UI"/>
                <w:kern w:val="0"/>
                <w:sz w:val="17"/>
                <w:szCs w:val="17"/>
                <w:lang w:val="en-GB" w:eastAsia="en-US"/>
              </w:rPr>
              <w:t>Existence of step-up or other incentive to redeem</w:t>
            </w:r>
          </w:p>
        </w:tc>
        <w:tc>
          <w:tcPr>
            <w:tcW w:w="2257" w:type="dxa"/>
            <w:tcBorders>
              <w:right w:val="single" w:sz="4" w:space="0" w:color="auto"/>
            </w:tcBorders>
          </w:tcPr>
          <w:p w:rsidR="00C95003" w:rsidRPr="00C95003" w:rsidRDefault="00C95003" w:rsidP="00C95003">
            <w:pPr>
              <w:widowControl/>
              <w:spacing w:before="20" w:after="20" w:line="240" w:lineRule="exact"/>
              <w:rPr>
                <w:rFonts w:ascii="Segoe UI" w:eastAsia="Times New Roman" w:hAnsi="Segoe UI" w:cs="Segoe UI"/>
                <w:kern w:val="0"/>
                <w:sz w:val="17"/>
                <w:szCs w:val="17"/>
                <w:lang w:val="en-GB" w:eastAsia="en-US"/>
              </w:rPr>
            </w:pPr>
          </w:p>
        </w:tc>
      </w:tr>
      <w:tr w:rsidR="00C95003" w:rsidRPr="00C95003" w:rsidTr="00297CA5">
        <w:tc>
          <w:tcPr>
            <w:tcW w:w="486" w:type="dxa"/>
          </w:tcPr>
          <w:p w:rsidR="00C95003" w:rsidRPr="00C95003" w:rsidRDefault="00C95003" w:rsidP="00C95003">
            <w:pPr>
              <w:widowControl/>
              <w:spacing w:before="20" w:after="20" w:line="240" w:lineRule="exact"/>
              <w:rPr>
                <w:rFonts w:ascii="Segoe UI" w:eastAsia="Times New Roman" w:hAnsi="Segoe UI" w:cs="Segoe UI"/>
                <w:kern w:val="0"/>
                <w:sz w:val="17"/>
                <w:szCs w:val="17"/>
                <w:lang w:val="en-GB" w:eastAsia="en-US"/>
              </w:rPr>
            </w:pPr>
            <w:r w:rsidRPr="00C95003">
              <w:rPr>
                <w:rFonts w:ascii="Segoe UI" w:eastAsia="Times New Roman" w:hAnsi="Segoe UI" w:cs="Segoe UI"/>
                <w:kern w:val="0"/>
                <w:sz w:val="17"/>
                <w:szCs w:val="17"/>
                <w:lang w:val="en-GB" w:eastAsia="en-US"/>
              </w:rPr>
              <w:t>22</w:t>
            </w:r>
          </w:p>
        </w:tc>
        <w:tc>
          <w:tcPr>
            <w:tcW w:w="6471" w:type="dxa"/>
          </w:tcPr>
          <w:p w:rsidR="00C95003" w:rsidRPr="00C95003" w:rsidRDefault="00C95003" w:rsidP="00C95003">
            <w:pPr>
              <w:widowControl/>
              <w:spacing w:before="20" w:after="20" w:line="240" w:lineRule="exact"/>
              <w:ind w:leftChars="165" w:left="396"/>
              <w:rPr>
                <w:rFonts w:ascii="Segoe UI" w:eastAsia="Times New Roman" w:hAnsi="Segoe UI" w:cs="Segoe UI"/>
                <w:kern w:val="0"/>
                <w:sz w:val="17"/>
                <w:szCs w:val="17"/>
                <w:lang w:val="en-GB" w:eastAsia="en-US"/>
              </w:rPr>
            </w:pPr>
            <w:r w:rsidRPr="00C95003">
              <w:rPr>
                <w:rFonts w:ascii="Segoe UI" w:eastAsia="Times New Roman" w:hAnsi="Segoe UI" w:cs="Segoe UI"/>
                <w:kern w:val="0"/>
                <w:sz w:val="17"/>
                <w:szCs w:val="17"/>
                <w:lang w:val="en-GB" w:eastAsia="en-US"/>
              </w:rPr>
              <w:t>Non-cumulative or cumulative</w:t>
            </w:r>
          </w:p>
        </w:tc>
        <w:tc>
          <w:tcPr>
            <w:tcW w:w="2257" w:type="dxa"/>
            <w:tcBorders>
              <w:right w:val="single" w:sz="4" w:space="0" w:color="auto"/>
            </w:tcBorders>
          </w:tcPr>
          <w:p w:rsidR="00C95003" w:rsidRPr="00C95003" w:rsidRDefault="00C95003" w:rsidP="00C95003">
            <w:pPr>
              <w:widowControl/>
              <w:spacing w:before="20" w:after="20" w:line="240" w:lineRule="exact"/>
              <w:rPr>
                <w:rFonts w:ascii="Segoe UI" w:eastAsia="Times New Roman" w:hAnsi="Segoe UI" w:cs="Segoe UI"/>
                <w:kern w:val="0"/>
                <w:sz w:val="17"/>
                <w:szCs w:val="17"/>
                <w:lang w:val="en-GB" w:eastAsia="en-US"/>
              </w:rPr>
            </w:pPr>
          </w:p>
        </w:tc>
      </w:tr>
      <w:tr w:rsidR="00C95003" w:rsidRPr="00C95003" w:rsidTr="00297CA5">
        <w:tc>
          <w:tcPr>
            <w:tcW w:w="486" w:type="dxa"/>
          </w:tcPr>
          <w:p w:rsidR="00C95003" w:rsidRPr="00C95003" w:rsidRDefault="00C95003" w:rsidP="00C95003">
            <w:pPr>
              <w:widowControl/>
              <w:spacing w:before="20" w:after="20" w:line="240" w:lineRule="exact"/>
              <w:rPr>
                <w:rFonts w:ascii="Segoe UI" w:eastAsia="Times New Roman" w:hAnsi="Segoe UI" w:cs="Segoe UI"/>
                <w:kern w:val="0"/>
                <w:sz w:val="17"/>
                <w:szCs w:val="17"/>
                <w:lang w:val="en-GB" w:eastAsia="en-US"/>
              </w:rPr>
            </w:pPr>
            <w:r w:rsidRPr="00C95003">
              <w:rPr>
                <w:rFonts w:ascii="Segoe UI" w:eastAsia="Times New Roman" w:hAnsi="Segoe UI" w:cs="Segoe UI"/>
                <w:kern w:val="0"/>
                <w:sz w:val="17"/>
                <w:szCs w:val="17"/>
                <w:lang w:val="en-GB" w:eastAsia="en-US"/>
              </w:rPr>
              <w:t>23</w:t>
            </w:r>
          </w:p>
        </w:tc>
        <w:tc>
          <w:tcPr>
            <w:tcW w:w="6471" w:type="dxa"/>
          </w:tcPr>
          <w:p w:rsidR="00C95003" w:rsidRPr="00C95003" w:rsidRDefault="00C95003" w:rsidP="00C95003">
            <w:pPr>
              <w:widowControl/>
              <w:spacing w:before="20" w:after="20" w:line="240" w:lineRule="exact"/>
              <w:rPr>
                <w:rFonts w:ascii="Segoe UI" w:eastAsia="Times New Roman" w:hAnsi="Segoe UI" w:cs="Segoe UI"/>
                <w:kern w:val="0"/>
                <w:sz w:val="17"/>
                <w:szCs w:val="17"/>
                <w:lang w:val="en-GB" w:eastAsia="en-US"/>
              </w:rPr>
            </w:pPr>
            <w:r w:rsidRPr="00C95003">
              <w:rPr>
                <w:rFonts w:ascii="Segoe UI" w:eastAsia="Times New Roman" w:hAnsi="Segoe UI" w:cs="Segoe UI"/>
                <w:kern w:val="0"/>
                <w:sz w:val="17"/>
                <w:szCs w:val="17"/>
                <w:lang w:val="en-GB" w:eastAsia="en-US"/>
              </w:rPr>
              <w:t>Convertible or non-convertible</w:t>
            </w:r>
          </w:p>
        </w:tc>
        <w:tc>
          <w:tcPr>
            <w:tcW w:w="2257" w:type="dxa"/>
            <w:tcBorders>
              <w:right w:val="single" w:sz="4" w:space="0" w:color="auto"/>
            </w:tcBorders>
          </w:tcPr>
          <w:p w:rsidR="00C95003" w:rsidRPr="00C95003" w:rsidRDefault="00C95003" w:rsidP="00C95003">
            <w:pPr>
              <w:widowControl/>
              <w:spacing w:before="20" w:after="20" w:line="240" w:lineRule="exact"/>
              <w:rPr>
                <w:rFonts w:ascii="Segoe UI" w:eastAsia="Times New Roman" w:hAnsi="Segoe UI" w:cs="Segoe UI"/>
                <w:kern w:val="0"/>
                <w:sz w:val="17"/>
                <w:szCs w:val="17"/>
                <w:lang w:val="en-GB" w:eastAsia="en-US"/>
              </w:rPr>
            </w:pPr>
          </w:p>
        </w:tc>
      </w:tr>
      <w:tr w:rsidR="00C95003" w:rsidRPr="00C95003" w:rsidTr="00297CA5">
        <w:tc>
          <w:tcPr>
            <w:tcW w:w="486" w:type="dxa"/>
          </w:tcPr>
          <w:p w:rsidR="00C95003" w:rsidRPr="00C95003" w:rsidRDefault="00C95003" w:rsidP="00C95003">
            <w:pPr>
              <w:widowControl/>
              <w:spacing w:before="20" w:after="20" w:line="240" w:lineRule="exact"/>
              <w:rPr>
                <w:rFonts w:ascii="Segoe UI" w:eastAsia="Times New Roman" w:hAnsi="Segoe UI" w:cs="Segoe UI"/>
                <w:kern w:val="0"/>
                <w:sz w:val="17"/>
                <w:szCs w:val="17"/>
                <w:lang w:val="en-GB" w:eastAsia="en-US"/>
              </w:rPr>
            </w:pPr>
            <w:r w:rsidRPr="00C95003">
              <w:rPr>
                <w:rFonts w:ascii="Segoe UI" w:eastAsia="Times New Roman" w:hAnsi="Segoe UI" w:cs="Segoe UI"/>
                <w:kern w:val="0"/>
                <w:sz w:val="17"/>
                <w:szCs w:val="17"/>
                <w:lang w:val="en-GB" w:eastAsia="en-US"/>
              </w:rPr>
              <w:t>24</w:t>
            </w:r>
          </w:p>
        </w:tc>
        <w:tc>
          <w:tcPr>
            <w:tcW w:w="6471" w:type="dxa"/>
          </w:tcPr>
          <w:p w:rsidR="00C95003" w:rsidRPr="00C95003" w:rsidRDefault="00C95003" w:rsidP="00C95003">
            <w:pPr>
              <w:widowControl/>
              <w:spacing w:before="20" w:after="20" w:line="240" w:lineRule="exact"/>
              <w:ind w:leftChars="165" w:left="396"/>
              <w:rPr>
                <w:rFonts w:ascii="Segoe UI" w:eastAsia="Times New Roman" w:hAnsi="Segoe UI" w:cs="Segoe UI"/>
                <w:kern w:val="0"/>
                <w:sz w:val="17"/>
                <w:szCs w:val="17"/>
                <w:lang w:val="en-GB" w:eastAsia="en-US"/>
              </w:rPr>
            </w:pPr>
            <w:r w:rsidRPr="00C95003">
              <w:rPr>
                <w:rFonts w:ascii="Segoe UI" w:eastAsia="Times New Roman" w:hAnsi="Segoe UI" w:cs="Segoe UI"/>
                <w:kern w:val="0"/>
                <w:sz w:val="17"/>
                <w:szCs w:val="17"/>
                <w:lang w:val="en-GB" w:eastAsia="en-US"/>
              </w:rPr>
              <w:t>If convertible, conversion trigger(s)</w:t>
            </w:r>
          </w:p>
        </w:tc>
        <w:tc>
          <w:tcPr>
            <w:tcW w:w="2257" w:type="dxa"/>
            <w:tcBorders>
              <w:right w:val="single" w:sz="4" w:space="0" w:color="auto"/>
            </w:tcBorders>
          </w:tcPr>
          <w:p w:rsidR="00C95003" w:rsidRPr="00C95003" w:rsidRDefault="00C95003" w:rsidP="00C95003">
            <w:pPr>
              <w:widowControl/>
              <w:spacing w:before="20" w:after="20" w:line="240" w:lineRule="exact"/>
              <w:rPr>
                <w:rFonts w:ascii="Segoe UI" w:eastAsia="Times New Roman" w:hAnsi="Segoe UI" w:cs="Segoe UI"/>
                <w:kern w:val="0"/>
                <w:sz w:val="17"/>
                <w:szCs w:val="17"/>
                <w:lang w:val="en-GB" w:eastAsia="en-US"/>
              </w:rPr>
            </w:pPr>
          </w:p>
        </w:tc>
      </w:tr>
      <w:tr w:rsidR="00C95003" w:rsidRPr="00C95003" w:rsidTr="00297CA5">
        <w:tc>
          <w:tcPr>
            <w:tcW w:w="486" w:type="dxa"/>
          </w:tcPr>
          <w:p w:rsidR="00C95003" w:rsidRPr="00C95003" w:rsidRDefault="00C95003" w:rsidP="00C95003">
            <w:pPr>
              <w:widowControl/>
              <w:spacing w:before="20" w:after="20" w:line="240" w:lineRule="exact"/>
              <w:rPr>
                <w:rFonts w:ascii="Segoe UI" w:eastAsia="Times New Roman" w:hAnsi="Segoe UI" w:cs="Segoe UI"/>
                <w:kern w:val="0"/>
                <w:sz w:val="17"/>
                <w:szCs w:val="17"/>
                <w:lang w:val="en-GB" w:eastAsia="en-US"/>
              </w:rPr>
            </w:pPr>
            <w:r w:rsidRPr="00C95003">
              <w:rPr>
                <w:rFonts w:ascii="Segoe UI" w:eastAsia="Times New Roman" w:hAnsi="Segoe UI" w:cs="Segoe UI"/>
                <w:kern w:val="0"/>
                <w:sz w:val="17"/>
                <w:szCs w:val="17"/>
                <w:lang w:val="en-GB" w:eastAsia="en-US"/>
              </w:rPr>
              <w:t>25</w:t>
            </w:r>
          </w:p>
        </w:tc>
        <w:tc>
          <w:tcPr>
            <w:tcW w:w="6471" w:type="dxa"/>
          </w:tcPr>
          <w:p w:rsidR="00C95003" w:rsidRPr="00C95003" w:rsidRDefault="00C95003" w:rsidP="00C95003">
            <w:pPr>
              <w:widowControl/>
              <w:spacing w:before="20" w:after="20" w:line="240" w:lineRule="exact"/>
              <w:ind w:leftChars="165" w:left="396"/>
              <w:rPr>
                <w:rFonts w:ascii="Segoe UI" w:eastAsia="Times New Roman" w:hAnsi="Segoe UI" w:cs="Segoe UI"/>
                <w:kern w:val="0"/>
                <w:sz w:val="17"/>
                <w:szCs w:val="17"/>
                <w:lang w:val="en-GB" w:eastAsia="en-US"/>
              </w:rPr>
            </w:pPr>
            <w:r w:rsidRPr="00C95003">
              <w:rPr>
                <w:rFonts w:ascii="Segoe UI" w:eastAsia="Times New Roman" w:hAnsi="Segoe UI" w:cs="Segoe UI"/>
                <w:kern w:val="0"/>
                <w:sz w:val="17"/>
                <w:szCs w:val="17"/>
                <w:lang w:val="en-GB" w:eastAsia="en-US"/>
              </w:rPr>
              <w:t>If convertible, fully or partially</w:t>
            </w:r>
          </w:p>
        </w:tc>
        <w:tc>
          <w:tcPr>
            <w:tcW w:w="2257" w:type="dxa"/>
            <w:tcBorders>
              <w:right w:val="single" w:sz="4" w:space="0" w:color="auto"/>
            </w:tcBorders>
          </w:tcPr>
          <w:p w:rsidR="00C95003" w:rsidRPr="00C95003" w:rsidRDefault="00C95003" w:rsidP="00C95003">
            <w:pPr>
              <w:widowControl/>
              <w:spacing w:before="20" w:after="20" w:line="240" w:lineRule="exact"/>
              <w:rPr>
                <w:rFonts w:ascii="Segoe UI" w:eastAsia="Times New Roman" w:hAnsi="Segoe UI" w:cs="Segoe UI"/>
                <w:kern w:val="0"/>
                <w:sz w:val="17"/>
                <w:szCs w:val="17"/>
                <w:lang w:val="en-GB" w:eastAsia="en-US"/>
              </w:rPr>
            </w:pPr>
          </w:p>
        </w:tc>
      </w:tr>
      <w:tr w:rsidR="00C95003" w:rsidRPr="00C95003" w:rsidTr="00297CA5">
        <w:tc>
          <w:tcPr>
            <w:tcW w:w="486" w:type="dxa"/>
          </w:tcPr>
          <w:p w:rsidR="00C95003" w:rsidRPr="00C95003" w:rsidRDefault="00C95003" w:rsidP="00C95003">
            <w:pPr>
              <w:widowControl/>
              <w:spacing w:before="20" w:after="20" w:line="240" w:lineRule="exact"/>
              <w:rPr>
                <w:rFonts w:ascii="Segoe UI" w:eastAsia="Times New Roman" w:hAnsi="Segoe UI" w:cs="Segoe UI"/>
                <w:kern w:val="0"/>
                <w:sz w:val="17"/>
                <w:szCs w:val="17"/>
                <w:lang w:val="en-GB" w:eastAsia="en-US"/>
              </w:rPr>
            </w:pPr>
            <w:r w:rsidRPr="00C95003">
              <w:rPr>
                <w:rFonts w:ascii="Segoe UI" w:eastAsia="Times New Roman" w:hAnsi="Segoe UI" w:cs="Segoe UI"/>
                <w:kern w:val="0"/>
                <w:sz w:val="17"/>
                <w:szCs w:val="17"/>
                <w:lang w:val="en-GB" w:eastAsia="en-US"/>
              </w:rPr>
              <w:t>26</w:t>
            </w:r>
          </w:p>
        </w:tc>
        <w:tc>
          <w:tcPr>
            <w:tcW w:w="6471" w:type="dxa"/>
          </w:tcPr>
          <w:p w:rsidR="00C95003" w:rsidRPr="00C95003" w:rsidRDefault="00C95003" w:rsidP="00C95003">
            <w:pPr>
              <w:widowControl/>
              <w:spacing w:before="20" w:after="20" w:line="240" w:lineRule="exact"/>
              <w:ind w:leftChars="165" w:left="396"/>
              <w:rPr>
                <w:rFonts w:ascii="Segoe UI" w:eastAsia="Times New Roman" w:hAnsi="Segoe UI" w:cs="Segoe UI"/>
                <w:kern w:val="0"/>
                <w:sz w:val="17"/>
                <w:szCs w:val="17"/>
                <w:lang w:val="en-GB" w:eastAsia="en-US"/>
              </w:rPr>
            </w:pPr>
            <w:r w:rsidRPr="00C95003">
              <w:rPr>
                <w:rFonts w:ascii="Segoe UI" w:eastAsia="Times New Roman" w:hAnsi="Segoe UI" w:cs="Segoe UI"/>
                <w:kern w:val="0"/>
                <w:sz w:val="17"/>
                <w:szCs w:val="17"/>
                <w:lang w:val="en-GB" w:eastAsia="en-US"/>
              </w:rPr>
              <w:t>If convertible, conversion rate</w:t>
            </w:r>
          </w:p>
        </w:tc>
        <w:tc>
          <w:tcPr>
            <w:tcW w:w="2257" w:type="dxa"/>
            <w:tcBorders>
              <w:right w:val="single" w:sz="4" w:space="0" w:color="auto"/>
            </w:tcBorders>
          </w:tcPr>
          <w:p w:rsidR="00C95003" w:rsidRPr="00C95003" w:rsidRDefault="00C95003" w:rsidP="00C95003">
            <w:pPr>
              <w:widowControl/>
              <w:spacing w:before="20" w:after="20" w:line="240" w:lineRule="exact"/>
              <w:rPr>
                <w:rFonts w:ascii="Segoe UI" w:eastAsia="Times New Roman" w:hAnsi="Segoe UI" w:cs="Segoe UI"/>
                <w:kern w:val="0"/>
                <w:sz w:val="17"/>
                <w:szCs w:val="17"/>
                <w:lang w:val="en-GB" w:eastAsia="en-US"/>
              </w:rPr>
            </w:pPr>
          </w:p>
        </w:tc>
      </w:tr>
      <w:tr w:rsidR="00C95003" w:rsidRPr="00C95003" w:rsidTr="00297CA5">
        <w:tc>
          <w:tcPr>
            <w:tcW w:w="486" w:type="dxa"/>
          </w:tcPr>
          <w:p w:rsidR="00C95003" w:rsidRPr="00C95003" w:rsidRDefault="00C95003" w:rsidP="00C95003">
            <w:pPr>
              <w:widowControl/>
              <w:spacing w:before="20" w:after="20" w:line="240" w:lineRule="exact"/>
              <w:rPr>
                <w:rFonts w:ascii="Segoe UI" w:eastAsia="Times New Roman" w:hAnsi="Segoe UI" w:cs="Segoe UI"/>
                <w:kern w:val="0"/>
                <w:sz w:val="17"/>
                <w:szCs w:val="17"/>
                <w:lang w:val="en-GB" w:eastAsia="en-US"/>
              </w:rPr>
            </w:pPr>
            <w:r w:rsidRPr="00C95003">
              <w:rPr>
                <w:rFonts w:ascii="Segoe UI" w:eastAsia="Times New Roman" w:hAnsi="Segoe UI" w:cs="Segoe UI"/>
                <w:kern w:val="0"/>
                <w:sz w:val="17"/>
                <w:szCs w:val="17"/>
                <w:lang w:val="en-GB" w:eastAsia="en-US"/>
              </w:rPr>
              <w:t>27</w:t>
            </w:r>
          </w:p>
        </w:tc>
        <w:tc>
          <w:tcPr>
            <w:tcW w:w="6471" w:type="dxa"/>
          </w:tcPr>
          <w:p w:rsidR="00C95003" w:rsidRPr="00C95003" w:rsidRDefault="00C95003" w:rsidP="00C95003">
            <w:pPr>
              <w:widowControl/>
              <w:spacing w:before="20" w:after="20" w:line="240" w:lineRule="exact"/>
              <w:ind w:leftChars="165" w:left="396"/>
              <w:rPr>
                <w:rFonts w:ascii="Segoe UI" w:eastAsia="Times New Roman" w:hAnsi="Segoe UI" w:cs="Segoe UI"/>
                <w:kern w:val="0"/>
                <w:sz w:val="17"/>
                <w:szCs w:val="17"/>
                <w:lang w:val="en-GB" w:eastAsia="en-US"/>
              </w:rPr>
            </w:pPr>
            <w:r w:rsidRPr="00C95003">
              <w:rPr>
                <w:rFonts w:ascii="Segoe UI" w:eastAsia="Times New Roman" w:hAnsi="Segoe UI" w:cs="Segoe UI"/>
                <w:kern w:val="0"/>
                <w:sz w:val="17"/>
                <w:szCs w:val="17"/>
                <w:lang w:val="en-GB" w:eastAsia="en-US"/>
              </w:rPr>
              <w:t>If convertible, mandatory or optional conversion</w:t>
            </w:r>
          </w:p>
        </w:tc>
        <w:tc>
          <w:tcPr>
            <w:tcW w:w="2257" w:type="dxa"/>
            <w:tcBorders>
              <w:right w:val="single" w:sz="4" w:space="0" w:color="auto"/>
            </w:tcBorders>
          </w:tcPr>
          <w:p w:rsidR="00C95003" w:rsidRPr="00C95003" w:rsidRDefault="00C95003" w:rsidP="00C95003">
            <w:pPr>
              <w:widowControl/>
              <w:spacing w:before="20" w:after="20" w:line="240" w:lineRule="exact"/>
              <w:rPr>
                <w:rFonts w:ascii="Segoe UI" w:eastAsia="Times New Roman" w:hAnsi="Segoe UI" w:cs="Segoe UI"/>
                <w:kern w:val="0"/>
                <w:sz w:val="17"/>
                <w:szCs w:val="17"/>
                <w:lang w:val="en-GB" w:eastAsia="en-US"/>
              </w:rPr>
            </w:pPr>
          </w:p>
        </w:tc>
      </w:tr>
      <w:tr w:rsidR="00C95003" w:rsidRPr="00C95003" w:rsidTr="00297CA5">
        <w:tc>
          <w:tcPr>
            <w:tcW w:w="486" w:type="dxa"/>
          </w:tcPr>
          <w:p w:rsidR="00C95003" w:rsidRPr="00C95003" w:rsidRDefault="00C95003" w:rsidP="00C95003">
            <w:pPr>
              <w:widowControl/>
              <w:spacing w:before="20" w:after="20" w:line="240" w:lineRule="exact"/>
              <w:rPr>
                <w:rFonts w:ascii="Segoe UI" w:eastAsia="Times New Roman" w:hAnsi="Segoe UI" w:cs="Segoe UI"/>
                <w:kern w:val="0"/>
                <w:sz w:val="17"/>
                <w:szCs w:val="17"/>
                <w:lang w:val="en-GB" w:eastAsia="en-US"/>
              </w:rPr>
            </w:pPr>
            <w:r w:rsidRPr="00C95003">
              <w:rPr>
                <w:rFonts w:ascii="Segoe UI" w:eastAsia="Times New Roman" w:hAnsi="Segoe UI" w:cs="Segoe UI"/>
                <w:kern w:val="0"/>
                <w:sz w:val="17"/>
                <w:szCs w:val="17"/>
                <w:lang w:val="en-GB" w:eastAsia="en-US"/>
              </w:rPr>
              <w:t>28</w:t>
            </w:r>
          </w:p>
        </w:tc>
        <w:tc>
          <w:tcPr>
            <w:tcW w:w="6471" w:type="dxa"/>
          </w:tcPr>
          <w:p w:rsidR="00C95003" w:rsidRPr="00C95003" w:rsidRDefault="00C95003" w:rsidP="00C95003">
            <w:pPr>
              <w:widowControl/>
              <w:spacing w:before="20" w:after="20" w:line="240" w:lineRule="exact"/>
              <w:ind w:leftChars="165" w:left="396"/>
              <w:rPr>
                <w:rFonts w:ascii="Segoe UI" w:eastAsia="Times New Roman" w:hAnsi="Segoe UI" w:cs="Segoe UI"/>
                <w:kern w:val="0"/>
                <w:sz w:val="17"/>
                <w:szCs w:val="17"/>
                <w:lang w:val="en-GB" w:eastAsia="en-US"/>
              </w:rPr>
            </w:pPr>
            <w:r w:rsidRPr="00C95003">
              <w:rPr>
                <w:rFonts w:ascii="Segoe UI" w:eastAsia="Times New Roman" w:hAnsi="Segoe UI" w:cs="Segoe UI"/>
                <w:kern w:val="0"/>
                <w:sz w:val="17"/>
                <w:szCs w:val="17"/>
                <w:lang w:val="en-GB" w:eastAsia="en-US"/>
              </w:rPr>
              <w:t>If convertible, specify instrument type convertible into</w:t>
            </w:r>
          </w:p>
        </w:tc>
        <w:tc>
          <w:tcPr>
            <w:tcW w:w="2257" w:type="dxa"/>
            <w:tcBorders>
              <w:right w:val="single" w:sz="4" w:space="0" w:color="auto"/>
            </w:tcBorders>
          </w:tcPr>
          <w:p w:rsidR="00C95003" w:rsidRPr="00C95003" w:rsidRDefault="00C95003" w:rsidP="00C95003">
            <w:pPr>
              <w:widowControl/>
              <w:spacing w:before="20" w:after="20" w:line="240" w:lineRule="exact"/>
              <w:rPr>
                <w:rFonts w:ascii="Segoe UI" w:eastAsia="Times New Roman" w:hAnsi="Segoe UI" w:cs="Segoe UI"/>
                <w:kern w:val="0"/>
                <w:sz w:val="17"/>
                <w:szCs w:val="17"/>
                <w:lang w:val="en-GB" w:eastAsia="en-US"/>
              </w:rPr>
            </w:pPr>
          </w:p>
        </w:tc>
      </w:tr>
      <w:tr w:rsidR="00C95003" w:rsidRPr="00C95003" w:rsidTr="00297CA5">
        <w:tc>
          <w:tcPr>
            <w:tcW w:w="486" w:type="dxa"/>
          </w:tcPr>
          <w:p w:rsidR="00C95003" w:rsidRPr="00C95003" w:rsidRDefault="00C95003" w:rsidP="00C95003">
            <w:pPr>
              <w:widowControl/>
              <w:spacing w:before="20" w:after="20" w:line="240" w:lineRule="exact"/>
              <w:rPr>
                <w:rFonts w:ascii="Segoe UI" w:eastAsia="Times New Roman" w:hAnsi="Segoe UI" w:cs="Segoe UI"/>
                <w:kern w:val="0"/>
                <w:sz w:val="17"/>
                <w:szCs w:val="17"/>
                <w:lang w:val="en-GB" w:eastAsia="en-US"/>
              </w:rPr>
            </w:pPr>
            <w:r w:rsidRPr="00C95003">
              <w:rPr>
                <w:rFonts w:ascii="Segoe UI" w:eastAsia="Times New Roman" w:hAnsi="Segoe UI" w:cs="Segoe UI"/>
                <w:kern w:val="0"/>
                <w:sz w:val="17"/>
                <w:szCs w:val="17"/>
                <w:lang w:val="en-GB" w:eastAsia="en-US"/>
              </w:rPr>
              <w:t>29</w:t>
            </w:r>
          </w:p>
        </w:tc>
        <w:tc>
          <w:tcPr>
            <w:tcW w:w="6471" w:type="dxa"/>
          </w:tcPr>
          <w:p w:rsidR="00C95003" w:rsidRPr="00C95003" w:rsidRDefault="00C95003" w:rsidP="00C95003">
            <w:pPr>
              <w:widowControl/>
              <w:spacing w:before="20" w:after="20" w:line="240" w:lineRule="exact"/>
              <w:ind w:leftChars="165" w:left="396"/>
              <w:rPr>
                <w:rFonts w:ascii="Segoe UI" w:eastAsia="Times New Roman" w:hAnsi="Segoe UI" w:cs="Segoe UI"/>
                <w:kern w:val="0"/>
                <w:sz w:val="17"/>
                <w:szCs w:val="17"/>
                <w:lang w:val="en-GB" w:eastAsia="en-US"/>
              </w:rPr>
            </w:pPr>
            <w:r w:rsidRPr="00C95003">
              <w:rPr>
                <w:rFonts w:ascii="Segoe UI" w:eastAsia="Times New Roman" w:hAnsi="Segoe UI" w:cs="Segoe UI"/>
                <w:kern w:val="0"/>
                <w:sz w:val="17"/>
                <w:szCs w:val="17"/>
                <w:lang w:val="en-GB" w:eastAsia="en-US"/>
              </w:rPr>
              <w:t>If convertible, specify issuer of instrument it converts into</w:t>
            </w:r>
          </w:p>
        </w:tc>
        <w:tc>
          <w:tcPr>
            <w:tcW w:w="2257" w:type="dxa"/>
            <w:tcBorders>
              <w:right w:val="single" w:sz="4" w:space="0" w:color="auto"/>
            </w:tcBorders>
          </w:tcPr>
          <w:p w:rsidR="00C95003" w:rsidRPr="00C95003" w:rsidRDefault="00C95003" w:rsidP="00C95003">
            <w:pPr>
              <w:widowControl/>
              <w:spacing w:before="20" w:after="20" w:line="240" w:lineRule="exact"/>
              <w:rPr>
                <w:rFonts w:ascii="Segoe UI" w:eastAsia="Times New Roman" w:hAnsi="Segoe UI" w:cs="Segoe UI"/>
                <w:kern w:val="0"/>
                <w:sz w:val="17"/>
                <w:szCs w:val="17"/>
                <w:lang w:val="en-GB" w:eastAsia="en-US"/>
              </w:rPr>
            </w:pPr>
          </w:p>
        </w:tc>
      </w:tr>
      <w:tr w:rsidR="00C95003" w:rsidRPr="00C95003" w:rsidTr="00297CA5">
        <w:tc>
          <w:tcPr>
            <w:tcW w:w="486" w:type="dxa"/>
          </w:tcPr>
          <w:p w:rsidR="00C95003" w:rsidRPr="00C95003" w:rsidRDefault="00C95003" w:rsidP="00C95003">
            <w:pPr>
              <w:widowControl/>
              <w:spacing w:before="20" w:after="20" w:line="240" w:lineRule="exact"/>
              <w:rPr>
                <w:rFonts w:ascii="Segoe UI" w:eastAsia="Times New Roman" w:hAnsi="Segoe UI" w:cs="Segoe UI"/>
                <w:kern w:val="0"/>
                <w:sz w:val="17"/>
                <w:szCs w:val="17"/>
                <w:lang w:val="en-GB" w:eastAsia="en-US"/>
              </w:rPr>
            </w:pPr>
            <w:r w:rsidRPr="00C95003">
              <w:rPr>
                <w:rFonts w:ascii="Segoe UI" w:eastAsia="Times New Roman" w:hAnsi="Segoe UI" w:cs="Segoe UI"/>
                <w:kern w:val="0"/>
                <w:sz w:val="17"/>
                <w:szCs w:val="17"/>
                <w:lang w:val="en-GB" w:eastAsia="en-US"/>
              </w:rPr>
              <w:t>30</w:t>
            </w:r>
          </w:p>
        </w:tc>
        <w:tc>
          <w:tcPr>
            <w:tcW w:w="6471" w:type="dxa"/>
          </w:tcPr>
          <w:p w:rsidR="00C95003" w:rsidRPr="00C95003" w:rsidRDefault="00C95003" w:rsidP="00C95003">
            <w:pPr>
              <w:widowControl/>
              <w:spacing w:before="20" w:after="20" w:line="240" w:lineRule="exact"/>
              <w:rPr>
                <w:rFonts w:ascii="Segoe UI" w:eastAsia="Times New Roman" w:hAnsi="Segoe UI" w:cs="Segoe UI"/>
                <w:kern w:val="0"/>
                <w:sz w:val="17"/>
                <w:szCs w:val="17"/>
                <w:lang w:val="en-GB" w:eastAsia="en-US"/>
              </w:rPr>
            </w:pPr>
            <w:r w:rsidRPr="00C95003">
              <w:rPr>
                <w:rFonts w:ascii="Segoe UI" w:eastAsia="Times New Roman" w:hAnsi="Segoe UI" w:cs="Segoe UI"/>
                <w:kern w:val="0"/>
                <w:sz w:val="17"/>
                <w:szCs w:val="17"/>
                <w:lang w:val="en-GB" w:eastAsia="en-US"/>
              </w:rPr>
              <w:t>Write-down feature</w:t>
            </w:r>
          </w:p>
        </w:tc>
        <w:tc>
          <w:tcPr>
            <w:tcW w:w="2257" w:type="dxa"/>
            <w:tcBorders>
              <w:right w:val="single" w:sz="4" w:space="0" w:color="auto"/>
            </w:tcBorders>
          </w:tcPr>
          <w:p w:rsidR="00C95003" w:rsidRPr="00C95003" w:rsidRDefault="00C95003" w:rsidP="00C95003">
            <w:pPr>
              <w:widowControl/>
              <w:spacing w:before="20" w:after="20" w:line="240" w:lineRule="exact"/>
              <w:rPr>
                <w:rFonts w:ascii="Segoe UI" w:eastAsia="Times New Roman" w:hAnsi="Segoe UI" w:cs="Segoe UI"/>
                <w:kern w:val="0"/>
                <w:sz w:val="17"/>
                <w:szCs w:val="17"/>
                <w:lang w:val="en-GB" w:eastAsia="en-US"/>
              </w:rPr>
            </w:pPr>
          </w:p>
        </w:tc>
      </w:tr>
      <w:tr w:rsidR="00C95003" w:rsidRPr="00C95003" w:rsidTr="00297CA5">
        <w:tc>
          <w:tcPr>
            <w:tcW w:w="486" w:type="dxa"/>
          </w:tcPr>
          <w:p w:rsidR="00C95003" w:rsidRPr="00C95003" w:rsidRDefault="00C95003" w:rsidP="00C95003">
            <w:pPr>
              <w:widowControl/>
              <w:spacing w:before="20" w:after="20" w:line="240" w:lineRule="exact"/>
              <w:rPr>
                <w:rFonts w:ascii="Segoe UI" w:eastAsia="Times New Roman" w:hAnsi="Segoe UI" w:cs="Segoe UI"/>
                <w:kern w:val="0"/>
                <w:sz w:val="17"/>
                <w:szCs w:val="17"/>
                <w:lang w:val="en-GB" w:eastAsia="en-US"/>
              </w:rPr>
            </w:pPr>
            <w:r w:rsidRPr="00C95003">
              <w:rPr>
                <w:rFonts w:ascii="Segoe UI" w:eastAsia="Times New Roman" w:hAnsi="Segoe UI" w:cs="Segoe UI"/>
                <w:kern w:val="0"/>
                <w:sz w:val="17"/>
                <w:szCs w:val="17"/>
                <w:lang w:val="en-GB" w:eastAsia="en-US"/>
              </w:rPr>
              <w:t>31</w:t>
            </w:r>
          </w:p>
        </w:tc>
        <w:tc>
          <w:tcPr>
            <w:tcW w:w="6471" w:type="dxa"/>
          </w:tcPr>
          <w:p w:rsidR="00C95003" w:rsidRPr="00C95003" w:rsidRDefault="00C95003" w:rsidP="00C95003">
            <w:pPr>
              <w:widowControl/>
              <w:spacing w:before="20" w:after="20" w:line="240" w:lineRule="exact"/>
              <w:ind w:leftChars="165" w:left="396"/>
              <w:rPr>
                <w:rFonts w:ascii="Segoe UI" w:eastAsia="Times New Roman" w:hAnsi="Segoe UI" w:cs="Segoe UI"/>
                <w:kern w:val="0"/>
                <w:sz w:val="17"/>
                <w:szCs w:val="17"/>
                <w:lang w:val="en-GB" w:eastAsia="en-US"/>
              </w:rPr>
            </w:pPr>
            <w:r w:rsidRPr="00C95003">
              <w:rPr>
                <w:rFonts w:ascii="Segoe UI" w:eastAsia="Times New Roman" w:hAnsi="Segoe UI" w:cs="Segoe UI"/>
                <w:kern w:val="0"/>
                <w:sz w:val="17"/>
                <w:szCs w:val="17"/>
                <w:lang w:val="en-GB" w:eastAsia="en-US"/>
              </w:rPr>
              <w:t>If write-down, write-down trigger(s)</w:t>
            </w:r>
          </w:p>
        </w:tc>
        <w:tc>
          <w:tcPr>
            <w:tcW w:w="2257" w:type="dxa"/>
            <w:tcBorders>
              <w:right w:val="single" w:sz="4" w:space="0" w:color="auto"/>
            </w:tcBorders>
          </w:tcPr>
          <w:p w:rsidR="00C95003" w:rsidRPr="00C95003" w:rsidRDefault="00C95003" w:rsidP="00C95003">
            <w:pPr>
              <w:widowControl/>
              <w:spacing w:before="20" w:after="20" w:line="240" w:lineRule="exact"/>
              <w:rPr>
                <w:rFonts w:ascii="Segoe UI" w:eastAsia="Times New Roman" w:hAnsi="Segoe UI" w:cs="Segoe UI"/>
                <w:kern w:val="0"/>
                <w:sz w:val="17"/>
                <w:szCs w:val="17"/>
                <w:lang w:val="en-GB" w:eastAsia="en-US"/>
              </w:rPr>
            </w:pPr>
          </w:p>
        </w:tc>
      </w:tr>
      <w:tr w:rsidR="00C95003" w:rsidRPr="00C95003" w:rsidTr="00297CA5">
        <w:tc>
          <w:tcPr>
            <w:tcW w:w="486" w:type="dxa"/>
          </w:tcPr>
          <w:p w:rsidR="00C95003" w:rsidRPr="00C95003" w:rsidRDefault="00C95003" w:rsidP="00C95003">
            <w:pPr>
              <w:widowControl/>
              <w:spacing w:before="20" w:after="20" w:line="240" w:lineRule="exact"/>
              <w:rPr>
                <w:rFonts w:ascii="Segoe UI" w:eastAsia="Times New Roman" w:hAnsi="Segoe UI" w:cs="Segoe UI"/>
                <w:kern w:val="0"/>
                <w:sz w:val="17"/>
                <w:szCs w:val="17"/>
                <w:lang w:val="en-GB" w:eastAsia="en-US"/>
              </w:rPr>
            </w:pPr>
            <w:r w:rsidRPr="00C95003">
              <w:rPr>
                <w:rFonts w:ascii="Segoe UI" w:eastAsia="Times New Roman" w:hAnsi="Segoe UI" w:cs="Segoe UI"/>
                <w:kern w:val="0"/>
                <w:sz w:val="17"/>
                <w:szCs w:val="17"/>
                <w:lang w:val="en-GB" w:eastAsia="en-US"/>
              </w:rPr>
              <w:t>32</w:t>
            </w:r>
          </w:p>
        </w:tc>
        <w:tc>
          <w:tcPr>
            <w:tcW w:w="6471" w:type="dxa"/>
          </w:tcPr>
          <w:p w:rsidR="00C95003" w:rsidRPr="00C95003" w:rsidRDefault="00C95003" w:rsidP="00C95003">
            <w:pPr>
              <w:widowControl/>
              <w:spacing w:before="20" w:after="20" w:line="240" w:lineRule="exact"/>
              <w:ind w:leftChars="165" w:left="396"/>
              <w:rPr>
                <w:rFonts w:ascii="Segoe UI" w:eastAsia="Times New Roman" w:hAnsi="Segoe UI" w:cs="Segoe UI"/>
                <w:kern w:val="0"/>
                <w:sz w:val="17"/>
                <w:szCs w:val="17"/>
                <w:lang w:val="en-GB" w:eastAsia="en-US"/>
              </w:rPr>
            </w:pPr>
            <w:r w:rsidRPr="00C95003">
              <w:rPr>
                <w:rFonts w:ascii="Segoe UI" w:eastAsia="Times New Roman" w:hAnsi="Segoe UI" w:cs="Segoe UI"/>
                <w:kern w:val="0"/>
                <w:sz w:val="17"/>
                <w:szCs w:val="17"/>
                <w:lang w:val="en-GB" w:eastAsia="en-US"/>
              </w:rPr>
              <w:t>If write-down, full or partial</w:t>
            </w:r>
          </w:p>
        </w:tc>
        <w:tc>
          <w:tcPr>
            <w:tcW w:w="2257" w:type="dxa"/>
            <w:tcBorders>
              <w:right w:val="single" w:sz="4" w:space="0" w:color="auto"/>
            </w:tcBorders>
          </w:tcPr>
          <w:p w:rsidR="00C95003" w:rsidRPr="00C95003" w:rsidRDefault="00C95003" w:rsidP="00C95003">
            <w:pPr>
              <w:widowControl/>
              <w:spacing w:before="20" w:after="20" w:line="240" w:lineRule="exact"/>
              <w:rPr>
                <w:rFonts w:ascii="Segoe UI" w:eastAsia="Times New Roman" w:hAnsi="Segoe UI" w:cs="Segoe UI"/>
                <w:kern w:val="0"/>
                <w:sz w:val="17"/>
                <w:szCs w:val="17"/>
                <w:lang w:val="en-GB" w:eastAsia="en-US"/>
              </w:rPr>
            </w:pPr>
          </w:p>
        </w:tc>
      </w:tr>
      <w:tr w:rsidR="00C95003" w:rsidRPr="00C95003" w:rsidTr="00297CA5">
        <w:tc>
          <w:tcPr>
            <w:tcW w:w="486" w:type="dxa"/>
          </w:tcPr>
          <w:p w:rsidR="00C95003" w:rsidRPr="00C95003" w:rsidRDefault="00C95003" w:rsidP="00C95003">
            <w:pPr>
              <w:widowControl/>
              <w:spacing w:before="20" w:after="20" w:line="240" w:lineRule="exact"/>
              <w:rPr>
                <w:rFonts w:ascii="Segoe UI" w:eastAsia="Times New Roman" w:hAnsi="Segoe UI" w:cs="Segoe UI"/>
                <w:kern w:val="0"/>
                <w:sz w:val="17"/>
                <w:szCs w:val="17"/>
                <w:lang w:val="en-GB" w:eastAsia="en-US"/>
              </w:rPr>
            </w:pPr>
            <w:r w:rsidRPr="00C95003">
              <w:rPr>
                <w:rFonts w:ascii="Segoe UI" w:eastAsia="Times New Roman" w:hAnsi="Segoe UI" w:cs="Segoe UI"/>
                <w:kern w:val="0"/>
                <w:sz w:val="17"/>
                <w:szCs w:val="17"/>
                <w:lang w:val="en-GB" w:eastAsia="en-US"/>
              </w:rPr>
              <w:t>33</w:t>
            </w:r>
          </w:p>
        </w:tc>
        <w:tc>
          <w:tcPr>
            <w:tcW w:w="6471" w:type="dxa"/>
          </w:tcPr>
          <w:p w:rsidR="00C95003" w:rsidRPr="00C95003" w:rsidRDefault="00C95003" w:rsidP="00C95003">
            <w:pPr>
              <w:widowControl/>
              <w:spacing w:before="20" w:after="20" w:line="240" w:lineRule="exact"/>
              <w:ind w:leftChars="165" w:left="396"/>
              <w:rPr>
                <w:rFonts w:ascii="Segoe UI" w:eastAsia="Times New Roman" w:hAnsi="Segoe UI" w:cs="Segoe UI"/>
                <w:kern w:val="0"/>
                <w:sz w:val="17"/>
                <w:szCs w:val="17"/>
                <w:lang w:val="en-GB" w:eastAsia="en-US"/>
              </w:rPr>
            </w:pPr>
            <w:r w:rsidRPr="00C95003">
              <w:rPr>
                <w:rFonts w:ascii="Segoe UI" w:eastAsia="Times New Roman" w:hAnsi="Segoe UI" w:cs="Segoe UI"/>
                <w:kern w:val="0"/>
                <w:sz w:val="17"/>
                <w:szCs w:val="17"/>
                <w:lang w:val="en-GB" w:eastAsia="en-US"/>
              </w:rPr>
              <w:t>If write-down, permanent or temporary</w:t>
            </w:r>
          </w:p>
        </w:tc>
        <w:tc>
          <w:tcPr>
            <w:tcW w:w="2257" w:type="dxa"/>
            <w:tcBorders>
              <w:right w:val="single" w:sz="4" w:space="0" w:color="auto"/>
            </w:tcBorders>
          </w:tcPr>
          <w:p w:rsidR="00C95003" w:rsidRPr="00C95003" w:rsidRDefault="00C95003" w:rsidP="00C95003">
            <w:pPr>
              <w:widowControl/>
              <w:spacing w:before="20" w:after="20" w:line="240" w:lineRule="exact"/>
              <w:rPr>
                <w:rFonts w:ascii="Segoe UI" w:eastAsia="Times New Roman" w:hAnsi="Segoe UI" w:cs="Segoe UI"/>
                <w:kern w:val="0"/>
                <w:sz w:val="17"/>
                <w:szCs w:val="17"/>
                <w:lang w:val="en-GB" w:eastAsia="en-US"/>
              </w:rPr>
            </w:pPr>
          </w:p>
        </w:tc>
      </w:tr>
      <w:tr w:rsidR="00C95003" w:rsidRPr="00C95003" w:rsidTr="00297CA5">
        <w:tc>
          <w:tcPr>
            <w:tcW w:w="486" w:type="dxa"/>
          </w:tcPr>
          <w:p w:rsidR="00C95003" w:rsidRPr="00C95003" w:rsidRDefault="00C95003" w:rsidP="00C95003">
            <w:pPr>
              <w:widowControl/>
              <w:spacing w:before="20" w:after="20" w:line="240" w:lineRule="exact"/>
              <w:rPr>
                <w:rFonts w:ascii="Segoe UI" w:eastAsia="Times New Roman" w:hAnsi="Segoe UI" w:cs="Segoe UI"/>
                <w:kern w:val="0"/>
                <w:sz w:val="17"/>
                <w:szCs w:val="17"/>
                <w:lang w:val="en-GB" w:eastAsia="en-US"/>
              </w:rPr>
            </w:pPr>
            <w:r w:rsidRPr="00C95003">
              <w:rPr>
                <w:rFonts w:ascii="Segoe UI" w:eastAsia="Times New Roman" w:hAnsi="Segoe UI" w:cs="Segoe UI"/>
                <w:kern w:val="0"/>
                <w:sz w:val="17"/>
                <w:szCs w:val="17"/>
                <w:lang w:val="en-GB" w:eastAsia="en-US"/>
              </w:rPr>
              <w:t>34</w:t>
            </w:r>
          </w:p>
        </w:tc>
        <w:tc>
          <w:tcPr>
            <w:tcW w:w="6471" w:type="dxa"/>
          </w:tcPr>
          <w:p w:rsidR="00C95003" w:rsidRPr="00C95003" w:rsidRDefault="00C95003" w:rsidP="00C95003">
            <w:pPr>
              <w:widowControl/>
              <w:spacing w:before="20" w:after="20" w:line="240" w:lineRule="exact"/>
              <w:ind w:leftChars="378" w:left="907"/>
              <w:rPr>
                <w:rFonts w:ascii="Segoe UI" w:eastAsia="Times New Roman" w:hAnsi="Segoe UI" w:cs="Segoe UI"/>
                <w:kern w:val="0"/>
                <w:sz w:val="17"/>
                <w:szCs w:val="17"/>
                <w:lang w:val="en-GB" w:eastAsia="en-US"/>
              </w:rPr>
            </w:pPr>
            <w:r w:rsidRPr="00C95003">
              <w:rPr>
                <w:rFonts w:ascii="Segoe UI" w:eastAsia="Times New Roman" w:hAnsi="Segoe UI" w:cs="Segoe UI"/>
                <w:kern w:val="0"/>
                <w:sz w:val="17"/>
                <w:szCs w:val="17"/>
                <w:lang w:val="en-GB" w:eastAsia="en-US"/>
              </w:rPr>
              <w:t>If temporary write-down, description of write-up mechanism</w:t>
            </w:r>
          </w:p>
        </w:tc>
        <w:tc>
          <w:tcPr>
            <w:tcW w:w="2257" w:type="dxa"/>
            <w:tcBorders>
              <w:right w:val="single" w:sz="4" w:space="0" w:color="auto"/>
            </w:tcBorders>
          </w:tcPr>
          <w:p w:rsidR="00C95003" w:rsidRPr="00C95003" w:rsidRDefault="00C95003" w:rsidP="00C95003">
            <w:pPr>
              <w:widowControl/>
              <w:spacing w:before="20" w:after="20" w:line="240" w:lineRule="exact"/>
              <w:rPr>
                <w:rFonts w:ascii="Segoe UI" w:eastAsia="Times New Roman" w:hAnsi="Segoe UI" w:cs="Segoe UI"/>
                <w:kern w:val="0"/>
                <w:sz w:val="17"/>
                <w:szCs w:val="17"/>
                <w:lang w:val="en-GB" w:eastAsia="en-US"/>
              </w:rPr>
            </w:pPr>
          </w:p>
        </w:tc>
      </w:tr>
      <w:tr w:rsidR="00C95003" w:rsidRPr="00C95003" w:rsidTr="00297CA5">
        <w:tc>
          <w:tcPr>
            <w:tcW w:w="486" w:type="dxa"/>
          </w:tcPr>
          <w:p w:rsidR="00C95003" w:rsidRPr="00C95003" w:rsidRDefault="00C95003" w:rsidP="00C95003">
            <w:pPr>
              <w:widowControl/>
              <w:spacing w:before="20" w:after="20" w:line="240" w:lineRule="exact"/>
              <w:rPr>
                <w:rFonts w:ascii="Segoe UI" w:eastAsia="Times New Roman" w:hAnsi="Segoe UI" w:cs="Segoe UI"/>
                <w:kern w:val="0"/>
                <w:sz w:val="17"/>
                <w:szCs w:val="17"/>
                <w:lang w:val="en-GB" w:eastAsia="en-US"/>
              </w:rPr>
            </w:pPr>
            <w:r w:rsidRPr="00C95003">
              <w:rPr>
                <w:rFonts w:ascii="Segoe UI" w:eastAsia="Times New Roman" w:hAnsi="Segoe UI" w:cs="Segoe UI"/>
                <w:kern w:val="0"/>
                <w:sz w:val="17"/>
                <w:szCs w:val="17"/>
                <w:lang w:val="en-GB" w:eastAsia="en-US"/>
              </w:rPr>
              <w:t>34a</w:t>
            </w:r>
          </w:p>
        </w:tc>
        <w:tc>
          <w:tcPr>
            <w:tcW w:w="6471" w:type="dxa"/>
          </w:tcPr>
          <w:p w:rsidR="00C95003" w:rsidRPr="00C95003" w:rsidRDefault="00C95003" w:rsidP="00C95003">
            <w:pPr>
              <w:widowControl/>
              <w:spacing w:before="20" w:after="20" w:line="240" w:lineRule="exact"/>
              <w:rPr>
                <w:rFonts w:ascii="Segoe UI" w:eastAsia="Times New Roman" w:hAnsi="Segoe UI" w:cs="Segoe UI"/>
                <w:kern w:val="0"/>
                <w:sz w:val="17"/>
                <w:szCs w:val="17"/>
                <w:lang w:val="en-GB" w:eastAsia="en-US"/>
              </w:rPr>
            </w:pPr>
            <w:r w:rsidRPr="00C95003">
              <w:rPr>
                <w:rFonts w:ascii="Segoe UI" w:eastAsia="Times New Roman" w:hAnsi="Segoe UI" w:cs="Segoe UI"/>
                <w:kern w:val="0"/>
                <w:sz w:val="17"/>
                <w:szCs w:val="17"/>
                <w:lang w:val="en-GB" w:eastAsia="en-US"/>
              </w:rPr>
              <w:t xml:space="preserve">Type of subordination </w:t>
            </w:r>
          </w:p>
        </w:tc>
        <w:tc>
          <w:tcPr>
            <w:tcW w:w="2257" w:type="dxa"/>
            <w:tcBorders>
              <w:right w:val="single" w:sz="4" w:space="0" w:color="auto"/>
            </w:tcBorders>
          </w:tcPr>
          <w:p w:rsidR="00C95003" w:rsidRPr="00C95003" w:rsidRDefault="00C95003" w:rsidP="00C95003">
            <w:pPr>
              <w:widowControl/>
              <w:spacing w:before="20" w:after="20" w:line="240" w:lineRule="exact"/>
              <w:rPr>
                <w:rFonts w:ascii="Segoe UI" w:eastAsia="Times New Roman" w:hAnsi="Segoe UI" w:cs="Segoe UI"/>
                <w:kern w:val="0"/>
                <w:sz w:val="17"/>
                <w:szCs w:val="17"/>
                <w:lang w:val="en-GB" w:eastAsia="en-US"/>
              </w:rPr>
            </w:pPr>
          </w:p>
        </w:tc>
      </w:tr>
      <w:tr w:rsidR="00C95003" w:rsidRPr="00C95003" w:rsidTr="00297CA5">
        <w:tc>
          <w:tcPr>
            <w:tcW w:w="486" w:type="dxa"/>
          </w:tcPr>
          <w:p w:rsidR="00C95003" w:rsidRPr="00C95003" w:rsidRDefault="00C95003" w:rsidP="00C95003">
            <w:pPr>
              <w:widowControl/>
              <w:spacing w:before="20" w:after="20" w:line="240" w:lineRule="exact"/>
              <w:rPr>
                <w:rFonts w:ascii="Segoe UI" w:eastAsia="Times New Roman" w:hAnsi="Segoe UI" w:cs="Segoe UI"/>
                <w:kern w:val="0"/>
                <w:sz w:val="17"/>
                <w:szCs w:val="17"/>
                <w:lang w:val="en-GB" w:eastAsia="en-US"/>
              </w:rPr>
            </w:pPr>
            <w:r w:rsidRPr="00C95003">
              <w:rPr>
                <w:rFonts w:ascii="Segoe UI" w:eastAsia="Times New Roman" w:hAnsi="Segoe UI" w:cs="Segoe UI"/>
                <w:kern w:val="0"/>
                <w:sz w:val="17"/>
                <w:szCs w:val="17"/>
                <w:lang w:val="en-GB" w:eastAsia="en-US"/>
              </w:rPr>
              <w:t>35</w:t>
            </w:r>
          </w:p>
        </w:tc>
        <w:tc>
          <w:tcPr>
            <w:tcW w:w="6471" w:type="dxa"/>
          </w:tcPr>
          <w:p w:rsidR="00C95003" w:rsidRPr="00C95003" w:rsidRDefault="00C95003" w:rsidP="00C95003">
            <w:pPr>
              <w:widowControl/>
              <w:spacing w:before="20" w:after="20" w:line="240" w:lineRule="exact"/>
              <w:rPr>
                <w:rFonts w:ascii="Segoe UI" w:eastAsia="Times New Roman" w:hAnsi="Segoe UI" w:cs="Segoe UI"/>
                <w:kern w:val="0"/>
                <w:sz w:val="17"/>
                <w:szCs w:val="17"/>
                <w:lang w:val="en-GB" w:eastAsia="en-US"/>
              </w:rPr>
            </w:pPr>
            <w:r w:rsidRPr="00C95003">
              <w:rPr>
                <w:rFonts w:ascii="Segoe UI" w:eastAsia="Times New Roman" w:hAnsi="Segoe UI" w:cs="Segoe UI"/>
                <w:kern w:val="0"/>
                <w:sz w:val="17"/>
                <w:szCs w:val="17"/>
                <w:lang w:val="en-GB" w:eastAsia="en-US"/>
              </w:rPr>
              <w:t>Position in subordination hierarchy in liquidation (specify instrument type immediately senior to instrument in the insolvency creditor hierarchy of the legal entity concerned).</w:t>
            </w:r>
          </w:p>
        </w:tc>
        <w:tc>
          <w:tcPr>
            <w:tcW w:w="2257" w:type="dxa"/>
            <w:tcBorders>
              <w:right w:val="single" w:sz="4" w:space="0" w:color="auto"/>
            </w:tcBorders>
          </w:tcPr>
          <w:p w:rsidR="00C95003" w:rsidRPr="00C95003" w:rsidRDefault="00C95003" w:rsidP="00C95003">
            <w:pPr>
              <w:widowControl/>
              <w:spacing w:before="20" w:after="20" w:line="240" w:lineRule="exact"/>
              <w:rPr>
                <w:rFonts w:ascii="Segoe UI" w:eastAsia="Times New Roman" w:hAnsi="Segoe UI" w:cs="Segoe UI"/>
                <w:kern w:val="0"/>
                <w:sz w:val="17"/>
                <w:szCs w:val="17"/>
                <w:lang w:val="en-GB" w:eastAsia="en-US"/>
              </w:rPr>
            </w:pPr>
          </w:p>
        </w:tc>
      </w:tr>
      <w:tr w:rsidR="00C95003" w:rsidRPr="00C95003" w:rsidTr="00297CA5">
        <w:tc>
          <w:tcPr>
            <w:tcW w:w="486" w:type="dxa"/>
          </w:tcPr>
          <w:p w:rsidR="00C95003" w:rsidRPr="00C95003" w:rsidRDefault="00C95003" w:rsidP="00C95003">
            <w:pPr>
              <w:widowControl/>
              <w:spacing w:before="20" w:after="20" w:line="240" w:lineRule="exact"/>
              <w:rPr>
                <w:rFonts w:ascii="Segoe UI" w:eastAsia="Times New Roman" w:hAnsi="Segoe UI" w:cs="Segoe UI"/>
                <w:kern w:val="0"/>
                <w:sz w:val="17"/>
                <w:szCs w:val="17"/>
                <w:lang w:val="en-GB" w:eastAsia="en-US"/>
              </w:rPr>
            </w:pPr>
            <w:r w:rsidRPr="00C95003">
              <w:rPr>
                <w:rFonts w:ascii="Segoe UI" w:eastAsia="Times New Roman" w:hAnsi="Segoe UI" w:cs="Segoe UI"/>
                <w:kern w:val="0"/>
                <w:sz w:val="17"/>
                <w:szCs w:val="17"/>
                <w:lang w:val="en-GB" w:eastAsia="en-US"/>
              </w:rPr>
              <w:t>36</w:t>
            </w:r>
          </w:p>
        </w:tc>
        <w:tc>
          <w:tcPr>
            <w:tcW w:w="6471" w:type="dxa"/>
          </w:tcPr>
          <w:p w:rsidR="00C95003" w:rsidRPr="00C95003" w:rsidRDefault="00C95003" w:rsidP="00C95003">
            <w:pPr>
              <w:widowControl/>
              <w:spacing w:before="20" w:after="20" w:line="240" w:lineRule="exact"/>
              <w:rPr>
                <w:rFonts w:ascii="Segoe UI" w:eastAsia="Times New Roman" w:hAnsi="Segoe UI" w:cs="Segoe UI"/>
                <w:kern w:val="0"/>
                <w:sz w:val="17"/>
                <w:szCs w:val="17"/>
                <w:lang w:val="en-GB" w:eastAsia="en-US"/>
              </w:rPr>
            </w:pPr>
            <w:r w:rsidRPr="00C95003">
              <w:rPr>
                <w:rFonts w:ascii="Segoe UI" w:eastAsia="Times New Roman" w:hAnsi="Segoe UI" w:cs="Segoe UI"/>
                <w:kern w:val="0"/>
                <w:sz w:val="17"/>
                <w:szCs w:val="17"/>
                <w:lang w:val="en-GB" w:eastAsia="en-US"/>
              </w:rPr>
              <w:t>Non-compliant transitioned features</w:t>
            </w:r>
          </w:p>
        </w:tc>
        <w:tc>
          <w:tcPr>
            <w:tcW w:w="2257" w:type="dxa"/>
            <w:tcBorders>
              <w:right w:val="single" w:sz="4" w:space="0" w:color="auto"/>
            </w:tcBorders>
          </w:tcPr>
          <w:p w:rsidR="00C95003" w:rsidRPr="00C95003" w:rsidRDefault="00C95003" w:rsidP="00C95003">
            <w:pPr>
              <w:widowControl/>
              <w:spacing w:before="20" w:after="20" w:line="240" w:lineRule="exact"/>
              <w:rPr>
                <w:rFonts w:ascii="Segoe UI" w:eastAsia="Times New Roman" w:hAnsi="Segoe UI" w:cs="Segoe UI"/>
                <w:kern w:val="0"/>
                <w:sz w:val="17"/>
                <w:szCs w:val="17"/>
                <w:lang w:val="en-GB" w:eastAsia="en-US"/>
              </w:rPr>
            </w:pPr>
          </w:p>
        </w:tc>
      </w:tr>
      <w:tr w:rsidR="00C95003" w:rsidRPr="00C95003" w:rsidTr="00297CA5">
        <w:tc>
          <w:tcPr>
            <w:tcW w:w="486" w:type="dxa"/>
          </w:tcPr>
          <w:p w:rsidR="00C95003" w:rsidRPr="00C95003" w:rsidRDefault="00C95003" w:rsidP="00C95003">
            <w:pPr>
              <w:widowControl/>
              <w:spacing w:before="20" w:after="20" w:line="240" w:lineRule="exact"/>
              <w:rPr>
                <w:rFonts w:ascii="Segoe UI" w:eastAsia="Times New Roman" w:hAnsi="Segoe UI" w:cs="Segoe UI"/>
                <w:kern w:val="0"/>
                <w:sz w:val="17"/>
                <w:szCs w:val="17"/>
                <w:lang w:val="en-GB" w:eastAsia="en-US"/>
              </w:rPr>
            </w:pPr>
            <w:r w:rsidRPr="00C95003">
              <w:rPr>
                <w:rFonts w:ascii="Segoe UI" w:eastAsia="Times New Roman" w:hAnsi="Segoe UI" w:cs="Segoe UI"/>
                <w:kern w:val="0"/>
                <w:sz w:val="17"/>
                <w:szCs w:val="17"/>
                <w:lang w:val="en-GB" w:eastAsia="en-US"/>
              </w:rPr>
              <w:t>37</w:t>
            </w:r>
          </w:p>
        </w:tc>
        <w:tc>
          <w:tcPr>
            <w:tcW w:w="6471" w:type="dxa"/>
          </w:tcPr>
          <w:p w:rsidR="00C95003" w:rsidRPr="00C95003" w:rsidRDefault="00C95003" w:rsidP="00C95003">
            <w:pPr>
              <w:widowControl/>
              <w:spacing w:before="20" w:after="20" w:line="240" w:lineRule="exact"/>
              <w:rPr>
                <w:rFonts w:ascii="Segoe UI" w:eastAsia="Times New Roman" w:hAnsi="Segoe UI" w:cs="Segoe UI"/>
                <w:kern w:val="0"/>
                <w:sz w:val="17"/>
                <w:szCs w:val="17"/>
                <w:lang w:val="en-GB" w:eastAsia="en-US"/>
              </w:rPr>
            </w:pPr>
            <w:r w:rsidRPr="00C95003">
              <w:rPr>
                <w:rFonts w:ascii="Segoe UI" w:eastAsia="Times New Roman" w:hAnsi="Segoe UI" w:cs="Segoe UI"/>
                <w:kern w:val="0"/>
                <w:sz w:val="17"/>
                <w:szCs w:val="17"/>
                <w:lang w:val="en-GB" w:eastAsia="en-US"/>
              </w:rPr>
              <w:t>If yes, specify non-compliant features</w:t>
            </w:r>
          </w:p>
        </w:tc>
        <w:tc>
          <w:tcPr>
            <w:tcW w:w="2257" w:type="dxa"/>
            <w:tcBorders>
              <w:right w:val="single" w:sz="4" w:space="0" w:color="auto"/>
            </w:tcBorders>
          </w:tcPr>
          <w:p w:rsidR="00C95003" w:rsidRPr="00C95003" w:rsidRDefault="00C95003" w:rsidP="00C95003">
            <w:pPr>
              <w:widowControl/>
              <w:spacing w:before="20" w:after="20" w:line="240" w:lineRule="exact"/>
              <w:rPr>
                <w:rFonts w:ascii="Segoe UI" w:eastAsia="Times New Roman" w:hAnsi="Segoe UI" w:cs="Segoe UI"/>
                <w:kern w:val="0"/>
                <w:sz w:val="17"/>
                <w:szCs w:val="17"/>
                <w:lang w:val="en-GB" w:eastAsia="en-US"/>
              </w:rPr>
            </w:pPr>
          </w:p>
        </w:tc>
      </w:tr>
      <w:tr w:rsidR="00C95003" w:rsidRPr="00C95003" w:rsidTr="00297CA5">
        <w:tblPrEx>
          <w:tblBorders>
            <w:left w:val="single" w:sz="4" w:space="0" w:color="auto"/>
            <w:right w:val="single" w:sz="4" w:space="0" w:color="auto"/>
          </w:tblBorders>
        </w:tblPrEx>
        <w:tc>
          <w:tcPr>
            <w:tcW w:w="9214" w:type="dxa"/>
            <w:gridSpan w:val="3"/>
            <w:tcBorders>
              <w:left w:val="nil"/>
            </w:tcBorders>
          </w:tcPr>
          <w:p w:rsidR="00C95003" w:rsidRPr="00C95003" w:rsidRDefault="00C95003" w:rsidP="00C95003">
            <w:pPr>
              <w:widowControl/>
              <w:snapToGrid w:val="0"/>
              <w:spacing w:before="40" w:after="40" w:line="240" w:lineRule="exact"/>
              <w:ind w:leftChars="-54" w:left="-130"/>
              <w:jc w:val="both"/>
              <w:rPr>
                <w:rFonts w:ascii="Segoe UI" w:eastAsia="Times New Roman" w:hAnsi="Segoe UI" w:cs="Segoe UI"/>
                <w:i/>
                <w:kern w:val="0"/>
                <w:sz w:val="17"/>
                <w:szCs w:val="17"/>
                <w:lang w:val="en-GB" w:eastAsia="it-IT"/>
              </w:rPr>
            </w:pPr>
            <w:r w:rsidRPr="00C95003">
              <w:rPr>
                <w:rFonts w:ascii="Segoe UI" w:eastAsia="Times New Roman" w:hAnsi="Segoe UI" w:cs="Segoe UI"/>
                <w:i/>
                <w:kern w:val="0"/>
                <w:sz w:val="17"/>
                <w:szCs w:val="17"/>
                <w:lang w:val="en-GB" w:eastAsia="it-IT"/>
              </w:rPr>
              <w:lastRenderedPageBreak/>
              <w:t>Points to note:</w:t>
            </w:r>
          </w:p>
          <w:p w:rsidR="00C95003" w:rsidRPr="00C95003" w:rsidRDefault="00C95003" w:rsidP="00C95003">
            <w:pPr>
              <w:widowControl/>
              <w:numPr>
                <w:ilvl w:val="0"/>
                <w:numId w:val="2"/>
              </w:numPr>
              <w:tabs>
                <w:tab w:val="left" w:pos="317"/>
              </w:tabs>
              <w:spacing w:after="60" w:line="240" w:lineRule="exact"/>
              <w:ind w:left="317" w:hanging="425"/>
              <w:jc w:val="both"/>
              <w:rPr>
                <w:rFonts w:ascii="Segoe UI" w:hAnsi="Segoe UI" w:cs="Segoe UI"/>
                <w:i/>
                <w:sz w:val="17"/>
                <w:szCs w:val="17"/>
                <w:lang w:val="en-GB"/>
              </w:rPr>
            </w:pPr>
            <w:r w:rsidRPr="00C95003">
              <w:rPr>
                <w:rFonts w:ascii="Segoe UI" w:hAnsi="Segoe UI" w:cs="Segoe UI"/>
                <w:i/>
                <w:sz w:val="17"/>
                <w:szCs w:val="17"/>
                <w:lang w:val="en-GB"/>
              </w:rPr>
              <w:t xml:space="preserve">A resolution entity or a material subsidiary should cover all instruments included in its external or internal loss-absorbing capacity respectively, on a consolidated basis and, as applicable, on a solo basis or solo-consolidated basis (as the case requires).  A resolution entity or material subsidiary that is a Hong Kong-incorporated AI may complete Table CCA for all CET1, AT1 and T2 capital instruments, as applicable, that are included in both its regulatory capital and external or internal loss-absorbing capacity, as the case requires, in place of this template.  </w:t>
            </w:r>
          </w:p>
          <w:p w:rsidR="00C95003" w:rsidRPr="00C95003" w:rsidRDefault="00C95003" w:rsidP="00C95003">
            <w:pPr>
              <w:widowControl/>
              <w:numPr>
                <w:ilvl w:val="0"/>
                <w:numId w:val="2"/>
              </w:numPr>
              <w:tabs>
                <w:tab w:val="left" w:pos="317"/>
              </w:tabs>
              <w:spacing w:after="60" w:line="240" w:lineRule="exact"/>
              <w:ind w:left="317" w:hanging="425"/>
              <w:jc w:val="both"/>
              <w:rPr>
                <w:rFonts w:ascii="Segoe UI" w:hAnsi="Segoe UI" w:cs="Segoe UI"/>
                <w:i/>
                <w:sz w:val="17"/>
                <w:szCs w:val="17"/>
                <w:lang w:val="en-GB"/>
              </w:rPr>
            </w:pPr>
            <w:r w:rsidRPr="00C95003">
              <w:rPr>
                <w:rFonts w:ascii="Segoe UI" w:hAnsi="Segoe UI" w:cs="Segoe UI"/>
                <w:i/>
                <w:sz w:val="17"/>
                <w:szCs w:val="17"/>
                <w:lang w:val="en-GB"/>
              </w:rPr>
              <w:t>This template may be posted on the internet website of a group company of the resolution entity or material subsidiary, instead of that of the resolution entity or material subsidiary, upon approval by the resolution authority under the LAC Rules.  However, for disclosure by a resolution entity or material subsidiary that is a Hong Kong-incorporated AI with respect to CET1, AT1 and T2 capital instruments that are included in both its regulatory capital and external or internal loss-absorbing capacity, the reference to “group company” should be interpreted as a reference to the parent bank only (but not also any other group company) of the resolution entity or material subsidiary, consistent with requirements under the Banking (Disclosure) Rules.</w:t>
            </w:r>
          </w:p>
          <w:p w:rsidR="00C95003" w:rsidRPr="00C95003" w:rsidRDefault="00C95003" w:rsidP="00C95003">
            <w:pPr>
              <w:widowControl/>
              <w:numPr>
                <w:ilvl w:val="0"/>
                <w:numId w:val="2"/>
              </w:numPr>
              <w:tabs>
                <w:tab w:val="left" w:pos="317"/>
              </w:tabs>
              <w:spacing w:after="60" w:line="240" w:lineRule="exact"/>
              <w:ind w:left="317" w:hanging="425"/>
              <w:jc w:val="both"/>
              <w:rPr>
                <w:rFonts w:ascii="Segoe UI" w:hAnsi="Segoe UI" w:cs="Segoe UI"/>
                <w:i/>
                <w:sz w:val="17"/>
                <w:szCs w:val="17"/>
                <w:lang w:val="en-GB"/>
              </w:rPr>
            </w:pPr>
            <w:r w:rsidRPr="00C95003">
              <w:rPr>
                <w:rFonts w:ascii="Segoe UI" w:hAnsi="Segoe UI" w:cs="Segoe UI"/>
                <w:i/>
                <w:sz w:val="17"/>
                <w:szCs w:val="17"/>
                <w:lang w:val="en-GB"/>
              </w:rPr>
              <w:t>A resolution entity or material subsidiary should report the main features of each outstanding regulatory capital instrument or non-capital LAC debt instrument.  For any item that is not applicable for a particular instrument, “NA” should be entered.</w:t>
            </w:r>
          </w:p>
          <w:p w:rsidR="00C95003" w:rsidRPr="00C95003" w:rsidRDefault="00C95003" w:rsidP="00C95003">
            <w:pPr>
              <w:widowControl/>
              <w:numPr>
                <w:ilvl w:val="0"/>
                <w:numId w:val="2"/>
              </w:numPr>
              <w:spacing w:after="60" w:line="240" w:lineRule="exact"/>
              <w:ind w:left="317" w:hanging="425"/>
              <w:jc w:val="both"/>
              <w:rPr>
                <w:rFonts w:ascii="Segoe UI" w:hAnsi="Segoe UI" w:cs="Segoe UI"/>
                <w:i/>
                <w:sz w:val="17"/>
                <w:szCs w:val="17"/>
                <w:lang w:val="en-GB"/>
              </w:rPr>
            </w:pPr>
            <w:r w:rsidRPr="00C95003">
              <w:rPr>
                <w:rFonts w:ascii="Segoe UI" w:hAnsi="Segoe UI" w:cs="Segoe UI"/>
                <w:i/>
                <w:sz w:val="17"/>
                <w:szCs w:val="17"/>
                <w:lang w:val="en-GB"/>
              </w:rPr>
              <w:t>In order to provide a “main features report” that summarises all of the regulatory capital instruments and non-capital LAC debt instrument of the banking group, a resolution entity or material subsidiary should group the instruments under three sections (horizontally along the template) to indicate whether they are for meeting (i) only regulatory capital (but not LAC) requirements; (ii) both regulatory capital and LAC requirements; or (iii) only LAC (but not regulatory capital) requirements.  The resolution entity or material subsidiary should report each instrument in a separate column of this template (by adding column (b), column (c) and so on) under each of the three sections according to the relevant grouping.</w:t>
            </w:r>
          </w:p>
          <w:p w:rsidR="00C95003" w:rsidRPr="00C95003" w:rsidRDefault="00C95003" w:rsidP="00C95003">
            <w:pPr>
              <w:widowControl/>
              <w:numPr>
                <w:ilvl w:val="0"/>
                <w:numId w:val="2"/>
              </w:numPr>
              <w:spacing w:after="60" w:line="240" w:lineRule="exact"/>
              <w:ind w:left="317" w:hanging="425"/>
              <w:jc w:val="both"/>
              <w:rPr>
                <w:sz w:val="17"/>
                <w:szCs w:val="17"/>
                <w:lang w:val="en-GB"/>
              </w:rPr>
            </w:pPr>
            <w:r w:rsidRPr="00C95003">
              <w:rPr>
                <w:rFonts w:ascii="Segoe UI" w:hAnsi="Segoe UI" w:cs="Segoe UI"/>
                <w:i/>
                <w:sz w:val="17"/>
                <w:szCs w:val="17"/>
                <w:lang w:val="en-GB"/>
              </w:rPr>
              <w:t>A resolution entity or material subsidiary should select one of the standard options in the list as the input for a particular cell, where relevant.  The following table provides a more detailed explanation of reporting requirements for each of the cells, and, where relevant, the list of standard options from which the resolution entity or material subsidiary should select as the input for a particular cell.</w:t>
            </w:r>
          </w:p>
        </w:tc>
      </w:tr>
    </w:tbl>
    <w:p w:rsidR="00C95003" w:rsidRPr="00C95003" w:rsidRDefault="00C95003" w:rsidP="00C95003">
      <w:pPr>
        <w:widowControl/>
        <w:rPr>
          <w:rFonts w:ascii="Segoe UI" w:eastAsia="Times New Roman" w:hAnsi="Segoe UI" w:cs="Times New Roman"/>
          <w:kern w:val="0"/>
          <w:sz w:val="20"/>
          <w:szCs w:val="20"/>
          <w:lang w:val="en-GB" w:eastAsia="en-US"/>
        </w:rPr>
      </w:pPr>
    </w:p>
    <w:tbl>
      <w:tblPr>
        <w:tblStyle w:val="TableGrid"/>
        <w:tblW w:w="9214" w:type="dxa"/>
        <w:tblInd w:w="-459" w:type="dxa"/>
        <w:tblLook w:val="04A0" w:firstRow="1" w:lastRow="0" w:firstColumn="1" w:lastColumn="0" w:noHBand="0" w:noVBand="1"/>
      </w:tblPr>
      <w:tblGrid>
        <w:gridCol w:w="486"/>
        <w:gridCol w:w="8728"/>
      </w:tblGrid>
      <w:tr w:rsidR="00C95003" w:rsidRPr="00C95003" w:rsidTr="00297CA5">
        <w:tc>
          <w:tcPr>
            <w:tcW w:w="9214" w:type="dxa"/>
            <w:gridSpan w:val="2"/>
            <w:shd w:val="clear" w:color="auto" w:fill="BFBFBF" w:themeFill="background1" w:themeFillShade="BF"/>
          </w:tcPr>
          <w:p w:rsidR="00C95003" w:rsidRPr="00C95003" w:rsidRDefault="00C95003" w:rsidP="00C95003">
            <w:pPr>
              <w:keepNext/>
              <w:widowControl/>
              <w:spacing w:before="40" w:after="40"/>
              <w:jc w:val="both"/>
              <w:rPr>
                <w:rFonts w:ascii="Segoe UI" w:eastAsia="新細明體" w:hAnsi="Segoe UI" w:cs="Times New Roman"/>
                <w:b/>
                <w:kern w:val="0"/>
                <w:sz w:val="17"/>
                <w:szCs w:val="20"/>
                <w:lang w:val="en-GB" w:eastAsia="en-GB"/>
              </w:rPr>
            </w:pPr>
            <w:r w:rsidRPr="00C95003">
              <w:rPr>
                <w:rFonts w:ascii="Segoe UI" w:eastAsia="新細明體" w:hAnsi="Segoe UI" w:cs="Times New Roman"/>
                <w:b/>
                <w:kern w:val="0"/>
                <w:sz w:val="17"/>
                <w:szCs w:val="20"/>
                <w:lang w:val="en-GB" w:eastAsia="en-GB"/>
              </w:rPr>
              <w:t>Explanatory Note</w:t>
            </w:r>
          </w:p>
        </w:tc>
      </w:tr>
      <w:tr w:rsidR="00C95003" w:rsidRPr="00C95003" w:rsidTr="00297CA5">
        <w:tc>
          <w:tcPr>
            <w:tcW w:w="9214" w:type="dxa"/>
            <w:gridSpan w:val="2"/>
            <w:shd w:val="clear" w:color="auto" w:fill="F2F2F2" w:themeFill="background1" w:themeFillShade="F2"/>
          </w:tcPr>
          <w:p w:rsidR="00C95003" w:rsidRPr="00C95003" w:rsidRDefault="00C95003" w:rsidP="00C95003">
            <w:pPr>
              <w:keepNext/>
              <w:widowControl/>
              <w:spacing w:before="40" w:after="40"/>
              <w:jc w:val="both"/>
              <w:rPr>
                <w:rFonts w:ascii="Segoe UI" w:eastAsia="新細明體" w:hAnsi="Segoe UI" w:cs="Times New Roman"/>
                <w:b/>
                <w:kern w:val="0"/>
                <w:sz w:val="17"/>
                <w:szCs w:val="20"/>
                <w:lang w:val="en-GB" w:eastAsia="en-GB"/>
              </w:rPr>
            </w:pPr>
            <w:r w:rsidRPr="00C95003">
              <w:rPr>
                <w:rFonts w:ascii="Segoe UI" w:eastAsia="新細明體" w:hAnsi="Segoe UI" w:cs="Times New Roman"/>
                <w:b/>
                <w:kern w:val="0"/>
                <w:sz w:val="17"/>
                <w:szCs w:val="20"/>
                <w:lang w:val="en-GB" w:eastAsia="en-GB"/>
              </w:rPr>
              <w:t>Rows</w:t>
            </w:r>
          </w:p>
        </w:tc>
      </w:tr>
      <w:tr w:rsidR="00C95003" w:rsidRPr="00C95003" w:rsidTr="00297CA5">
        <w:tc>
          <w:tcPr>
            <w:tcW w:w="486" w:type="dxa"/>
          </w:tcPr>
          <w:p w:rsidR="00C95003" w:rsidRPr="00C95003" w:rsidRDefault="00C95003" w:rsidP="00C95003">
            <w:pPr>
              <w:widowControl/>
              <w:rPr>
                <w:rFonts w:ascii="Segoe UI" w:eastAsia="Times New Roman" w:hAnsi="Segoe UI" w:cs="Segoe UI"/>
                <w:kern w:val="0"/>
                <w:sz w:val="17"/>
                <w:szCs w:val="17"/>
                <w:lang w:val="en-GB" w:eastAsia="en-US"/>
              </w:rPr>
            </w:pPr>
            <w:r w:rsidRPr="00C95003">
              <w:rPr>
                <w:rFonts w:ascii="Segoe UI" w:eastAsia="Times New Roman" w:hAnsi="Segoe UI" w:cs="Segoe UI"/>
                <w:kern w:val="0"/>
                <w:sz w:val="17"/>
                <w:szCs w:val="17"/>
                <w:lang w:val="en-GB" w:eastAsia="en-US"/>
              </w:rPr>
              <w:t>1</w:t>
            </w:r>
          </w:p>
        </w:tc>
        <w:tc>
          <w:tcPr>
            <w:tcW w:w="8728" w:type="dxa"/>
          </w:tcPr>
          <w:p w:rsidR="00C95003" w:rsidRPr="00C95003" w:rsidRDefault="00C95003" w:rsidP="00C95003">
            <w:pPr>
              <w:widowControl/>
              <w:jc w:val="both"/>
              <w:rPr>
                <w:rFonts w:ascii="Segoe UI" w:eastAsia="Times New Roman" w:hAnsi="Segoe UI" w:cs="Segoe UI"/>
                <w:kern w:val="0"/>
                <w:sz w:val="17"/>
                <w:szCs w:val="20"/>
                <w:lang w:val="en-GB" w:eastAsia="en-GB"/>
              </w:rPr>
            </w:pPr>
            <w:r w:rsidRPr="00C95003">
              <w:rPr>
                <w:rFonts w:ascii="Segoe UI" w:eastAsia="Times New Roman" w:hAnsi="Segoe UI" w:cs="Segoe UI"/>
                <w:kern w:val="0"/>
                <w:sz w:val="17"/>
                <w:szCs w:val="20"/>
                <w:lang w:val="en-GB" w:eastAsia="en-GB"/>
              </w:rPr>
              <w:t>The legal entity which is the issuer of the instrument.</w:t>
            </w:r>
          </w:p>
          <w:p w:rsidR="00C95003" w:rsidRPr="00C95003" w:rsidRDefault="00C95003" w:rsidP="00C95003">
            <w:pPr>
              <w:widowControl/>
              <w:jc w:val="both"/>
              <w:rPr>
                <w:rFonts w:ascii="Segoe UI" w:eastAsia="Times New Roman" w:hAnsi="Segoe UI" w:cs="Segoe UI"/>
                <w:kern w:val="0"/>
                <w:sz w:val="17"/>
                <w:szCs w:val="17"/>
                <w:lang w:val="en-GB" w:eastAsia="en-US"/>
              </w:rPr>
            </w:pPr>
            <w:r w:rsidRPr="00C95003">
              <w:rPr>
                <w:rFonts w:ascii="Segoe UI" w:eastAsia="Times New Roman" w:hAnsi="Segoe UI" w:cs="Segoe UI"/>
                <w:i/>
                <w:kern w:val="0"/>
                <w:sz w:val="17"/>
                <w:szCs w:val="20"/>
                <w:lang w:val="en-GB" w:eastAsia="en-GB"/>
              </w:rPr>
              <w:t>Free text</w:t>
            </w:r>
          </w:p>
        </w:tc>
      </w:tr>
      <w:tr w:rsidR="00C95003" w:rsidRPr="00C95003" w:rsidTr="00297CA5">
        <w:tc>
          <w:tcPr>
            <w:tcW w:w="486" w:type="dxa"/>
          </w:tcPr>
          <w:p w:rsidR="00C95003" w:rsidRPr="00C95003" w:rsidRDefault="00C95003" w:rsidP="00C95003">
            <w:pPr>
              <w:widowControl/>
              <w:rPr>
                <w:rFonts w:ascii="Segoe UI" w:eastAsia="Times New Roman" w:hAnsi="Segoe UI" w:cs="Segoe UI"/>
                <w:kern w:val="0"/>
                <w:sz w:val="17"/>
                <w:szCs w:val="17"/>
                <w:lang w:val="en-GB" w:eastAsia="en-US"/>
              </w:rPr>
            </w:pPr>
            <w:r w:rsidRPr="00C95003">
              <w:rPr>
                <w:rFonts w:ascii="Segoe UI" w:eastAsia="Times New Roman" w:hAnsi="Segoe UI" w:cs="Segoe UI"/>
                <w:kern w:val="0"/>
                <w:sz w:val="17"/>
                <w:szCs w:val="17"/>
                <w:lang w:val="en-GB" w:eastAsia="en-US"/>
              </w:rPr>
              <w:t>2</w:t>
            </w:r>
          </w:p>
        </w:tc>
        <w:tc>
          <w:tcPr>
            <w:tcW w:w="8728" w:type="dxa"/>
          </w:tcPr>
          <w:p w:rsidR="00C95003" w:rsidRPr="00C95003" w:rsidRDefault="00C95003" w:rsidP="00C95003">
            <w:pPr>
              <w:widowControl/>
              <w:jc w:val="both"/>
              <w:rPr>
                <w:rFonts w:ascii="Segoe UI" w:eastAsia="Times New Roman" w:hAnsi="Segoe UI" w:cs="Segoe UI"/>
                <w:kern w:val="0"/>
                <w:sz w:val="17"/>
                <w:szCs w:val="20"/>
                <w:lang w:val="en-GB" w:eastAsia="en-GB"/>
              </w:rPr>
            </w:pPr>
            <w:r w:rsidRPr="00C95003">
              <w:rPr>
                <w:rFonts w:ascii="Segoe UI" w:eastAsia="Times New Roman" w:hAnsi="Segoe UI" w:cs="Segoe UI"/>
                <w:kern w:val="0"/>
                <w:sz w:val="17"/>
                <w:szCs w:val="17"/>
                <w:lang w:val="en-GB" w:eastAsia="en-US"/>
              </w:rPr>
              <w:t>Unique identifier (e.g. CUSIP, ISIN or Bloomberg identifier for private placement).</w:t>
            </w:r>
          </w:p>
          <w:p w:rsidR="00C95003" w:rsidRPr="00C95003" w:rsidRDefault="00C95003" w:rsidP="00C95003">
            <w:pPr>
              <w:widowControl/>
              <w:jc w:val="both"/>
              <w:rPr>
                <w:rFonts w:ascii="Segoe UI" w:eastAsia="Times New Roman" w:hAnsi="Segoe UI" w:cs="Segoe UI"/>
                <w:kern w:val="0"/>
                <w:sz w:val="17"/>
                <w:szCs w:val="17"/>
                <w:lang w:val="en-GB" w:eastAsia="en-US"/>
              </w:rPr>
            </w:pPr>
            <w:r w:rsidRPr="00C95003">
              <w:rPr>
                <w:rFonts w:ascii="Segoe UI" w:eastAsia="Times New Roman" w:hAnsi="Segoe UI" w:cs="Segoe UI"/>
                <w:i/>
                <w:kern w:val="0"/>
                <w:sz w:val="17"/>
                <w:szCs w:val="20"/>
                <w:lang w:val="en-GB" w:eastAsia="en-GB"/>
              </w:rPr>
              <w:t>Free text</w:t>
            </w:r>
          </w:p>
        </w:tc>
      </w:tr>
      <w:tr w:rsidR="00C95003" w:rsidRPr="00C95003" w:rsidTr="00297CA5">
        <w:tc>
          <w:tcPr>
            <w:tcW w:w="486" w:type="dxa"/>
          </w:tcPr>
          <w:p w:rsidR="00C95003" w:rsidRPr="00C95003" w:rsidRDefault="00C95003" w:rsidP="00C95003">
            <w:pPr>
              <w:widowControl/>
              <w:rPr>
                <w:rFonts w:ascii="Segoe UI" w:eastAsia="Times New Roman" w:hAnsi="Segoe UI" w:cs="Segoe UI"/>
                <w:kern w:val="0"/>
                <w:sz w:val="17"/>
                <w:szCs w:val="17"/>
                <w:lang w:val="en-GB" w:eastAsia="en-US"/>
              </w:rPr>
            </w:pPr>
            <w:r w:rsidRPr="00C95003">
              <w:rPr>
                <w:rFonts w:ascii="Segoe UI" w:eastAsia="Times New Roman" w:hAnsi="Segoe UI" w:cs="Segoe UI"/>
                <w:kern w:val="0"/>
                <w:sz w:val="17"/>
                <w:szCs w:val="17"/>
                <w:lang w:val="en-GB" w:eastAsia="en-US"/>
              </w:rPr>
              <w:t>3</w:t>
            </w:r>
          </w:p>
        </w:tc>
        <w:tc>
          <w:tcPr>
            <w:tcW w:w="8728" w:type="dxa"/>
          </w:tcPr>
          <w:p w:rsidR="00C95003" w:rsidRPr="00C95003" w:rsidRDefault="00C95003" w:rsidP="00C95003">
            <w:pPr>
              <w:widowControl/>
              <w:jc w:val="both"/>
              <w:rPr>
                <w:rFonts w:ascii="Segoe UI" w:eastAsia="Times New Roman" w:hAnsi="Segoe UI" w:cs="Segoe UI"/>
                <w:kern w:val="0"/>
                <w:sz w:val="17"/>
                <w:szCs w:val="20"/>
                <w:lang w:val="en-GB" w:eastAsia="en-GB"/>
              </w:rPr>
            </w:pPr>
            <w:r w:rsidRPr="00C95003">
              <w:rPr>
                <w:rFonts w:ascii="Segoe UI" w:eastAsia="Times New Roman" w:hAnsi="Segoe UI" w:cs="Segoe UI"/>
                <w:kern w:val="0"/>
                <w:sz w:val="17"/>
                <w:szCs w:val="20"/>
                <w:lang w:val="en-GB" w:eastAsia="en-GB"/>
              </w:rPr>
              <w:t>Specifies the governing law(s) of the instrument.</w:t>
            </w:r>
          </w:p>
          <w:p w:rsidR="00C95003" w:rsidRPr="00C95003" w:rsidRDefault="00C95003" w:rsidP="00C95003">
            <w:pPr>
              <w:widowControl/>
              <w:jc w:val="both"/>
              <w:rPr>
                <w:rFonts w:ascii="Segoe UI" w:eastAsia="Times New Roman" w:hAnsi="Segoe UI" w:cs="Segoe UI"/>
                <w:kern w:val="0"/>
                <w:sz w:val="17"/>
                <w:szCs w:val="17"/>
                <w:lang w:val="en-GB" w:eastAsia="en-US"/>
              </w:rPr>
            </w:pPr>
            <w:r w:rsidRPr="00C95003">
              <w:rPr>
                <w:rFonts w:ascii="Segoe UI" w:eastAsia="Times New Roman" w:hAnsi="Segoe UI" w:cs="Segoe UI"/>
                <w:i/>
                <w:kern w:val="0"/>
                <w:sz w:val="17"/>
                <w:szCs w:val="20"/>
                <w:lang w:val="en-GB" w:eastAsia="en-GB"/>
              </w:rPr>
              <w:t>Free text</w:t>
            </w:r>
          </w:p>
        </w:tc>
      </w:tr>
      <w:tr w:rsidR="00C95003" w:rsidRPr="00C95003" w:rsidTr="00297CA5">
        <w:tc>
          <w:tcPr>
            <w:tcW w:w="486" w:type="dxa"/>
          </w:tcPr>
          <w:p w:rsidR="00C95003" w:rsidRPr="00C95003" w:rsidRDefault="00C95003" w:rsidP="00C95003">
            <w:pPr>
              <w:widowControl/>
              <w:rPr>
                <w:rFonts w:ascii="Segoe UI" w:eastAsia="Times New Roman" w:hAnsi="Segoe UI" w:cs="Segoe UI"/>
                <w:kern w:val="0"/>
                <w:sz w:val="17"/>
                <w:szCs w:val="17"/>
                <w:lang w:val="en-GB" w:eastAsia="en-US"/>
              </w:rPr>
            </w:pPr>
            <w:r w:rsidRPr="00C95003">
              <w:rPr>
                <w:rFonts w:ascii="Segoe UI" w:eastAsia="Times New Roman" w:hAnsi="Segoe UI" w:cs="Segoe UI"/>
                <w:kern w:val="0"/>
                <w:sz w:val="17"/>
                <w:szCs w:val="17"/>
                <w:lang w:val="en-GB" w:eastAsia="en-US"/>
              </w:rPr>
              <w:t>3a</w:t>
            </w:r>
          </w:p>
        </w:tc>
        <w:tc>
          <w:tcPr>
            <w:tcW w:w="8728" w:type="dxa"/>
          </w:tcPr>
          <w:p w:rsidR="00C95003" w:rsidRPr="00C95003" w:rsidRDefault="00C95003" w:rsidP="00C95003">
            <w:pPr>
              <w:widowControl/>
              <w:jc w:val="both"/>
              <w:rPr>
                <w:rFonts w:ascii="Segoe UI" w:eastAsia="Times New Roman" w:hAnsi="Segoe UI" w:cs="Segoe UI"/>
                <w:kern w:val="0"/>
                <w:sz w:val="17"/>
                <w:szCs w:val="17"/>
                <w:lang w:val="en-GB" w:eastAsia="en-US"/>
              </w:rPr>
            </w:pPr>
            <w:r w:rsidRPr="00C95003">
              <w:rPr>
                <w:rFonts w:ascii="Segoe UI" w:eastAsia="Times New Roman" w:hAnsi="Segoe UI" w:cs="Segoe UI"/>
                <w:kern w:val="0"/>
                <w:sz w:val="17"/>
                <w:szCs w:val="17"/>
                <w:lang w:val="en-GB" w:eastAsia="en-US"/>
              </w:rPr>
              <w:t xml:space="preserve">Non-capital LAC debt instruments governed by non-Hong Kong law  —  </w:t>
            </w:r>
          </w:p>
          <w:p w:rsidR="00C95003" w:rsidRPr="00C95003" w:rsidRDefault="00C95003" w:rsidP="00C95003">
            <w:pPr>
              <w:widowControl/>
              <w:ind w:leftChars="-13" w:left="-31" w:firstLine="27"/>
              <w:jc w:val="both"/>
              <w:rPr>
                <w:rFonts w:ascii="Segoe UI" w:eastAsia="Times New Roman" w:hAnsi="Segoe UI" w:cs="Segoe UI"/>
                <w:kern w:val="0"/>
                <w:sz w:val="17"/>
                <w:szCs w:val="17"/>
                <w:lang w:val="en-GB" w:eastAsia="en-US"/>
              </w:rPr>
            </w:pPr>
            <w:r w:rsidRPr="00C95003">
              <w:rPr>
                <w:rFonts w:ascii="Segoe UI" w:eastAsia="Times New Roman" w:hAnsi="Segoe UI" w:cs="Segoe UI"/>
                <w:kern w:val="0"/>
                <w:sz w:val="17"/>
                <w:szCs w:val="17"/>
                <w:lang w:val="en-GB" w:eastAsia="en-US"/>
              </w:rPr>
              <w:t>To meet the qualifying criteria for loss-absorbing capacity, the resolution entity or material subsidiary is required to obtain independent legal advice acceptable to the Monetary Authority (as the resolution authority) issued under the non-Hong Kong law, addressing whether the application of resolution powers under the Financial Inst</w:t>
            </w:r>
            <w:r w:rsidR="0099668B">
              <w:rPr>
                <w:rFonts w:ascii="Segoe UI" w:eastAsia="Times New Roman" w:hAnsi="Segoe UI" w:cs="Segoe UI"/>
                <w:kern w:val="0"/>
                <w:sz w:val="17"/>
                <w:szCs w:val="17"/>
                <w:lang w:val="en-GB" w:eastAsia="en-US"/>
              </w:rPr>
              <w:t>itutions (Resolution) Ordinance</w:t>
            </w:r>
            <w:r w:rsidRPr="00C95003">
              <w:rPr>
                <w:rFonts w:ascii="Segoe UI" w:eastAsia="Times New Roman" w:hAnsi="Segoe UI" w:cs="Segoe UI"/>
                <w:kern w:val="0"/>
                <w:sz w:val="17"/>
                <w:szCs w:val="17"/>
                <w:lang w:val="en-GB" w:eastAsia="en-US"/>
              </w:rPr>
              <w:t xml:space="preserve"> would be effective and enforceable on the basis of binding statutory provisions or legally enforceable contractual provisions. </w:t>
            </w:r>
          </w:p>
          <w:p w:rsidR="00C95003" w:rsidRPr="00C95003" w:rsidRDefault="00C95003" w:rsidP="00C95003">
            <w:pPr>
              <w:widowControl/>
              <w:ind w:leftChars="-13" w:left="-31" w:firstLine="27"/>
              <w:jc w:val="both"/>
              <w:rPr>
                <w:rFonts w:ascii="Segoe UI" w:eastAsia="Times New Roman" w:hAnsi="Segoe UI" w:cs="Segoe UI"/>
                <w:kern w:val="0"/>
                <w:sz w:val="17"/>
                <w:szCs w:val="17"/>
                <w:lang w:val="en-GB" w:eastAsia="en-US"/>
              </w:rPr>
            </w:pPr>
            <w:r w:rsidRPr="00C95003">
              <w:rPr>
                <w:rFonts w:ascii="Segoe UI" w:eastAsia="Times New Roman" w:hAnsi="Segoe UI" w:cs="Segoe UI"/>
                <w:kern w:val="0"/>
                <w:sz w:val="17"/>
                <w:szCs w:val="17"/>
                <w:lang w:val="en-GB" w:eastAsia="en-US"/>
              </w:rPr>
              <w:t xml:space="preserve">If the legal basis is legally enforceable contractual provisions, select “Contractual”.  If the legal basis is binding </w:t>
            </w:r>
            <w:r w:rsidRPr="00C95003">
              <w:rPr>
                <w:rFonts w:ascii="Segoe UI" w:eastAsia="Times New Roman" w:hAnsi="Segoe UI" w:cs="Segoe UI"/>
                <w:kern w:val="0"/>
                <w:sz w:val="17"/>
                <w:szCs w:val="17"/>
                <w:lang w:val="en-GB" w:eastAsia="en-US"/>
              </w:rPr>
              <w:lastRenderedPageBreak/>
              <w:t>statutory provisions, select “Statutory”.  Select “NA” where the governing law of the instrument is the law of Hong Kong.</w:t>
            </w:r>
          </w:p>
          <w:p w:rsidR="00C95003" w:rsidRPr="00C95003" w:rsidRDefault="00C95003" w:rsidP="00C95003">
            <w:pPr>
              <w:widowControl/>
              <w:ind w:leftChars="-14" w:left="-33" w:hanging="1"/>
              <w:jc w:val="both"/>
              <w:rPr>
                <w:rFonts w:ascii="Segoe UI" w:eastAsia="Times New Roman" w:hAnsi="Segoe UI" w:cs="Segoe UI"/>
                <w:i/>
                <w:kern w:val="0"/>
                <w:sz w:val="17"/>
                <w:szCs w:val="17"/>
                <w:lang w:val="en-GB" w:eastAsia="en-US"/>
              </w:rPr>
            </w:pPr>
            <w:r w:rsidRPr="00C95003">
              <w:rPr>
                <w:rFonts w:ascii="Segoe UI" w:eastAsia="Times New Roman" w:hAnsi="Segoe UI" w:cs="Segoe UI"/>
                <w:i/>
                <w:kern w:val="0"/>
                <w:sz w:val="17"/>
                <w:szCs w:val="17"/>
                <w:lang w:val="en-GB" w:eastAsia="en-US"/>
              </w:rPr>
              <w:t>Enter: [Contractual] [Statutory] [NA]</w:t>
            </w:r>
          </w:p>
        </w:tc>
      </w:tr>
      <w:tr w:rsidR="00C95003" w:rsidRPr="00C95003" w:rsidTr="00297CA5">
        <w:tc>
          <w:tcPr>
            <w:tcW w:w="486" w:type="dxa"/>
          </w:tcPr>
          <w:p w:rsidR="00C95003" w:rsidRPr="00C95003" w:rsidRDefault="00C95003" w:rsidP="00C95003">
            <w:pPr>
              <w:widowControl/>
              <w:rPr>
                <w:rFonts w:ascii="Segoe UI" w:eastAsia="Times New Roman" w:hAnsi="Segoe UI" w:cs="Segoe UI"/>
                <w:kern w:val="0"/>
                <w:sz w:val="17"/>
                <w:szCs w:val="17"/>
                <w:lang w:val="en-GB" w:eastAsia="en-US"/>
              </w:rPr>
            </w:pPr>
            <w:r w:rsidRPr="00C95003">
              <w:rPr>
                <w:rFonts w:ascii="Segoe UI" w:eastAsia="Times New Roman" w:hAnsi="Segoe UI" w:cs="Segoe UI"/>
                <w:kern w:val="0"/>
                <w:sz w:val="17"/>
                <w:szCs w:val="17"/>
                <w:lang w:val="en-GB" w:eastAsia="en-US"/>
              </w:rPr>
              <w:lastRenderedPageBreak/>
              <w:t>4</w:t>
            </w:r>
          </w:p>
        </w:tc>
        <w:tc>
          <w:tcPr>
            <w:tcW w:w="8728" w:type="dxa"/>
          </w:tcPr>
          <w:p w:rsidR="00C95003" w:rsidRPr="00C95003" w:rsidRDefault="00C95003" w:rsidP="00C95003">
            <w:pPr>
              <w:widowControl/>
              <w:jc w:val="both"/>
              <w:rPr>
                <w:rFonts w:ascii="Segoe UI" w:eastAsia="Times New Roman" w:hAnsi="Segoe UI" w:cs="Segoe UI"/>
                <w:kern w:val="0"/>
                <w:sz w:val="17"/>
                <w:szCs w:val="17"/>
                <w:lang w:val="en-GB" w:eastAsia="en-US"/>
              </w:rPr>
            </w:pPr>
            <w:r w:rsidRPr="00C95003">
              <w:rPr>
                <w:rFonts w:ascii="Segoe UI" w:eastAsia="Times New Roman" w:hAnsi="Segoe UI" w:cs="Segoe UI"/>
                <w:kern w:val="0"/>
                <w:sz w:val="17"/>
                <w:szCs w:val="17"/>
                <w:lang w:val="en-GB" w:eastAsia="en-US"/>
              </w:rPr>
              <w:t>Specifies the regulatory capital treatment (if the instrument is subject to the transitional arrangements provided for in Schedule 4H to the BCR) (i.e. the component of capital that the instrument is being phased-out from).</w:t>
            </w:r>
          </w:p>
          <w:p w:rsidR="00C95003" w:rsidRPr="00C95003" w:rsidRDefault="00C95003" w:rsidP="00C95003">
            <w:pPr>
              <w:widowControl/>
              <w:jc w:val="both"/>
              <w:rPr>
                <w:rFonts w:ascii="Segoe UI" w:eastAsia="Times New Roman" w:hAnsi="Segoe UI" w:cs="Segoe UI"/>
                <w:i/>
                <w:kern w:val="0"/>
                <w:sz w:val="17"/>
                <w:szCs w:val="17"/>
                <w:lang w:val="en-GB" w:eastAsia="en-US"/>
              </w:rPr>
            </w:pPr>
            <w:r w:rsidRPr="00C95003">
              <w:rPr>
                <w:rFonts w:ascii="Segoe UI" w:eastAsia="Times New Roman" w:hAnsi="Segoe UI" w:cs="Segoe UI"/>
                <w:i/>
                <w:kern w:val="0"/>
                <w:sz w:val="17"/>
                <w:szCs w:val="17"/>
                <w:lang w:val="en-GB" w:eastAsia="en-US"/>
              </w:rPr>
              <w:t>Enter: [Common Equity Tier 1] [Additional Tier 1] [Tier 2]</w:t>
            </w:r>
          </w:p>
        </w:tc>
      </w:tr>
      <w:tr w:rsidR="00C95003" w:rsidRPr="00C95003" w:rsidTr="00297CA5">
        <w:tc>
          <w:tcPr>
            <w:tcW w:w="486" w:type="dxa"/>
          </w:tcPr>
          <w:p w:rsidR="00C95003" w:rsidRPr="00C95003" w:rsidRDefault="00C95003" w:rsidP="00C95003">
            <w:pPr>
              <w:widowControl/>
              <w:rPr>
                <w:rFonts w:ascii="Segoe UI" w:eastAsia="Times New Roman" w:hAnsi="Segoe UI" w:cs="Segoe UI"/>
                <w:kern w:val="0"/>
                <w:sz w:val="17"/>
                <w:szCs w:val="17"/>
                <w:lang w:val="en-GB" w:eastAsia="en-US"/>
              </w:rPr>
            </w:pPr>
            <w:r w:rsidRPr="00C95003">
              <w:rPr>
                <w:rFonts w:ascii="Segoe UI" w:eastAsia="Times New Roman" w:hAnsi="Segoe UI" w:cs="Segoe UI"/>
                <w:kern w:val="0"/>
                <w:sz w:val="17"/>
                <w:szCs w:val="17"/>
                <w:lang w:val="en-GB" w:eastAsia="en-US"/>
              </w:rPr>
              <w:t>5</w:t>
            </w:r>
          </w:p>
        </w:tc>
        <w:tc>
          <w:tcPr>
            <w:tcW w:w="8728" w:type="dxa"/>
          </w:tcPr>
          <w:p w:rsidR="00C95003" w:rsidRPr="00C95003" w:rsidRDefault="00C95003" w:rsidP="00C95003">
            <w:pPr>
              <w:widowControl/>
              <w:jc w:val="both"/>
              <w:rPr>
                <w:rFonts w:ascii="Segoe UI" w:eastAsia="Times New Roman" w:hAnsi="Segoe UI" w:cs="Segoe UI"/>
                <w:kern w:val="0"/>
                <w:sz w:val="17"/>
                <w:szCs w:val="17"/>
                <w:lang w:val="en-GB" w:eastAsia="en-US"/>
              </w:rPr>
            </w:pPr>
            <w:r w:rsidRPr="00C95003">
              <w:rPr>
                <w:rFonts w:ascii="Segoe UI" w:eastAsia="Times New Roman" w:hAnsi="Segoe UI" w:cs="Segoe UI"/>
                <w:kern w:val="0"/>
                <w:sz w:val="17"/>
                <w:szCs w:val="17"/>
                <w:lang w:val="en-GB" w:eastAsia="en-US"/>
              </w:rPr>
              <w:t>Specifies the regulatory capital treatment (if the instrument is not subject to the transitional arrangements provided for in Schedule 4H to the BCR).</w:t>
            </w:r>
          </w:p>
          <w:p w:rsidR="00C95003" w:rsidRPr="00C95003" w:rsidRDefault="00C95003" w:rsidP="00C95003">
            <w:pPr>
              <w:widowControl/>
              <w:jc w:val="both"/>
              <w:rPr>
                <w:rFonts w:ascii="Segoe UI" w:eastAsia="Times New Roman" w:hAnsi="Segoe UI" w:cs="Segoe UI"/>
                <w:i/>
                <w:kern w:val="0"/>
                <w:sz w:val="17"/>
                <w:szCs w:val="17"/>
                <w:lang w:val="en-GB" w:eastAsia="en-US"/>
              </w:rPr>
            </w:pPr>
            <w:r w:rsidRPr="00C95003">
              <w:rPr>
                <w:rFonts w:ascii="Segoe UI" w:eastAsia="Times New Roman" w:hAnsi="Segoe UI" w:cs="Segoe UI"/>
                <w:i/>
                <w:kern w:val="0"/>
                <w:sz w:val="17"/>
                <w:szCs w:val="17"/>
                <w:lang w:val="en-GB" w:eastAsia="en-US"/>
              </w:rPr>
              <w:t>Enter: [Common Equity Tier 1] [Additional Tier 1] [Tier 2] [Ineligible]</w:t>
            </w:r>
          </w:p>
        </w:tc>
      </w:tr>
      <w:tr w:rsidR="00C95003" w:rsidRPr="00C95003" w:rsidTr="00297CA5">
        <w:tc>
          <w:tcPr>
            <w:tcW w:w="486" w:type="dxa"/>
          </w:tcPr>
          <w:p w:rsidR="00C95003" w:rsidRPr="00C95003" w:rsidRDefault="00C95003" w:rsidP="00C95003">
            <w:pPr>
              <w:widowControl/>
              <w:rPr>
                <w:rFonts w:ascii="Segoe UI" w:eastAsia="Times New Roman" w:hAnsi="Segoe UI" w:cs="Segoe UI"/>
                <w:kern w:val="0"/>
                <w:sz w:val="17"/>
                <w:szCs w:val="17"/>
                <w:lang w:val="en-GB" w:eastAsia="en-US"/>
              </w:rPr>
            </w:pPr>
            <w:r w:rsidRPr="00C95003">
              <w:rPr>
                <w:rFonts w:ascii="Segoe UI" w:eastAsia="Times New Roman" w:hAnsi="Segoe UI" w:cs="Segoe UI"/>
                <w:kern w:val="0"/>
                <w:sz w:val="17"/>
                <w:szCs w:val="17"/>
                <w:lang w:val="en-GB" w:eastAsia="en-US"/>
              </w:rPr>
              <w:t>6</w:t>
            </w:r>
          </w:p>
        </w:tc>
        <w:tc>
          <w:tcPr>
            <w:tcW w:w="8728" w:type="dxa"/>
          </w:tcPr>
          <w:p w:rsidR="00C95003" w:rsidRPr="00C95003" w:rsidRDefault="00C95003" w:rsidP="00C95003">
            <w:pPr>
              <w:widowControl/>
              <w:jc w:val="both"/>
              <w:rPr>
                <w:rFonts w:ascii="Segoe UI" w:eastAsia="Times New Roman" w:hAnsi="Segoe UI" w:cs="Segoe UI"/>
                <w:kern w:val="0"/>
                <w:sz w:val="17"/>
                <w:szCs w:val="17"/>
                <w:lang w:val="en-GB" w:eastAsia="en-US"/>
              </w:rPr>
            </w:pPr>
            <w:r w:rsidRPr="00C95003">
              <w:rPr>
                <w:rFonts w:ascii="Segoe UI" w:eastAsia="Times New Roman" w:hAnsi="Segoe UI" w:cs="Segoe UI"/>
                <w:kern w:val="0"/>
                <w:sz w:val="17"/>
                <w:szCs w:val="17"/>
                <w:lang w:val="en-GB" w:eastAsia="en-US"/>
              </w:rPr>
              <w:t>Specifies the level(s) within the group at which the instrument is included in capital.  The level of solo includes solo-consolidated.</w:t>
            </w:r>
          </w:p>
          <w:p w:rsidR="00C95003" w:rsidRPr="00C95003" w:rsidRDefault="00C95003" w:rsidP="00C95003">
            <w:pPr>
              <w:widowControl/>
              <w:jc w:val="both"/>
              <w:rPr>
                <w:rFonts w:ascii="Segoe UI" w:eastAsia="Times New Roman" w:hAnsi="Segoe UI" w:cs="Segoe UI"/>
                <w:i/>
                <w:kern w:val="0"/>
                <w:sz w:val="17"/>
                <w:szCs w:val="17"/>
                <w:lang w:val="en-GB" w:eastAsia="en-US"/>
              </w:rPr>
            </w:pPr>
            <w:r w:rsidRPr="00C95003">
              <w:rPr>
                <w:rFonts w:ascii="Segoe UI" w:eastAsia="Times New Roman" w:hAnsi="Segoe UI" w:cs="Segoe UI"/>
                <w:i/>
                <w:kern w:val="0"/>
                <w:sz w:val="17"/>
                <w:szCs w:val="17"/>
                <w:lang w:val="en-GB" w:eastAsia="en-US"/>
              </w:rPr>
              <w:t>Enter: [Solo] [Group] [Solo and Group] [Ineligible]</w:t>
            </w:r>
          </w:p>
        </w:tc>
      </w:tr>
      <w:tr w:rsidR="00C95003" w:rsidRPr="00C95003" w:rsidTr="00297CA5">
        <w:tc>
          <w:tcPr>
            <w:tcW w:w="486" w:type="dxa"/>
          </w:tcPr>
          <w:p w:rsidR="00C95003" w:rsidRPr="00C95003" w:rsidRDefault="00C95003" w:rsidP="00C95003">
            <w:pPr>
              <w:widowControl/>
              <w:rPr>
                <w:rFonts w:ascii="Segoe UI" w:eastAsia="Times New Roman" w:hAnsi="Segoe UI" w:cs="Segoe UI"/>
                <w:kern w:val="0"/>
                <w:sz w:val="17"/>
                <w:szCs w:val="17"/>
                <w:lang w:val="en-GB" w:eastAsia="en-US"/>
              </w:rPr>
            </w:pPr>
            <w:r w:rsidRPr="00C95003">
              <w:rPr>
                <w:rFonts w:ascii="Segoe UI" w:eastAsia="Times New Roman" w:hAnsi="Segoe UI" w:cs="Segoe UI"/>
                <w:kern w:val="0"/>
                <w:sz w:val="17"/>
                <w:szCs w:val="17"/>
                <w:lang w:val="en-GB" w:eastAsia="en-US"/>
              </w:rPr>
              <w:t>6a</w:t>
            </w:r>
          </w:p>
        </w:tc>
        <w:tc>
          <w:tcPr>
            <w:tcW w:w="8728" w:type="dxa"/>
          </w:tcPr>
          <w:p w:rsidR="00C95003" w:rsidRPr="00C95003" w:rsidRDefault="00C95003" w:rsidP="00C95003">
            <w:pPr>
              <w:widowControl/>
              <w:jc w:val="both"/>
              <w:rPr>
                <w:rFonts w:ascii="Segoe UI" w:eastAsia="Times New Roman" w:hAnsi="Segoe UI" w:cs="Segoe UI"/>
                <w:kern w:val="0"/>
                <w:sz w:val="17"/>
                <w:szCs w:val="17"/>
                <w:lang w:val="en-GB" w:eastAsia="en-US"/>
              </w:rPr>
            </w:pPr>
            <w:r w:rsidRPr="00C95003">
              <w:rPr>
                <w:rFonts w:ascii="Segoe UI" w:eastAsia="Times New Roman" w:hAnsi="Segoe UI" w:cs="Segoe UI"/>
                <w:kern w:val="0"/>
                <w:sz w:val="17"/>
                <w:szCs w:val="17"/>
                <w:lang w:val="en-GB" w:eastAsia="en-US"/>
              </w:rPr>
              <w:t>Specifies the level(s) within the group at which the instrument is included in loss-absorbing capacity.  The level of solo includes solo-consolidated.</w:t>
            </w:r>
          </w:p>
          <w:p w:rsidR="00C95003" w:rsidRPr="00C95003" w:rsidRDefault="00C95003" w:rsidP="00C95003">
            <w:pPr>
              <w:widowControl/>
              <w:jc w:val="both"/>
              <w:rPr>
                <w:rFonts w:ascii="Segoe UI" w:eastAsia="Times New Roman" w:hAnsi="Segoe UI" w:cs="Segoe UI"/>
                <w:kern w:val="0"/>
                <w:sz w:val="17"/>
                <w:szCs w:val="17"/>
                <w:lang w:val="en-GB" w:eastAsia="en-US"/>
              </w:rPr>
            </w:pPr>
            <w:r w:rsidRPr="00C95003">
              <w:rPr>
                <w:rFonts w:ascii="Segoe UI" w:eastAsia="Times New Roman" w:hAnsi="Segoe UI" w:cs="Segoe UI"/>
                <w:i/>
                <w:kern w:val="0"/>
                <w:sz w:val="17"/>
                <w:szCs w:val="17"/>
                <w:lang w:val="en-GB" w:eastAsia="en-US"/>
              </w:rPr>
              <w:t>Enter: [Solo] [LAC consolidation group] [Solo and LAC consolidation group] [Ineligible]</w:t>
            </w:r>
          </w:p>
        </w:tc>
      </w:tr>
      <w:tr w:rsidR="00C95003" w:rsidRPr="00C95003" w:rsidTr="00297CA5">
        <w:tc>
          <w:tcPr>
            <w:tcW w:w="486" w:type="dxa"/>
          </w:tcPr>
          <w:p w:rsidR="00C95003" w:rsidRPr="00C95003" w:rsidRDefault="00C95003" w:rsidP="00C95003">
            <w:pPr>
              <w:widowControl/>
              <w:rPr>
                <w:rFonts w:ascii="Segoe UI" w:eastAsia="Times New Roman" w:hAnsi="Segoe UI" w:cs="Segoe UI"/>
                <w:kern w:val="0"/>
                <w:sz w:val="17"/>
                <w:szCs w:val="17"/>
                <w:lang w:val="en-GB" w:eastAsia="en-US"/>
              </w:rPr>
            </w:pPr>
            <w:r w:rsidRPr="00C95003">
              <w:rPr>
                <w:rFonts w:ascii="Segoe UI" w:eastAsia="Times New Roman" w:hAnsi="Segoe UI" w:cs="Segoe UI"/>
                <w:kern w:val="0"/>
                <w:sz w:val="17"/>
                <w:szCs w:val="17"/>
                <w:lang w:val="en-GB" w:eastAsia="en-US"/>
              </w:rPr>
              <w:t>7</w:t>
            </w:r>
          </w:p>
        </w:tc>
        <w:tc>
          <w:tcPr>
            <w:tcW w:w="8728" w:type="dxa"/>
          </w:tcPr>
          <w:p w:rsidR="00C95003" w:rsidRPr="00C95003" w:rsidRDefault="00C95003" w:rsidP="00C95003">
            <w:pPr>
              <w:widowControl/>
              <w:jc w:val="both"/>
              <w:rPr>
                <w:rFonts w:ascii="Segoe UI" w:eastAsia="Times New Roman" w:hAnsi="Segoe UI" w:cs="Segoe UI"/>
                <w:kern w:val="0"/>
                <w:sz w:val="17"/>
                <w:szCs w:val="17"/>
                <w:lang w:val="en-GB" w:eastAsia="en-US"/>
              </w:rPr>
            </w:pPr>
            <w:r w:rsidRPr="00C95003">
              <w:rPr>
                <w:rFonts w:ascii="Segoe UI" w:eastAsia="Times New Roman" w:hAnsi="Segoe UI" w:cs="Segoe UI"/>
                <w:kern w:val="0"/>
                <w:sz w:val="17"/>
                <w:szCs w:val="17"/>
                <w:lang w:val="en-GB" w:eastAsia="en-US"/>
              </w:rPr>
              <w:t>Specifies the instrument type, varying by jurisdiction.  This helps provide a more granular understanding of features, particularly during transition.</w:t>
            </w:r>
          </w:p>
          <w:p w:rsidR="00C95003" w:rsidRPr="00C95003" w:rsidRDefault="00C95003" w:rsidP="00C95003">
            <w:pPr>
              <w:widowControl/>
              <w:jc w:val="both"/>
              <w:rPr>
                <w:rFonts w:ascii="Segoe UI" w:eastAsia="Times New Roman" w:hAnsi="Segoe UI" w:cs="Segoe UI"/>
                <w:i/>
                <w:kern w:val="0"/>
                <w:sz w:val="17"/>
                <w:szCs w:val="17"/>
                <w:lang w:val="en-GB" w:eastAsia="en-US"/>
              </w:rPr>
            </w:pPr>
            <w:r w:rsidRPr="00C95003">
              <w:rPr>
                <w:rFonts w:ascii="Segoe UI" w:eastAsia="Times New Roman" w:hAnsi="Segoe UI" w:cs="Segoe UI"/>
                <w:i/>
                <w:kern w:val="0"/>
                <w:sz w:val="17"/>
                <w:szCs w:val="17"/>
                <w:lang w:val="en-GB" w:eastAsia="en-US"/>
              </w:rPr>
              <w:t>Enter: [Ordinary shares] [Perpetual non-cumulative preference shares] [Perpetual debt instruments] [Perpetual cumulative preference shares] [Redeemable non-cumulative preference shares] [Redeemable cumulative preference shares] [Other Tier 2 instruments][non-capital LAC debt instrument] [Others: please specify]</w:t>
            </w:r>
          </w:p>
        </w:tc>
      </w:tr>
      <w:tr w:rsidR="00C95003" w:rsidRPr="00C95003" w:rsidTr="00297CA5">
        <w:tc>
          <w:tcPr>
            <w:tcW w:w="486" w:type="dxa"/>
          </w:tcPr>
          <w:p w:rsidR="00C95003" w:rsidRPr="00C95003" w:rsidRDefault="00C95003" w:rsidP="00C95003">
            <w:pPr>
              <w:widowControl/>
              <w:rPr>
                <w:rFonts w:ascii="Segoe UI" w:eastAsia="Times New Roman" w:hAnsi="Segoe UI" w:cs="Segoe UI"/>
                <w:kern w:val="0"/>
                <w:sz w:val="17"/>
                <w:szCs w:val="17"/>
                <w:lang w:val="en-GB" w:eastAsia="en-US"/>
              </w:rPr>
            </w:pPr>
            <w:r w:rsidRPr="00C95003">
              <w:rPr>
                <w:rFonts w:ascii="Segoe UI" w:eastAsia="Times New Roman" w:hAnsi="Segoe UI" w:cs="Segoe UI"/>
                <w:kern w:val="0"/>
                <w:sz w:val="17"/>
                <w:szCs w:val="17"/>
                <w:lang w:val="en-GB" w:eastAsia="en-US"/>
              </w:rPr>
              <w:t>8</w:t>
            </w:r>
          </w:p>
        </w:tc>
        <w:tc>
          <w:tcPr>
            <w:tcW w:w="8728" w:type="dxa"/>
          </w:tcPr>
          <w:p w:rsidR="00C95003" w:rsidRPr="00C95003" w:rsidRDefault="00C95003" w:rsidP="00C95003">
            <w:pPr>
              <w:widowControl/>
              <w:jc w:val="both"/>
              <w:rPr>
                <w:rFonts w:ascii="Segoe UI" w:eastAsia="Times New Roman" w:hAnsi="Segoe UI" w:cs="Segoe UI"/>
                <w:kern w:val="0"/>
                <w:sz w:val="17"/>
                <w:szCs w:val="17"/>
                <w:lang w:val="en-GB" w:eastAsia="en-US"/>
              </w:rPr>
            </w:pPr>
            <w:r w:rsidRPr="00C95003">
              <w:rPr>
                <w:rFonts w:ascii="Segoe UI" w:eastAsia="Times New Roman" w:hAnsi="Segoe UI" w:cs="Segoe UI"/>
                <w:kern w:val="0"/>
                <w:sz w:val="17"/>
                <w:szCs w:val="17"/>
                <w:lang w:val="en-GB" w:eastAsia="en-US"/>
              </w:rPr>
              <w:t>Specifies amount recognised in regulatory capital.  Where more than one capital instrument is subject to the phase-out arrangements in a particular tier of capital, a resolution entity or material subsidiary may specify the total amount recognised in that tier of capital for all such instruments instead of the amount recognised for each individual capital instrument.</w:t>
            </w:r>
          </w:p>
          <w:p w:rsidR="00C95003" w:rsidRPr="00C95003" w:rsidRDefault="00C95003" w:rsidP="00C95003">
            <w:pPr>
              <w:widowControl/>
              <w:jc w:val="both"/>
              <w:rPr>
                <w:rFonts w:ascii="Segoe UI" w:eastAsia="Times New Roman" w:hAnsi="Segoe UI" w:cs="Segoe UI"/>
                <w:i/>
                <w:kern w:val="0"/>
                <w:sz w:val="17"/>
                <w:szCs w:val="17"/>
                <w:lang w:val="en-GB" w:eastAsia="en-US"/>
              </w:rPr>
            </w:pPr>
            <w:r w:rsidRPr="00C95003">
              <w:rPr>
                <w:rFonts w:ascii="Segoe UI" w:eastAsia="Times New Roman" w:hAnsi="Segoe UI" w:cs="Segoe UI"/>
                <w:i/>
                <w:kern w:val="0"/>
                <w:sz w:val="17"/>
                <w:szCs w:val="17"/>
                <w:lang w:val="en-GB" w:eastAsia="en-US"/>
              </w:rPr>
              <w:t>Free text</w:t>
            </w:r>
          </w:p>
        </w:tc>
      </w:tr>
      <w:tr w:rsidR="00C95003" w:rsidRPr="00C95003" w:rsidTr="00297CA5">
        <w:tc>
          <w:tcPr>
            <w:tcW w:w="486" w:type="dxa"/>
          </w:tcPr>
          <w:p w:rsidR="00C95003" w:rsidRPr="00C95003" w:rsidRDefault="00C95003" w:rsidP="00C95003">
            <w:pPr>
              <w:widowControl/>
              <w:rPr>
                <w:rFonts w:ascii="Segoe UI" w:eastAsia="Times New Roman" w:hAnsi="Segoe UI" w:cs="Segoe UI"/>
                <w:kern w:val="0"/>
                <w:sz w:val="17"/>
                <w:szCs w:val="17"/>
                <w:lang w:val="en-GB" w:eastAsia="en-US"/>
              </w:rPr>
            </w:pPr>
            <w:r w:rsidRPr="00C95003">
              <w:rPr>
                <w:rFonts w:ascii="Segoe UI" w:eastAsia="Times New Roman" w:hAnsi="Segoe UI" w:cs="Segoe UI"/>
                <w:kern w:val="0"/>
                <w:sz w:val="17"/>
                <w:szCs w:val="17"/>
                <w:lang w:val="en-GB" w:eastAsia="en-US"/>
              </w:rPr>
              <w:t>8a</w:t>
            </w:r>
          </w:p>
        </w:tc>
        <w:tc>
          <w:tcPr>
            <w:tcW w:w="8728" w:type="dxa"/>
          </w:tcPr>
          <w:p w:rsidR="00C95003" w:rsidRPr="00C95003" w:rsidRDefault="00C95003" w:rsidP="00C95003">
            <w:pPr>
              <w:widowControl/>
              <w:jc w:val="both"/>
              <w:rPr>
                <w:rFonts w:ascii="Segoe UI" w:eastAsia="Times New Roman" w:hAnsi="Segoe UI" w:cs="Segoe UI"/>
                <w:kern w:val="0"/>
                <w:sz w:val="17"/>
                <w:szCs w:val="17"/>
                <w:lang w:val="en-GB" w:eastAsia="en-US"/>
              </w:rPr>
            </w:pPr>
            <w:r w:rsidRPr="00C95003">
              <w:rPr>
                <w:rFonts w:ascii="Segoe UI" w:eastAsia="Times New Roman" w:hAnsi="Segoe UI" w:cs="Segoe UI"/>
                <w:kern w:val="0"/>
                <w:sz w:val="17"/>
                <w:szCs w:val="17"/>
                <w:lang w:val="en-GB" w:eastAsia="en-US"/>
              </w:rPr>
              <w:t>Specifies amount recognised in loss-absorbing capacity.</w:t>
            </w:r>
          </w:p>
          <w:p w:rsidR="00C95003" w:rsidRPr="00C95003" w:rsidRDefault="00C95003" w:rsidP="00C95003">
            <w:pPr>
              <w:widowControl/>
              <w:jc w:val="both"/>
              <w:rPr>
                <w:rFonts w:ascii="Segoe UI" w:eastAsia="Times New Roman" w:hAnsi="Segoe UI" w:cs="Segoe UI"/>
                <w:i/>
                <w:kern w:val="0"/>
                <w:sz w:val="17"/>
                <w:szCs w:val="17"/>
                <w:lang w:val="en-GB" w:eastAsia="en-US"/>
              </w:rPr>
            </w:pPr>
            <w:r w:rsidRPr="00C95003">
              <w:rPr>
                <w:rFonts w:ascii="Segoe UI" w:eastAsia="Times New Roman" w:hAnsi="Segoe UI" w:cs="Segoe UI"/>
                <w:i/>
                <w:kern w:val="0"/>
                <w:sz w:val="17"/>
                <w:szCs w:val="17"/>
                <w:lang w:val="en-GB" w:eastAsia="en-US"/>
              </w:rPr>
              <w:t>Free text</w:t>
            </w:r>
          </w:p>
        </w:tc>
      </w:tr>
      <w:tr w:rsidR="00C95003" w:rsidRPr="00C95003" w:rsidTr="00297CA5">
        <w:tc>
          <w:tcPr>
            <w:tcW w:w="486" w:type="dxa"/>
          </w:tcPr>
          <w:p w:rsidR="00C95003" w:rsidRPr="00C95003" w:rsidRDefault="00C95003" w:rsidP="00C95003">
            <w:pPr>
              <w:widowControl/>
              <w:rPr>
                <w:rFonts w:ascii="Segoe UI" w:eastAsia="Times New Roman" w:hAnsi="Segoe UI" w:cs="Segoe UI"/>
                <w:kern w:val="0"/>
                <w:sz w:val="17"/>
                <w:szCs w:val="17"/>
                <w:lang w:val="en-GB" w:eastAsia="en-US"/>
              </w:rPr>
            </w:pPr>
            <w:r w:rsidRPr="00C95003">
              <w:rPr>
                <w:rFonts w:ascii="Segoe UI" w:eastAsia="Times New Roman" w:hAnsi="Segoe UI" w:cs="Segoe UI"/>
                <w:kern w:val="0"/>
                <w:sz w:val="17"/>
                <w:szCs w:val="17"/>
                <w:lang w:val="en-GB" w:eastAsia="en-US"/>
              </w:rPr>
              <w:t>9</w:t>
            </w:r>
          </w:p>
        </w:tc>
        <w:tc>
          <w:tcPr>
            <w:tcW w:w="8728" w:type="dxa"/>
          </w:tcPr>
          <w:p w:rsidR="00C95003" w:rsidRPr="00C95003" w:rsidRDefault="00C95003" w:rsidP="00C95003">
            <w:pPr>
              <w:widowControl/>
              <w:jc w:val="both"/>
              <w:rPr>
                <w:rFonts w:ascii="Segoe UI" w:eastAsia="Times New Roman" w:hAnsi="Segoe UI" w:cs="Segoe UI"/>
                <w:kern w:val="0"/>
                <w:sz w:val="17"/>
                <w:szCs w:val="17"/>
                <w:lang w:val="en-GB" w:eastAsia="en-US"/>
              </w:rPr>
            </w:pPr>
            <w:r w:rsidRPr="00C95003">
              <w:rPr>
                <w:rFonts w:ascii="Segoe UI" w:eastAsia="Times New Roman" w:hAnsi="Segoe UI" w:cs="Segoe UI"/>
                <w:kern w:val="0"/>
                <w:sz w:val="17"/>
                <w:szCs w:val="17"/>
                <w:lang w:val="en-GB" w:eastAsia="en-US"/>
              </w:rPr>
              <w:t>Par value of the instrument.</w:t>
            </w:r>
          </w:p>
          <w:p w:rsidR="00C95003" w:rsidRPr="00C95003" w:rsidRDefault="00C95003" w:rsidP="00C95003">
            <w:pPr>
              <w:widowControl/>
              <w:jc w:val="both"/>
              <w:rPr>
                <w:rFonts w:ascii="Segoe UI" w:eastAsia="Times New Roman" w:hAnsi="Segoe UI" w:cs="Segoe UI"/>
                <w:i/>
                <w:kern w:val="0"/>
                <w:sz w:val="17"/>
                <w:szCs w:val="17"/>
                <w:lang w:val="en-GB" w:eastAsia="en-US"/>
              </w:rPr>
            </w:pPr>
            <w:r w:rsidRPr="00C95003">
              <w:rPr>
                <w:rFonts w:ascii="Segoe UI" w:eastAsia="Times New Roman" w:hAnsi="Segoe UI" w:cs="Segoe UI"/>
                <w:i/>
                <w:kern w:val="0"/>
                <w:sz w:val="17"/>
                <w:szCs w:val="17"/>
                <w:lang w:val="en-GB" w:eastAsia="en-US"/>
              </w:rPr>
              <w:t>Free text</w:t>
            </w:r>
          </w:p>
        </w:tc>
      </w:tr>
      <w:tr w:rsidR="00C95003" w:rsidRPr="00C95003" w:rsidTr="00297CA5">
        <w:tc>
          <w:tcPr>
            <w:tcW w:w="486" w:type="dxa"/>
          </w:tcPr>
          <w:p w:rsidR="00C95003" w:rsidRPr="00C95003" w:rsidRDefault="00C95003" w:rsidP="00C95003">
            <w:pPr>
              <w:widowControl/>
              <w:rPr>
                <w:rFonts w:ascii="Segoe UI" w:eastAsia="Times New Roman" w:hAnsi="Segoe UI" w:cs="Segoe UI"/>
                <w:kern w:val="0"/>
                <w:sz w:val="17"/>
                <w:szCs w:val="17"/>
                <w:lang w:val="en-GB" w:eastAsia="en-US"/>
              </w:rPr>
            </w:pPr>
            <w:r w:rsidRPr="00C95003">
              <w:rPr>
                <w:rFonts w:ascii="Segoe UI" w:eastAsia="Times New Roman" w:hAnsi="Segoe UI" w:cs="Segoe UI"/>
                <w:kern w:val="0"/>
                <w:sz w:val="17"/>
                <w:szCs w:val="17"/>
                <w:lang w:val="en-GB" w:eastAsia="en-US"/>
              </w:rPr>
              <w:t>10</w:t>
            </w:r>
          </w:p>
        </w:tc>
        <w:tc>
          <w:tcPr>
            <w:tcW w:w="8728" w:type="dxa"/>
          </w:tcPr>
          <w:p w:rsidR="00C95003" w:rsidRPr="00C95003" w:rsidRDefault="00C95003" w:rsidP="00C95003">
            <w:pPr>
              <w:widowControl/>
              <w:jc w:val="both"/>
              <w:rPr>
                <w:rFonts w:ascii="Segoe UI" w:eastAsia="Times New Roman" w:hAnsi="Segoe UI" w:cs="Segoe UI"/>
                <w:kern w:val="0"/>
                <w:sz w:val="17"/>
                <w:szCs w:val="17"/>
                <w:lang w:val="en-GB" w:eastAsia="en-US"/>
              </w:rPr>
            </w:pPr>
            <w:r w:rsidRPr="00C95003">
              <w:rPr>
                <w:rFonts w:ascii="Segoe UI" w:eastAsia="Times New Roman" w:hAnsi="Segoe UI" w:cs="Segoe UI"/>
                <w:kern w:val="0"/>
                <w:sz w:val="17"/>
                <w:szCs w:val="17"/>
                <w:lang w:val="en-GB" w:eastAsia="en-US"/>
              </w:rPr>
              <w:t>Specifies accounting classification which helps to assess loss absorbency.</w:t>
            </w:r>
          </w:p>
          <w:p w:rsidR="00C95003" w:rsidRPr="00C95003" w:rsidRDefault="00C95003" w:rsidP="00C95003">
            <w:pPr>
              <w:widowControl/>
              <w:jc w:val="both"/>
              <w:rPr>
                <w:rFonts w:ascii="Segoe UI" w:eastAsia="Times New Roman" w:hAnsi="Segoe UI" w:cs="Segoe UI"/>
                <w:i/>
                <w:kern w:val="0"/>
                <w:sz w:val="17"/>
                <w:szCs w:val="17"/>
                <w:lang w:val="en-GB" w:eastAsia="en-US"/>
              </w:rPr>
            </w:pPr>
            <w:r w:rsidRPr="00C95003">
              <w:rPr>
                <w:rFonts w:ascii="Segoe UI" w:eastAsia="Times New Roman" w:hAnsi="Segoe UI" w:cs="Segoe UI"/>
                <w:i/>
                <w:kern w:val="0"/>
                <w:sz w:val="17"/>
                <w:szCs w:val="17"/>
                <w:lang w:val="en-GB" w:eastAsia="en-US"/>
              </w:rPr>
              <w:t>Enter: [Shareholders’ equity] [Liability – amortised cost] [Liability – fair value option] [Non-controlling interest in consolidated subsidiary]</w:t>
            </w:r>
          </w:p>
        </w:tc>
      </w:tr>
      <w:tr w:rsidR="00C95003" w:rsidRPr="00C95003" w:rsidTr="00297CA5">
        <w:tc>
          <w:tcPr>
            <w:tcW w:w="486" w:type="dxa"/>
          </w:tcPr>
          <w:p w:rsidR="00C95003" w:rsidRPr="00C95003" w:rsidRDefault="00C95003" w:rsidP="00C95003">
            <w:pPr>
              <w:widowControl/>
              <w:rPr>
                <w:rFonts w:ascii="Segoe UI" w:eastAsia="Times New Roman" w:hAnsi="Segoe UI" w:cs="Segoe UI"/>
                <w:kern w:val="0"/>
                <w:sz w:val="17"/>
                <w:szCs w:val="17"/>
                <w:lang w:val="en-GB" w:eastAsia="en-US"/>
              </w:rPr>
            </w:pPr>
            <w:r w:rsidRPr="00C95003">
              <w:rPr>
                <w:rFonts w:ascii="Segoe UI" w:eastAsia="Times New Roman" w:hAnsi="Segoe UI" w:cs="Segoe UI"/>
                <w:kern w:val="0"/>
                <w:sz w:val="17"/>
                <w:szCs w:val="17"/>
                <w:lang w:val="en-GB" w:eastAsia="en-US"/>
              </w:rPr>
              <w:t>11</w:t>
            </w:r>
          </w:p>
        </w:tc>
        <w:tc>
          <w:tcPr>
            <w:tcW w:w="8728" w:type="dxa"/>
          </w:tcPr>
          <w:p w:rsidR="00C95003" w:rsidRPr="00C95003" w:rsidRDefault="00C95003" w:rsidP="00C95003">
            <w:pPr>
              <w:widowControl/>
              <w:jc w:val="both"/>
              <w:rPr>
                <w:rFonts w:ascii="Segoe UI" w:eastAsia="Times New Roman" w:hAnsi="Segoe UI" w:cs="Segoe UI"/>
                <w:i/>
                <w:kern w:val="0"/>
                <w:sz w:val="17"/>
                <w:szCs w:val="17"/>
                <w:lang w:val="en-GB" w:eastAsia="en-US"/>
              </w:rPr>
            </w:pPr>
            <w:r w:rsidRPr="00C95003">
              <w:rPr>
                <w:rFonts w:ascii="Segoe UI" w:eastAsia="Times New Roman" w:hAnsi="Segoe UI" w:cs="Segoe UI"/>
                <w:kern w:val="0"/>
                <w:sz w:val="17"/>
                <w:szCs w:val="17"/>
                <w:lang w:val="en-GB" w:eastAsia="en-US"/>
              </w:rPr>
              <w:t>Specifies date of issuance.</w:t>
            </w:r>
          </w:p>
          <w:p w:rsidR="00C95003" w:rsidRPr="00C95003" w:rsidRDefault="00C95003" w:rsidP="00C95003">
            <w:pPr>
              <w:widowControl/>
              <w:jc w:val="both"/>
              <w:rPr>
                <w:rFonts w:ascii="Segoe UI" w:eastAsia="Times New Roman" w:hAnsi="Segoe UI" w:cs="Segoe UI"/>
                <w:kern w:val="0"/>
                <w:sz w:val="17"/>
                <w:szCs w:val="17"/>
                <w:lang w:val="en-GB" w:eastAsia="en-US"/>
              </w:rPr>
            </w:pPr>
            <w:r w:rsidRPr="00C95003">
              <w:rPr>
                <w:rFonts w:ascii="Segoe UI" w:eastAsia="Times New Roman" w:hAnsi="Segoe UI" w:cs="Segoe UI"/>
                <w:i/>
                <w:kern w:val="0"/>
                <w:sz w:val="17"/>
                <w:szCs w:val="17"/>
                <w:lang w:val="en-GB" w:eastAsia="en-US"/>
              </w:rPr>
              <w:t>Free text</w:t>
            </w:r>
          </w:p>
        </w:tc>
      </w:tr>
      <w:tr w:rsidR="00C95003" w:rsidRPr="00C95003" w:rsidTr="00297CA5">
        <w:tc>
          <w:tcPr>
            <w:tcW w:w="486" w:type="dxa"/>
          </w:tcPr>
          <w:p w:rsidR="00C95003" w:rsidRPr="00C95003" w:rsidRDefault="00C95003" w:rsidP="00C95003">
            <w:pPr>
              <w:widowControl/>
              <w:rPr>
                <w:rFonts w:ascii="Segoe UI" w:eastAsia="Times New Roman" w:hAnsi="Segoe UI" w:cs="Segoe UI"/>
                <w:kern w:val="0"/>
                <w:sz w:val="17"/>
                <w:szCs w:val="17"/>
                <w:lang w:val="en-GB" w:eastAsia="en-US"/>
              </w:rPr>
            </w:pPr>
            <w:r w:rsidRPr="00C95003">
              <w:rPr>
                <w:rFonts w:ascii="Segoe UI" w:eastAsia="Times New Roman" w:hAnsi="Segoe UI" w:cs="Segoe UI"/>
                <w:kern w:val="0"/>
                <w:sz w:val="17"/>
                <w:szCs w:val="17"/>
                <w:lang w:val="en-GB" w:eastAsia="en-US"/>
              </w:rPr>
              <w:t>12</w:t>
            </w:r>
          </w:p>
        </w:tc>
        <w:tc>
          <w:tcPr>
            <w:tcW w:w="8728" w:type="dxa"/>
          </w:tcPr>
          <w:p w:rsidR="00C95003" w:rsidRPr="00C95003" w:rsidRDefault="00C95003" w:rsidP="00C95003">
            <w:pPr>
              <w:widowControl/>
              <w:jc w:val="both"/>
              <w:rPr>
                <w:rFonts w:ascii="Segoe UI" w:eastAsia="Times New Roman" w:hAnsi="Segoe UI" w:cs="Segoe UI"/>
                <w:i/>
                <w:kern w:val="0"/>
                <w:sz w:val="17"/>
                <w:szCs w:val="17"/>
                <w:lang w:val="en-GB" w:eastAsia="en-US"/>
              </w:rPr>
            </w:pPr>
            <w:r w:rsidRPr="00C95003">
              <w:rPr>
                <w:rFonts w:ascii="Segoe UI" w:eastAsia="Times New Roman" w:hAnsi="Segoe UI" w:cs="Segoe UI"/>
                <w:kern w:val="0"/>
                <w:sz w:val="17"/>
                <w:szCs w:val="17"/>
                <w:lang w:val="en-GB" w:eastAsia="en-US"/>
              </w:rPr>
              <w:t>Specifies whether dated or perpetual.</w:t>
            </w:r>
          </w:p>
          <w:p w:rsidR="00C95003" w:rsidRPr="00C95003" w:rsidRDefault="00C95003" w:rsidP="00C95003">
            <w:pPr>
              <w:widowControl/>
              <w:jc w:val="both"/>
              <w:rPr>
                <w:rFonts w:ascii="Segoe UI" w:eastAsia="Times New Roman" w:hAnsi="Segoe UI" w:cs="Segoe UI"/>
                <w:i/>
                <w:kern w:val="0"/>
                <w:sz w:val="17"/>
                <w:szCs w:val="17"/>
                <w:lang w:val="en-GB" w:eastAsia="en-US"/>
              </w:rPr>
            </w:pPr>
            <w:r w:rsidRPr="00C95003">
              <w:rPr>
                <w:rFonts w:ascii="Segoe UI" w:eastAsia="Times New Roman" w:hAnsi="Segoe UI" w:cs="Segoe UI"/>
                <w:i/>
                <w:kern w:val="0"/>
                <w:sz w:val="17"/>
                <w:szCs w:val="17"/>
                <w:lang w:val="en-GB" w:eastAsia="en-US"/>
              </w:rPr>
              <w:t>Enter: [Perpetual] [Dated]</w:t>
            </w:r>
          </w:p>
        </w:tc>
      </w:tr>
      <w:tr w:rsidR="00C95003" w:rsidRPr="00C95003" w:rsidTr="00297CA5">
        <w:tc>
          <w:tcPr>
            <w:tcW w:w="486" w:type="dxa"/>
          </w:tcPr>
          <w:p w:rsidR="00C95003" w:rsidRPr="00C95003" w:rsidRDefault="00C95003" w:rsidP="00C95003">
            <w:pPr>
              <w:widowControl/>
              <w:rPr>
                <w:rFonts w:ascii="Segoe UI" w:eastAsia="Times New Roman" w:hAnsi="Segoe UI" w:cs="Segoe UI"/>
                <w:kern w:val="0"/>
                <w:sz w:val="17"/>
                <w:szCs w:val="17"/>
                <w:lang w:val="en-GB" w:eastAsia="en-US"/>
              </w:rPr>
            </w:pPr>
            <w:r w:rsidRPr="00C95003">
              <w:rPr>
                <w:rFonts w:ascii="Segoe UI" w:eastAsia="Times New Roman" w:hAnsi="Segoe UI" w:cs="Segoe UI"/>
                <w:kern w:val="0"/>
                <w:sz w:val="17"/>
                <w:szCs w:val="17"/>
                <w:lang w:val="en-GB" w:eastAsia="en-US"/>
              </w:rPr>
              <w:t>13</w:t>
            </w:r>
          </w:p>
        </w:tc>
        <w:tc>
          <w:tcPr>
            <w:tcW w:w="8728" w:type="dxa"/>
          </w:tcPr>
          <w:p w:rsidR="00C95003" w:rsidRPr="00C95003" w:rsidRDefault="00C95003" w:rsidP="00C95003">
            <w:pPr>
              <w:widowControl/>
              <w:jc w:val="both"/>
              <w:rPr>
                <w:rFonts w:ascii="Segoe UI" w:eastAsia="Times New Roman" w:hAnsi="Segoe UI" w:cs="Segoe UI"/>
                <w:kern w:val="0"/>
                <w:sz w:val="17"/>
                <w:szCs w:val="17"/>
                <w:lang w:val="en-GB" w:eastAsia="en-US"/>
              </w:rPr>
            </w:pPr>
            <w:r w:rsidRPr="00C95003">
              <w:rPr>
                <w:rFonts w:ascii="Segoe UI" w:eastAsia="Times New Roman" w:hAnsi="Segoe UI" w:cs="Segoe UI"/>
                <w:kern w:val="0"/>
                <w:sz w:val="17"/>
                <w:szCs w:val="17"/>
                <w:lang w:val="en-GB" w:eastAsia="en-US"/>
              </w:rPr>
              <w:t>For dated instrument, specifies original maturity date (day, month and year).  For perpetual instrument, “no maturity” should be entered.</w:t>
            </w:r>
          </w:p>
          <w:p w:rsidR="00C95003" w:rsidRPr="00C95003" w:rsidRDefault="00C95003" w:rsidP="00C95003">
            <w:pPr>
              <w:widowControl/>
              <w:jc w:val="both"/>
              <w:rPr>
                <w:rFonts w:ascii="Segoe UI" w:eastAsia="Times New Roman" w:hAnsi="Segoe UI" w:cs="Segoe UI"/>
                <w:i/>
                <w:kern w:val="0"/>
                <w:sz w:val="17"/>
                <w:szCs w:val="17"/>
                <w:lang w:val="en-GB" w:eastAsia="en-US"/>
              </w:rPr>
            </w:pPr>
            <w:r w:rsidRPr="00C95003">
              <w:rPr>
                <w:rFonts w:ascii="Segoe UI" w:eastAsia="Times New Roman" w:hAnsi="Segoe UI" w:cs="Segoe UI"/>
                <w:i/>
                <w:kern w:val="0"/>
                <w:sz w:val="17"/>
                <w:szCs w:val="17"/>
                <w:lang w:val="en-GB" w:eastAsia="en-US"/>
              </w:rPr>
              <w:lastRenderedPageBreak/>
              <w:t>Free text</w:t>
            </w:r>
          </w:p>
        </w:tc>
      </w:tr>
      <w:tr w:rsidR="00C95003" w:rsidRPr="00C95003" w:rsidTr="00297CA5">
        <w:tc>
          <w:tcPr>
            <w:tcW w:w="486" w:type="dxa"/>
          </w:tcPr>
          <w:p w:rsidR="00C95003" w:rsidRPr="00C95003" w:rsidRDefault="00C95003" w:rsidP="00C95003">
            <w:pPr>
              <w:widowControl/>
              <w:rPr>
                <w:rFonts w:ascii="Segoe UI" w:eastAsia="Times New Roman" w:hAnsi="Segoe UI" w:cs="Segoe UI"/>
                <w:kern w:val="0"/>
                <w:sz w:val="17"/>
                <w:szCs w:val="17"/>
                <w:lang w:val="en-GB" w:eastAsia="en-US"/>
              </w:rPr>
            </w:pPr>
            <w:r w:rsidRPr="00C95003">
              <w:rPr>
                <w:rFonts w:ascii="Segoe UI" w:eastAsia="Times New Roman" w:hAnsi="Segoe UI" w:cs="Segoe UI"/>
                <w:kern w:val="0"/>
                <w:sz w:val="17"/>
                <w:szCs w:val="17"/>
                <w:lang w:val="en-GB" w:eastAsia="en-US"/>
              </w:rPr>
              <w:lastRenderedPageBreak/>
              <w:t>14</w:t>
            </w:r>
          </w:p>
        </w:tc>
        <w:tc>
          <w:tcPr>
            <w:tcW w:w="8728" w:type="dxa"/>
          </w:tcPr>
          <w:p w:rsidR="00C95003" w:rsidRPr="00C95003" w:rsidRDefault="00C95003" w:rsidP="00C95003">
            <w:pPr>
              <w:widowControl/>
              <w:jc w:val="both"/>
              <w:rPr>
                <w:rFonts w:ascii="Segoe UI" w:eastAsia="Times New Roman" w:hAnsi="Segoe UI" w:cs="Segoe UI"/>
                <w:kern w:val="0"/>
                <w:sz w:val="17"/>
                <w:szCs w:val="17"/>
                <w:lang w:val="en-GB" w:eastAsia="en-US"/>
              </w:rPr>
            </w:pPr>
            <w:r w:rsidRPr="00C95003">
              <w:rPr>
                <w:rFonts w:ascii="Segoe UI" w:eastAsia="Times New Roman" w:hAnsi="Segoe UI" w:cs="Segoe UI"/>
                <w:kern w:val="0"/>
                <w:sz w:val="17"/>
                <w:szCs w:val="17"/>
                <w:lang w:val="en-GB" w:eastAsia="en-US"/>
              </w:rPr>
              <w:t>Specifies whether there is an issuer call option.</w:t>
            </w:r>
          </w:p>
          <w:p w:rsidR="00C95003" w:rsidRPr="00C95003" w:rsidRDefault="00C95003" w:rsidP="00C95003">
            <w:pPr>
              <w:widowControl/>
              <w:jc w:val="both"/>
              <w:rPr>
                <w:rFonts w:ascii="Segoe UI" w:eastAsia="Times New Roman" w:hAnsi="Segoe UI" w:cs="Segoe UI"/>
                <w:i/>
                <w:kern w:val="0"/>
                <w:sz w:val="17"/>
                <w:szCs w:val="17"/>
                <w:lang w:val="en-GB" w:eastAsia="en-US"/>
              </w:rPr>
            </w:pPr>
            <w:r w:rsidRPr="00C95003">
              <w:rPr>
                <w:rFonts w:ascii="Segoe UI" w:eastAsia="Times New Roman" w:hAnsi="Segoe UI" w:cs="Segoe UI"/>
                <w:i/>
                <w:kern w:val="0"/>
                <w:sz w:val="17"/>
                <w:szCs w:val="17"/>
                <w:lang w:val="en-GB" w:eastAsia="en-US"/>
              </w:rPr>
              <w:t>Enter: [Yes] [No]</w:t>
            </w:r>
          </w:p>
        </w:tc>
      </w:tr>
      <w:tr w:rsidR="00C95003" w:rsidRPr="00C95003" w:rsidTr="00297CA5">
        <w:tc>
          <w:tcPr>
            <w:tcW w:w="486" w:type="dxa"/>
          </w:tcPr>
          <w:p w:rsidR="00C95003" w:rsidRPr="00C95003" w:rsidRDefault="00C95003" w:rsidP="00C95003">
            <w:pPr>
              <w:widowControl/>
              <w:rPr>
                <w:rFonts w:ascii="Segoe UI" w:eastAsia="Times New Roman" w:hAnsi="Segoe UI" w:cs="Segoe UI"/>
                <w:kern w:val="0"/>
                <w:sz w:val="17"/>
                <w:szCs w:val="17"/>
                <w:lang w:val="en-GB" w:eastAsia="en-US"/>
              </w:rPr>
            </w:pPr>
            <w:r w:rsidRPr="00C95003">
              <w:rPr>
                <w:rFonts w:ascii="Segoe UI" w:eastAsia="Times New Roman" w:hAnsi="Segoe UI" w:cs="Segoe UI"/>
                <w:kern w:val="0"/>
                <w:sz w:val="17"/>
                <w:szCs w:val="17"/>
                <w:lang w:val="en-GB" w:eastAsia="en-US"/>
              </w:rPr>
              <w:t>15</w:t>
            </w:r>
          </w:p>
        </w:tc>
        <w:tc>
          <w:tcPr>
            <w:tcW w:w="8728" w:type="dxa"/>
          </w:tcPr>
          <w:p w:rsidR="00C95003" w:rsidRPr="00C95003" w:rsidRDefault="00C95003" w:rsidP="00C95003">
            <w:pPr>
              <w:widowControl/>
              <w:jc w:val="both"/>
              <w:rPr>
                <w:rFonts w:ascii="Segoe UI" w:eastAsia="Times New Roman" w:hAnsi="Segoe UI" w:cs="Segoe UI"/>
                <w:kern w:val="0"/>
                <w:sz w:val="17"/>
                <w:szCs w:val="17"/>
                <w:lang w:val="en-GB" w:eastAsia="en-US"/>
              </w:rPr>
            </w:pPr>
            <w:r w:rsidRPr="00C95003">
              <w:rPr>
                <w:rFonts w:ascii="Segoe UI" w:eastAsia="Times New Roman" w:hAnsi="Segoe UI" w:cs="Segoe UI"/>
                <w:kern w:val="0"/>
                <w:sz w:val="17"/>
                <w:szCs w:val="17"/>
                <w:lang w:val="en-GB" w:eastAsia="en-US"/>
              </w:rPr>
              <w:t>For instrument with issuer call option, specifies (i) first date of call if the instrument has a call option on a specific date (day, month and year); (ii) if the instrument has a tax and / or regulatory event call; and (iii) the redemption price.</w:t>
            </w:r>
          </w:p>
          <w:p w:rsidR="00C95003" w:rsidRPr="00C95003" w:rsidRDefault="00C95003" w:rsidP="00C95003">
            <w:pPr>
              <w:widowControl/>
              <w:jc w:val="both"/>
              <w:rPr>
                <w:rFonts w:ascii="Segoe UI" w:eastAsia="Times New Roman" w:hAnsi="Segoe UI" w:cs="Segoe UI"/>
                <w:i/>
                <w:kern w:val="0"/>
                <w:sz w:val="17"/>
                <w:szCs w:val="17"/>
                <w:lang w:val="en-GB" w:eastAsia="en-US"/>
              </w:rPr>
            </w:pPr>
            <w:r w:rsidRPr="00C95003">
              <w:rPr>
                <w:rFonts w:ascii="Segoe UI" w:eastAsia="Times New Roman" w:hAnsi="Segoe UI" w:cs="Segoe UI"/>
                <w:i/>
                <w:kern w:val="0"/>
                <w:sz w:val="17"/>
                <w:szCs w:val="17"/>
                <w:lang w:val="en-GB" w:eastAsia="en-US"/>
              </w:rPr>
              <w:t>Free text</w:t>
            </w:r>
          </w:p>
        </w:tc>
      </w:tr>
      <w:tr w:rsidR="00C95003" w:rsidRPr="00C95003" w:rsidTr="00297CA5">
        <w:tc>
          <w:tcPr>
            <w:tcW w:w="486" w:type="dxa"/>
          </w:tcPr>
          <w:p w:rsidR="00C95003" w:rsidRPr="00C95003" w:rsidRDefault="00C95003" w:rsidP="00C95003">
            <w:pPr>
              <w:widowControl/>
              <w:rPr>
                <w:rFonts w:ascii="Segoe UI" w:eastAsia="Times New Roman" w:hAnsi="Segoe UI" w:cs="Segoe UI"/>
                <w:kern w:val="0"/>
                <w:sz w:val="17"/>
                <w:szCs w:val="17"/>
                <w:lang w:val="en-GB" w:eastAsia="en-US"/>
              </w:rPr>
            </w:pPr>
            <w:r w:rsidRPr="00C95003">
              <w:rPr>
                <w:rFonts w:ascii="Segoe UI" w:eastAsia="Times New Roman" w:hAnsi="Segoe UI" w:cs="Segoe UI"/>
                <w:kern w:val="0"/>
                <w:sz w:val="17"/>
                <w:szCs w:val="17"/>
                <w:lang w:val="en-GB" w:eastAsia="en-US"/>
              </w:rPr>
              <w:t>16</w:t>
            </w:r>
          </w:p>
        </w:tc>
        <w:tc>
          <w:tcPr>
            <w:tcW w:w="8728" w:type="dxa"/>
          </w:tcPr>
          <w:p w:rsidR="00C95003" w:rsidRPr="00C95003" w:rsidRDefault="00C95003" w:rsidP="00C95003">
            <w:pPr>
              <w:widowControl/>
              <w:jc w:val="both"/>
              <w:rPr>
                <w:rFonts w:ascii="Segoe UI" w:eastAsia="Times New Roman" w:hAnsi="Segoe UI" w:cs="Segoe UI"/>
                <w:kern w:val="0"/>
                <w:sz w:val="17"/>
                <w:szCs w:val="17"/>
                <w:lang w:val="en-GB" w:eastAsia="en-US"/>
              </w:rPr>
            </w:pPr>
            <w:r w:rsidRPr="00C95003">
              <w:rPr>
                <w:rFonts w:ascii="Segoe UI" w:eastAsia="Times New Roman" w:hAnsi="Segoe UI" w:cs="Segoe UI"/>
                <w:kern w:val="0"/>
                <w:sz w:val="17"/>
                <w:szCs w:val="17"/>
                <w:lang w:val="en-GB" w:eastAsia="en-US"/>
              </w:rPr>
              <w:t>Specifies the existence and frequency of subsequent call dates, if applicable.</w:t>
            </w:r>
          </w:p>
          <w:p w:rsidR="00C95003" w:rsidRPr="00C95003" w:rsidRDefault="00C95003" w:rsidP="00C95003">
            <w:pPr>
              <w:widowControl/>
              <w:jc w:val="both"/>
              <w:rPr>
                <w:rFonts w:ascii="Segoe UI" w:eastAsia="Times New Roman" w:hAnsi="Segoe UI" w:cs="Segoe UI"/>
                <w:i/>
                <w:kern w:val="0"/>
                <w:sz w:val="17"/>
                <w:szCs w:val="17"/>
                <w:lang w:val="en-GB" w:eastAsia="en-US"/>
              </w:rPr>
            </w:pPr>
            <w:r w:rsidRPr="00C95003">
              <w:rPr>
                <w:rFonts w:ascii="Segoe UI" w:eastAsia="Times New Roman" w:hAnsi="Segoe UI" w:cs="Segoe UI"/>
                <w:i/>
                <w:kern w:val="0"/>
                <w:sz w:val="17"/>
                <w:szCs w:val="17"/>
                <w:lang w:val="en-GB" w:eastAsia="en-US"/>
              </w:rPr>
              <w:t>Free text</w:t>
            </w:r>
          </w:p>
        </w:tc>
      </w:tr>
      <w:tr w:rsidR="00C95003" w:rsidRPr="00C95003" w:rsidTr="00297CA5">
        <w:tc>
          <w:tcPr>
            <w:tcW w:w="486" w:type="dxa"/>
          </w:tcPr>
          <w:p w:rsidR="00C95003" w:rsidRPr="00C95003" w:rsidRDefault="00C95003" w:rsidP="00C95003">
            <w:pPr>
              <w:widowControl/>
              <w:rPr>
                <w:rFonts w:ascii="Segoe UI" w:eastAsia="Times New Roman" w:hAnsi="Segoe UI" w:cs="Segoe UI"/>
                <w:kern w:val="0"/>
                <w:sz w:val="17"/>
                <w:szCs w:val="17"/>
                <w:lang w:val="en-GB" w:eastAsia="en-US"/>
              </w:rPr>
            </w:pPr>
            <w:r w:rsidRPr="00C95003">
              <w:rPr>
                <w:rFonts w:ascii="Segoe UI" w:eastAsia="Times New Roman" w:hAnsi="Segoe UI" w:cs="Segoe UI"/>
                <w:kern w:val="0"/>
                <w:sz w:val="17"/>
                <w:szCs w:val="17"/>
                <w:lang w:val="en-GB" w:eastAsia="en-US"/>
              </w:rPr>
              <w:t>17</w:t>
            </w:r>
          </w:p>
        </w:tc>
        <w:tc>
          <w:tcPr>
            <w:tcW w:w="8728" w:type="dxa"/>
          </w:tcPr>
          <w:p w:rsidR="00C95003" w:rsidRPr="00C95003" w:rsidRDefault="00C95003" w:rsidP="00C95003">
            <w:pPr>
              <w:widowControl/>
              <w:jc w:val="both"/>
              <w:rPr>
                <w:rFonts w:ascii="Segoe UI" w:eastAsia="Times New Roman" w:hAnsi="Segoe UI" w:cs="Segoe UI"/>
                <w:kern w:val="0"/>
                <w:sz w:val="17"/>
                <w:szCs w:val="17"/>
                <w:lang w:val="en-GB" w:eastAsia="en-US"/>
              </w:rPr>
            </w:pPr>
            <w:r w:rsidRPr="00C95003">
              <w:rPr>
                <w:rFonts w:ascii="Segoe UI" w:eastAsia="Times New Roman" w:hAnsi="Segoe UI" w:cs="Segoe UI"/>
                <w:kern w:val="0"/>
                <w:sz w:val="17"/>
                <w:szCs w:val="17"/>
                <w:lang w:val="en-GB" w:eastAsia="en-US"/>
              </w:rPr>
              <w:t>Specifies whether the coupon / dividend is: (i) fixed over the life of the instrument; (ii) floating over the life of the instrument; (iii) currently fixed but will move to a floating rate in the future; or (iv) currently floating but will move to a fixed rate in the future.</w:t>
            </w:r>
          </w:p>
          <w:p w:rsidR="00C95003" w:rsidRPr="00C95003" w:rsidRDefault="00C95003" w:rsidP="00C95003">
            <w:pPr>
              <w:widowControl/>
              <w:rPr>
                <w:rFonts w:ascii="Segoe UI" w:eastAsia="Times New Roman" w:hAnsi="Segoe UI" w:cs="Segoe UI"/>
                <w:i/>
                <w:kern w:val="0"/>
                <w:sz w:val="17"/>
                <w:szCs w:val="17"/>
                <w:lang w:val="en-GB" w:eastAsia="en-US"/>
              </w:rPr>
            </w:pPr>
            <w:r w:rsidRPr="00C95003">
              <w:rPr>
                <w:rFonts w:ascii="Segoe UI" w:eastAsia="Times New Roman" w:hAnsi="Segoe UI" w:cs="Segoe UI"/>
                <w:i/>
                <w:kern w:val="0"/>
                <w:sz w:val="17"/>
                <w:szCs w:val="17"/>
                <w:lang w:val="en-GB" w:eastAsia="en-US"/>
              </w:rPr>
              <w:t>Enter: [Fixed] [Floating] [Fixed to floating] [Floating to fixed]</w:t>
            </w:r>
          </w:p>
        </w:tc>
      </w:tr>
      <w:tr w:rsidR="00C95003" w:rsidRPr="00C95003" w:rsidTr="00297CA5">
        <w:tc>
          <w:tcPr>
            <w:tcW w:w="486" w:type="dxa"/>
          </w:tcPr>
          <w:p w:rsidR="00C95003" w:rsidRPr="00C95003" w:rsidRDefault="00C95003" w:rsidP="00C95003">
            <w:pPr>
              <w:widowControl/>
              <w:rPr>
                <w:rFonts w:ascii="Segoe UI" w:eastAsia="Times New Roman" w:hAnsi="Segoe UI" w:cs="Segoe UI"/>
                <w:kern w:val="0"/>
                <w:sz w:val="17"/>
                <w:szCs w:val="17"/>
                <w:lang w:val="en-GB" w:eastAsia="en-US"/>
              </w:rPr>
            </w:pPr>
            <w:r w:rsidRPr="00C95003">
              <w:rPr>
                <w:rFonts w:ascii="Segoe UI" w:eastAsia="Times New Roman" w:hAnsi="Segoe UI" w:cs="Segoe UI"/>
                <w:kern w:val="0"/>
                <w:sz w:val="17"/>
                <w:szCs w:val="17"/>
                <w:lang w:val="en-GB" w:eastAsia="en-US"/>
              </w:rPr>
              <w:t>18</w:t>
            </w:r>
          </w:p>
        </w:tc>
        <w:tc>
          <w:tcPr>
            <w:tcW w:w="8728" w:type="dxa"/>
          </w:tcPr>
          <w:p w:rsidR="00C95003" w:rsidRPr="00C95003" w:rsidRDefault="00C95003" w:rsidP="00C95003">
            <w:pPr>
              <w:widowControl/>
              <w:jc w:val="both"/>
              <w:rPr>
                <w:rFonts w:ascii="Segoe UI" w:eastAsia="Times New Roman" w:hAnsi="Segoe UI" w:cs="Segoe UI"/>
                <w:kern w:val="0"/>
                <w:sz w:val="17"/>
                <w:szCs w:val="17"/>
                <w:lang w:val="en-GB" w:eastAsia="en-US"/>
              </w:rPr>
            </w:pPr>
            <w:r w:rsidRPr="00C95003">
              <w:rPr>
                <w:rFonts w:ascii="Segoe UI" w:eastAsia="Times New Roman" w:hAnsi="Segoe UI" w:cs="Segoe UI"/>
                <w:kern w:val="0"/>
                <w:sz w:val="17"/>
                <w:szCs w:val="17"/>
                <w:lang w:val="en-GB" w:eastAsia="en-US"/>
              </w:rPr>
              <w:t>Specifies the coupon rate of the instrument and any related index that the coupon / dividend rate references.</w:t>
            </w:r>
          </w:p>
          <w:p w:rsidR="00C95003" w:rsidRPr="00C95003" w:rsidRDefault="00C95003" w:rsidP="00C95003">
            <w:pPr>
              <w:widowControl/>
              <w:jc w:val="both"/>
              <w:rPr>
                <w:rFonts w:ascii="Segoe UI" w:eastAsia="Times New Roman" w:hAnsi="Segoe UI" w:cs="Segoe UI"/>
                <w:i/>
                <w:kern w:val="0"/>
                <w:sz w:val="17"/>
                <w:szCs w:val="17"/>
                <w:lang w:val="en-GB" w:eastAsia="en-US"/>
              </w:rPr>
            </w:pPr>
            <w:r w:rsidRPr="00C95003">
              <w:rPr>
                <w:rFonts w:ascii="Segoe UI" w:eastAsia="Times New Roman" w:hAnsi="Segoe UI" w:cs="Segoe UI"/>
                <w:i/>
                <w:kern w:val="0"/>
                <w:sz w:val="17"/>
                <w:szCs w:val="17"/>
                <w:lang w:val="en-GB" w:eastAsia="en-US"/>
              </w:rPr>
              <w:t>Free text</w:t>
            </w:r>
          </w:p>
        </w:tc>
      </w:tr>
      <w:tr w:rsidR="00C95003" w:rsidRPr="00C95003" w:rsidTr="00297CA5">
        <w:tc>
          <w:tcPr>
            <w:tcW w:w="486" w:type="dxa"/>
          </w:tcPr>
          <w:p w:rsidR="00C95003" w:rsidRPr="00C95003" w:rsidRDefault="00C95003" w:rsidP="00C95003">
            <w:pPr>
              <w:widowControl/>
              <w:rPr>
                <w:rFonts w:ascii="Segoe UI" w:eastAsia="Times New Roman" w:hAnsi="Segoe UI" w:cs="Segoe UI"/>
                <w:kern w:val="0"/>
                <w:sz w:val="17"/>
                <w:szCs w:val="17"/>
                <w:lang w:val="en-GB" w:eastAsia="en-US"/>
              </w:rPr>
            </w:pPr>
            <w:r w:rsidRPr="00C95003">
              <w:rPr>
                <w:rFonts w:ascii="Segoe UI" w:eastAsia="Times New Roman" w:hAnsi="Segoe UI" w:cs="Segoe UI"/>
                <w:kern w:val="0"/>
                <w:sz w:val="17"/>
                <w:szCs w:val="17"/>
                <w:lang w:val="en-GB" w:eastAsia="en-US"/>
              </w:rPr>
              <w:t>19</w:t>
            </w:r>
          </w:p>
        </w:tc>
        <w:tc>
          <w:tcPr>
            <w:tcW w:w="8728" w:type="dxa"/>
          </w:tcPr>
          <w:p w:rsidR="00C95003" w:rsidRPr="00C95003" w:rsidRDefault="00C95003" w:rsidP="00C95003">
            <w:pPr>
              <w:widowControl/>
              <w:jc w:val="both"/>
              <w:rPr>
                <w:rFonts w:ascii="Segoe UI" w:eastAsia="Times New Roman" w:hAnsi="Segoe UI" w:cs="Segoe UI"/>
                <w:kern w:val="0"/>
                <w:sz w:val="17"/>
                <w:szCs w:val="17"/>
                <w:lang w:val="en-GB" w:eastAsia="en-US"/>
              </w:rPr>
            </w:pPr>
            <w:r w:rsidRPr="00C95003">
              <w:rPr>
                <w:rFonts w:ascii="Segoe UI" w:eastAsia="Times New Roman" w:hAnsi="Segoe UI" w:cs="Segoe UI"/>
                <w:kern w:val="0"/>
                <w:sz w:val="17"/>
                <w:szCs w:val="17"/>
                <w:lang w:val="en-GB" w:eastAsia="en-US"/>
              </w:rPr>
              <w:t>Specifies whether the non-payment of a coupon or dividend on the instrument prohibits the payment of dividends on ordinary shares (i.e. whether there is a dividend stopper).</w:t>
            </w:r>
          </w:p>
          <w:p w:rsidR="00C95003" w:rsidRPr="00C95003" w:rsidRDefault="00C95003" w:rsidP="00C95003">
            <w:pPr>
              <w:widowControl/>
              <w:jc w:val="both"/>
              <w:rPr>
                <w:rFonts w:ascii="Segoe UI" w:eastAsia="Times New Roman" w:hAnsi="Segoe UI" w:cs="Segoe UI"/>
                <w:i/>
                <w:kern w:val="0"/>
                <w:sz w:val="17"/>
                <w:szCs w:val="17"/>
                <w:lang w:val="en-GB" w:eastAsia="en-US"/>
              </w:rPr>
            </w:pPr>
            <w:r w:rsidRPr="00C95003">
              <w:rPr>
                <w:rFonts w:ascii="Segoe UI" w:eastAsia="Times New Roman" w:hAnsi="Segoe UI" w:cs="Segoe UI"/>
                <w:i/>
                <w:kern w:val="0"/>
                <w:sz w:val="17"/>
                <w:szCs w:val="17"/>
                <w:lang w:val="en-GB" w:eastAsia="en-US"/>
              </w:rPr>
              <w:t>Enter: [Yes] [No]</w:t>
            </w:r>
          </w:p>
        </w:tc>
      </w:tr>
      <w:tr w:rsidR="00C95003" w:rsidRPr="00C95003" w:rsidTr="00297CA5">
        <w:tc>
          <w:tcPr>
            <w:tcW w:w="486" w:type="dxa"/>
          </w:tcPr>
          <w:p w:rsidR="00C95003" w:rsidRPr="00C95003" w:rsidRDefault="00C95003" w:rsidP="00C95003">
            <w:pPr>
              <w:widowControl/>
              <w:rPr>
                <w:rFonts w:ascii="Segoe UI" w:eastAsia="Times New Roman" w:hAnsi="Segoe UI" w:cs="Segoe UI"/>
                <w:kern w:val="0"/>
                <w:sz w:val="17"/>
                <w:szCs w:val="17"/>
                <w:lang w:val="en-GB" w:eastAsia="en-US"/>
              </w:rPr>
            </w:pPr>
            <w:r w:rsidRPr="00C95003">
              <w:rPr>
                <w:rFonts w:ascii="Segoe UI" w:eastAsia="Times New Roman" w:hAnsi="Segoe UI" w:cs="Segoe UI"/>
                <w:kern w:val="0"/>
                <w:sz w:val="17"/>
                <w:szCs w:val="17"/>
                <w:lang w:val="en-GB" w:eastAsia="en-US"/>
              </w:rPr>
              <w:t>20</w:t>
            </w:r>
          </w:p>
        </w:tc>
        <w:tc>
          <w:tcPr>
            <w:tcW w:w="8728" w:type="dxa"/>
          </w:tcPr>
          <w:p w:rsidR="00C95003" w:rsidRPr="00C95003" w:rsidRDefault="00C95003" w:rsidP="00C95003">
            <w:pPr>
              <w:widowControl/>
              <w:jc w:val="both"/>
              <w:rPr>
                <w:rFonts w:ascii="Segoe UI" w:eastAsia="Times New Roman" w:hAnsi="Segoe UI" w:cs="Segoe UI"/>
                <w:kern w:val="0"/>
                <w:sz w:val="17"/>
                <w:szCs w:val="17"/>
                <w:lang w:val="en-GB" w:eastAsia="en-US"/>
              </w:rPr>
            </w:pPr>
            <w:r w:rsidRPr="00C95003">
              <w:rPr>
                <w:rFonts w:ascii="Segoe UI" w:eastAsia="Times New Roman" w:hAnsi="Segoe UI" w:cs="Segoe UI"/>
                <w:kern w:val="0"/>
                <w:sz w:val="17"/>
                <w:szCs w:val="17"/>
                <w:lang w:val="en-GB" w:eastAsia="en-US"/>
              </w:rPr>
              <w:t>Specifies whether the issuer has (i) full discretion; (ii) partial discretion; or (iii) no discretion over whether a coupon / dividend is paid.  If a resolution entity or material subsidiary has full discretion to cancel coupon / dividend payments under all circumstances, it should select “fully discretionary” (including when there is a dividend stopper that does not have the effect of preventing the resolution entity or material subsidiary from cancelling payments on the instrument).  If there are conditions that should be met before payment can be cancelled (e.g. capital below a certain threshold), the resolution entity or material subsidiary should select “partially discretionary”.  If the resolution entity or material subsidiary is unable to cancel the payment outside of insolvency, it should select “mandatory”.</w:t>
            </w:r>
          </w:p>
          <w:p w:rsidR="00C95003" w:rsidRPr="00C95003" w:rsidRDefault="00C95003" w:rsidP="00C95003">
            <w:pPr>
              <w:widowControl/>
              <w:jc w:val="both"/>
              <w:rPr>
                <w:rFonts w:ascii="Segoe UI" w:eastAsia="Times New Roman" w:hAnsi="Segoe UI" w:cs="Segoe UI"/>
                <w:i/>
                <w:kern w:val="0"/>
                <w:sz w:val="17"/>
                <w:szCs w:val="17"/>
                <w:lang w:val="en-GB" w:eastAsia="en-US"/>
              </w:rPr>
            </w:pPr>
            <w:r w:rsidRPr="00C95003">
              <w:rPr>
                <w:rFonts w:ascii="Segoe UI" w:eastAsia="Times New Roman" w:hAnsi="Segoe UI" w:cs="Segoe UI"/>
                <w:i/>
                <w:kern w:val="0"/>
                <w:sz w:val="17"/>
                <w:szCs w:val="17"/>
                <w:lang w:val="en-GB" w:eastAsia="en-US"/>
              </w:rPr>
              <w:t>Enter: [Fully discretionary] [Partially discretionary] [Mandatory]</w:t>
            </w:r>
          </w:p>
        </w:tc>
      </w:tr>
      <w:tr w:rsidR="00C95003" w:rsidRPr="00C95003" w:rsidTr="00297CA5">
        <w:tc>
          <w:tcPr>
            <w:tcW w:w="486" w:type="dxa"/>
          </w:tcPr>
          <w:p w:rsidR="00C95003" w:rsidRPr="00C95003" w:rsidRDefault="00C95003" w:rsidP="00C95003">
            <w:pPr>
              <w:widowControl/>
              <w:rPr>
                <w:rFonts w:ascii="Segoe UI" w:eastAsia="Times New Roman" w:hAnsi="Segoe UI" w:cs="Segoe UI"/>
                <w:kern w:val="0"/>
                <w:sz w:val="17"/>
                <w:szCs w:val="17"/>
                <w:lang w:val="en-GB" w:eastAsia="en-US"/>
              </w:rPr>
            </w:pPr>
            <w:r w:rsidRPr="00C95003">
              <w:rPr>
                <w:rFonts w:ascii="Segoe UI" w:eastAsia="Times New Roman" w:hAnsi="Segoe UI" w:cs="Segoe UI"/>
                <w:kern w:val="0"/>
                <w:sz w:val="17"/>
                <w:szCs w:val="17"/>
                <w:lang w:val="en-GB" w:eastAsia="en-US"/>
              </w:rPr>
              <w:t>21</w:t>
            </w:r>
          </w:p>
        </w:tc>
        <w:tc>
          <w:tcPr>
            <w:tcW w:w="8728" w:type="dxa"/>
          </w:tcPr>
          <w:p w:rsidR="00C95003" w:rsidRPr="00C95003" w:rsidRDefault="00C95003" w:rsidP="00C95003">
            <w:pPr>
              <w:widowControl/>
              <w:jc w:val="both"/>
              <w:rPr>
                <w:rFonts w:ascii="Segoe UI" w:eastAsia="Times New Roman" w:hAnsi="Segoe UI" w:cs="Segoe UI"/>
                <w:i/>
                <w:kern w:val="0"/>
                <w:sz w:val="17"/>
                <w:szCs w:val="17"/>
                <w:lang w:val="en-GB" w:eastAsia="en-US"/>
              </w:rPr>
            </w:pPr>
            <w:r w:rsidRPr="00C95003">
              <w:rPr>
                <w:rFonts w:ascii="Segoe UI" w:eastAsia="Times New Roman" w:hAnsi="Segoe UI" w:cs="Segoe UI"/>
                <w:kern w:val="0"/>
                <w:sz w:val="17"/>
                <w:szCs w:val="17"/>
                <w:lang w:val="en-GB" w:eastAsia="en-US"/>
              </w:rPr>
              <w:t>Specifies whether there is a step-up or other incentive to redeem.</w:t>
            </w:r>
          </w:p>
          <w:p w:rsidR="00C95003" w:rsidRPr="00C95003" w:rsidRDefault="00C95003" w:rsidP="00C95003">
            <w:pPr>
              <w:widowControl/>
              <w:jc w:val="both"/>
              <w:rPr>
                <w:rFonts w:ascii="Segoe UI" w:eastAsia="Times New Roman" w:hAnsi="Segoe UI" w:cs="Segoe UI"/>
                <w:kern w:val="0"/>
                <w:sz w:val="17"/>
                <w:szCs w:val="17"/>
                <w:lang w:val="en-GB" w:eastAsia="en-US"/>
              </w:rPr>
            </w:pPr>
            <w:r w:rsidRPr="00C95003">
              <w:rPr>
                <w:rFonts w:ascii="Segoe UI" w:eastAsia="Times New Roman" w:hAnsi="Segoe UI" w:cs="Segoe UI"/>
                <w:i/>
                <w:kern w:val="0"/>
                <w:sz w:val="17"/>
                <w:szCs w:val="17"/>
                <w:lang w:val="en-GB" w:eastAsia="en-US"/>
              </w:rPr>
              <w:t>Enter: [Yes] [No]</w:t>
            </w:r>
          </w:p>
        </w:tc>
      </w:tr>
      <w:tr w:rsidR="00C95003" w:rsidRPr="00C95003" w:rsidTr="00297CA5">
        <w:tc>
          <w:tcPr>
            <w:tcW w:w="486" w:type="dxa"/>
          </w:tcPr>
          <w:p w:rsidR="00C95003" w:rsidRPr="00C95003" w:rsidRDefault="00C95003" w:rsidP="00C95003">
            <w:pPr>
              <w:widowControl/>
              <w:rPr>
                <w:rFonts w:ascii="Segoe UI" w:eastAsia="Times New Roman" w:hAnsi="Segoe UI" w:cs="Segoe UI"/>
                <w:kern w:val="0"/>
                <w:sz w:val="17"/>
                <w:szCs w:val="17"/>
                <w:lang w:val="en-GB" w:eastAsia="en-US"/>
              </w:rPr>
            </w:pPr>
            <w:r w:rsidRPr="00C95003">
              <w:rPr>
                <w:rFonts w:ascii="Segoe UI" w:eastAsia="Times New Roman" w:hAnsi="Segoe UI" w:cs="Segoe UI"/>
                <w:kern w:val="0"/>
                <w:sz w:val="17"/>
                <w:szCs w:val="17"/>
                <w:lang w:val="en-GB" w:eastAsia="en-US"/>
              </w:rPr>
              <w:t>22</w:t>
            </w:r>
          </w:p>
        </w:tc>
        <w:tc>
          <w:tcPr>
            <w:tcW w:w="8728" w:type="dxa"/>
          </w:tcPr>
          <w:p w:rsidR="00C95003" w:rsidRPr="00C95003" w:rsidRDefault="00C95003" w:rsidP="00C95003">
            <w:pPr>
              <w:widowControl/>
              <w:jc w:val="both"/>
              <w:rPr>
                <w:rFonts w:ascii="Segoe UI" w:eastAsia="Times New Roman" w:hAnsi="Segoe UI" w:cs="Segoe UI"/>
                <w:kern w:val="0"/>
                <w:sz w:val="17"/>
                <w:szCs w:val="17"/>
                <w:lang w:val="en-GB" w:eastAsia="en-US"/>
              </w:rPr>
            </w:pPr>
            <w:r w:rsidRPr="00C95003">
              <w:rPr>
                <w:rFonts w:ascii="Segoe UI" w:eastAsia="Times New Roman" w:hAnsi="Segoe UI" w:cs="Segoe UI"/>
                <w:kern w:val="0"/>
                <w:sz w:val="17"/>
                <w:szCs w:val="17"/>
                <w:lang w:val="en-GB" w:eastAsia="en-US"/>
              </w:rPr>
              <w:t>Specifies whether dividends / coupons are cumulative or non-cumulative.</w:t>
            </w:r>
          </w:p>
          <w:p w:rsidR="00C95003" w:rsidRPr="00C95003" w:rsidRDefault="00C95003" w:rsidP="00C95003">
            <w:pPr>
              <w:widowControl/>
              <w:jc w:val="both"/>
              <w:rPr>
                <w:rFonts w:ascii="Segoe UI" w:eastAsia="Times New Roman" w:hAnsi="Segoe UI" w:cs="Segoe UI"/>
                <w:i/>
                <w:kern w:val="0"/>
                <w:sz w:val="17"/>
                <w:szCs w:val="17"/>
                <w:lang w:val="en-GB" w:eastAsia="en-US"/>
              </w:rPr>
            </w:pPr>
            <w:r w:rsidRPr="00C95003">
              <w:rPr>
                <w:rFonts w:ascii="Segoe UI" w:eastAsia="Times New Roman" w:hAnsi="Segoe UI" w:cs="Segoe UI"/>
                <w:i/>
                <w:kern w:val="0"/>
                <w:sz w:val="17"/>
                <w:szCs w:val="17"/>
                <w:lang w:val="en-GB" w:eastAsia="en-US"/>
              </w:rPr>
              <w:t>Enter: [Non-cumulative] [Cumulative]</w:t>
            </w:r>
          </w:p>
        </w:tc>
      </w:tr>
      <w:tr w:rsidR="00C95003" w:rsidRPr="00C95003" w:rsidTr="00297CA5">
        <w:tc>
          <w:tcPr>
            <w:tcW w:w="486" w:type="dxa"/>
          </w:tcPr>
          <w:p w:rsidR="00C95003" w:rsidRPr="00C95003" w:rsidRDefault="00C95003" w:rsidP="00C95003">
            <w:pPr>
              <w:widowControl/>
              <w:rPr>
                <w:rFonts w:ascii="Segoe UI" w:eastAsia="Times New Roman" w:hAnsi="Segoe UI" w:cs="Segoe UI"/>
                <w:kern w:val="0"/>
                <w:sz w:val="17"/>
                <w:szCs w:val="17"/>
                <w:lang w:val="en-GB" w:eastAsia="en-US"/>
              </w:rPr>
            </w:pPr>
            <w:r w:rsidRPr="00C95003">
              <w:rPr>
                <w:rFonts w:ascii="Segoe UI" w:eastAsia="Times New Roman" w:hAnsi="Segoe UI" w:cs="Segoe UI"/>
                <w:kern w:val="0"/>
                <w:sz w:val="17"/>
                <w:szCs w:val="17"/>
                <w:lang w:val="en-GB" w:eastAsia="en-US"/>
              </w:rPr>
              <w:t>23</w:t>
            </w:r>
          </w:p>
        </w:tc>
        <w:tc>
          <w:tcPr>
            <w:tcW w:w="8728" w:type="dxa"/>
          </w:tcPr>
          <w:p w:rsidR="00C95003" w:rsidRPr="00C95003" w:rsidRDefault="00C95003" w:rsidP="00C95003">
            <w:pPr>
              <w:widowControl/>
              <w:jc w:val="both"/>
              <w:rPr>
                <w:rFonts w:ascii="Segoe UI" w:eastAsia="Times New Roman" w:hAnsi="Segoe UI" w:cs="Segoe UI"/>
                <w:kern w:val="0"/>
                <w:sz w:val="17"/>
                <w:szCs w:val="17"/>
                <w:lang w:val="en-GB" w:eastAsia="en-US"/>
              </w:rPr>
            </w:pPr>
            <w:r w:rsidRPr="00C95003">
              <w:rPr>
                <w:rFonts w:ascii="Segoe UI" w:eastAsia="Times New Roman" w:hAnsi="Segoe UI" w:cs="Segoe UI"/>
                <w:i/>
                <w:kern w:val="0"/>
                <w:sz w:val="17"/>
                <w:szCs w:val="17"/>
                <w:lang w:val="en-GB" w:eastAsia="en-US"/>
              </w:rPr>
              <w:t>Convertible or non-convertible</w:t>
            </w:r>
            <w:r w:rsidRPr="00C95003">
              <w:rPr>
                <w:rFonts w:ascii="Segoe UI" w:eastAsia="Times New Roman" w:hAnsi="Segoe UI" w:cs="Segoe UI"/>
                <w:kern w:val="0"/>
                <w:sz w:val="17"/>
                <w:szCs w:val="17"/>
                <w:lang w:val="en-GB" w:eastAsia="en-US"/>
              </w:rPr>
              <w:t>: specifies whether the instrument is convertible or not.</w:t>
            </w:r>
          </w:p>
          <w:p w:rsidR="00C95003" w:rsidRPr="00C95003" w:rsidRDefault="00C95003" w:rsidP="00C95003">
            <w:pPr>
              <w:widowControl/>
              <w:jc w:val="both"/>
              <w:rPr>
                <w:rFonts w:ascii="Segoe UI" w:eastAsia="Times New Roman" w:hAnsi="Segoe UI" w:cs="Segoe UI"/>
                <w:i/>
                <w:kern w:val="0"/>
                <w:sz w:val="17"/>
                <w:szCs w:val="17"/>
                <w:lang w:val="en-GB" w:eastAsia="en-US"/>
              </w:rPr>
            </w:pPr>
            <w:r w:rsidRPr="00C95003">
              <w:rPr>
                <w:rFonts w:ascii="Segoe UI" w:eastAsia="Times New Roman" w:hAnsi="Segoe UI" w:cs="Segoe UI"/>
                <w:i/>
                <w:kern w:val="0"/>
                <w:sz w:val="17"/>
                <w:szCs w:val="17"/>
                <w:lang w:val="en-GB" w:eastAsia="en-US"/>
              </w:rPr>
              <w:t>Enter: [Convertible] [Non-convertible]</w:t>
            </w:r>
          </w:p>
        </w:tc>
      </w:tr>
      <w:tr w:rsidR="00C95003" w:rsidRPr="00C95003" w:rsidTr="00297CA5">
        <w:tc>
          <w:tcPr>
            <w:tcW w:w="486" w:type="dxa"/>
          </w:tcPr>
          <w:p w:rsidR="00C95003" w:rsidRPr="00C95003" w:rsidRDefault="00C95003" w:rsidP="00C95003">
            <w:pPr>
              <w:widowControl/>
              <w:rPr>
                <w:rFonts w:ascii="Segoe UI" w:eastAsia="Times New Roman" w:hAnsi="Segoe UI" w:cs="Segoe UI"/>
                <w:kern w:val="0"/>
                <w:sz w:val="17"/>
                <w:szCs w:val="17"/>
                <w:lang w:val="en-GB" w:eastAsia="en-US"/>
              </w:rPr>
            </w:pPr>
            <w:r w:rsidRPr="00C95003">
              <w:rPr>
                <w:rFonts w:ascii="Segoe UI" w:eastAsia="Times New Roman" w:hAnsi="Segoe UI" w:cs="Segoe UI"/>
                <w:kern w:val="0"/>
                <w:sz w:val="17"/>
                <w:szCs w:val="17"/>
                <w:lang w:val="en-GB" w:eastAsia="en-US"/>
              </w:rPr>
              <w:t>24</w:t>
            </w:r>
          </w:p>
        </w:tc>
        <w:tc>
          <w:tcPr>
            <w:tcW w:w="8728" w:type="dxa"/>
          </w:tcPr>
          <w:p w:rsidR="00C95003" w:rsidRPr="00C95003" w:rsidRDefault="00C95003" w:rsidP="00C95003">
            <w:pPr>
              <w:widowControl/>
              <w:jc w:val="both"/>
              <w:rPr>
                <w:rFonts w:ascii="Segoe UI" w:eastAsia="Times New Roman" w:hAnsi="Segoe UI" w:cs="Segoe UI"/>
                <w:kern w:val="0"/>
                <w:sz w:val="17"/>
                <w:szCs w:val="17"/>
                <w:lang w:val="en-GB" w:eastAsia="en-US"/>
              </w:rPr>
            </w:pPr>
            <w:r w:rsidRPr="00C95003">
              <w:rPr>
                <w:rFonts w:ascii="Segoe UI" w:eastAsia="Times New Roman" w:hAnsi="Segoe UI" w:cs="Segoe UI"/>
                <w:kern w:val="0"/>
                <w:sz w:val="17"/>
                <w:szCs w:val="17"/>
                <w:lang w:val="en-GB" w:eastAsia="en-US"/>
              </w:rPr>
              <w:t xml:space="preserve">Specifies the conditions under which the instrument will convert, including point of non-viability.  Where one or more authorities have the ability to trigger conversion, names of the authorities should be listed.  For each of the authorities it should be stated whether it is the terms of the contract of the instrument that provide the legal basis for the authority to trigger conversion (a contractual approach) or whether the legal basis is provided by statutory means (a statutory approach).  Where any authorities are required to be given an opportunity to object </w:t>
            </w:r>
            <w:r w:rsidRPr="00C95003">
              <w:rPr>
                <w:rFonts w:ascii="Segoe UI" w:eastAsia="Times New Roman" w:hAnsi="Segoe UI" w:cs="Segoe UI"/>
                <w:kern w:val="0"/>
                <w:sz w:val="17"/>
                <w:szCs w:val="17"/>
                <w:lang w:val="en-GB" w:eastAsia="en-US"/>
              </w:rPr>
              <w:lastRenderedPageBreak/>
              <w:t xml:space="preserve">to the triggering of conversion, names of authorities should be listed. </w:t>
            </w:r>
          </w:p>
          <w:p w:rsidR="00C95003" w:rsidRPr="00C95003" w:rsidRDefault="00C95003" w:rsidP="00C95003">
            <w:pPr>
              <w:widowControl/>
              <w:jc w:val="both"/>
              <w:rPr>
                <w:rFonts w:ascii="Segoe UI" w:eastAsia="Times New Roman" w:hAnsi="Segoe UI" w:cs="Segoe UI"/>
                <w:i/>
                <w:kern w:val="0"/>
                <w:sz w:val="17"/>
                <w:szCs w:val="17"/>
                <w:lang w:val="en-GB" w:eastAsia="en-US"/>
              </w:rPr>
            </w:pPr>
            <w:r w:rsidRPr="00C95003">
              <w:rPr>
                <w:rFonts w:ascii="Segoe UI" w:eastAsia="Times New Roman" w:hAnsi="Segoe UI" w:cs="Segoe UI"/>
                <w:i/>
                <w:kern w:val="0"/>
                <w:sz w:val="17"/>
                <w:szCs w:val="17"/>
                <w:lang w:val="en-GB" w:eastAsia="en-US"/>
              </w:rPr>
              <w:t>Free text.</w:t>
            </w:r>
          </w:p>
        </w:tc>
      </w:tr>
      <w:tr w:rsidR="00C95003" w:rsidRPr="00C95003" w:rsidTr="00297CA5">
        <w:tc>
          <w:tcPr>
            <w:tcW w:w="486" w:type="dxa"/>
          </w:tcPr>
          <w:p w:rsidR="00C95003" w:rsidRPr="00C95003" w:rsidRDefault="00C95003" w:rsidP="00C95003">
            <w:pPr>
              <w:widowControl/>
              <w:rPr>
                <w:rFonts w:ascii="Segoe UI" w:eastAsia="Times New Roman" w:hAnsi="Segoe UI" w:cs="Segoe UI"/>
                <w:kern w:val="0"/>
                <w:sz w:val="17"/>
                <w:szCs w:val="17"/>
                <w:lang w:val="en-GB" w:eastAsia="en-US"/>
              </w:rPr>
            </w:pPr>
            <w:r w:rsidRPr="00C95003">
              <w:rPr>
                <w:rFonts w:ascii="Segoe UI" w:eastAsia="Times New Roman" w:hAnsi="Segoe UI" w:cs="Segoe UI"/>
                <w:kern w:val="0"/>
                <w:sz w:val="17"/>
                <w:szCs w:val="17"/>
                <w:lang w:val="en-GB" w:eastAsia="en-US"/>
              </w:rPr>
              <w:lastRenderedPageBreak/>
              <w:t>25</w:t>
            </w:r>
          </w:p>
        </w:tc>
        <w:tc>
          <w:tcPr>
            <w:tcW w:w="8728" w:type="dxa"/>
          </w:tcPr>
          <w:p w:rsidR="00C95003" w:rsidRPr="00C95003" w:rsidRDefault="00C95003" w:rsidP="00C95003">
            <w:pPr>
              <w:widowControl/>
              <w:jc w:val="both"/>
              <w:rPr>
                <w:rFonts w:ascii="Segoe UI" w:eastAsia="Times New Roman" w:hAnsi="Segoe UI" w:cs="Segoe UI"/>
                <w:kern w:val="0"/>
                <w:sz w:val="17"/>
                <w:szCs w:val="17"/>
                <w:lang w:val="en-GB" w:eastAsia="en-US"/>
              </w:rPr>
            </w:pPr>
            <w:r w:rsidRPr="00C95003">
              <w:rPr>
                <w:rFonts w:ascii="Segoe UI" w:eastAsia="Times New Roman" w:hAnsi="Segoe UI" w:cs="Segoe UI"/>
                <w:kern w:val="0"/>
                <w:sz w:val="17"/>
                <w:szCs w:val="17"/>
                <w:lang w:val="en-GB" w:eastAsia="en-US"/>
              </w:rPr>
              <w:t>For each conversion trigger separately, specifies whether the instrument will: (i) always convert fully; (ii) may convert fully or partially; or (iii) will always convert partially.</w:t>
            </w:r>
          </w:p>
          <w:p w:rsidR="00C95003" w:rsidRPr="00C95003" w:rsidRDefault="00C95003" w:rsidP="00C95003">
            <w:pPr>
              <w:widowControl/>
              <w:jc w:val="both"/>
              <w:rPr>
                <w:rFonts w:ascii="Segoe UI" w:eastAsia="Times New Roman" w:hAnsi="Segoe UI" w:cs="Segoe UI"/>
                <w:i/>
                <w:kern w:val="0"/>
                <w:sz w:val="17"/>
                <w:szCs w:val="17"/>
                <w:lang w:val="en-GB" w:eastAsia="en-US"/>
              </w:rPr>
            </w:pPr>
            <w:r w:rsidRPr="00C95003">
              <w:rPr>
                <w:rFonts w:ascii="Segoe UI" w:eastAsia="Times New Roman" w:hAnsi="Segoe UI" w:cs="Segoe UI"/>
                <w:i/>
                <w:kern w:val="0"/>
                <w:sz w:val="17"/>
                <w:szCs w:val="17"/>
                <w:lang w:val="en-GB" w:eastAsia="en-US"/>
              </w:rPr>
              <w:t>Free text referencing one of the options above</w:t>
            </w:r>
          </w:p>
        </w:tc>
      </w:tr>
      <w:tr w:rsidR="00C95003" w:rsidRPr="00C95003" w:rsidTr="00297CA5">
        <w:tc>
          <w:tcPr>
            <w:tcW w:w="486" w:type="dxa"/>
          </w:tcPr>
          <w:p w:rsidR="00C95003" w:rsidRPr="00C95003" w:rsidRDefault="00C95003" w:rsidP="00C95003">
            <w:pPr>
              <w:widowControl/>
              <w:rPr>
                <w:rFonts w:ascii="Segoe UI" w:eastAsia="Times New Roman" w:hAnsi="Segoe UI" w:cs="Segoe UI"/>
                <w:kern w:val="0"/>
                <w:sz w:val="17"/>
                <w:szCs w:val="17"/>
                <w:lang w:val="en-GB" w:eastAsia="en-US"/>
              </w:rPr>
            </w:pPr>
            <w:r w:rsidRPr="00C95003">
              <w:rPr>
                <w:rFonts w:ascii="Segoe UI" w:eastAsia="Times New Roman" w:hAnsi="Segoe UI" w:cs="Segoe UI"/>
                <w:kern w:val="0"/>
                <w:sz w:val="17"/>
                <w:szCs w:val="17"/>
                <w:lang w:val="en-GB" w:eastAsia="en-US"/>
              </w:rPr>
              <w:t>26</w:t>
            </w:r>
          </w:p>
        </w:tc>
        <w:tc>
          <w:tcPr>
            <w:tcW w:w="8728" w:type="dxa"/>
          </w:tcPr>
          <w:p w:rsidR="00C95003" w:rsidRPr="00C95003" w:rsidRDefault="00C95003" w:rsidP="00C95003">
            <w:pPr>
              <w:widowControl/>
              <w:jc w:val="both"/>
              <w:rPr>
                <w:rFonts w:ascii="Segoe UI" w:eastAsia="Times New Roman" w:hAnsi="Segoe UI" w:cs="Segoe UI"/>
                <w:kern w:val="0"/>
                <w:sz w:val="17"/>
                <w:szCs w:val="17"/>
                <w:lang w:val="en-GB" w:eastAsia="en-US"/>
              </w:rPr>
            </w:pPr>
            <w:r w:rsidRPr="00C95003">
              <w:rPr>
                <w:rFonts w:ascii="Segoe UI" w:eastAsia="Times New Roman" w:hAnsi="Segoe UI" w:cs="Segoe UI"/>
                <w:kern w:val="0"/>
                <w:sz w:val="17"/>
                <w:szCs w:val="17"/>
                <w:lang w:val="en-GB" w:eastAsia="en-US"/>
              </w:rPr>
              <w:t>Specifies rate of conversion into the more loss absorbent instrument.</w:t>
            </w:r>
          </w:p>
          <w:p w:rsidR="00C95003" w:rsidRPr="00C95003" w:rsidRDefault="00C95003" w:rsidP="00C95003">
            <w:pPr>
              <w:widowControl/>
              <w:jc w:val="both"/>
              <w:rPr>
                <w:rFonts w:ascii="Segoe UI" w:eastAsia="Times New Roman" w:hAnsi="Segoe UI" w:cs="Segoe UI"/>
                <w:i/>
                <w:kern w:val="0"/>
                <w:sz w:val="17"/>
                <w:szCs w:val="17"/>
                <w:lang w:val="en-GB" w:eastAsia="en-US"/>
              </w:rPr>
            </w:pPr>
            <w:r w:rsidRPr="00C95003">
              <w:rPr>
                <w:rFonts w:ascii="Segoe UI" w:eastAsia="Times New Roman" w:hAnsi="Segoe UI" w:cs="Segoe UI"/>
                <w:i/>
                <w:kern w:val="0"/>
                <w:sz w:val="17"/>
                <w:szCs w:val="17"/>
                <w:lang w:val="en-GB" w:eastAsia="en-US"/>
              </w:rPr>
              <w:t>Free text</w:t>
            </w:r>
          </w:p>
        </w:tc>
      </w:tr>
      <w:tr w:rsidR="00C95003" w:rsidRPr="00C95003" w:rsidTr="00297CA5">
        <w:tc>
          <w:tcPr>
            <w:tcW w:w="486" w:type="dxa"/>
          </w:tcPr>
          <w:p w:rsidR="00C95003" w:rsidRPr="00C95003" w:rsidRDefault="00C95003" w:rsidP="00C95003">
            <w:pPr>
              <w:widowControl/>
              <w:rPr>
                <w:rFonts w:ascii="Segoe UI" w:eastAsia="Times New Roman" w:hAnsi="Segoe UI" w:cs="Segoe UI"/>
                <w:kern w:val="0"/>
                <w:sz w:val="17"/>
                <w:szCs w:val="17"/>
                <w:lang w:val="en-GB" w:eastAsia="en-US"/>
              </w:rPr>
            </w:pPr>
            <w:r w:rsidRPr="00C95003">
              <w:rPr>
                <w:rFonts w:ascii="Segoe UI" w:eastAsia="Times New Roman" w:hAnsi="Segoe UI" w:cs="Segoe UI"/>
                <w:kern w:val="0"/>
                <w:sz w:val="17"/>
                <w:szCs w:val="17"/>
                <w:lang w:val="en-GB" w:eastAsia="en-US"/>
              </w:rPr>
              <w:t>27</w:t>
            </w:r>
          </w:p>
        </w:tc>
        <w:tc>
          <w:tcPr>
            <w:tcW w:w="8728" w:type="dxa"/>
          </w:tcPr>
          <w:p w:rsidR="00C95003" w:rsidRPr="00C95003" w:rsidRDefault="00C95003" w:rsidP="00C95003">
            <w:pPr>
              <w:widowControl/>
              <w:jc w:val="both"/>
              <w:rPr>
                <w:rFonts w:ascii="Segoe UI" w:eastAsia="Times New Roman" w:hAnsi="Segoe UI" w:cs="Segoe UI"/>
                <w:kern w:val="0"/>
                <w:sz w:val="17"/>
                <w:szCs w:val="17"/>
                <w:lang w:val="en-GB" w:eastAsia="en-US"/>
              </w:rPr>
            </w:pPr>
            <w:r w:rsidRPr="00C95003">
              <w:rPr>
                <w:rFonts w:ascii="Segoe UI" w:eastAsia="Times New Roman" w:hAnsi="Segoe UI" w:cs="Segoe UI"/>
                <w:kern w:val="0"/>
                <w:sz w:val="17"/>
                <w:szCs w:val="17"/>
                <w:lang w:val="en-GB" w:eastAsia="en-US"/>
              </w:rPr>
              <w:t>For convertible instruments, specifies whether conversion is mandatory or optional.</w:t>
            </w:r>
          </w:p>
          <w:p w:rsidR="00C95003" w:rsidRPr="00C95003" w:rsidRDefault="00C95003" w:rsidP="00C95003">
            <w:pPr>
              <w:widowControl/>
              <w:jc w:val="both"/>
              <w:rPr>
                <w:rFonts w:ascii="Segoe UI" w:eastAsia="Times New Roman" w:hAnsi="Segoe UI" w:cs="Segoe UI"/>
                <w:i/>
                <w:kern w:val="0"/>
                <w:sz w:val="17"/>
                <w:szCs w:val="17"/>
                <w:lang w:val="en-GB" w:eastAsia="en-US"/>
              </w:rPr>
            </w:pPr>
            <w:r w:rsidRPr="00C95003">
              <w:rPr>
                <w:rFonts w:ascii="Segoe UI" w:eastAsia="Times New Roman" w:hAnsi="Segoe UI" w:cs="Segoe UI"/>
                <w:i/>
                <w:kern w:val="0"/>
                <w:sz w:val="17"/>
                <w:szCs w:val="17"/>
                <w:lang w:val="en-GB" w:eastAsia="en-US"/>
              </w:rPr>
              <w:t>Enter: [Mandatory] [Optional] [NA]</w:t>
            </w:r>
          </w:p>
        </w:tc>
      </w:tr>
      <w:tr w:rsidR="00C95003" w:rsidRPr="00C95003" w:rsidTr="00297CA5">
        <w:tc>
          <w:tcPr>
            <w:tcW w:w="486" w:type="dxa"/>
          </w:tcPr>
          <w:p w:rsidR="00C95003" w:rsidRPr="00C95003" w:rsidRDefault="00C95003" w:rsidP="00C95003">
            <w:pPr>
              <w:widowControl/>
              <w:rPr>
                <w:rFonts w:ascii="Segoe UI" w:eastAsia="Times New Roman" w:hAnsi="Segoe UI" w:cs="Segoe UI"/>
                <w:kern w:val="0"/>
                <w:sz w:val="17"/>
                <w:szCs w:val="17"/>
                <w:lang w:val="en-GB" w:eastAsia="en-US"/>
              </w:rPr>
            </w:pPr>
            <w:r w:rsidRPr="00C95003">
              <w:rPr>
                <w:rFonts w:ascii="Segoe UI" w:eastAsia="Times New Roman" w:hAnsi="Segoe UI" w:cs="Segoe UI"/>
                <w:kern w:val="0"/>
                <w:sz w:val="17"/>
                <w:szCs w:val="17"/>
                <w:lang w:val="en-GB" w:eastAsia="en-US"/>
              </w:rPr>
              <w:t>28</w:t>
            </w:r>
          </w:p>
        </w:tc>
        <w:tc>
          <w:tcPr>
            <w:tcW w:w="8728" w:type="dxa"/>
          </w:tcPr>
          <w:p w:rsidR="00C95003" w:rsidRPr="00C95003" w:rsidRDefault="00C95003" w:rsidP="00C95003">
            <w:pPr>
              <w:widowControl/>
              <w:jc w:val="both"/>
              <w:rPr>
                <w:rFonts w:ascii="Segoe UI" w:eastAsia="Times New Roman" w:hAnsi="Segoe UI" w:cs="Segoe UI"/>
                <w:kern w:val="0"/>
                <w:sz w:val="17"/>
                <w:szCs w:val="17"/>
                <w:lang w:val="en-GB" w:eastAsia="en-US"/>
              </w:rPr>
            </w:pPr>
            <w:r w:rsidRPr="00C95003">
              <w:rPr>
                <w:rFonts w:ascii="Segoe UI" w:eastAsia="Times New Roman" w:hAnsi="Segoe UI" w:cs="Segoe UI"/>
                <w:kern w:val="0"/>
                <w:sz w:val="17"/>
                <w:szCs w:val="17"/>
                <w:lang w:val="en-GB" w:eastAsia="en-US"/>
              </w:rPr>
              <w:t>For convertible instruments, specifies instrument type convertible into.</w:t>
            </w:r>
          </w:p>
          <w:p w:rsidR="00C95003" w:rsidRPr="00C95003" w:rsidRDefault="00C95003" w:rsidP="00C95003">
            <w:pPr>
              <w:widowControl/>
              <w:jc w:val="both"/>
              <w:rPr>
                <w:rFonts w:ascii="Segoe UI" w:eastAsia="Times New Roman" w:hAnsi="Segoe UI" w:cs="Segoe UI"/>
                <w:i/>
                <w:kern w:val="0"/>
                <w:sz w:val="17"/>
                <w:szCs w:val="17"/>
                <w:lang w:val="en-GB" w:eastAsia="en-US"/>
              </w:rPr>
            </w:pPr>
            <w:r w:rsidRPr="00C95003">
              <w:rPr>
                <w:rFonts w:ascii="Segoe UI" w:eastAsia="Times New Roman" w:hAnsi="Segoe UI" w:cs="Segoe UI"/>
                <w:i/>
                <w:kern w:val="0"/>
                <w:sz w:val="17"/>
                <w:szCs w:val="17"/>
                <w:lang w:val="en-GB" w:eastAsia="en-US"/>
              </w:rPr>
              <w:t>Enter: [Common Equity Tier 1] [Additional Tier 1] [Tier 2] [Others: please specify]</w:t>
            </w:r>
          </w:p>
        </w:tc>
      </w:tr>
      <w:tr w:rsidR="00C95003" w:rsidRPr="00C95003" w:rsidTr="00297CA5">
        <w:tc>
          <w:tcPr>
            <w:tcW w:w="486" w:type="dxa"/>
          </w:tcPr>
          <w:p w:rsidR="00C95003" w:rsidRPr="00C95003" w:rsidRDefault="00C95003" w:rsidP="00C95003">
            <w:pPr>
              <w:widowControl/>
              <w:rPr>
                <w:rFonts w:ascii="Segoe UI" w:eastAsia="Times New Roman" w:hAnsi="Segoe UI" w:cs="Segoe UI"/>
                <w:kern w:val="0"/>
                <w:sz w:val="17"/>
                <w:szCs w:val="17"/>
                <w:lang w:val="en-GB" w:eastAsia="en-US"/>
              </w:rPr>
            </w:pPr>
            <w:r w:rsidRPr="00C95003">
              <w:rPr>
                <w:rFonts w:ascii="Segoe UI" w:eastAsia="Times New Roman" w:hAnsi="Segoe UI" w:cs="Segoe UI"/>
                <w:kern w:val="0"/>
                <w:sz w:val="17"/>
                <w:szCs w:val="17"/>
                <w:lang w:val="en-GB" w:eastAsia="en-US"/>
              </w:rPr>
              <w:t>29</w:t>
            </w:r>
          </w:p>
        </w:tc>
        <w:tc>
          <w:tcPr>
            <w:tcW w:w="8728" w:type="dxa"/>
          </w:tcPr>
          <w:p w:rsidR="00C95003" w:rsidRPr="00C95003" w:rsidRDefault="00C95003" w:rsidP="00C95003">
            <w:pPr>
              <w:widowControl/>
              <w:jc w:val="both"/>
              <w:rPr>
                <w:rFonts w:ascii="Segoe UI" w:eastAsia="Times New Roman" w:hAnsi="Segoe UI" w:cs="Segoe UI"/>
                <w:kern w:val="0"/>
                <w:sz w:val="17"/>
                <w:szCs w:val="17"/>
                <w:lang w:val="en-GB" w:eastAsia="en-US"/>
              </w:rPr>
            </w:pPr>
            <w:r w:rsidRPr="00C95003">
              <w:rPr>
                <w:rFonts w:ascii="Segoe UI" w:eastAsia="Times New Roman" w:hAnsi="Segoe UI" w:cs="Segoe UI"/>
                <w:kern w:val="0"/>
                <w:sz w:val="17"/>
                <w:szCs w:val="17"/>
                <w:lang w:val="en-GB" w:eastAsia="en-US"/>
              </w:rPr>
              <w:t>If convertible, specifies issuer of instrument into which it converts.</w:t>
            </w:r>
          </w:p>
          <w:p w:rsidR="00C95003" w:rsidRPr="00C95003" w:rsidRDefault="00C95003" w:rsidP="00C95003">
            <w:pPr>
              <w:widowControl/>
              <w:jc w:val="both"/>
              <w:rPr>
                <w:rFonts w:ascii="Segoe UI" w:eastAsia="Times New Roman" w:hAnsi="Segoe UI" w:cs="Segoe UI"/>
                <w:i/>
                <w:kern w:val="0"/>
                <w:sz w:val="17"/>
                <w:szCs w:val="17"/>
                <w:lang w:val="en-GB" w:eastAsia="en-US"/>
              </w:rPr>
            </w:pPr>
            <w:r w:rsidRPr="00C95003">
              <w:rPr>
                <w:rFonts w:ascii="Segoe UI" w:eastAsia="Times New Roman" w:hAnsi="Segoe UI" w:cs="Segoe UI"/>
                <w:i/>
                <w:kern w:val="0"/>
                <w:sz w:val="17"/>
                <w:szCs w:val="17"/>
                <w:lang w:val="en-GB" w:eastAsia="en-US"/>
              </w:rPr>
              <w:t>Free text</w:t>
            </w:r>
          </w:p>
        </w:tc>
      </w:tr>
      <w:tr w:rsidR="00C95003" w:rsidRPr="00C95003" w:rsidTr="00297CA5">
        <w:tc>
          <w:tcPr>
            <w:tcW w:w="486" w:type="dxa"/>
          </w:tcPr>
          <w:p w:rsidR="00C95003" w:rsidRPr="00C95003" w:rsidRDefault="00C95003" w:rsidP="00C95003">
            <w:pPr>
              <w:widowControl/>
              <w:rPr>
                <w:rFonts w:ascii="Segoe UI" w:eastAsia="Times New Roman" w:hAnsi="Segoe UI" w:cs="Segoe UI"/>
                <w:kern w:val="0"/>
                <w:sz w:val="17"/>
                <w:szCs w:val="17"/>
                <w:lang w:val="en-GB" w:eastAsia="en-US"/>
              </w:rPr>
            </w:pPr>
            <w:r w:rsidRPr="00C95003">
              <w:rPr>
                <w:rFonts w:ascii="Segoe UI" w:eastAsia="Times New Roman" w:hAnsi="Segoe UI" w:cs="Segoe UI"/>
                <w:kern w:val="0"/>
                <w:sz w:val="17"/>
                <w:szCs w:val="17"/>
                <w:lang w:val="en-GB" w:eastAsia="en-US"/>
              </w:rPr>
              <w:t>30</w:t>
            </w:r>
          </w:p>
        </w:tc>
        <w:tc>
          <w:tcPr>
            <w:tcW w:w="8728" w:type="dxa"/>
          </w:tcPr>
          <w:p w:rsidR="00C95003" w:rsidRPr="00C95003" w:rsidRDefault="00C95003" w:rsidP="00C95003">
            <w:pPr>
              <w:widowControl/>
              <w:jc w:val="both"/>
              <w:rPr>
                <w:rFonts w:ascii="Segoe UI" w:eastAsia="Times New Roman" w:hAnsi="Segoe UI" w:cs="Segoe UI"/>
                <w:kern w:val="0"/>
                <w:sz w:val="17"/>
                <w:szCs w:val="17"/>
                <w:lang w:val="en-GB" w:eastAsia="en-US"/>
              </w:rPr>
            </w:pPr>
            <w:r w:rsidRPr="00C95003">
              <w:rPr>
                <w:rFonts w:ascii="Segoe UI" w:eastAsia="Times New Roman" w:hAnsi="Segoe UI" w:cs="Segoe UI"/>
                <w:kern w:val="0"/>
                <w:sz w:val="17"/>
                <w:szCs w:val="17"/>
                <w:lang w:val="en-GB" w:eastAsia="en-US"/>
              </w:rPr>
              <w:t>Specifies whether there is a write-down feature.</w:t>
            </w:r>
          </w:p>
          <w:p w:rsidR="00C95003" w:rsidRPr="00C95003" w:rsidRDefault="00C95003" w:rsidP="00C95003">
            <w:pPr>
              <w:widowControl/>
              <w:jc w:val="both"/>
              <w:rPr>
                <w:rFonts w:ascii="Segoe UI" w:eastAsia="Times New Roman" w:hAnsi="Segoe UI" w:cs="Segoe UI"/>
                <w:i/>
                <w:kern w:val="0"/>
                <w:sz w:val="17"/>
                <w:szCs w:val="17"/>
                <w:lang w:val="en-GB" w:eastAsia="en-US"/>
              </w:rPr>
            </w:pPr>
            <w:r w:rsidRPr="00C95003">
              <w:rPr>
                <w:rFonts w:ascii="Segoe UI" w:eastAsia="Times New Roman" w:hAnsi="Segoe UI" w:cs="Segoe UI"/>
                <w:i/>
                <w:kern w:val="0"/>
                <w:sz w:val="17"/>
                <w:szCs w:val="17"/>
                <w:lang w:val="en-GB" w:eastAsia="en-US"/>
              </w:rPr>
              <w:t>Enter: [Yes] [No]</w:t>
            </w:r>
          </w:p>
        </w:tc>
      </w:tr>
      <w:tr w:rsidR="00C95003" w:rsidRPr="00C95003" w:rsidTr="00297CA5">
        <w:tc>
          <w:tcPr>
            <w:tcW w:w="486" w:type="dxa"/>
          </w:tcPr>
          <w:p w:rsidR="00C95003" w:rsidRPr="00C95003" w:rsidRDefault="00C95003" w:rsidP="00C95003">
            <w:pPr>
              <w:widowControl/>
              <w:rPr>
                <w:rFonts w:ascii="Segoe UI" w:eastAsia="Times New Roman" w:hAnsi="Segoe UI" w:cs="Segoe UI"/>
                <w:kern w:val="0"/>
                <w:sz w:val="17"/>
                <w:szCs w:val="17"/>
                <w:lang w:val="en-GB" w:eastAsia="en-US"/>
              </w:rPr>
            </w:pPr>
            <w:r w:rsidRPr="00C95003">
              <w:rPr>
                <w:rFonts w:ascii="Segoe UI" w:eastAsia="Times New Roman" w:hAnsi="Segoe UI" w:cs="Segoe UI"/>
                <w:kern w:val="0"/>
                <w:sz w:val="17"/>
                <w:szCs w:val="17"/>
                <w:lang w:val="en-GB" w:eastAsia="en-US"/>
              </w:rPr>
              <w:t>31</w:t>
            </w:r>
          </w:p>
        </w:tc>
        <w:tc>
          <w:tcPr>
            <w:tcW w:w="8728" w:type="dxa"/>
          </w:tcPr>
          <w:p w:rsidR="00C95003" w:rsidRPr="00C95003" w:rsidRDefault="00C95003" w:rsidP="00C95003">
            <w:pPr>
              <w:widowControl/>
              <w:jc w:val="both"/>
              <w:rPr>
                <w:rFonts w:ascii="Segoe UI" w:eastAsia="Times New Roman" w:hAnsi="Segoe UI" w:cs="Segoe UI"/>
                <w:kern w:val="0"/>
                <w:sz w:val="17"/>
                <w:szCs w:val="17"/>
                <w:lang w:val="en-GB" w:eastAsia="en-US"/>
              </w:rPr>
            </w:pPr>
            <w:r w:rsidRPr="00C95003">
              <w:rPr>
                <w:rFonts w:ascii="Segoe UI" w:eastAsia="Times New Roman" w:hAnsi="Segoe UI" w:cs="Segoe UI"/>
                <w:kern w:val="0"/>
                <w:sz w:val="17"/>
                <w:szCs w:val="17"/>
                <w:lang w:val="en-GB" w:eastAsia="en-US"/>
              </w:rPr>
              <w:t>Specifies the trigger at which write-down occurs, including point of non-viability.  Where one or more authorities have the ability to trigger write-down, names of the authorities should be listed.  For each of the authorities it should be stated whether it is the terms of the contract of the instrument that provide the legal basis for the authority to trigger write-down (a contractual approach) or whether the legal basis is provided by statutory means (a statutory approach).  Where any authorities are required to be given an opportunity to object to the triggering of write-down, names of authorities should be listed.</w:t>
            </w:r>
          </w:p>
          <w:p w:rsidR="00C95003" w:rsidRPr="00C95003" w:rsidRDefault="00C95003" w:rsidP="00C95003">
            <w:pPr>
              <w:widowControl/>
              <w:jc w:val="both"/>
              <w:rPr>
                <w:rFonts w:ascii="Segoe UI" w:eastAsia="Times New Roman" w:hAnsi="Segoe UI" w:cs="Segoe UI"/>
                <w:i/>
                <w:kern w:val="0"/>
                <w:sz w:val="17"/>
                <w:szCs w:val="17"/>
                <w:lang w:val="en-GB" w:eastAsia="en-US"/>
              </w:rPr>
            </w:pPr>
            <w:r w:rsidRPr="00C95003">
              <w:rPr>
                <w:rFonts w:ascii="Segoe UI" w:eastAsia="Times New Roman" w:hAnsi="Segoe UI" w:cs="Segoe UI"/>
                <w:i/>
                <w:kern w:val="0"/>
                <w:sz w:val="17"/>
                <w:szCs w:val="17"/>
                <w:lang w:val="en-GB" w:eastAsia="en-US"/>
              </w:rPr>
              <w:t>Free text</w:t>
            </w:r>
          </w:p>
        </w:tc>
      </w:tr>
      <w:tr w:rsidR="00C95003" w:rsidRPr="00C95003" w:rsidTr="00297CA5">
        <w:tc>
          <w:tcPr>
            <w:tcW w:w="486" w:type="dxa"/>
          </w:tcPr>
          <w:p w:rsidR="00C95003" w:rsidRPr="00C95003" w:rsidRDefault="00C95003" w:rsidP="00C95003">
            <w:pPr>
              <w:widowControl/>
              <w:rPr>
                <w:rFonts w:ascii="Segoe UI" w:eastAsia="Times New Roman" w:hAnsi="Segoe UI" w:cs="Segoe UI"/>
                <w:kern w:val="0"/>
                <w:sz w:val="17"/>
                <w:szCs w:val="17"/>
                <w:lang w:val="en-GB" w:eastAsia="en-US"/>
              </w:rPr>
            </w:pPr>
            <w:r w:rsidRPr="00C95003">
              <w:rPr>
                <w:rFonts w:ascii="Segoe UI" w:eastAsia="Times New Roman" w:hAnsi="Segoe UI" w:cs="Segoe UI"/>
                <w:kern w:val="0"/>
                <w:sz w:val="17"/>
                <w:szCs w:val="17"/>
                <w:lang w:val="en-GB" w:eastAsia="en-US"/>
              </w:rPr>
              <w:t>32</w:t>
            </w:r>
          </w:p>
        </w:tc>
        <w:tc>
          <w:tcPr>
            <w:tcW w:w="8728" w:type="dxa"/>
          </w:tcPr>
          <w:p w:rsidR="00C95003" w:rsidRPr="00C95003" w:rsidRDefault="00C95003" w:rsidP="00C95003">
            <w:pPr>
              <w:widowControl/>
              <w:jc w:val="both"/>
              <w:rPr>
                <w:rFonts w:ascii="Segoe UI" w:eastAsia="Times New Roman" w:hAnsi="Segoe UI" w:cs="Segoe UI"/>
                <w:kern w:val="0"/>
                <w:sz w:val="17"/>
                <w:szCs w:val="17"/>
                <w:lang w:val="en-GB" w:eastAsia="en-US"/>
              </w:rPr>
            </w:pPr>
            <w:r w:rsidRPr="00C95003">
              <w:rPr>
                <w:rFonts w:ascii="Segoe UI" w:eastAsia="Times New Roman" w:hAnsi="Segoe UI" w:cs="Segoe UI"/>
                <w:kern w:val="0"/>
                <w:sz w:val="17"/>
                <w:szCs w:val="17"/>
                <w:lang w:val="en-GB" w:eastAsia="en-US"/>
              </w:rPr>
              <w:t xml:space="preserve">For each write-down trigger separately, specifies whether the instrument will: (i) always be written down fully; (ii) may be written down partially; or (iii) will always be written down partially.  </w:t>
            </w:r>
          </w:p>
          <w:p w:rsidR="00C95003" w:rsidRPr="00C95003" w:rsidRDefault="00C95003" w:rsidP="00C95003">
            <w:pPr>
              <w:widowControl/>
              <w:jc w:val="both"/>
              <w:rPr>
                <w:rFonts w:ascii="Segoe UI" w:eastAsia="Times New Roman" w:hAnsi="Segoe UI" w:cs="Segoe UI"/>
                <w:i/>
                <w:kern w:val="0"/>
                <w:sz w:val="17"/>
                <w:szCs w:val="17"/>
                <w:lang w:val="en-GB" w:eastAsia="en-US"/>
              </w:rPr>
            </w:pPr>
            <w:r w:rsidRPr="00C95003">
              <w:rPr>
                <w:rFonts w:ascii="Segoe UI" w:eastAsia="Times New Roman" w:hAnsi="Segoe UI" w:cs="Segoe UI"/>
                <w:i/>
                <w:kern w:val="0"/>
                <w:sz w:val="17"/>
                <w:szCs w:val="17"/>
                <w:lang w:val="en-GB" w:eastAsia="en-US"/>
              </w:rPr>
              <w:t>Free text referencing one of the options above</w:t>
            </w:r>
          </w:p>
        </w:tc>
      </w:tr>
      <w:tr w:rsidR="00C95003" w:rsidRPr="00C95003" w:rsidTr="00297CA5">
        <w:tc>
          <w:tcPr>
            <w:tcW w:w="486" w:type="dxa"/>
          </w:tcPr>
          <w:p w:rsidR="00C95003" w:rsidRPr="00C95003" w:rsidRDefault="00C95003" w:rsidP="00C95003">
            <w:pPr>
              <w:widowControl/>
              <w:rPr>
                <w:rFonts w:ascii="Segoe UI" w:eastAsia="Times New Roman" w:hAnsi="Segoe UI" w:cs="Segoe UI"/>
                <w:kern w:val="0"/>
                <w:sz w:val="17"/>
                <w:szCs w:val="17"/>
                <w:lang w:val="en-GB" w:eastAsia="en-US"/>
              </w:rPr>
            </w:pPr>
            <w:r w:rsidRPr="00C95003">
              <w:rPr>
                <w:rFonts w:ascii="Segoe UI" w:eastAsia="Times New Roman" w:hAnsi="Segoe UI" w:cs="Segoe UI"/>
                <w:kern w:val="0"/>
                <w:sz w:val="17"/>
                <w:szCs w:val="17"/>
                <w:lang w:val="en-GB" w:eastAsia="en-US"/>
              </w:rPr>
              <w:t>33</w:t>
            </w:r>
          </w:p>
        </w:tc>
        <w:tc>
          <w:tcPr>
            <w:tcW w:w="8728" w:type="dxa"/>
          </w:tcPr>
          <w:p w:rsidR="00C95003" w:rsidRPr="00C95003" w:rsidRDefault="00C95003" w:rsidP="00C95003">
            <w:pPr>
              <w:widowControl/>
              <w:jc w:val="both"/>
              <w:rPr>
                <w:rFonts w:ascii="Segoe UI" w:eastAsia="Times New Roman" w:hAnsi="Segoe UI" w:cs="Segoe UI"/>
                <w:kern w:val="0"/>
                <w:sz w:val="17"/>
                <w:szCs w:val="17"/>
                <w:lang w:val="en-GB" w:eastAsia="en-US"/>
              </w:rPr>
            </w:pPr>
            <w:r w:rsidRPr="00C95003">
              <w:rPr>
                <w:rFonts w:ascii="Segoe UI" w:eastAsia="Times New Roman" w:hAnsi="Segoe UI" w:cs="Segoe UI"/>
                <w:kern w:val="0"/>
                <w:sz w:val="17"/>
                <w:szCs w:val="17"/>
                <w:lang w:val="en-GB" w:eastAsia="en-US"/>
              </w:rPr>
              <w:t xml:space="preserve">For write-down instrument, specifies whether write-down is permanent or temporary.  </w:t>
            </w:r>
          </w:p>
          <w:p w:rsidR="00C95003" w:rsidRPr="00C95003" w:rsidRDefault="00C95003" w:rsidP="00C95003">
            <w:pPr>
              <w:widowControl/>
              <w:jc w:val="both"/>
              <w:rPr>
                <w:rFonts w:ascii="Segoe UI" w:eastAsia="Times New Roman" w:hAnsi="Segoe UI" w:cs="Segoe UI"/>
                <w:i/>
                <w:kern w:val="0"/>
                <w:sz w:val="17"/>
                <w:szCs w:val="17"/>
                <w:lang w:val="en-GB" w:eastAsia="en-US"/>
              </w:rPr>
            </w:pPr>
            <w:r w:rsidRPr="00C95003">
              <w:rPr>
                <w:rFonts w:ascii="Segoe UI" w:eastAsia="Times New Roman" w:hAnsi="Segoe UI" w:cs="Segoe UI"/>
                <w:i/>
                <w:kern w:val="0"/>
                <w:sz w:val="17"/>
                <w:szCs w:val="17"/>
                <w:lang w:val="en-GB" w:eastAsia="en-US"/>
              </w:rPr>
              <w:t>Enter: [Permanent] [Temporary] [NA]</w:t>
            </w:r>
          </w:p>
        </w:tc>
      </w:tr>
      <w:tr w:rsidR="00C95003" w:rsidRPr="00C95003" w:rsidTr="00297CA5">
        <w:tc>
          <w:tcPr>
            <w:tcW w:w="486" w:type="dxa"/>
          </w:tcPr>
          <w:p w:rsidR="00C95003" w:rsidRPr="00C95003" w:rsidRDefault="00C95003" w:rsidP="00C95003">
            <w:pPr>
              <w:widowControl/>
              <w:rPr>
                <w:rFonts w:ascii="Segoe UI" w:eastAsia="Times New Roman" w:hAnsi="Segoe UI" w:cs="Segoe UI"/>
                <w:kern w:val="0"/>
                <w:sz w:val="17"/>
                <w:szCs w:val="17"/>
                <w:lang w:val="en-GB" w:eastAsia="en-US"/>
              </w:rPr>
            </w:pPr>
            <w:r w:rsidRPr="00C95003">
              <w:rPr>
                <w:rFonts w:ascii="Segoe UI" w:eastAsia="Times New Roman" w:hAnsi="Segoe UI" w:cs="Segoe UI"/>
                <w:kern w:val="0"/>
                <w:sz w:val="17"/>
                <w:szCs w:val="17"/>
                <w:lang w:val="en-GB" w:eastAsia="en-US"/>
              </w:rPr>
              <w:t>34</w:t>
            </w:r>
          </w:p>
        </w:tc>
        <w:tc>
          <w:tcPr>
            <w:tcW w:w="8728" w:type="dxa"/>
          </w:tcPr>
          <w:p w:rsidR="00C95003" w:rsidRPr="00C95003" w:rsidRDefault="00C95003" w:rsidP="00C95003">
            <w:pPr>
              <w:widowControl/>
              <w:jc w:val="both"/>
              <w:rPr>
                <w:rFonts w:ascii="Segoe UI" w:eastAsia="Times New Roman" w:hAnsi="Segoe UI" w:cs="Segoe UI"/>
                <w:kern w:val="0"/>
                <w:sz w:val="17"/>
                <w:szCs w:val="17"/>
                <w:lang w:val="en-GB" w:eastAsia="en-US"/>
              </w:rPr>
            </w:pPr>
            <w:r w:rsidRPr="00C95003">
              <w:rPr>
                <w:rFonts w:ascii="Segoe UI" w:eastAsia="Times New Roman" w:hAnsi="Segoe UI" w:cs="Segoe UI"/>
                <w:kern w:val="0"/>
                <w:sz w:val="17"/>
                <w:szCs w:val="17"/>
                <w:lang w:val="en-GB" w:eastAsia="en-US"/>
              </w:rPr>
              <w:t>For instrument that has a temporary write-down, description of write-up mechanism.  Not applicable in the case of Hong Kong as no write-up is allowed.</w:t>
            </w:r>
          </w:p>
          <w:p w:rsidR="00C95003" w:rsidRPr="00C95003" w:rsidRDefault="00C95003" w:rsidP="00C95003">
            <w:pPr>
              <w:widowControl/>
              <w:jc w:val="both"/>
              <w:rPr>
                <w:rFonts w:ascii="Segoe UI" w:eastAsia="Times New Roman" w:hAnsi="Segoe UI" w:cs="Segoe UI"/>
                <w:i/>
                <w:kern w:val="0"/>
                <w:sz w:val="17"/>
                <w:szCs w:val="17"/>
                <w:lang w:val="en-GB" w:eastAsia="en-US"/>
              </w:rPr>
            </w:pPr>
            <w:r w:rsidRPr="00C95003">
              <w:rPr>
                <w:rFonts w:ascii="Segoe UI" w:eastAsia="Times New Roman" w:hAnsi="Segoe UI" w:cs="Segoe UI"/>
                <w:i/>
                <w:kern w:val="0"/>
                <w:sz w:val="17"/>
                <w:szCs w:val="17"/>
                <w:lang w:val="en-GB" w:eastAsia="en-US"/>
              </w:rPr>
              <w:t>Enter: [NA]</w:t>
            </w:r>
          </w:p>
        </w:tc>
      </w:tr>
      <w:tr w:rsidR="00C95003" w:rsidRPr="00C95003" w:rsidTr="00297CA5">
        <w:tc>
          <w:tcPr>
            <w:tcW w:w="486" w:type="dxa"/>
          </w:tcPr>
          <w:p w:rsidR="00C95003" w:rsidRPr="00C95003" w:rsidRDefault="00C95003" w:rsidP="00C95003">
            <w:pPr>
              <w:widowControl/>
              <w:rPr>
                <w:rFonts w:ascii="Segoe UI" w:eastAsia="Times New Roman" w:hAnsi="Segoe UI" w:cs="Segoe UI"/>
                <w:kern w:val="0"/>
                <w:sz w:val="17"/>
                <w:szCs w:val="17"/>
                <w:lang w:val="en-GB" w:eastAsia="en-US"/>
              </w:rPr>
            </w:pPr>
            <w:r w:rsidRPr="00C95003">
              <w:rPr>
                <w:rFonts w:ascii="Segoe UI" w:eastAsia="Times New Roman" w:hAnsi="Segoe UI" w:cs="Segoe UI"/>
                <w:kern w:val="0"/>
                <w:sz w:val="17"/>
                <w:szCs w:val="17"/>
                <w:lang w:val="en-GB" w:eastAsia="en-US"/>
              </w:rPr>
              <w:t>34a</w:t>
            </w:r>
          </w:p>
        </w:tc>
        <w:tc>
          <w:tcPr>
            <w:tcW w:w="8728" w:type="dxa"/>
          </w:tcPr>
          <w:p w:rsidR="00C95003" w:rsidRPr="00C95003" w:rsidRDefault="00C95003" w:rsidP="00C95003">
            <w:pPr>
              <w:widowControl/>
              <w:jc w:val="both"/>
              <w:rPr>
                <w:rFonts w:ascii="Segoe UI" w:eastAsia="Times New Roman" w:hAnsi="Segoe UI" w:cs="Segoe UI"/>
                <w:kern w:val="0"/>
                <w:sz w:val="17"/>
                <w:szCs w:val="17"/>
                <w:lang w:val="en-GB" w:eastAsia="en-US"/>
              </w:rPr>
            </w:pPr>
            <w:r w:rsidRPr="00C95003">
              <w:rPr>
                <w:rFonts w:ascii="Segoe UI" w:eastAsia="Times New Roman" w:hAnsi="Segoe UI" w:cs="Segoe UI"/>
                <w:kern w:val="0"/>
                <w:sz w:val="17"/>
                <w:szCs w:val="17"/>
                <w:lang w:val="en-GB" w:eastAsia="en-US"/>
              </w:rPr>
              <w:t xml:space="preserve">Type of subordination.  If the instrument is issued by a clean HK holding company, irrespective of whether it is contractually subordinated to depositors and general creditors of the clean HK holding company, select “Structural”.  Where the instrument issued by a clean HK holding company is contractually subordinated to its depositors and general creditors, explain so in a narrative description.  If the instrument is contractually subordinated to depositors and general creditors of the resolution entity or material subsidiary (as applicable), select “Contractual”.  </w:t>
            </w:r>
          </w:p>
          <w:p w:rsidR="00C95003" w:rsidRPr="00C95003" w:rsidRDefault="00C95003" w:rsidP="00C95003">
            <w:pPr>
              <w:widowControl/>
              <w:jc w:val="both"/>
              <w:rPr>
                <w:rFonts w:ascii="Segoe UI" w:eastAsia="Times New Roman" w:hAnsi="Segoe UI" w:cs="Segoe UI"/>
                <w:i/>
                <w:kern w:val="0"/>
                <w:sz w:val="17"/>
                <w:szCs w:val="17"/>
                <w:lang w:val="en-GB" w:eastAsia="en-US"/>
              </w:rPr>
            </w:pPr>
            <w:r w:rsidRPr="00C95003">
              <w:rPr>
                <w:rFonts w:ascii="Segoe UI" w:eastAsia="Times New Roman" w:hAnsi="Segoe UI" w:cs="Segoe UI"/>
                <w:i/>
                <w:kern w:val="0"/>
                <w:sz w:val="17"/>
                <w:szCs w:val="17"/>
                <w:lang w:val="en-GB" w:eastAsia="en-US"/>
              </w:rPr>
              <w:t>Enter: [Structural] [ Contractual]</w:t>
            </w:r>
          </w:p>
          <w:p w:rsidR="00C95003" w:rsidRPr="00C95003" w:rsidRDefault="00C95003" w:rsidP="00C95003">
            <w:pPr>
              <w:widowControl/>
              <w:jc w:val="both"/>
              <w:rPr>
                <w:rFonts w:ascii="Segoe UI" w:eastAsia="Times New Roman" w:hAnsi="Segoe UI" w:cs="Segoe UI"/>
                <w:i/>
                <w:kern w:val="0"/>
                <w:sz w:val="17"/>
                <w:szCs w:val="17"/>
                <w:lang w:val="en-GB" w:eastAsia="en-US"/>
              </w:rPr>
            </w:pPr>
            <w:r w:rsidRPr="00C95003">
              <w:rPr>
                <w:rFonts w:ascii="Segoe UI" w:eastAsia="Times New Roman" w:hAnsi="Segoe UI" w:cs="Segoe UI"/>
                <w:i/>
                <w:kern w:val="0"/>
                <w:sz w:val="17"/>
                <w:szCs w:val="17"/>
                <w:lang w:val="en-GB" w:eastAsia="en-US"/>
              </w:rPr>
              <w:t>Free text (if applicable)</w:t>
            </w:r>
          </w:p>
        </w:tc>
      </w:tr>
      <w:tr w:rsidR="00C95003" w:rsidRPr="00C95003" w:rsidTr="00297CA5">
        <w:tc>
          <w:tcPr>
            <w:tcW w:w="486" w:type="dxa"/>
          </w:tcPr>
          <w:p w:rsidR="00C95003" w:rsidRPr="00C95003" w:rsidRDefault="00C95003" w:rsidP="00C95003">
            <w:pPr>
              <w:widowControl/>
              <w:rPr>
                <w:rFonts w:ascii="Segoe UI" w:eastAsia="Times New Roman" w:hAnsi="Segoe UI" w:cs="Segoe UI"/>
                <w:kern w:val="0"/>
                <w:sz w:val="17"/>
                <w:szCs w:val="17"/>
                <w:lang w:val="en-GB" w:eastAsia="en-US"/>
              </w:rPr>
            </w:pPr>
            <w:r w:rsidRPr="00C95003">
              <w:rPr>
                <w:rFonts w:ascii="Segoe UI" w:eastAsia="Times New Roman" w:hAnsi="Segoe UI" w:cs="Segoe UI"/>
                <w:kern w:val="0"/>
                <w:sz w:val="17"/>
                <w:szCs w:val="17"/>
                <w:lang w:val="en-GB" w:eastAsia="en-US"/>
              </w:rPr>
              <w:lastRenderedPageBreak/>
              <w:t>35</w:t>
            </w:r>
          </w:p>
        </w:tc>
        <w:tc>
          <w:tcPr>
            <w:tcW w:w="8728" w:type="dxa"/>
          </w:tcPr>
          <w:p w:rsidR="00C95003" w:rsidRPr="00C95003" w:rsidRDefault="00C95003" w:rsidP="00C95003">
            <w:pPr>
              <w:widowControl/>
              <w:jc w:val="both"/>
              <w:rPr>
                <w:rFonts w:ascii="Segoe UI" w:eastAsia="Times New Roman" w:hAnsi="Segoe UI" w:cs="Segoe UI"/>
                <w:kern w:val="0"/>
                <w:sz w:val="17"/>
                <w:szCs w:val="17"/>
                <w:lang w:val="en-GB" w:eastAsia="en-US"/>
              </w:rPr>
            </w:pPr>
            <w:r w:rsidRPr="00C95003">
              <w:rPr>
                <w:rFonts w:ascii="Segoe UI" w:eastAsia="Times New Roman" w:hAnsi="Segoe UI" w:cs="Segoe UI"/>
                <w:kern w:val="0"/>
                <w:sz w:val="17"/>
                <w:szCs w:val="17"/>
                <w:lang w:val="en-GB" w:eastAsia="en-US"/>
              </w:rPr>
              <w:t>Specifies instrument to which it is most immediately subordinate.  Where applicable, a resolution entity or material subsidiary should specify the column numbers of the instruments in the completed main features template to which the instrument is most immediately subordinate.  In the case of structural subordination, “NA” should be entered.</w:t>
            </w:r>
          </w:p>
          <w:p w:rsidR="00C95003" w:rsidRPr="00C95003" w:rsidRDefault="00C95003" w:rsidP="00C95003">
            <w:pPr>
              <w:widowControl/>
              <w:jc w:val="both"/>
              <w:rPr>
                <w:rFonts w:ascii="Segoe UI" w:eastAsia="Times New Roman" w:hAnsi="Segoe UI" w:cs="Segoe UI"/>
                <w:i/>
                <w:kern w:val="0"/>
                <w:sz w:val="17"/>
                <w:szCs w:val="17"/>
                <w:lang w:val="en-GB" w:eastAsia="en-US"/>
              </w:rPr>
            </w:pPr>
            <w:r w:rsidRPr="00C95003">
              <w:rPr>
                <w:rFonts w:ascii="Segoe UI" w:eastAsia="Times New Roman" w:hAnsi="Segoe UI" w:cs="Segoe UI"/>
                <w:i/>
                <w:kern w:val="0"/>
                <w:sz w:val="17"/>
                <w:szCs w:val="17"/>
                <w:lang w:val="en-GB" w:eastAsia="en-US"/>
              </w:rPr>
              <w:t>Free text</w:t>
            </w:r>
          </w:p>
        </w:tc>
      </w:tr>
      <w:tr w:rsidR="00C95003" w:rsidRPr="00C95003" w:rsidTr="00297CA5">
        <w:tc>
          <w:tcPr>
            <w:tcW w:w="486" w:type="dxa"/>
          </w:tcPr>
          <w:p w:rsidR="00C95003" w:rsidRPr="00C95003" w:rsidRDefault="00C95003" w:rsidP="00C95003">
            <w:pPr>
              <w:widowControl/>
              <w:rPr>
                <w:rFonts w:ascii="Segoe UI" w:eastAsia="Times New Roman" w:hAnsi="Segoe UI" w:cs="Segoe UI"/>
                <w:kern w:val="0"/>
                <w:sz w:val="17"/>
                <w:szCs w:val="17"/>
                <w:lang w:val="en-GB" w:eastAsia="en-US"/>
              </w:rPr>
            </w:pPr>
            <w:r w:rsidRPr="00C95003">
              <w:rPr>
                <w:rFonts w:ascii="Segoe UI" w:eastAsia="Times New Roman" w:hAnsi="Segoe UI" w:cs="Segoe UI"/>
                <w:kern w:val="0"/>
                <w:sz w:val="17"/>
                <w:szCs w:val="17"/>
                <w:lang w:val="en-GB" w:eastAsia="en-US"/>
              </w:rPr>
              <w:t>36</w:t>
            </w:r>
          </w:p>
        </w:tc>
        <w:tc>
          <w:tcPr>
            <w:tcW w:w="8728" w:type="dxa"/>
          </w:tcPr>
          <w:p w:rsidR="00C95003" w:rsidRPr="00C95003" w:rsidRDefault="00C95003" w:rsidP="00C95003">
            <w:pPr>
              <w:widowControl/>
              <w:jc w:val="both"/>
              <w:rPr>
                <w:rFonts w:ascii="Segoe UI" w:eastAsia="Times New Roman" w:hAnsi="Segoe UI" w:cs="Segoe UI"/>
                <w:kern w:val="0"/>
                <w:sz w:val="17"/>
                <w:szCs w:val="17"/>
                <w:lang w:val="en-GB" w:eastAsia="en-US"/>
              </w:rPr>
            </w:pPr>
            <w:r w:rsidRPr="00C95003">
              <w:rPr>
                <w:rFonts w:ascii="Segoe UI" w:eastAsia="Times New Roman" w:hAnsi="Segoe UI" w:cs="Segoe UI"/>
                <w:kern w:val="0"/>
                <w:sz w:val="17"/>
                <w:szCs w:val="17"/>
                <w:lang w:val="en-GB" w:eastAsia="en-US"/>
              </w:rPr>
              <w:t>Specifies whether there are non-compliant features.</w:t>
            </w:r>
          </w:p>
          <w:p w:rsidR="00C95003" w:rsidRPr="00C95003" w:rsidRDefault="00C95003" w:rsidP="00C95003">
            <w:pPr>
              <w:widowControl/>
              <w:jc w:val="both"/>
              <w:rPr>
                <w:rFonts w:ascii="Segoe UI" w:eastAsia="Times New Roman" w:hAnsi="Segoe UI" w:cs="Segoe UI"/>
                <w:i/>
                <w:kern w:val="0"/>
                <w:sz w:val="17"/>
                <w:szCs w:val="17"/>
                <w:lang w:val="en-GB" w:eastAsia="en-US"/>
              </w:rPr>
            </w:pPr>
            <w:r w:rsidRPr="00C95003">
              <w:rPr>
                <w:rFonts w:ascii="Segoe UI" w:eastAsia="Times New Roman" w:hAnsi="Segoe UI" w:cs="Segoe UI"/>
                <w:i/>
                <w:kern w:val="0"/>
                <w:sz w:val="17"/>
                <w:szCs w:val="17"/>
                <w:lang w:val="en-GB" w:eastAsia="en-US"/>
              </w:rPr>
              <w:t>Enter: [Yes] [No]</w:t>
            </w:r>
          </w:p>
        </w:tc>
      </w:tr>
      <w:tr w:rsidR="00C95003" w:rsidRPr="00C95003" w:rsidTr="00297CA5">
        <w:tc>
          <w:tcPr>
            <w:tcW w:w="486" w:type="dxa"/>
          </w:tcPr>
          <w:p w:rsidR="00C95003" w:rsidRPr="00C95003" w:rsidRDefault="00C95003" w:rsidP="00C95003">
            <w:pPr>
              <w:widowControl/>
              <w:rPr>
                <w:rFonts w:ascii="Segoe UI" w:eastAsia="Times New Roman" w:hAnsi="Segoe UI" w:cs="Segoe UI"/>
                <w:kern w:val="0"/>
                <w:sz w:val="17"/>
                <w:szCs w:val="17"/>
                <w:lang w:val="en-GB" w:eastAsia="en-US"/>
              </w:rPr>
            </w:pPr>
            <w:r w:rsidRPr="00C95003">
              <w:rPr>
                <w:rFonts w:ascii="Segoe UI" w:eastAsia="Times New Roman" w:hAnsi="Segoe UI" w:cs="Segoe UI"/>
                <w:kern w:val="0"/>
                <w:sz w:val="17"/>
                <w:szCs w:val="17"/>
                <w:lang w:val="en-GB" w:eastAsia="en-US"/>
              </w:rPr>
              <w:t>37</w:t>
            </w:r>
          </w:p>
        </w:tc>
        <w:tc>
          <w:tcPr>
            <w:tcW w:w="8728" w:type="dxa"/>
          </w:tcPr>
          <w:p w:rsidR="00C95003" w:rsidRPr="00C95003" w:rsidRDefault="00C95003" w:rsidP="00C95003">
            <w:pPr>
              <w:widowControl/>
              <w:jc w:val="both"/>
              <w:rPr>
                <w:rFonts w:ascii="Segoe UI" w:eastAsia="Times New Roman" w:hAnsi="Segoe UI" w:cs="Segoe UI"/>
                <w:kern w:val="0"/>
                <w:sz w:val="17"/>
                <w:szCs w:val="17"/>
                <w:lang w:val="en-GB" w:eastAsia="en-US"/>
              </w:rPr>
            </w:pPr>
            <w:r w:rsidRPr="00C95003">
              <w:rPr>
                <w:rFonts w:ascii="Segoe UI" w:eastAsia="Times New Roman" w:hAnsi="Segoe UI" w:cs="Segoe UI"/>
                <w:kern w:val="0"/>
                <w:sz w:val="17"/>
                <w:szCs w:val="17"/>
                <w:lang w:val="en-GB" w:eastAsia="en-US"/>
              </w:rPr>
              <w:t>If there are non-compliant features, a resolution entity or material subsidiary should identify them.</w:t>
            </w:r>
          </w:p>
          <w:p w:rsidR="00C95003" w:rsidRPr="00C95003" w:rsidRDefault="00C95003" w:rsidP="00C95003">
            <w:pPr>
              <w:widowControl/>
              <w:jc w:val="both"/>
              <w:rPr>
                <w:rFonts w:ascii="Segoe UI" w:eastAsia="Times New Roman" w:hAnsi="Segoe UI" w:cs="Segoe UI"/>
                <w:i/>
                <w:kern w:val="0"/>
                <w:sz w:val="17"/>
                <w:szCs w:val="17"/>
                <w:lang w:val="en-GB" w:eastAsia="en-US"/>
              </w:rPr>
            </w:pPr>
            <w:r w:rsidRPr="00C95003">
              <w:rPr>
                <w:rFonts w:ascii="Segoe UI" w:eastAsia="Times New Roman" w:hAnsi="Segoe UI" w:cs="Segoe UI"/>
                <w:i/>
                <w:kern w:val="0"/>
                <w:sz w:val="17"/>
                <w:szCs w:val="17"/>
                <w:lang w:val="en-GB" w:eastAsia="en-US"/>
              </w:rPr>
              <w:t>Free text</w:t>
            </w:r>
          </w:p>
        </w:tc>
      </w:tr>
    </w:tbl>
    <w:p w:rsidR="00C95003" w:rsidRPr="00C95003" w:rsidRDefault="00C95003" w:rsidP="00C95003">
      <w:pPr>
        <w:widowControl/>
        <w:rPr>
          <w:rFonts w:ascii="Segoe UI" w:eastAsia="Times New Roman" w:hAnsi="Segoe UI" w:cs="Times New Roman"/>
          <w:kern w:val="0"/>
          <w:sz w:val="20"/>
          <w:szCs w:val="20"/>
          <w:lang w:val="en-GB" w:eastAsia="en-US"/>
        </w:rPr>
      </w:pPr>
    </w:p>
    <w:p w:rsidR="00C95003" w:rsidRPr="00C95003" w:rsidRDefault="00C95003" w:rsidP="00C95003">
      <w:pPr>
        <w:widowControl/>
        <w:rPr>
          <w:rFonts w:ascii="Segoe UI" w:eastAsia="Times New Roman" w:hAnsi="Segoe UI" w:cs="Times New Roman"/>
          <w:kern w:val="0"/>
          <w:sz w:val="20"/>
          <w:szCs w:val="20"/>
          <w:lang w:val="en-GB" w:eastAsia="en-US"/>
        </w:rPr>
      </w:pPr>
    </w:p>
    <w:p w:rsidR="008F5159" w:rsidRDefault="008F5159">
      <w:pPr>
        <w:rPr>
          <w:lang w:val="en-GB"/>
        </w:rPr>
        <w:sectPr w:rsidR="008F5159" w:rsidSect="00297CA5">
          <w:footerReference w:type="default" r:id="rId13"/>
          <w:pgSz w:w="11906" w:h="16838"/>
          <w:pgMar w:top="1440" w:right="1800" w:bottom="1440" w:left="1800" w:header="851" w:footer="992" w:gutter="0"/>
          <w:cols w:space="425"/>
          <w:docGrid w:type="lines" w:linePitch="360"/>
        </w:sectPr>
      </w:pPr>
    </w:p>
    <w:tbl>
      <w:tblPr>
        <w:tblW w:w="9242" w:type="dxa"/>
        <w:tblInd w:w="-459" w:type="dxa"/>
        <w:tblBorders>
          <w:top w:val="single" w:sz="4" w:space="0" w:color="auto"/>
          <w:bottom w:val="single" w:sz="4" w:space="0" w:color="auto"/>
          <w:insideH w:val="single" w:sz="4" w:space="0" w:color="auto"/>
          <w:insideV w:val="single" w:sz="4" w:space="0" w:color="auto"/>
        </w:tblBorders>
        <w:tblLook w:val="00A0" w:firstRow="1" w:lastRow="0" w:firstColumn="1" w:lastColumn="0" w:noHBand="0" w:noVBand="0"/>
      </w:tblPr>
      <w:tblGrid>
        <w:gridCol w:w="2008"/>
        <w:gridCol w:w="7234"/>
      </w:tblGrid>
      <w:tr w:rsidR="008F5159" w:rsidRPr="008F5159" w:rsidTr="00297CA5">
        <w:tc>
          <w:tcPr>
            <w:tcW w:w="9242" w:type="dxa"/>
            <w:gridSpan w:val="2"/>
            <w:tcBorders>
              <w:top w:val="nil"/>
            </w:tcBorders>
          </w:tcPr>
          <w:p w:rsidR="008F5159" w:rsidRPr="008F5159" w:rsidRDefault="008F5159" w:rsidP="008F5159">
            <w:pPr>
              <w:widowControl/>
              <w:spacing w:before="40" w:after="40"/>
              <w:jc w:val="both"/>
              <w:rPr>
                <w:rFonts w:ascii="Segoe UI" w:eastAsia="Times New Roman" w:hAnsi="Segoe UI" w:cs="Times New Roman"/>
                <w:kern w:val="0"/>
                <w:sz w:val="17"/>
                <w:szCs w:val="20"/>
                <w:lang w:val="en-GB" w:eastAsia="en-GB"/>
              </w:rPr>
            </w:pPr>
            <w:r w:rsidRPr="008F5159">
              <w:rPr>
                <w:rFonts w:ascii="Segoe UI" w:eastAsia="Times New Roman" w:hAnsi="Segoe UI" w:cs="Times New Roman"/>
                <w:kern w:val="0"/>
                <w:sz w:val="22"/>
                <w:szCs w:val="20"/>
                <w:lang w:val="en-GB" w:eastAsia="en-US"/>
              </w:rPr>
              <w:lastRenderedPageBreak/>
              <w:t>Template TLAC1: LAC composition of resolution entity (at LAC consolidation group level)</w:t>
            </w:r>
          </w:p>
        </w:tc>
      </w:tr>
      <w:tr w:rsidR="008F5159" w:rsidRPr="008F5159" w:rsidTr="00297CA5">
        <w:tc>
          <w:tcPr>
            <w:tcW w:w="2008" w:type="dxa"/>
          </w:tcPr>
          <w:p w:rsidR="008F5159" w:rsidRPr="008F5159" w:rsidRDefault="008F5159" w:rsidP="008F5159">
            <w:pPr>
              <w:widowControl/>
              <w:spacing w:before="40" w:after="40"/>
              <w:rPr>
                <w:rFonts w:ascii="Segoe UI" w:eastAsia="Times New Roman" w:hAnsi="Segoe UI" w:cs="Times New Roman"/>
                <w:kern w:val="0"/>
                <w:sz w:val="17"/>
                <w:szCs w:val="20"/>
                <w:lang w:val="en-GB" w:eastAsia="en-GB"/>
              </w:rPr>
            </w:pPr>
            <w:r w:rsidRPr="008F5159">
              <w:rPr>
                <w:rFonts w:ascii="Segoe UI" w:eastAsia="Times New Roman" w:hAnsi="Segoe UI" w:cs="Times New Roman"/>
                <w:b/>
                <w:kern w:val="0"/>
                <w:sz w:val="17"/>
                <w:szCs w:val="20"/>
                <w:lang w:val="en-GB" w:eastAsia="en-GB"/>
              </w:rPr>
              <w:t>Purpose:</w:t>
            </w:r>
          </w:p>
        </w:tc>
        <w:tc>
          <w:tcPr>
            <w:tcW w:w="7234" w:type="dxa"/>
          </w:tcPr>
          <w:p w:rsidR="008F5159" w:rsidRPr="008F5159" w:rsidRDefault="008F5159" w:rsidP="008F5159">
            <w:pPr>
              <w:widowControl/>
              <w:spacing w:before="40" w:after="40"/>
              <w:jc w:val="both"/>
              <w:rPr>
                <w:rFonts w:ascii="Segoe UI" w:eastAsia="Times New Roman" w:hAnsi="Segoe UI" w:cs="Times New Roman"/>
                <w:kern w:val="0"/>
                <w:sz w:val="17"/>
                <w:szCs w:val="20"/>
                <w:lang w:val="en-GB" w:eastAsia="en-GB"/>
              </w:rPr>
            </w:pPr>
            <w:r w:rsidRPr="008F5159">
              <w:rPr>
                <w:rFonts w:ascii="Segoe UI" w:eastAsia="Times New Roman" w:hAnsi="Segoe UI" w:cs="Times New Roman"/>
                <w:kern w:val="0"/>
                <w:sz w:val="17"/>
                <w:szCs w:val="20"/>
                <w:lang w:val="en-GB" w:eastAsia="en-GB"/>
              </w:rPr>
              <w:t>To provide details of the composition of a resolution entity’s external loss-absorbing capacity.</w:t>
            </w:r>
          </w:p>
        </w:tc>
      </w:tr>
      <w:tr w:rsidR="008F5159" w:rsidRPr="008F5159" w:rsidTr="00297CA5">
        <w:tc>
          <w:tcPr>
            <w:tcW w:w="2008" w:type="dxa"/>
          </w:tcPr>
          <w:p w:rsidR="008F5159" w:rsidRPr="008F5159" w:rsidRDefault="008F5159" w:rsidP="008F5159">
            <w:pPr>
              <w:widowControl/>
              <w:spacing w:before="40" w:after="40"/>
              <w:rPr>
                <w:rFonts w:ascii="Segoe UI" w:eastAsia="Times New Roman" w:hAnsi="Segoe UI" w:cs="Times New Roman"/>
                <w:b/>
                <w:kern w:val="0"/>
                <w:sz w:val="17"/>
                <w:szCs w:val="20"/>
                <w:lang w:val="en-GB" w:eastAsia="en-GB"/>
              </w:rPr>
            </w:pPr>
            <w:r w:rsidRPr="008F5159">
              <w:rPr>
                <w:rFonts w:ascii="Segoe UI" w:eastAsia="Times New Roman" w:hAnsi="Segoe UI" w:cs="Times New Roman"/>
                <w:b/>
                <w:kern w:val="0"/>
                <w:sz w:val="17"/>
                <w:szCs w:val="20"/>
                <w:lang w:val="en-GB" w:eastAsia="en-GB"/>
              </w:rPr>
              <w:t>Scope of application:</w:t>
            </w:r>
          </w:p>
        </w:tc>
        <w:tc>
          <w:tcPr>
            <w:tcW w:w="7234" w:type="dxa"/>
          </w:tcPr>
          <w:p w:rsidR="008F5159" w:rsidRPr="008F5159" w:rsidRDefault="008F5159" w:rsidP="008F5159">
            <w:pPr>
              <w:widowControl/>
              <w:spacing w:before="40" w:after="40"/>
              <w:jc w:val="both"/>
              <w:rPr>
                <w:rFonts w:ascii="Segoe UI" w:hAnsi="Segoe UI" w:cs="Times New Roman"/>
                <w:b/>
                <w:kern w:val="0"/>
                <w:sz w:val="17"/>
                <w:szCs w:val="20"/>
                <w:lang w:val="en-GB" w:eastAsia="en-GB"/>
              </w:rPr>
            </w:pPr>
            <w:r w:rsidRPr="008F5159">
              <w:rPr>
                <w:rFonts w:ascii="Segoe UI" w:eastAsia="Times New Roman" w:hAnsi="Segoe UI" w:cs="Times New Roman"/>
                <w:kern w:val="0"/>
                <w:sz w:val="17"/>
                <w:szCs w:val="17"/>
                <w:lang w:val="en-GB" w:eastAsia="en-US"/>
              </w:rPr>
              <w:t xml:space="preserve">This template is mandatory for all resolution entities under the Financial Institutions (Resolution) (Loss-absorbing Capacity Requirements – Banking Sector) Rules (“LAC Rules”).  </w:t>
            </w:r>
          </w:p>
        </w:tc>
      </w:tr>
      <w:tr w:rsidR="008F5159" w:rsidRPr="008F5159" w:rsidTr="00297CA5">
        <w:tc>
          <w:tcPr>
            <w:tcW w:w="2008" w:type="dxa"/>
          </w:tcPr>
          <w:p w:rsidR="008F5159" w:rsidRPr="008F5159" w:rsidRDefault="008F5159" w:rsidP="008F5159">
            <w:pPr>
              <w:widowControl/>
              <w:spacing w:before="40" w:after="40"/>
              <w:rPr>
                <w:rFonts w:ascii="Segoe UI" w:eastAsia="Times New Roman" w:hAnsi="Segoe UI" w:cs="Times New Roman"/>
                <w:b/>
                <w:kern w:val="0"/>
                <w:sz w:val="17"/>
                <w:szCs w:val="20"/>
                <w:lang w:val="en-GB" w:eastAsia="en-GB"/>
              </w:rPr>
            </w:pPr>
            <w:r w:rsidRPr="008F5159">
              <w:rPr>
                <w:rFonts w:ascii="Segoe UI" w:eastAsia="Times New Roman" w:hAnsi="Segoe UI" w:cs="Times New Roman"/>
                <w:b/>
                <w:kern w:val="0"/>
                <w:sz w:val="17"/>
                <w:szCs w:val="20"/>
                <w:lang w:val="en-GB" w:eastAsia="en-GB"/>
              </w:rPr>
              <w:t>Content:</w:t>
            </w:r>
          </w:p>
        </w:tc>
        <w:tc>
          <w:tcPr>
            <w:tcW w:w="7234" w:type="dxa"/>
          </w:tcPr>
          <w:p w:rsidR="008F5159" w:rsidRPr="008F5159" w:rsidRDefault="008F5159" w:rsidP="008F5159">
            <w:pPr>
              <w:widowControl/>
              <w:spacing w:before="40" w:after="40"/>
              <w:jc w:val="both"/>
              <w:rPr>
                <w:rFonts w:ascii="Segoe UI" w:hAnsi="Segoe UI" w:cs="Times New Roman"/>
                <w:b/>
                <w:kern w:val="0"/>
                <w:sz w:val="17"/>
                <w:szCs w:val="20"/>
                <w:lang w:val="en-GB" w:eastAsia="en-GB"/>
              </w:rPr>
            </w:pPr>
            <w:r w:rsidRPr="008F5159">
              <w:rPr>
                <w:rFonts w:ascii="Segoe UI" w:eastAsia="Times New Roman" w:hAnsi="Segoe UI" w:cs="Times New Roman"/>
                <w:kern w:val="0"/>
                <w:sz w:val="17"/>
                <w:szCs w:val="17"/>
                <w:lang w:val="en-GB" w:eastAsia="en-US"/>
              </w:rPr>
              <w:t xml:space="preserve">Carrying values (corresponding to the values reported in financial statements).  </w:t>
            </w:r>
          </w:p>
        </w:tc>
      </w:tr>
      <w:tr w:rsidR="008F5159" w:rsidRPr="008F5159" w:rsidTr="00297CA5">
        <w:tc>
          <w:tcPr>
            <w:tcW w:w="2008" w:type="dxa"/>
          </w:tcPr>
          <w:p w:rsidR="008F5159" w:rsidRPr="008F5159" w:rsidRDefault="008F5159" w:rsidP="008F5159">
            <w:pPr>
              <w:widowControl/>
              <w:spacing w:before="40" w:after="40"/>
              <w:rPr>
                <w:rFonts w:ascii="Segoe UI" w:eastAsia="Times New Roman" w:hAnsi="Segoe UI" w:cs="Times New Roman"/>
                <w:kern w:val="0"/>
                <w:sz w:val="17"/>
                <w:szCs w:val="20"/>
                <w:lang w:val="en-GB" w:eastAsia="en-GB"/>
              </w:rPr>
            </w:pPr>
            <w:r w:rsidRPr="008F5159">
              <w:rPr>
                <w:rFonts w:ascii="Segoe UI" w:eastAsia="Times New Roman" w:hAnsi="Segoe UI" w:cs="Times New Roman"/>
                <w:b/>
                <w:kern w:val="0"/>
                <w:sz w:val="17"/>
                <w:szCs w:val="20"/>
                <w:lang w:val="en-GB" w:eastAsia="en-GB"/>
              </w:rPr>
              <w:t>Frequency:</w:t>
            </w:r>
          </w:p>
        </w:tc>
        <w:tc>
          <w:tcPr>
            <w:tcW w:w="7234" w:type="dxa"/>
          </w:tcPr>
          <w:p w:rsidR="008F5159" w:rsidRPr="008F5159" w:rsidRDefault="008F5159" w:rsidP="008F5159">
            <w:pPr>
              <w:widowControl/>
              <w:spacing w:before="40" w:after="40"/>
              <w:jc w:val="both"/>
              <w:rPr>
                <w:rFonts w:ascii="Segoe UI" w:eastAsia="Times New Roman" w:hAnsi="Segoe UI" w:cs="Times New Roman"/>
                <w:kern w:val="0"/>
                <w:sz w:val="17"/>
                <w:szCs w:val="20"/>
                <w:lang w:val="en-GB" w:eastAsia="en-GB"/>
              </w:rPr>
            </w:pPr>
            <w:r w:rsidRPr="008F5159">
              <w:rPr>
                <w:rFonts w:ascii="Segoe UI" w:eastAsia="Times New Roman" w:hAnsi="Segoe UI" w:cs="Times New Roman"/>
                <w:kern w:val="0"/>
                <w:sz w:val="17"/>
                <w:szCs w:val="20"/>
                <w:lang w:val="en-GB" w:eastAsia="en-GB"/>
              </w:rPr>
              <w:t>Semi-annual.</w:t>
            </w:r>
          </w:p>
        </w:tc>
      </w:tr>
      <w:tr w:rsidR="008F5159" w:rsidRPr="008F5159" w:rsidTr="00297CA5">
        <w:tc>
          <w:tcPr>
            <w:tcW w:w="2008" w:type="dxa"/>
          </w:tcPr>
          <w:p w:rsidR="008F5159" w:rsidRPr="008F5159" w:rsidRDefault="008F5159" w:rsidP="008F5159">
            <w:pPr>
              <w:widowControl/>
              <w:spacing w:before="40" w:after="40"/>
              <w:rPr>
                <w:rFonts w:ascii="Segoe UI" w:eastAsia="Times New Roman" w:hAnsi="Segoe UI" w:cs="Times New Roman"/>
                <w:kern w:val="0"/>
                <w:sz w:val="17"/>
                <w:szCs w:val="20"/>
                <w:lang w:val="en-GB" w:eastAsia="en-GB"/>
              </w:rPr>
            </w:pPr>
            <w:r w:rsidRPr="008F5159">
              <w:rPr>
                <w:rFonts w:ascii="Segoe UI" w:eastAsia="Times New Roman" w:hAnsi="Segoe UI" w:cs="Times New Roman"/>
                <w:b/>
                <w:kern w:val="0"/>
                <w:sz w:val="17"/>
                <w:szCs w:val="20"/>
                <w:lang w:val="en-GB" w:eastAsia="en-GB"/>
              </w:rPr>
              <w:t>Format:</w:t>
            </w:r>
          </w:p>
        </w:tc>
        <w:tc>
          <w:tcPr>
            <w:tcW w:w="7234" w:type="dxa"/>
          </w:tcPr>
          <w:p w:rsidR="008F5159" w:rsidRPr="008F5159" w:rsidRDefault="008F5159" w:rsidP="008F5159">
            <w:pPr>
              <w:widowControl/>
              <w:spacing w:before="40" w:after="40"/>
              <w:jc w:val="both"/>
              <w:rPr>
                <w:rFonts w:ascii="Segoe UI" w:eastAsia="Times New Roman" w:hAnsi="Segoe UI" w:cs="Times New Roman"/>
                <w:kern w:val="0"/>
                <w:sz w:val="17"/>
                <w:szCs w:val="20"/>
                <w:lang w:val="en-GB" w:eastAsia="en-GB"/>
              </w:rPr>
            </w:pPr>
            <w:r w:rsidRPr="008F5159">
              <w:rPr>
                <w:rFonts w:ascii="Segoe UI" w:eastAsia="Times New Roman" w:hAnsi="Segoe UI" w:cs="Times New Roman"/>
                <w:kern w:val="0"/>
                <w:sz w:val="17"/>
                <w:szCs w:val="20"/>
                <w:lang w:val="en-GB" w:eastAsia="en-GB"/>
              </w:rPr>
              <w:t xml:space="preserve">Fixed.  </w:t>
            </w:r>
          </w:p>
        </w:tc>
      </w:tr>
      <w:tr w:rsidR="008F5159" w:rsidRPr="008F5159" w:rsidTr="00297CA5">
        <w:tc>
          <w:tcPr>
            <w:tcW w:w="2008" w:type="dxa"/>
          </w:tcPr>
          <w:p w:rsidR="008F5159" w:rsidRPr="008F5159" w:rsidRDefault="008F5159" w:rsidP="008F5159">
            <w:pPr>
              <w:widowControl/>
              <w:spacing w:before="40" w:after="40"/>
              <w:rPr>
                <w:rFonts w:ascii="Segoe UI" w:eastAsia="Times New Roman" w:hAnsi="Segoe UI" w:cs="Times New Roman"/>
                <w:b/>
                <w:kern w:val="0"/>
                <w:sz w:val="17"/>
                <w:szCs w:val="20"/>
                <w:lang w:val="en-GB" w:eastAsia="en-GB"/>
              </w:rPr>
            </w:pPr>
            <w:r w:rsidRPr="008F5159">
              <w:rPr>
                <w:rFonts w:ascii="Segoe UI" w:hAnsi="Segoe UI" w:cs="Times New Roman"/>
                <w:b/>
                <w:kern w:val="0"/>
                <w:sz w:val="17"/>
                <w:szCs w:val="17"/>
                <w:lang w:val="en-GB" w:eastAsia="en-GB"/>
              </w:rPr>
              <w:t>Accompanying narrative</w:t>
            </w:r>
            <w:r w:rsidRPr="008F5159">
              <w:rPr>
                <w:rFonts w:ascii="Segoe UI" w:hAnsi="Segoe UI" w:cs="Times New Roman"/>
                <w:kern w:val="0"/>
                <w:sz w:val="17"/>
                <w:szCs w:val="17"/>
                <w:lang w:val="en-GB" w:eastAsia="en-GB"/>
              </w:rPr>
              <w:t>:</w:t>
            </w:r>
          </w:p>
        </w:tc>
        <w:tc>
          <w:tcPr>
            <w:tcW w:w="7234" w:type="dxa"/>
          </w:tcPr>
          <w:p w:rsidR="008F5159" w:rsidRPr="008F5159" w:rsidRDefault="008F5159" w:rsidP="008F5159">
            <w:pPr>
              <w:widowControl/>
              <w:spacing w:before="40" w:after="40"/>
              <w:jc w:val="both"/>
              <w:rPr>
                <w:rFonts w:ascii="Segoe UI" w:eastAsia="Times New Roman" w:hAnsi="Segoe UI" w:cs="Times New Roman"/>
                <w:kern w:val="0"/>
                <w:sz w:val="17"/>
                <w:szCs w:val="17"/>
                <w:lang w:val="en-GB" w:eastAsia="en-GB"/>
              </w:rPr>
            </w:pPr>
            <w:r w:rsidRPr="008F5159">
              <w:rPr>
                <w:rFonts w:ascii="Segoe UI" w:eastAsia="Times New Roman" w:hAnsi="Segoe UI" w:cs="Times New Roman"/>
                <w:kern w:val="0"/>
                <w:sz w:val="17"/>
                <w:szCs w:val="17"/>
                <w:lang w:val="en-GB" w:eastAsia="en-GB"/>
              </w:rPr>
              <w:t>Resolution entities should supplement the template with a narrative commentary to explain any significant changes over the reporting period and the key drivers of such change(s).  Qualitative narrative on the preferred resolution strategy covering the resolution entity, as identified by the resolution authority under rule 3 of the LAC Rules, may be included to facilitate understanding of the TLAC templates.</w:t>
            </w:r>
          </w:p>
        </w:tc>
      </w:tr>
      <w:tr w:rsidR="008F5159" w:rsidRPr="008F5159" w:rsidTr="00297CA5">
        <w:tc>
          <w:tcPr>
            <w:tcW w:w="2008" w:type="dxa"/>
          </w:tcPr>
          <w:p w:rsidR="008F5159" w:rsidRPr="008F5159" w:rsidRDefault="008F5159" w:rsidP="008F5159">
            <w:pPr>
              <w:widowControl/>
              <w:spacing w:before="40" w:after="40"/>
              <w:rPr>
                <w:rFonts w:ascii="Segoe UI" w:hAnsi="Segoe UI" w:cs="Times New Roman"/>
                <w:b/>
                <w:kern w:val="0"/>
                <w:sz w:val="17"/>
                <w:szCs w:val="17"/>
                <w:lang w:val="en-GB" w:eastAsia="en-GB"/>
              </w:rPr>
            </w:pPr>
            <w:r w:rsidRPr="008F5159">
              <w:rPr>
                <w:rFonts w:ascii="Segoe UI" w:hAnsi="Segoe UI" w:cs="Times New Roman"/>
                <w:b/>
                <w:kern w:val="0"/>
                <w:sz w:val="17"/>
                <w:szCs w:val="17"/>
                <w:lang w:val="en-GB" w:eastAsia="en-GB"/>
              </w:rPr>
              <w:t>Corresponding LAC Rules rule</w:t>
            </w:r>
          </w:p>
        </w:tc>
        <w:tc>
          <w:tcPr>
            <w:tcW w:w="7234" w:type="dxa"/>
          </w:tcPr>
          <w:p w:rsidR="008F5159" w:rsidRPr="008F5159" w:rsidRDefault="008F5159" w:rsidP="008F5159">
            <w:pPr>
              <w:widowControl/>
              <w:spacing w:before="40" w:after="40"/>
              <w:jc w:val="both"/>
              <w:rPr>
                <w:rFonts w:ascii="Segoe UI" w:eastAsia="Times New Roman" w:hAnsi="Segoe UI" w:cs="Times New Roman"/>
                <w:kern w:val="0"/>
                <w:sz w:val="17"/>
                <w:szCs w:val="17"/>
                <w:lang w:val="en-GB" w:eastAsia="en-GB"/>
              </w:rPr>
            </w:pPr>
            <w:r w:rsidRPr="008F5159">
              <w:rPr>
                <w:rFonts w:ascii="Segoe UI" w:eastAsia="Times New Roman" w:hAnsi="Segoe UI" w:cs="Times New Roman"/>
                <w:kern w:val="0"/>
                <w:sz w:val="17"/>
                <w:szCs w:val="17"/>
                <w:lang w:val="en-GB" w:eastAsia="en-GB"/>
              </w:rPr>
              <w:t>48</w:t>
            </w:r>
          </w:p>
        </w:tc>
      </w:tr>
    </w:tbl>
    <w:p w:rsidR="008F5159" w:rsidRPr="008F5159" w:rsidRDefault="008F5159" w:rsidP="008F5159">
      <w:pPr>
        <w:widowControl/>
        <w:rPr>
          <w:rFonts w:ascii="Segoe UI" w:eastAsia="Times New Roman" w:hAnsi="Segoe UI" w:cs="Times New Roman"/>
          <w:kern w:val="0"/>
          <w:sz w:val="22"/>
          <w:szCs w:val="20"/>
          <w:lang w:val="en-GB" w:eastAsia="en-US"/>
        </w:rPr>
      </w:pPr>
    </w:p>
    <w:tbl>
      <w:tblPr>
        <w:tblW w:w="9244" w:type="dxa"/>
        <w:tblInd w:w="-567" w:type="dxa"/>
        <w:tblBorders>
          <w:top w:val="single" w:sz="8" w:space="0" w:color="BCBDBC"/>
          <w:left w:val="single" w:sz="8" w:space="0" w:color="BCBDBC"/>
          <w:bottom w:val="single" w:sz="8" w:space="0" w:color="BCBDBC"/>
          <w:right w:val="single" w:sz="8" w:space="0" w:color="BCBDBC"/>
          <w:insideH w:val="single" w:sz="6" w:space="0" w:color="BCBDBC"/>
          <w:insideV w:val="single" w:sz="6" w:space="0" w:color="BCBDBC"/>
        </w:tblBorders>
        <w:tblLayout w:type="fixed"/>
        <w:tblCellMar>
          <w:left w:w="0" w:type="dxa"/>
          <w:right w:w="0" w:type="dxa"/>
        </w:tblCellMar>
        <w:tblLook w:val="00A0" w:firstRow="1" w:lastRow="0" w:firstColumn="1" w:lastColumn="0" w:noHBand="0" w:noVBand="0"/>
      </w:tblPr>
      <w:tblGrid>
        <w:gridCol w:w="572"/>
        <w:gridCol w:w="7392"/>
        <w:gridCol w:w="1280"/>
      </w:tblGrid>
      <w:tr w:rsidR="008F5159" w:rsidRPr="008F5159" w:rsidTr="00297CA5">
        <w:trPr>
          <w:trHeight w:val="256"/>
          <w:tblHeader/>
        </w:trPr>
        <w:tc>
          <w:tcPr>
            <w:tcW w:w="7964" w:type="dxa"/>
            <w:gridSpan w:val="2"/>
            <w:tcBorders>
              <w:top w:val="nil"/>
              <w:left w:val="nil"/>
              <w:bottom w:val="nil"/>
              <w:right w:val="single" w:sz="4" w:space="0" w:color="auto"/>
            </w:tcBorders>
            <w:vAlign w:val="center"/>
          </w:tcPr>
          <w:p w:rsidR="008F5159" w:rsidRPr="008F5159" w:rsidRDefault="008F5159" w:rsidP="008F5159">
            <w:pPr>
              <w:widowControl/>
              <w:snapToGrid w:val="0"/>
              <w:spacing w:before="40" w:after="40"/>
              <w:rPr>
                <w:rFonts w:ascii="Segoe UI" w:eastAsia="Times New Roman" w:hAnsi="Segoe UI" w:cs="Times New Roman"/>
                <w:b/>
                <w:kern w:val="0"/>
                <w:sz w:val="17"/>
                <w:szCs w:val="20"/>
                <w:lang w:val="en-GB" w:eastAsia="it-IT"/>
              </w:rPr>
            </w:pPr>
          </w:p>
        </w:tc>
        <w:tc>
          <w:tcPr>
            <w:tcW w:w="1280" w:type="dxa"/>
            <w:tcBorders>
              <w:top w:val="single" w:sz="6" w:space="0" w:color="auto"/>
              <w:left w:val="single" w:sz="6" w:space="0" w:color="auto"/>
              <w:bottom w:val="single" w:sz="6" w:space="0" w:color="auto"/>
              <w:right w:val="single" w:sz="6" w:space="0" w:color="auto"/>
            </w:tcBorders>
            <w:vAlign w:val="center"/>
          </w:tcPr>
          <w:p w:rsidR="008F5159" w:rsidRPr="008F5159" w:rsidRDefault="008F5159" w:rsidP="008F5159">
            <w:pPr>
              <w:widowControl/>
              <w:snapToGrid w:val="0"/>
              <w:spacing w:before="40" w:after="40"/>
              <w:jc w:val="center"/>
              <w:rPr>
                <w:rFonts w:ascii="Segoe UI" w:eastAsia="Times New Roman" w:hAnsi="Segoe UI" w:cs="Times New Roman"/>
                <w:kern w:val="0"/>
                <w:sz w:val="17"/>
                <w:szCs w:val="20"/>
                <w:lang w:val="en-GB" w:eastAsia="it-IT"/>
              </w:rPr>
            </w:pPr>
            <w:r w:rsidRPr="008F5159">
              <w:rPr>
                <w:rFonts w:ascii="Segoe UI" w:eastAsia="Times New Roman" w:hAnsi="Segoe UI" w:cs="Times New Roman"/>
                <w:kern w:val="0"/>
                <w:sz w:val="17"/>
                <w:szCs w:val="20"/>
                <w:lang w:val="en-GB" w:eastAsia="it-IT"/>
              </w:rPr>
              <w:t>(a)</w:t>
            </w:r>
          </w:p>
        </w:tc>
      </w:tr>
      <w:tr w:rsidR="008F5159" w:rsidRPr="008F5159" w:rsidTr="00297CA5">
        <w:trPr>
          <w:trHeight w:val="172"/>
          <w:tblHeader/>
        </w:trPr>
        <w:tc>
          <w:tcPr>
            <w:tcW w:w="7964" w:type="dxa"/>
            <w:gridSpan w:val="2"/>
            <w:tcBorders>
              <w:top w:val="nil"/>
              <w:left w:val="nil"/>
              <w:bottom w:val="single" w:sz="6" w:space="0" w:color="auto"/>
              <w:right w:val="single" w:sz="6" w:space="0" w:color="auto"/>
            </w:tcBorders>
            <w:vAlign w:val="center"/>
          </w:tcPr>
          <w:p w:rsidR="008F5159" w:rsidRPr="008F5159" w:rsidRDefault="008F5159" w:rsidP="008F5159">
            <w:pPr>
              <w:widowControl/>
              <w:snapToGrid w:val="0"/>
              <w:spacing w:before="40" w:after="40"/>
              <w:rPr>
                <w:rFonts w:ascii="Segoe UI" w:eastAsia="Times New Roman" w:hAnsi="Segoe UI" w:cs="Times New Roman"/>
                <w:b/>
                <w:kern w:val="0"/>
                <w:sz w:val="17"/>
                <w:szCs w:val="20"/>
                <w:lang w:val="en-GB" w:eastAsia="it-IT"/>
              </w:rPr>
            </w:pPr>
          </w:p>
        </w:tc>
        <w:tc>
          <w:tcPr>
            <w:tcW w:w="1280" w:type="dxa"/>
            <w:tcBorders>
              <w:top w:val="single" w:sz="6" w:space="0" w:color="auto"/>
              <w:left w:val="single" w:sz="6" w:space="0" w:color="auto"/>
              <w:bottom w:val="single" w:sz="6" w:space="0" w:color="auto"/>
              <w:right w:val="single" w:sz="6" w:space="0" w:color="auto"/>
            </w:tcBorders>
            <w:vAlign w:val="center"/>
          </w:tcPr>
          <w:p w:rsidR="008F5159" w:rsidRPr="008F5159" w:rsidRDefault="008F5159" w:rsidP="008F5159">
            <w:pPr>
              <w:widowControl/>
              <w:snapToGrid w:val="0"/>
              <w:spacing w:before="40" w:after="40"/>
              <w:jc w:val="center"/>
              <w:rPr>
                <w:rFonts w:ascii="Segoe UI" w:eastAsia="Times New Roman" w:hAnsi="Segoe UI" w:cs="Times New Roman"/>
                <w:b/>
                <w:kern w:val="0"/>
                <w:sz w:val="17"/>
                <w:szCs w:val="20"/>
                <w:lang w:val="en-GB" w:eastAsia="it-IT"/>
              </w:rPr>
            </w:pPr>
            <w:r w:rsidRPr="008F5159">
              <w:rPr>
                <w:rFonts w:ascii="Segoe UI" w:eastAsia="Times New Roman" w:hAnsi="Segoe UI" w:cs="Times New Roman"/>
                <w:b/>
                <w:kern w:val="0"/>
                <w:sz w:val="17"/>
                <w:szCs w:val="20"/>
                <w:lang w:val="en-GB" w:eastAsia="it-IT"/>
              </w:rPr>
              <w:t>Amount</w:t>
            </w:r>
          </w:p>
        </w:tc>
      </w:tr>
      <w:tr w:rsidR="008F5159" w:rsidRPr="008F5159" w:rsidTr="00297CA5">
        <w:trPr>
          <w:cantSplit/>
          <w:trHeight w:val="302"/>
        </w:trPr>
        <w:tc>
          <w:tcPr>
            <w:tcW w:w="572" w:type="dxa"/>
            <w:tcBorders>
              <w:top w:val="single" w:sz="6" w:space="0" w:color="auto"/>
              <w:left w:val="nil"/>
              <w:bottom w:val="single" w:sz="6" w:space="0" w:color="BCBDBC"/>
              <w:right w:val="single" w:sz="4" w:space="0" w:color="auto"/>
            </w:tcBorders>
            <w:shd w:val="clear" w:color="auto" w:fill="A6A6A6" w:themeFill="background1" w:themeFillShade="A6"/>
          </w:tcPr>
          <w:p w:rsidR="008F5159" w:rsidRPr="008F5159" w:rsidRDefault="008F5159" w:rsidP="008F5159">
            <w:pPr>
              <w:widowControl/>
              <w:snapToGrid w:val="0"/>
              <w:spacing w:before="40" w:after="40"/>
              <w:ind w:left="417" w:rightChars="71" w:right="170"/>
              <w:rPr>
                <w:rFonts w:ascii="Segoe UI" w:eastAsia="Times New Roman" w:hAnsi="Segoe UI" w:cs="Times New Roman"/>
                <w:b/>
                <w:kern w:val="0"/>
                <w:sz w:val="17"/>
                <w:szCs w:val="20"/>
                <w:lang w:val="en-GB" w:eastAsia="it-IT"/>
              </w:rPr>
            </w:pPr>
          </w:p>
        </w:tc>
        <w:tc>
          <w:tcPr>
            <w:tcW w:w="7392" w:type="dxa"/>
            <w:tcBorders>
              <w:top w:val="single" w:sz="6" w:space="0" w:color="auto"/>
              <w:left w:val="single" w:sz="4" w:space="0" w:color="auto"/>
              <w:bottom w:val="single" w:sz="6" w:space="0" w:color="BCBDBC"/>
              <w:right w:val="nil"/>
            </w:tcBorders>
            <w:shd w:val="clear" w:color="auto" w:fill="A6A6A6" w:themeFill="background1" w:themeFillShade="A6"/>
          </w:tcPr>
          <w:p w:rsidR="008F5159" w:rsidRPr="008F5159" w:rsidRDefault="008F5159" w:rsidP="008F5159">
            <w:pPr>
              <w:widowControl/>
              <w:snapToGrid w:val="0"/>
              <w:spacing w:before="40" w:after="40"/>
              <w:ind w:left="57" w:rightChars="71" w:right="170"/>
              <w:rPr>
                <w:rFonts w:ascii="Segoe UI" w:eastAsia="Times New Roman" w:hAnsi="Segoe UI" w:cs="Times New Roman"/>
                <w:b/>
                <w:kern w:val="0"/>
                <w:sz w:val="17"/>
                <w:szCs w:val="20"/>
                <w:lang w:val="en-GB" w:eastAsia="it-IT"/>
              </w:rPr>
            </w:pPr>
            <w:r w:rsidRPr="008F5159">
              <w:rPr>
                <w:rFonts w:ascii="Segoe UI" w:eastAsia="Times New Roman" w:hAnsi="Segoe UI" w:cs="Times New Roman"/>
                <w:b/>
                <w:kern w:val="0"/>
                <w:sz w:val="17"/>
                <w:szCs w:val="20"/>
                <w:lang w:val="en-GB" w:eastAsia="it-IT"/>
              </w:rPr>
              <w:t>Regulatory capital elements of external loss-absorbing capacity and adjustments</w:t>
            </w:r>
          </w:p>
        </w:tc>
        <w:tc>
          <w:tcPr>
            <w:tcW w:w="1280" w:type="dxa"/>
            <w:tcBorders>
              <w:top w:val="single" w:sz="6" w:space="0" w:color="auto"/>
              <w:left w:val="nil"/>
              <w:bottom w:val="single" w:sz="6" w:space="0" w:color="BCBDBC"/>
              <w:right w:val="single" w:sz="4" w:space="0" w:color="auto"/>
            </w:tcBorders>
            <w:shd w:val="clear" w:color="auto" w:fill="A6A6A6" w:themeFill="background1" w:themeFillShade="A6"/>
          </w:tcPr>
          <w:p w:rsidR="008F5159" w:rsidRPr="008F5159" w:rsidRDefault="008F5159" w:rsidP="008F5159">
            <w:pPr>
              <w:widowControl/>
              <w:snapToGrid w:val="0"/>
              <w:spacing w:before="40" w:after="40"/>
              <w:rPr>
                <w:rFonts w:ascii="Segoe UI" w:eastAsia="Times New Roman" w:hAnsi="Segoe UI" w:cs="Times New Roman"/>
                <w:kern w:val="0"/>
                <w:sz w:val="17"/>
                <w:szCs w:val="20"/>
                <w:lang w:val="en-GB" w:eastAsia="it-IT"/>
              </w:rPr>
            </w:pPr>
          </w:p>
        </w:tc>
      </w:tr>
      <w:tr w:rsidR="008F5159" w:rsidRPr="008F5159" w:rsidTr="00297CA5">
        <w:trPr>
          <w:cantSplit/>
          <w:trHeight w:val="302"/>
        </w:trPr>
        <w:tc>
          <w:tcPr>
            <w:tcW w:w="572" w:type="dxa"/>
            <w:tcBorders>
              <w:top w:val="single" w:sz="6" w:space="0" w:color="auto"/>
              <w:left w:val="nil"/>
              <w:bottom w:val="single" w:sz="6" w:space="0" w:color="auto"/>
              <w:right w:val="single" w:sz="4" w:space="0" w:color="auto"/>
            </w:tcBorders>
            <w:shd w:val="clear" w:color="auto" w:fill="auto"/>
          </w:tcPr>
          <w:p w:rsidR="008F5159" w:rsidRPr="008F5159" w:rsidRDefault="008F5159" w:rsidP="008F5159">
            <w:pPr>
              <w:widowControl/>
              <w:snapToGrid w:val="0"/>
              <w:spacing w:before="40" w:after="40"/>
              <w:ind w:left="57"/>
              <w:rPr>
                <w:rFonts w:ascii="Segoe UI" w:eastAsia="Times New Roman" w:hAnsi="Segoe UI" w:cs="Times New Roman"/>
                <w:kern w:val="0"/>
                <w:sz w:val="17"/>
                <w:szCs w:val="17"/>
                <w:lang w:val="en-GB" w:eastAsia="en-GB"/>
              </w:rPr>
            </w:pPr>
            <w:r w:rsidRPr="008F5159">
              <w:rPr>
                <w:rFonts w:ascii="Segoe UI" w:eastAsia="Times New Roman" w:hAnsi="Segoe UI" w:cs="Times New Roman"/>
                <w:kern w:val="0"/>
                <w:sz w:val="17"/>
                <w:szCs w:val="17"/>
                <w:lang w:val="en-GB" w:eastAsia="en-GB"/>
              </w:rPr>
              <w:t>1</w:t>
            </w:r>
          </w:p>
        </w:tc>
        <w:tc>
          <w:tcPr>
            <w:tcW w:w="7392" w:type="dxa"/>
            <w:tcBorders>
              <w:top w:val="single" w:sz="6" w:space="0" w:color="auto"/>
              <w:left w:val="single" w:sz="4" w:space="0" w:color="auto"/>
              <w:bottom w:val="single" w:sz="6" w:space="0" w:color="auto"/>
              <w:right w:val="single" w:sz="6" w:space="0" w:color="auto"/>
            </w:tcBorders>
            <w:shd w:val="clear" w:color="auto" w:fill="auto"/>
          </w:tcPr>
          <w:p w:rsidR="008F5159" w:rsidRPr="008F5159" w:rsidRDefault="008F5159" w:rsidP="008F5159">
            <w:pPr>
              <w:widowControl/>
              <w:snapToGrid w:val="0"/>
              <w:spacing w:before="40" w:after="40"/>
              <w:ind w:left="57" w:rightChars="71" w:right="170"/>
              <w:rPr>
                <w:rFonts w:ascii="Segoe UI" w:eastAsia="Times New Roman" w:hAnsi="Segoe UI" w:cs="Times New Roman"/>
                <w:kern w:val="0"/>
                <w:sz w:val="17"/>
                <w:szCs w:val="20"/>
                <w:lang w:val="en-GB" w:eastAsia="it-IT"/>
              </w:rPr>
            </w:pPr>
            <w:r w:rsidRPr="008F5159">
              <w:rPr>
                <w:rFonts w:ascii="Segoe UI" w:eastAsia="Times New Roman" w:hAnsi="Segoe UI" w:cs="Times New Roman"/>
                <w:kern w:val="0"/>
                <w:sz w:val="17"/>
                <w:szCs w:val="20"/>
                <w:lang w:val="en-GB" w:eastAsia="it-IT"/>
              </w:rPr>
              <w:t xml:space="preserve">Common Equity Tier 1 (“CET1”) capital </w:t>
            </w:r>
          </w:p>
        </w:tc>
        <w:tc>
          <w:tcPr>
            <w:tcW w:w="1280" w:type="dxa"/>
            <w:tcBorders>
              <w:top w:val="single" w:sz="6" w:space="0" w:color="auto"/>
              <w:left w:val="single" w:sz="6" w:space="0" w:color="auto"/>
              <w:bottom w:val="single" w:sz="6" w:space="0" w:color="auto"/>
              <w:right w:val="single" w:sz="6" w:space="0" w:color="auto"/>
            </w:tcBorders>
            <w:shd w:val="clear" w:color="auto" w:fill="auto"/>
          </w:tcPr>
          <w:p w:rsidR="008F5159" w:rsidRPr="008F5159" w:rsidRDefault="008F5159" w:rsidP="008F5159">
            <w:pPr>
              <w:widowControl/>
              <w:snapToGrid w:val="0"/>
              <w:spacing w:before="40" w:after="40"/>
              <w:jc w:val="center"/>
              <w:rPr>
                <w:rFonts w:ascii="Segoe UI" w:eastAsia="Times New Roman" w:hAnsi="Segoe UI" w:cs="Times New Roman"/>
                <w:kern w:val="0"/>
                <w:sz w:val="17"/>
                <w:szCs w:val="20"/>
                <w:lang w:val="en-GB" w:eastAsia="it-IT"/>
              </w:rPr>
            </w:pPr>
          </w:p>
        </w:tc>
      </w:tr>
      <w:tr w:rsidR="008F5159" w:rsidRPr="008F5159" w:rsidTr="00297CA5">
        <w:trPr>
          <w:cantSplit/>
          <w:trHeight w:val="302"/>
        </w:trPr>
        <w:tc>
          <w:tcPr>
            <w:tcW w:w="572" w:type="dxa"/>
            <w:tcBorders>
              <w:top w:val="single" w:sz="6" w:space="0" w:color="auto"/>
              <w:left w:val="nil"/>
              <w:bottom w:val="single" w:sz="6" w:space="0" w:color="auto"/>
              <w:right w:val="single" w:sz="4" w:space="0" w:color="auto"/>
            </w:tcBorders>
            <w:shd w:val="clear" w:color="auto" w:fill="auto"/>
          </w:tcPr>
          <w:p w:rsidR="008F5159" w:rsidRPr="008F5159" w:rsidRDefault="008F5159" w:rsidP="008F5159">
            <w:pPr>
              <w:widowControl/>
              <w:snapToGrid w:val="0"/>
              <w:spacing w:before="40" w:after="40"/>
              <w:ind w:left="57"/>
              <w:rPr>
                <w:rFonts w:ascii="Segoe UI" w:eastAsia="Times New Roman" w:hAnsi="Segoe UI" w:cs="Times New Roman"/>
                <w:kern w:val="0"/>
                <w:sz w:val="17"/>
                <w:szCs w:val="17"/>
                <w:lang w:val="en-GB" w:eastAsia="en-GB"/>
              </w:rPr>
            </w:pPr>
            <w:r w:rsidRPr="008F5159">
              <w:rPr>
                <w:rFonts w:ascii="Segoe UI" w:eastAsia="Times New Roman" w:hAnsi="Segoe UI" w:cs="Times New Roman"/>
                <w:kern w:val="0"/>
                <w:sz w:val="17"/>
                <w:szCs w:val="17"/>
                <w:lang w:val="en-GB" w:eastAsia="en-GB"/>
              </w:rPr>
              <w:t>2</w:t>
            </w:r>
          </w:p>
        </w:tc>
        <w:tc>
          <w:tcPr>
            <w:tcW w:w="7392" w:type="dxa"/>
            <w:tcBorders>
              <w:top w:val="single" w:sz="6" w:space="0" w:color="auto"/>
              <w:left w:val="single" w:sz="4" w:space="0" w:color="auto"/>
              <w:bottom w:val="single" w:sz="6" w:space="0" w:color="auto"/>
              <w:right w:val="single" w:sz="6" w:space="0" w:color="auto"/>
            </w:tcBorders>
            <w:shd w:val="clear" w:color="auto" w:fill="auto"/>
          </w:tcPr>
          <w:p w:rsidR="008F5159" w:rsidRPr="008F5159" w:rsidRDefault="008F5159" w:rsidP="008F5159">
            <w:pPr>
              <w:widowControl/>
              <w:snapToGrid w:val="0"/>
              <w:spacing w:before="40" w:after="40"/>
              <w:ind w:left="57" w:rightChars="71" w:right="170"/>
              <w:rPr>
                <w:rFonts w:ascii="Segoe UI" w:eastAsia="Times New Roman" w:hAnsi="Segoe UI" w:cs="Times New Roman"/>
                <w:kern w:val="0"/>
                <w:sz w:val="17"/>
                <w:szCs w:val="20"/>
                <w:lang w:val="en-GB" w:eastAsia="it-IT"/>
              </w:rPr>
            </w:pPr>
            <w:r w:rsidRPr="008F5159">
              <w:rPr>
                <w:rFonts w:ascii="Segoe UI" w:eastAsia="Times New Roman" w:hAnsi="Segoe UI" w:cs="Times New Roman"/>
                <w:kern w:val="0"/>
                <w:sz w:val="17"/>
                <w:szCs w:val="20"/>
                <w:lang w:val="en-GB" w:eastAsia="it-IT"/>
              </w:rPr>
              <w:t>Additional Tier 1 (“AT1”) capital before LAC adjustments</w:t>
            </w:r>
          </w:p>
        </w:tc>
        <w:tc>
          <w:tcPr>
            <w:tcW w:w="1280" w:type="dxa"/>
            <w:tcBorders>
              <w:top w:val="single" w:sz="6" w:space="0" w:color="auto"/>
              <w:left w:val="single" w:sz="6" w:space="0" w:color="auto"/>
              <w:bottom w:val="single" w:sz="6" w:space="0" w:color="auto"/>
              <w:right w:val="single" w:sz="6" w:space="0" w:color="auto"/>
            </w:tcBorders>
            <w:shd w:val="clear" w:color="auto" w:fill="auto"/>
          </w:tcPr>
          <w:p w:rsidR="008F5159" w:rsidRPr="008F5159" w:rsidRDefault="008F5159" w:rsidP="008F5159">
            <w:pPr>
              <w:widowControl/>
              <w:snapToGrid w:val="0"/>
              <w:spacing w:before="40" w:after="40"/>
              <w:jc w:val="center"/>
              <w:rPr>
                <w:rFonts w:ascii="Segoe UI" w:eastAsia="Times New Roman" w:hAnsi="Segoe UI" w:cs="Times New Roman"/>
                <w:kern w:val="0"/>
                <w:sz w:val="17"/>
                <w:szCs w:val="20"/>
                <w:lang w:val="en-GB" w:eastAsia="it-IT"/>
              </w:rPr>
            </w:pPr>
          </w:p>
        </w:tc>
      </w:tr>
      <w:tr w:rsidR="008F5159" w:rsidRPr="008F5159" w:rsidTr="00297CA5">
        <w:trPr>
          <w:cantSplit/>
          <w:trHeight w:val="302"/>
        </w:trPr>
        <w:tc>
          <w:tcPr>
            <w:tcW w:w="572" w:type="dxa"/>
            <w:tcBorders>
              <w:top w:val="single" w:sz="6" w:space="0" w:color="auto"/>
              <w:left w:val="nil"/>
              <w:bottom w:val="single" w:sz="6" w:space="0" w:color="auto"/>
              <w:right w:val="single" w:sz="4" w:space="0" w:color="auto"/>
            </w:tcBorders>
            <w:shd w:val="clear" w:color="auto" w:fill="auto"/>
          </w:tcPr>
          <w:p w:rsidR="008F5159" w:rsidRPr="008F5159" w:rsidRDefault="008F5159" w:rsidP="008F5159">
            <w:pPr>
              <w:widowControl/>
              <w:snapToGrid w:val="0"/>
              <w:spacing w:before="40" w:after="40"/>
              <w:ind w:left="57"/>
              <w:rPr>
                <w:rFonts w:ascii="Segoe UI" w:eastAsia="Times New Roman" w:hAnsi="Segoe UI" w:cs="Times New Roman"/>
                <w:kern w:val="0"/>
                <w:sz w:val="17"/>
                <w:szCs w:val="17"/>
                <w:lang w:val="en-GB" w:eastAsia="en-GB"/>
              </w:rPr>
            </w:pPr>
            <w:r w:rsidRPr="008F5159">
              <w:rPr>
                <w:rFonts w:ascii="Segoe UI" w:eastAsia="Times New Roman" w:hAnsi="Segoe UI" w:cs="Times New Roman"/>
                <w:kern w:val="0"/>
                <w:sz w:val="17"/>
                <w:szCs w:val="17"/>
                <w:lang w:val="en-GB" w:eastAsia="en-GB"/>
              </w:rPr>
              <w:t>3</w:t>
            </w:r>
          </w:p>
        </w:tc>
        <w:tc>
          <w:tcPr>
            <w:tcW w:w="7392" w:type="dxa"/>
            <w:tcBorders>
              <w:top w:val="single" w:sz="6" w:space="0" w:color="auto"/>
              <w:left w:val="single" w:sz="4" w:space="0" w:color="auto"/>
              <w:bottom w:val="single" w:sz="6" w:space="0" w:color="auto"/>
              <w:right w:val="single" w:sz="6" w:space="0" w:color="auto"/>
            </w:tcBorders>
            <w:shd w:val="clear" w:color="auto" w:fill="auto"/>
          </w:tcPr>
          <w:p w:rsidR="008F5159" w:rsidRPr="008F5159" w:rsidRDefault="008F5159" w:rsidP="001D15C2">
            <w:pPr>
              <w:widowControl/>
              <w:tabs>
                <w:tab w:val="left" w:pos="423"/>
              </w:tabs>
              <w:snapToGrid w:val="0"/>
              <w:spacing w:before="40" w:after="40"/>
              <w:ind w:leftChars="211" w:left="987" w:rightChars="71" w:right="170" w:hangingChars="283" w:hanging="481"/>
              <w:rPr>
                <w:rFonts w:ascii="Segoe UI" w:eastAsia="Times New Roman" w:hAnsi="Segoe UI" w:cs="Times New Roman"/>
                <w:kern w:val="0"/>
                <w:sz w:val="17"/>
                <w:szCs w:val="20"/>
                <w:lang w:val="en-GB" w:eastAsia="it-IT"/>
              </w:rPr>
            </w:pPr>
            <w:r w:rsidRPr="008F5159">
              <w:rPr>
                <w:rFonts w:ascii="Segoe UI" w:eastAsia="Times New Roman" w:hAnsi="Segoe UI" w:cs="Times New Roman"/>
                <w:kern w:val="0"/>
                <w:sz w:val="17"/>
                <w:szCs w:val="20"/>
                <w:lang w:val="en-GB" w:eastAsia="it-IT"/>
              </w:rPr>
              <w:tab/>
              <w:t>AT1 capital instruments ineligible as external loss-absorbing capacity as issued by a member of the resolution entity’s LAC consolidation group other than the resolution entity</w:t>
            </w:r>
          </w:p>
        </w:tc>
        <w:tc>
          <w:tcPr>
            <w:tcW w:w="1280" w:type="dxa"/>
            <w:tcBorders>
              <w:top w:val="single" w:sz="6" w:space="0" w:color="auto"/>
              <w:left w:val="single" w:sz="6" w:space="0" w:color="auto"/>
              <w:bottom w:val="single" w:sz="6" w:space="0" w:color="auto"/>
              <w:right w:val="single" w:sz="6" w:space="0" w:color="auto"/>
            </w:tcBorders>
            <w:shd w:val="clear" w:color="auto" w:fill="auto"/>
          </w:tcPr>
          <w:p w:rsidR="008F5159" w:rsidRPr="008F5159" w:rsidRDefault="008F5159" w:rsidP="008F5159">
            <w:pPr>
              <w:widowControl/>
              <w:snapToGrid w:val="0"/>
              <w:spacing w:before="40" w:after="40"/>
              <w:jc w:val="center"/>
              <w:rPr>
                <w:rFonts w:ascii="Segoe UI" w:eastAsia="Times New Roman" w:hAnsi="Segoe UI" w:cs="Times New Roman"/>
                <w:kern w:val="0"/>
                <w:sz w:val="17"/>
                <w:szCs w:val="20"/>
                <w:lang w:val="en-GB" w:eastAsia="it-IT"/>
              </w:rPr>
            </w:pPr>
          </w:p>
        </w:tc>
      </w:tr>
      <w:tr w:rsidR="008F5159" w:rsidRPr="008F5159" w:rsidTr="00297CA5">
        <w:trPr>
          <w:cantSplit/>
          <w:trHeight w:val="302"/>
        </w:trPr>
        <w:tc>
          <w:tcPr>
            <w:tcW w:w="572" w:type="dxa"/>
            <w:tcBorders>
              <w:top w:val="single" w:sz="6" w:space="0" w:color="auto"/>
              <w:left w:val="nil"/>
              <w:bottom w:val="single" w:sz="6" w:space="0" w:color="auto"/>
              <w:right w:val="single" w:sz="4" w:space="0" w:color="auto"/>
            </w:tcBorders>
            <w:shd w:val="clear" w:color="auto" w:fill="auto"/>
          </w:tcPr>
          <w:p w:rsidR="008F5159" w:rsidRPr="008F5159" w:rsidRDefault="008F5159" w:rsidP="008F5159">
            <w:pPr>
              <w:widowControl/>
              <w:snapToGrid w:val="0"/>
              <w:spacing w:before="40" w:after="40"/>
              <w:ind w:left="57"/>
              <w:rPr>
                <w:rFonts w:ascii="Segoe UI" w:eastAsia="Times New Roman" w:hAnsi="Segoe UI" w:cs="Times New Roman"/>
                <w:kern w:val="0"/>
                <w:sz w:val="17"/>
                <w:szCs w:val="17"/>
                <w:lang w:val="en-GB" w:eastAsia="en-GB"/>
              </w:rPr>
            </w:pPr>
            <w:r w:rsidRPr="008F5159">
              <w:rPr>
                <w:rFonts w:ascii="Segoe UI" w:eastAsia="Times New Roman" w:hAnsi="Segoe UI" w:cs="Times New Roman"/>
                <w:kern w:val="0"/>
                <w:sz w:val="17"/>
                <w:szCs w:val="17"/>
                <w:lang w:val="en-GB" w:eastAsia="en-GB"/>
              </w:rPr>
              <w:t>4</w:t>
            </w:r>
          </w:p>
        </w:tc>
        <w:tc>
          <w:tcPr>
            <w:tcW w:w="7392" w:type="dxa"/>
            <w:tcBorders>
              <w:top w:val="single" w:sz="6" w:space="0" w:color="auto"/>
              <w:left w:val="single" w:sz="4" w:space="0" w:color="auto"/>
              <w:bottom w:val="single" w:sz="6" w:space="0" w:color="auto"/>
              <w:right w:val="single" w:sz="6" w:space="0" w:color="auto"/>
            </w:tcBorders>
            <w:shd w:val="clear" w:color="auto" w:fill="auto"/>
          </w:tcPr>
          <w:p w:rsidR="008F5159" w:rsidRPr="008F5159" w:rsidRDefault="008F5159" w:rsidP="008F5159">
            <w:pPr>
              <w:widowControl/>
              <w:tabs>
                <w:tab w:val="left" w:pos="423"/>
              </w:tabs>
              <w:snapToGrid w:val="0"/>
              <w:spacing w:before="40" w:after="40"/>
              <w:ind w:leftChars="211" w:left="506" w:rightChars="71" w:right="170"/>
              <w:rPr>
                <w:rFonts w:ascii="Segoe UI" w:eastAsia="Times New Roman" w:hAnsi="Segoe UI" w:cs="Times New Roman"/>
                <w:kern w:val="0"/>
                <w:sz w:val="17"/>
                <w:szCs w:val="20"/>
                <w:lang w:val="en-GB" w:eastAsia="it-IT"/>
              </w:rPr>
            </w:pPr>
            <w:r w:rsidRPr="008F5159">
              <w:rPr>
                <w:rFonts w:ascii="Segoe UI" w:eastAsia="Times New Roman" w:hAnsi="Segoe UI" w:cs="Times New Roman"/>
                <w:kern w:val="0"/>
                <w:sz w:val="17"/>
                <w:szCs w:val="20"/>
                <w:lang w:val="en-GB" w:eastAsia="it-IT"/>
              </w:rPr>
              <w:tab/>
              <w:t>Other adjustments</w:t>
            </w:r>
          </w:p>
        </w:tc>
        <w:tc>
          <w:tcPr>
            <w:tcW w:w="1280" w:type="dxa"/>
            <w:tcBorders>
              <w:top w:val="single" w:sz="6" w:space="0" w:color="auto"/>
              <w:left w:val="single" w:sz="6" w:space="0" w:color="auto"/>
              <w:bottom w:val="single" w:sz="6" w:space="0" w:color="auto"/>
              <w:right w:val="single" w:sz="6" w:space="0" w:color="auto"/>
            </w:tcBorders>
            <w:shd w:val="clear" w:color="auto" w:fill="auto"/>
          </w:tcPr>
          <w:p w:rsidR="008F5159" w:rsidRPr="008F5159" w:rsidRDefault="008F5159" w:rsidP="008F5159">
            <w:pPr>
              <w:widowControl/>
              <w:snapToGrid w:val="0"/>
              <w:spacing w:before="40" w:after="40"/>
              <w:jc w:val="center"/>
              <w:rPr>
                <w:rFonts w:ascii="Segoe UI" w:eastAsia="Times New Roman" w:hAnsi="Segoe UI" w:cs="Times New Roman"/>
                <w:kern w:val="0"/>
                <w:sz w:val="17"/>
                <w:szCs w:val="20"/>
                <w:lang w:val="en-GB" w:eastAsia="it-IT"/>
              </w:rPr>
            </w:pPr>
          </w:p>
        </w:tc>
      </w:tr>
      <w:tr w:rsidR="008F5159" w:rsidRPr="008F5159" w:rsidTr="00297CA5">
        <w:trPr>
          <w:cantSplit/>
          <w:trHeight w:val="302"/>
        </w:trPr>
        <w:tc>
          <w:tcPr>
            <w:tcW w:w="572" w:type="dxa"/>
            <w:tcBorders>
              <w:top w:val="single" w:sz="6" w:space="0" w:color="auto"/>
              <w:left w:val="nil"/>
              <w:bottom w:val="single" w:sz="6" w:space="0" w:color="auto"/>
              <w:right w:val="single" w:sz="4" w:space="0" w:color="auto"/>
            </w:tcBorders>
            <w:shd w:val="clear" w:color="auto" w:fill="auto"/>
          </w:tcPr>
          <w:p w:rsidR="008F5159" w:rsidRPr="008F5159" w:rsidRDefault="008F5159" w:rsidP="008F5159">
            <w:pPr>
              <w:widowControl/>
              <w:snapToGrid w:val="0"/>
              <w:spacing w:before="40" w:after="40"/>
              <w:ind w:left="57"/>
              <w:rPr>
                <w:rFonts w:ascii="Segoe UI" w:eastAsia="Times New Roman" w:hAnsi="Segoe UI" w:cs="Times New Roman"/>
                <w:kern w:val="0"/>
                <w:sz w:val="17"/>
                <w:szCs w:val="17"/>
                <w:lang w:val="en-GB" w:eastAsia="en-GB"/>
              </w:rPr>
            </w:pPr>
            <w:r w:rsidRPr="008F5159">
              <w:rPr>
                <w:rFonts w:ascii="Segoe UI" w:eastAsia="Times New Roman" w:hAnsi="Segoe UI" w:cs="Times New Roman"/>
                <w:kern w:val="0"/>
                <w:sz w:val="17"/>
                <w:szCs w:val="17"/>
                <w:lang w:val="en-GB" w:eastAsia="en-GB"/>
              </w:rPr>
              <w:t>5</w:t>
            </w:r>
          </w:p>
        </w:tc>
        <w:tc>
          <w:tcPr>
            <w:tcW w:w="7392" w:type="dxa"/>
            <w:tcBorders>
              <w:top w:val="single" w:sz="6" w:space="0" w:color="auto"/>
              <w:left w:val="single" w:sz="4" w:space="0" w:color="auto"/>
              <w:bottom w:val="single" w:sz="6" w:space="0" w:color="auto"/>
              <w:right w:val="single" w:sz="6" w:space="0" w:color="auto"/>
            </w:tcBorders>
            <w:shd w:val="clear" w:color="auto" w:fill="D9D9D9" w:themeFill="background1" w:themeFillShade="D9"/>
          </w:tcPr>
          <w:p w:rsidR="008F5159" w:rsidRPr="008F5159" w:rsidRDefault="008F5159" w:rsidP="008F5159">
            <w:pPr>
              <w:widowControl/>
              <w:snapToGrid w:val="0"/>
              <w:spacing w:before="40" w:after="40"/>
              <w:ind w:left="57" w:rightChars="71" w:right="170"/>
              <w:rPr>
                <w:rFonts w:ascii="Segoe UI" w:eastAsia="Times New Roman" w:hAnsi="Segoe UI" w:cs="Times New Roman"/>
                <w:kern w:val="0"/>
                <w:sz w:val="17"/>
                <w:szCs w:val="20"/>
                <w:lang w:val="en-GB" w:eastAsia="it-IT"/>
              </w:rPr>
            </w:pPr>
            <w:r w:rsidRPr="008F5159">
              <w:rPr>
                <w:rFonts w:ascii="Segoe UI" w:eastAsia="Times New Roman" w:hAnsi="Segoe UI" w:cs="Times New Roman"/>
                <w:kern w:val="0"/>
                <w:sz w:val="17"/>
                <w:szCs w:val="20"/>
                <w:lang w:val="en-GB" w:eastAsia="it-IT"/>
              </w:rPr>
              <w:t>AT1 capital eligible under the LAC Rules</w:t>
            </w:r>
          </w:p>
        </w:tc>
        <w:tc>
          <w:tcPr>
            <w:tcW w:w="128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8F5159" w:rsidRPr="008F5159" w:rsidRDefault="008F5159" w:rsidP="008F5159">
            <w:pPr>
              <w:widowControl/>
              <w:snapToGrid w:val="0"/>
              <w:spacing w:before="40" w:after="40"/>
              <w:jc w:val="center"/>
              <w:rPr>
                <w:rFonts w:ascii="Segoe UI" w:eastAsia="Times New Roman" w:hAnsi="Segoe UI" w:cs="Times New Roman"/>
                <w:kern w:val="0"/>
                <w:sz w:val="17"/>
                <w:szCs w:val="20"/>
                <w:lang w:val="en-GB" w:eastAsia="it-IT"/>
              </w:rPr>
            </w:pPr>
          </w:p>
        </w:tc>
      </w:tr>
      <w:tr w:rsidR="008F5159" w:rsidRPr="008F5159" w:rsidTr="00297CA5">
        <w:trPr>
          <w:cantSplit/>
          <w:trHeight w:val="302"/>
        </w:trPr>
        <w:tc>
          <w:tcPr>
            <w:tcW w:w="572" w:type="dxa"/>
            <w:tcBorders>
              <w:top w:val="single" w:sz="6" w:space="0" w:color="auto"/>
              <w:left w:val="nil"/>
              <w:bottom w:val="single" w:sz="6" w:space="0" w:color="auto"/>
              <w:right w:val="single" w:sz="4" w:space="0" w:color="auto"/>
            </w:tcBorders>
            <w:shd w:val="clear" w:color="auto" w:fill="auto"/>
          </w:tcPr>
          <w:p w:rsidR="008F5159" w:rsidRPr="008F5159" w:rsidRDefault="008F5159" w:rsidP="008F5159">
            <w:pPr>
              <w:widowControl/>
              <w:snapToGrid w:val="0"/>
              <w:spacing w:before="40" w:after="40"/>
              <w:ind w:left="57"/>
              <w:rPr>
                <w:rFonts w:ascii="Segoe UI" w:eastAsia="Times New Roman" w:hAnsi="Segoe UI" w:cs="Times New Roman"/>
                <w:kern w:val="0"/>
                <w:sz w:val="17"/>
                <w:szCs w:val="17"/>
                <w:lang w:val="en-GB" w:eastAsia="en-GB"/>
              </w:rPr>
            </w:pPr>
            <w:r w:rsidRPr="008F5159">
              <w:rPr>
                <w:rFonts w:ascii="Segoe UI" w:eastAsia="Times New Roman" w:hAnsi="Segoe UI" w:cs="Times New Roman"/>
                <w:kern w:val="0"/>
                <w:sz w:val="17"/>
                <w:szCs w:val="17"/>
                <w:lang w:val="en-GB" w:eastAsia="en-GB"/>
              </w:rPr>
              <w:t>6</w:t>
            </w:r>
          </w:p>
        </w:tc>
        <w:tc>
          <w:tcPr>
            <w:tcW w:w="7392" w:type="dxa"/>
            <w:tcBorders>
              <w:top w:val="single" w:sz="6" w:space="0" w:color="auto"/>
              <w:left w:val="single" w:sz="4" w:space="0" w:color="auto"/>
              <w:bottom w:val="single" w:sz="6" w:space="0" w:color="auto"/>
              <w:right w:val="single" w:sz="6" w:space="0" w:color="auto"/>
            </w:tcBorders>
            <w:shd w:val="clear" w:color="auto" w:fill="auto"/>
          </w:tcPr>
          <w:p w:rsidR="008F5159" w:rsidRPr="008F5159" w:rsidRDefault="008F5159" w:rsidP="008F5159">
            <w:pPr>
              <w:widowControl/>
              <w:snapToGrid w:val="0"/>
              <w:spacing w:before="40" w:after="40"/>
              <w:ind w:left="57" w:rightChars="71" w:right="170"/>
              <w:rPr>
                <w:rFonts w:ascii="Segoe UI" w:eastAsia="Times New Roman" w:hAnsi="Segoe UI" w:cs="Times New Roman"/>
                <w:kern w:val="0"/>
                <w:sz w:val="17"/>
                <w:szCs w:val="20"/>
                <w:lang w:val="en-GB" w:eastAsia="it-IT"/>
              </w:rPr>
            </w:pPr>
            <w:r w:rsidRPr="008F5159">
              <w:rPr>
                <w:rFonts w:ascii="Segoe UI" w:eastAsia="Times New Roman" w:hAnsi="Segoe UI" w:cs="Times New Roman"/>
                <w:kern w:val="0"/>
                <w:sz w:val="17"/>
                <w:szCs w:val="20"/>
                <w:lang w:val="en-GB" w:eastAsia="it-IT"/>
              </w:rPr>
              <w:t>Tier 2 (“T2”) capital before LAC adjustments</w:t>
            </w:r>
          </w:p>
        </w:tc>
        <w:tc>
          <w:tcPr>
            <w:tcW w:w="1280" w:type="dxa"/>
            <w:tcBorders>
              <w:top w:val="single" w:sz="6" w:space="0" w:color="auto"/>
              <w:left w:val="single" w:sz="6" w:space="0" w:color="auto"/>
              <w:bottom w:val="single" w:sz="6" w:space="0" w:color="auto"/>
              <w:right w:val="single" w:sz="6" w:space="0" w:color="auto"/>
            </w:tcBorders>
            <w:shd w:val="clear" w:color="auto" w:fill="auto"/>
          </w:tcPr>
          <w:p w:rsidR="008F5159" w:rsidRPr="008F5159" w:rsidRDefault="008F5159" w:rsidP="008F5159">
            <w:pPr>
              <w:widowControl/>
              <w:snapToGrid w:val="0"/>
              <w:spacing w:before="40" w:after="40"/>
              <w:jc w:val="center"/>
              <w:rPr>
                <w:rFonts w:ascii="Segoe UI" w:eastAsia="Times New Roman" w:hAnsi="Segoe UI" w:cs="Times New Roman"/>
                <w:kern w:val="0"/>
                <w:sz w:val="17"/>
                <w:szCs w:val="20"/>
                <w:lang w:val="en-GB" w:eastAsia="it-IT"/>
              </w:rPr>
            </w:pPr>
          </w:p>
        </w:tc>
      </w:tr>
      <w:tr w:rsidR="008F5159" w:rsidRPr="008F5159" w:rsidTr="00297CA5">
        <w:trPr>
          <w:cantSplit/>
          <w:trHeight w:val="302"/>
        </w:trPr>
        <w:tc>
          <w:tcPr>
            <w:tcW w:w="572" w:type="dxa"/>
            <w:tcBorders>
              <w:top w:val="single" w:sz="6" w:space="0" w:color="auto"/>
              <w:left w:val="nil"/>
              <w:bottom w:val="single" w:sz="6" w:space="0" w:color="auto"/>
              <w:right w:val="single" w:sz="4" w:space="0" w:color="auto"/>
            </w:tcBorders>
            <w:shd w:val="clear" w:color="auto" w:fill="auto"/>
          </w:tcPr>
          <w:p w:rsidR="008F5159" w:rsidRPr="008F5159" w:rsidRDefault="008F5159" w:rsidP="008F5159">
            <w:pPr>
              <w:widowControl/>
              <w:snapToGrid w:val="0"/>
              <w:spacing w:before="40" w:after="40"/>
              <w:ind w:left="57"/>
              <w:rPr>
                <w:rFonts w:ascii="Segoe UI" w:eastAsia="Times New Roman" w:hAnsi="Segoe UI" w:cs="Times New Roman"/>
                <w:kern w:val="0"/>
                <w:sz w:val="17"/>
                <w:szCs w:val="17"/>
                <w:lang w:val="en-GB" w:eastAsia="en-GB"/>
              </w:rPr>
            </w:pPr>
            <w:r w:rsidRPr="008F5159">
              <w:rPr>
                <w:rFonts w:ascii="Segoe UI" w:eastAsia="Times New Roman" w:hAnsi="Segoe UI" w:cs="Times New Roman"/>
                <w:kern w:val="0"/>
                <w:sz w:val="17"/>
                <w:szCs w:val="17"/>
                <w:lang w:val="en-GB" w:eastAsia="en-GB"/>
              </w:rPr>
              <w:t>7</w:t>
            </w:r>
          </w:p>
        </w:tc>
        <w:tc>
          <w:tcPr>
            <w:tcW w:w="7392" w:type="dxa"/>
            <w:tcBorders>
              <w:top w:val="single" w:sz="6" w:space="0" w:color="auto"/>
              <w:left w:val="single" w:sz="4" w:space="0" w:color="auto"/>
              <w:bottom w:val="single" w:sz="6" w:space="0" w:color="auto"/>
              <w:right w:val="single" w:sz="6" w:space="0" w:color="auto"/>
            </w:tcBorders>
            <w:shd w:val="clear" w:color="auto" w:fill="auto"/>
          </w:tcPr>
          <w:p w:rsidR="008F5159" w:rsidRPr="008F5159" w:rsidRDefault="008F5159" w:rsidP="001D15C2">
            <w:pPr>
              <w:widowControl/>
              <w:tabs>
                <w:tab w:val="left" w:pos="423"/>
              </w:tabs>
              <w:snapToGrid w:val="0"/>
              <w:spacing w:before="40" w:after="40"/>
              <w:ind w:leftChars="211" w:left="987" w:rightChars="71" w:right="170" w:hangingChars="283" w:hanging="481"/>
              <w:rPr>
                <w:rFonts w:ascii="Segoe UI" w:eastAsia="Times New Roman" w:hAnsi="Segoe UI" w:cs="Times New Roman"/>
                <w:kern w:val="0"/>
                <w:sz w:val="17"/>
                <w:szCs w:val="20"/>
                <w:lang w:val="en-GB" w:eastAsia="it-IT"/>
              </w:rPr>
            </w:pPr>
            <w:r w:rsidRPr="008F5159">
              <w:rPr>
                <w:rFonts w:ascii="Segoe UI" w:eastAsia="Times New Roman" w:hAnsi="Segoe UI" w:cs="Times New Roman"/>
                <w:kern w:val="0"/>
                <w:sz w:val="17"/>
                <w:szCs w:val="20"/>
                <w:lang w:val="en-GB" w:eastAsia="it-IT"/>
              </w:rPr>
              <w:tab/>
              <w:t>Amortized portion of T2 capital instruments that are external LAC debt instruments issued by the resolution entity</w:t>
            </w:r>
          </w:p>
        </w:tc>
        <w:tc>
          <w:tcPr>
            <w:tcW w:w="1280" w:type="dxa"/>
            <w:tcBorders>
              <w:top w:val="single" w:sz="6" w:space="0" w:color="auto"/>
              <w:left w:val="single" w:sz="6" w:space="0" w:color="auto"/>
              <w:bottom w:val="single" w:sz="6" w:space="0" w:color="auto"/>
              <w:right w:val="single" w:sz="6" w:space="0" w:color="auto"/>
            </w:tcBorders>
            <w:shd w:val="clear" w:color="auto" w:fill="auto"/>
          </w:tcPr>
          <w:p w:rsidR="008F5159" w:rsidRPr="008F5159" w:rsidRDefault="008F5159" w:rsidP="008F5159">
            <w:pPr>
              <w:widowControl/>
              <w:snapToGrid w:val="0"/>
              <w:spacing w:before="40" w:after="40"/>
              <w:jc w:val="center"/>
              <w:rPr>
                <w:rFonts w:ascii="Segoe UI" w:eastAsia="Times New Roman" w:hAnsi="Segoe UI" w:cs="Times New Roman"/>
                <w:kern w:val="0"/>
                <w:sz w:val="17"/>
                <w:szCs w:val="20"/>
                <w:lang w:val="en-GB" w:eastAsia="it-IT"/>
              </w:rPr>
            </w:pPr>
          </w:p>
        </w:tc>
      </w:tr>
      <w:tr w:rsidR="008F5159" w:rsidRPr="008F5159" w:rsidTr="00297CA5">
        <w:trPr>
          <w:cantSplit/>
          <w:trHeight w:val="302"/>
        </w:trPr>
        <w:tc>
          <w:tcPr>
            <w:tcW w:w="572" w:type="dxa"/>
            <w:tcBorders>
              <w:top w:val="single" w:sz="6" w:space="0" w:color="auto"/>
              <w:left w:val="nil"/>
              <w:bottom w:val="single" w:sz="6" w:space="0" w:color="auto"/>
              <w:right w:val="single" w:sz="4" w:space="0" w:color="auto"/>
            </w:tcBorders>
            <w:shd w:val="clear" w:color="auto" w:fill="auto"/>
          </w:tcPr>
          <w:p w:rsidR="008F5159" w:rsidRPr="008F5159" w:rsidRDefault="008F5159" w:rsidP="008F5159">
            <w:pPr>
              <w:widowControl/>
              <w:snapToGrid w:val="0"/>
              <w:spacing w:before="40" w:after="40"/>
              <w:ind w:left="57"/>
              <w:rPr>
                <w:rFonts w:ascii="Segoe UI" w:eastAsia="Times New Roman" w:hAnsi="Segoe UI" w:cs="Times New Roman"/>
                <w:kern w:val="0"/>
                <w:sz w:val="17"/>
                <w:szCs w:val="17"/>
                <w:lang w:val="en-GB" w:eastAsia="en-GB"/>
              </w:rPr>
            </w:pPr>
            <w:r w:rsidRPr="008F5159">
              <w:rPr>
                <w:rFonts w:ascii="Segoe UI" w:eastAsia="Times New Roman" w:hAnsi="Segoe UI" w:cs="Times New Roman"/>
                <w:kern w:val="0"/>
                <w:sz w:val="17"/>
                <w:szCs w:val="17"/>
                <w:lang w:val="en-GB" w:eastAsia="en-GB"/>
              </w:rPr>
              <w:t>8</w:t>
            </w:r>
          </w:p>
        </w:tc>
        <w:tc>
          <w:tcPr>
            <w:tcW w:w="7392" w:type="dxa"/>
            <w:tcBorders>
              <w:top w:val="single" w:sz="6" w:space="0" w:color="auto"/>
              <w:left w:val="single" w:sz="4" w:space="0" w:color="auto"/>
              <w:bottom w:val="single" w:sz="6" w:space="0" w:color="auto"/>
              <w:right w:val="single" w:sz="6" w:space="0" w:color="auto"/>
            </w:tcBorders>
            <w:shd w:val="clear" w:color="auto" w:fill="auto"/>
          </w:tcPr>
          <w:p w:rsidR="008F5159" w:rsidRPr="008F5159" w:rsidRDefault="008F5159" w:rsidP="001D15C2">
            <w:pPr>
              <w:widowControl/>
              <w:tabs>
                <w:tab w:val="left" w:pos="423"/>
              </w:tabs>
              <w:snapToGrid w:val="0"/>
              <w:spacing w:before="40" w:after="40"/>
              <w:ind w:leftChars="211" w:left="987" w:rightChars="71" w:right="170" w:hangingChars="283" w:hanging="481"/>
              <w:rPr>
                <w:rFonts w:ascii="Segoe UI" w:eastAsia="Times New Roman" w:hAnsi="Segoe UI" w:cs="Times New Roman"/>
                <w:kern w:val="0"/>
                <w:sz w:val="17"/>
                <w:szCs w:val="20"/>
                <w:lang w:val="en-GB" w:eastAsia="it-IT"/>
              </w:rPr>
            </w:pPr>
            <w:r w:rsidRPr="008F5159">
              <w:rPr>
                <w:rFonts w:ascii="Segoe UI" w:eastAsia="Times New Roman" w:hAnsi="Segoe UI" w:cs="Times New Roman"/>
                <w:kern w:val="0"/>
                <w:sz w:val="17"/>
                <w:szCs w:val="20"/>
                <w:lang w:val="en-GB" w:eastAsia="it-IT"/>
              </w:rPr>
              <w:tab/>
              <w:t>T2 capital instruments ineligible as external loss-absorbing capacity as issued by a member of the resolution entity’s LAC consolidation group other than the resolution entity</w:t>
            </w:r>
          </w:p>
        </w:tc>
        <w:tc>
          <w:tcPr>
            <w:tcW w:w="1280" w:type="dxa"/>
            <w:tcBorders>
              <w:top w:val="single" w:sz="6" w:space="0" w:color="auto"/>
              <w:left w:val="single" w:sz="6" w:space="0" w:color="auto"/>
              <w:bottom w:val="single" w:sz="6" w:space="0" w:color="auto"/>
              <w:right w:val="single" w:sz="6" w:space="0" w:color="auto"/>
            </w:tcBorders>
            <w:shd w:val="clear" w:color="auto" w:fill="auto"/>
          </w:tcPr>
          <w:p w:rsidR="008F5159" w:rsidRPr="008F5159" w:rsidRDefault="008F5159" w:rsidP="008F5159">
            <w:pPr>
              <w:widowControl/>
              <w:snapToGrid w:val="0"/>
              <w:spacing w:before="40" w:after="40"/>
              <w:jc w:val="center"/>
              <w:rPr>
                <w:rFonts w:ascii="Segoe UI" w:eastAsia="Times New Roman" w:hAnsi="Segoe UI" w:cs="Times New Roman"/>
                <w:kern w:val="0"/>
                <w:sz w:val="17"/>
                <w:szCs w:val="20"/>
                <w:lang w:val="en-GB" w:eastAsia="it-IT"/>
              </w:rPr>
            </w:pPr>
          </w:p>
        </w:tc>
      </w:tr>
      <w:tr w:rsidR="008F5159" w:rsidRPr="008F5159" w:rsidTr="00297CA5">
        <w:trPr>
          <w:cantSplit/>
          <w:trHeight w:val="302"/>
        </w:trPr>
        <w:tc>
          <w:tcPr>
            <w:tcW w:w="572" w:type="dxa"/>
            <w:tcBorders>
              <w:top w:val="single" w:sz="6" w:space="0" w:color="auto"/>
              <w:left w:val="nil"/>
              <w:bottom w:val="single" w:sz="6" w:space="0" w:color="auto"/>
              <w:right w:val="single" w:sz="4" w:space="0" w:color="auto"/>
            </w:tcBorders>
            <w:shd w:val="clear" w:color="auto" w:fill="auto"/>
          </w:tcPr>
          <w:p w:rsidR="008F5159" w:rsidRPr="008F5159" w:rsidRDefault="008F5159" w:rsidP="008F5159">
            <w:pPr>
              <w:widowControl/>
              <w:snapToGrid w:val="0"/>
              <w:spacing w:before="40" w:after="40"/>
              <w:ind w:left="57"/>
              <w:rPr>
                <w:rFonts w:ascii="Segoe UI" w:eastAsia="Times New Roman" w:hAnsi="Segoe UI" w:cs="Times New Roman"/>
                <w:kern w:val="0"/>
                <w:sz w:val="17"/>
                <w:szCs w:val="17"/>
                <w:lang w:val="en-GB" w:eastAsia="en-GB"/>
              </w:rPr>
            </w:pPr>
            <w:r w:rsidRPr="008F5159">
              <w:rPr>
                <w:rFonts w:ascii="Segoe UI" w:eastAsia="Times New Roman" w:hAnsi="Segoe UI" w:cs="Times New Roman"/>
                <w:kern w:val="0"/>
                <w:sz w:val="17"/>
                <w:szCs w:val="17"/>
                <w:lang w:val="en-GB" w:eastAsia="en-GB"/>
              </w:rPr>
              <w:t>9</w:t>
            </w:r>
          </w:p>
        </w:tc>
        <w:tc>
          <w:tcPr>
            <w:tcW w:w="7392" w:type="dxa"/>
            <w:tcBorders>
              <w:top w:val="single" w:sz="6" w:space="0" w:color="auto"/>
              <w:left w:val="single" w:sz="4" w:space="0" w:color="auto"/>
              <w:bottom w:val="single" w:sz="6" w:space="0" w:color="auto"/>
              <w:right w:val="single" w:sz="6" w:space="0" w:color="auto"/>
            </w:tcBorders>
            <w:shd w:val="clear" w:color="auto" w:fill="auto"/>
          </w:tcPr>
          <w:p w:rsidR="008F5159" w:rsidRPr="008F5159" w:rsidRDefault="008F5159" w:rsidP="008F5159">
            <w:pPr>
              <w:widowControl/>
              <w:tabs>
                <w:tab w:val="left" w:pos="423"/>
              </w:tabs>
              <w:snapToGrid w:val="0"/>
              <w:spacing w:before="40" w:after="40"/>
              <w:ind w:leftChars="211" w:left="506" w:rightChars="71" w:right="170"/>
              <w:rPr>
                <w:rFonts w:ascii="Segoe UI" w:eastAsia="Times New Roman" w:hAnsi="Segoe UI" w:cs="Times New Roman"/>
                <w:kern w:val="0"/>
                <w:sz w:val="17"/>
                <w:szCs w:val="20"/>
                <w:lang w:val="en-GB" w:eastAsia="it-IT"/>
              </w:rPr>
            </w:pPr>
            <w:r w:rsidRPr="008F5159">
              <w:rPr>
                <w:rFonts w:ascii="Segoe UI" w:eastAsia="Times New Roman" w:hAnsi="Segoe UI" w:cs="Times New Roman"/>
                <w:kern w:val="0"/>
                <w:sz w:val="17"/>
                <w:szCs w:val="20"/>
                <w:lang w:val="en-GB" w:eastAsia="it-IT"/>
              </w:rPr>
              <w:tab/>
              <w:t>Other adjustments</w:t>
            </w:r>
          </w:p>
        </w:tc>
        <w:tc>
          <w:tcPr>
            <w:tcW w:w="1280" w:type="dxa"/>
            <w:tcBorders>
              <w:top w:val="single" w:sz="6" w:space="0" w:color="auto"/>
              <w:left w:val="single" w:sz="6" w:space="0" w:color="auto"/>
              <w:bottom w:val="single" w:sz="6" w:space="0" w:color="auto"/>
              <w:right w:val="single" w:sz="6" w:space="0" w:color="auto"/>
            </w:tcBorders>
            <w:shd w:val="clear" w:color="auto" w:fill="auto"/>
          </w:tcPr>
          <w:p w:rsidR="008F5159" w:rsidRPr="008F5159" w:rsidRDefault="008F5159" w:rsidP="008F5159">
            <w:pPr>
              <w:widowControl/>
              <w:snapToGrid w:val="0"/>
              <w:spacing w:before="40" w:after="40"/>
              <w:jc w:val="center"/>
              <w:rPr>
                <w:rFonts w:ascii="Segoe UI" w:eastAsia="Times New Roman" w:hAnsi="Segoe UI" w:cs="Times New Roman"/>
                <w:kern w:val="0"/>
                <w:sz w:val="17"/>
                <w:szCs w:val="20"/>
                <w:lang w:val="en-GB" w:eastAsia="it-IT"/>
              </w:rPr>
            </w:pPr>
          </w:p>
        </w:tc>
      </w:tr>
      <w:tr w:rsidR="008F5159" w:rsidRPr="008F5159" w:rsidTr="00297CA5">
        <w:trPr>
          <w:cantSplit/>
          <w:trHeight w:val="302"/>
        </w:trPr>
        <w:tc>
          <w:tcPr>
            <w:tcW w:w="572" w:type="dxa"/>
            <w:tcBorders>
              <w:top w:val="single" w:sz="6" w:space="0" w:color="auto"/>
              <w:left w:val="nil"/>
              <w:bottom w:val="single" w:sz="6" w:space="0" w:color="auto"/>
              <w:right w:val="single" w:sz="4" w:space="0" w:color="auto"/>
            </w:tcBorders>
            <w:shd w:val="clear" w:color="auto" w:fill="auto"/>
          </w:tcPr>
          <w:p w:rsidR="008F5159" w:rsidRPr="008F5159" w:rsidRDefault="008F5159" w:rsidP="008F5159">
            <w:pPr>
              <w:widowControl/>
              <w:snapToGrid w:val="0"/>
              <w:spacing w:before="40" w:after="40"/>
              <w:ind w:left="57"/>
              <w:rPr>
                <w:rFonts w:ascii="Segoe UI" w:eastAsia="Times New Roman" w:hAnsi="Segoe UI" w:cs="Times New Roman"/>
                <w:kern w:val="0"/>
                <w:sz w:val="17"/>
                <w:szCs w:val="17"/>
                <w:lang w:val="en-GB" w:eastAsia="en-GB"/>
              </w:rPr>
            </w:pPr>
            <w:r w:rsidRPr="008F5159">
              <w:rPr>
                <w:rFonts w:ascii="Segoe UI" w:eastAsia="Times New Roman" w:hAnsi="Segoe UI" w:cs="Times New Roman"/>
                <w:kern w:val="0"/>
                <w:sz w:val="17"/>
                <w:szCs w:val="17"/>
                <w:lang w:val="en-GB" w:eastAsia="en-GB"/>
              </w:rPr>
              <w:t>10</w:t>
            </w:r>
          </w:p>
        </w:tc>
        <w:tc>
          <w:tcPr>
            <w:tcW w:w="7392" w:type="dxa"/>
            <w:tcBorders>
              <w:top w:val="single" w:sz="6" w:space="0" w:color="auto"/>
              <w:left w:val="single" w:sz="4" w:space="0" w:color="auto"/>
              <w:bottom w:val="single" w:sz="18" w:space="0" w:color="auto"/>
              <w:right w:val="single" w:sz="6" w:space="0" w:color="auto"/>
            </w:tcBorders>
            <w:shd w:val="clear" w:color="auto" w:fill="D9D9D9" w:themeFill="background1" w:themeFillShade="D9"/>
          </w:tcPr>
          <w:p w:rsidR="008F5159" w:rsidRPr="008F5159" w:rsidRDefault="008F5159" w:rsidP="008F5159">
            <w:pPr>
              <w:widowControl/>
              <w:snapToGrid w:val="0"/>
              <w:spacing w:before="40" w:after="40"/>
              <w:ind w:left="57" w:rightChars="71" w:right="170"/>
              <w:rPr>
                <w:rFonts w:ascii="Segoe UI" w:eastAsia="Times New Roman" w:hAnsi="Segoe UI" w:cs="Times New Roman"/>
                <w:kern w:val="0"/>
                <w:sz w:val="17"/>
                <w:szCs w:val="20"/>
                <w:lang w:val="en-GB" w:eastAsia="it-IT"/>
              </w:rPr>
            </w:pPr>
            <w:r w:rsidRPr="008F5159">
              <w:rPr>
                <w:rFonts w:ascii="Segoe UI" w:eastAsia="Times New Roman" w:hAnsi="Segoe UI" w:cs="Times New Roman"/>
                <w:kern w:val="0"/>
                <w:sz w:val="17"/>
                <w:szCs w:val="20"/>
                <w:lang w:val="en-GB" w:eastAsia="it-IT"/>
              </w:rPr>
              <w:t>T2 capital eligible under the LAC Rules</w:t>
            </w:r>
          </w:p>
        </w:tc>
        <w:tc>
          <w:tcPr>
            <w:tcW w:w="1280" w:type="dxa"/>
            <w:tcBorders>
              <w:top w:val="single" w:sz="6" w:space="0" w:color="auto"/>
              <w:left w:val="single" w:sz="6" w:space="0" w:color="auto"/>
              <w:bottom w:val="single" w:sz="18" w:space="0" w:color="auto"/>
              <w:right w:val="single" w:sz="6" w:space="0" w:color="auto"/>
            </w:tcBorders>
            <w:shd w:val="clear" w:color="auto" w:fill="D9D9D9" w:themeFill="background1" w:themeFillShade="D9"/>
          </w:tcPr>
          <w:p w:rsidR="008F5159" w:rsidRPr="008F5159" w:rsidRDefault="008F5159" w:rsidP="008F5159">
            <w:pPr>
              <w:widowControl/>
              <w:snapToGrid w:val="0"/>
              <w:spacing w:before="40" w:after="40"/>
              <w:jc w:val="center"/>
              <w:rPr>
                <w:rFonts w:ascii="Segoe UI" w:eastAsia="Times New Roman" w:hAnsi="Segoe UI" w:cs="Times New Roman"/>
                <w:kern w:val="0"/>
                <w:sz w:val="17"/>
                <w:szCs w:val="20"/>
                <w:lang w:val="en-GB" w:eastAsia="it-IT"/>
              </w:rPr>
            </w:pPr>
          </w:p>
        </w:tc>
      </w:tr>
      <w:tr w:rsidR="008F5159" w:rsidRPr="008F5159" w:rsidTr="00297CA5">
        <w:trPr>
          <w:cantSplit/>
          <w:trHeight w:val="302"/>
        </w:trPr>
        <w:tc>
          <w:tcPr>
            <w:tcW w:w="572" w:type="dxa"/>
            <w:tcBorders>
              <w:top w:val="single" w:sz="6" w:space="0" w:color="auto"/>
              <w:left w:val="nil"/>
              <w:bottom w:val="single" w:sz="6" w:space="0" w:color="auto"/>
              <w:right w:val="single" w:sz="18" w:space="0" w:color="auto"/>
            </w:tcBorders>
            <w:shd w:val="clear" w:color="auto" w:fill="auto"/>
          </w:tcPr>
          <w:p w:rsidR="008F5159" w:rsidRPr="008F5159" w:rsidRDefault="008F5159" w:rsidP="008F5159">
            <w:pPr>
              <w:widowControl/>
              <w:snapToGrid w:val="0"/>
              <w:spacing w:before="40" w:after="40"/>
              <w:ind w:left="57"/>
              <w:rPr>
                <w:rFonts w:ascii="Segoe UI" w:eastAsia="Times New Roman" w:hAnsi="Segoe UI" w:cs="Times New Roman"/>
                <w:kern w:val="0"/>
                <w:sz w:val="17"/>
                <w:szCs w:val="17"/>
                <w:lang w:val="en-GB" w:eastAsia="en-GB"/>
              </w:rPr>
            </w:pPr>
            <w:r w:rsidRPr="008F5159">
              <w:rPr>
                <w:rFonts w:ascii="Segoe UI" w:eastAsia="Times New Roman" w:hAnsi="Segoe UI" w:cs="Times New Roman"/>
                <w:kern w:val="0"/>
                <w:sz w:val="17"/>
                <w:szCs w:val="17"/>
                <w:lang w:val="en-GB" w:eastAsia="en-GB"/>
              </w:rPr>
              <w:t>11</w:t>
            </w:r>
          </w:p>
        </w:tc>
        <w:tc>
          <w:tcPr>
            <w:tcW w:w="7392" w:type="dxa"/>
            <w:tcBorders>
              <w:top w:val="single" w:sz="18" w:space="0" w:color="auto"/>
              <w:left w:val="single" w:sz="18" w:space="0" w:color="auto"/>
              <w:bottom w:val="single" w:sz="18" w:space="0" w:color="auto"/>
              <w:right w:val="single" w:sz="18" w:space="0" w:color="auto"/>
            </w:tcBorders>
            <w:shd w:val="clear" w:color="auto" w:fill="D9D9D9" w:themeFill="background1" w:themeFillShade="D9"/>
          </w:tcPr>
          <w:p w:rsidR="008F5159" w:rsidRPr="008F5159" w:rsidRDefault="008F5159" w:rsidP="008F5159">
            <w:pPr>
              <w:widowControl/>
              <w:snapToGrid w:val="0"/>
              <w:spacing w:before="40" w:after="40"/>
              <w:ind w:left="57" w:rightChars="71" w:right="170"/>
              <w:rPr>
                <w:rFonts w:ascii="Segoe UI" w:eastAsia="Times New Roman" w:hAnsi="Segoe UI" w:cs="Times New Roman"/>
                <w:b/>
                <w:kern w:val="0"/>
                <w:sz w:val="17"/>
                <w:szCs w:val="20"/>
                <w:lang w:val="en-GB" w:eastAsia="it-IT"/>
              </w:rPr>
            </w:pPr>
            <w:r w:rsidRPr="008F5159">
              <w:rPr>
                <w:rFonts w:ascii="Segoe UI" w:eastAsia="Times New Roman" w:hAnsi="Segoe UI" w:cs="Times New Roman"/>
                <w:b/>
                <w:kern w:val="0"/>
                <w:sz w:val="17"/>
                <w:szCs w:val="20"/>
                <w:lang w:val="en-GB" w:eastAsia="it-IT"/>
              </w:rPr>
              <w:t>External loss-absorbing capacity arising from regulatory capital</w:t>
            </w:r>
          </w:p>
        </w:tc>
        <w:tc>
          <w:tcPr>
            <w:tcW w:w="1280" w:type="dxa"/>
            <w:tcBorders>
              <w:top w:val="single" w:sz="18" w:space="0" w:color="auto"/>
              <w:left w:val="single" w:sz="18" w:space="0" w:color="auto"/>
              <w:bottom w:val="single" w:sz="18" w:space="0" w:color="auto"/>
              <w:right w:val="single" w:sz="18" w:space="0" w:color="auto"/>
            </w:tcBorders>
            <w:shd w:val="clear" w:color="auto" w:fill="D9D9D9" w:themeFill="background1" w:themeFillShade="D9"/>
          </w:tcPr>
          <w:p w:rsidR="008F5159" w:rsidRPr="008F5159" w:rsidRDefault="008F5159" w:rsidP="008F5159">
            <w:pPr>
              <w:widowControl/>
              <w:snapToGrid w:val="0"/>
              <w:spacing w:before="40" w:after="40"/>
              <w:jc w:val="center"/>
              <w:rPr>
                <w:rFonts w:ascii="Segoe UI" w:eastAsia="Times New Roman" w:hAnsi="Segoe UI" w:cs="Times New Roman"/>
                <w:kern w:val="0"/>
                <w:sz w:val="17"/>
                <w:szCs w:val="20"/>
                <w:lang w:val="en-GB" w:eastAsia="it-IT"/>
              </w:rPr>
            </w:pPr>
          </w:p>
        </w:tc>
      </w:tr>
      <w:tr w:rsidR="008F5159" w:rsidRPr="008F5159" w:rsidTr="00297CA5">
        <w:trPr>
          <w:cantSplit/>
          <w:trHeight w:val="302"/>
        </w:trPr>
        <w:tc>
          <w:tcPr>
            <w:tcW w:w="572" w:type="dxa"/>
            <w:tcBorders>
              <w:top w:val="single" w:sz="6" w:space="0" w:color="auto"/>
              <w:left w:val="nil"/>
              <w:bottom w:val="single" w:sz="4" w:space="0" w:color="auto"/>
              <w:right w:val="single" w:sz="4" w:space="0" w:color="auto"/>
            </w:tcBorders>
            <w:shd w:val="clear" w:color="auto" w:fill="A6A6A6" w:themeFill="background1" w:themeFillShade="A6"/>
          </w:tcPr>
          <w:p w:rsidR="008F5159" w:rsidRPr="008F5159" w:rsidRDefault="008F5159" w:rsidP="008F5159">
            <w:pPr>
              <w:widowControl/>
              <w:snapToGrid w:val="0"/>
              <w:spacing w:before="40" w:after="40"/>
              <w:ind w:left="417" w:rightChars="71" w:right="170"/>
              <w:rPr>
                <w:rFonts w:ascii="Segoe UI" w:eastAsia="Times New Roman" w:hAnsi="Segoe UI" w:cs="Times New Roman"/>
                <w:b/>
                <w:kern w:val="0"/>
                <w:sz w:val="17"/>
                <w:szCs w:val="17"/>
                <w:lang w:val="en-GB" w:eastAsia="it-IT"/>
              </w:rPr>
            </w:pPr>
          </w:p>
        </w:tc>
        <w:tc>
          <w:tcPr>
            <w:tcW w:w="7392" w:type="dxa"/>
            <w:tcBorders>
              <w:top w:val="single" w:sz="18" w:space="0" w:color="auto"/>
              <w:left w:val="single" w:sz="4" w:space="0" w:color="auto"/>
              <w:bottom w:val="single" w:sz="4" w:space="0" w:color="auto"/>
              <w:right w:val="nil"/>
            </w:tcBorders>
            <w:shd w:val="clear" w:color="auto" w:fill="A6A6A6" w:themeFill="background1" w:themeFillShade="A6"/>
          </w:tcPr>
          <w:p w:rsidR="008F5159" w:rsidRPr="008F5159" w:rsidRDefault="008F5159" w:rsidP="008F5159">
            <w:pPr>
              <w:widowControl/>
              <w:snapToGrid w:val="0"/>
              <w:spacing w:before="40" w:after="40"/>
              <w:ind w:left="57" w:rightChars="71" w:right="170"/>
              <w:rPr>
                <w:rFonts w:ascii="Segoe UI" w:eastAsia="Times New Roman" w:hAnsi="Segoe UI" w:cs="Times New Roman"/>
                <w:b/>
                <w:kern w:val="0"/>
                <w:sz w:val="17"/>
                <w:szCs w:val="17"/>
                <w:lang w:val="en-GB" w:eastAsia="it-IT"/>
              </w:rPr>
            </w:pPr>
            <w:r w:rsidRPr="008F5159">
              <w:rPr>
                <w:rFonts w:ascii="Segoe UI" w:eastAsia="Times New Roman" w:hAnsi="Segoe UI" w:cs="Times New Roman"/>
                <w:b/>
                <w:kern w:val="0"/>
                <w:sz w:val="17"/>
                <w:szCs w:val="20"/>
                <w:lang w:val="en-GB" w:eastAsia="it-IT"/>
              </w:rPr>
              <w:t>Non-regulatory capital elements of external loss-absorbing capacity</w:t>
            </w:r>
          </w:p>
        </w:tc>
        <w:tc>
          <w:tcPr>
            <w:tcW w:w="1280" w:type="dxa"/>
            <w:tcBorders>
              <w:top w:val="single" w:sz="18" w:space="0" w:color="auto"/>
              <w:left w:val="nil"/>
              <w:bottom w:val="single" w:sz="4" w:space="0" w:color="auto"/>
              <w:right w:val="single" w:sz="4" w:space="0" w:color="auto"/>
            </w:tcBorders>
            <w:shd w:val="clear" w:color="auto" w:fill="A6A6A6" w:themeFill="background1" w:themeFillShade="A6"/>
          </w:tcPr>
          <w:p w:rsidR="008F5159" w:rsidRPr="008F5159" w:rsidRDefault="008F5159" w:rsidP="008F5159">
            <w:pPr>
              <w:widowControl/>
              <w:snapToGrid w:val="0"/>
              <w:spacing w:before="40" w:after="40"/>
              <w:jc w:val="center"/>
              <w:rPr>
                <w:rFonts w:ascii="Segoe UI" w:eastAsia="Times New Roman" w:hAnsi="Segoe UI" w:cs="Times New Roman"/>
                <w:kern w:val="0"/>
                <w:sz w:val="17"/>
                <w:szCs w:val="20"/>
                <w:lang w:val="en-GB" w:eastAsia="it-IT"/>
              </w:rPr>
            </w:pPr>
          </w:p>
        </w:tc>
      </w:tr>
      <w:tr w:rsidR="008F5159" w:rsidRPr="008F5159" w:rsidTr="00297CA5">
        <w:trPr>
          <w:cantSplit/>
          <w:trHeight w:val="286"/>
        </w:trPr>
        <w:tc>
          <w:tcPr>
            <w:tcW w:w="572" w:type="dxa"/>
            <w:tcBorders>
              <w:top w:val="single" w:sz="4" w:space="0" w:color="auto"/>
              <w:left w:val="nil"/>
              <w:bottom w:val="single" w:sz="4" w:space="0" w:color="auto"/>
              <w:right w:val="single" w:sz="4" w:space="0" w:color="auto"/>
            </w:tcBorders>
            <w:shd w:val="clear" w:color="auto" w:fill="auto"/>
          </w:tcPr>
          <w:p w:rsidR="008F5159" w:rsidRPr="008F5159" w:rsidRDefault="008F5159" w:rsidP="008F5159">
            <w:pPr>
              <w:widowControl/>
              <w:snapToGrid w:val="0"/>
              <w:spacing w:before="40" w:after="40"/>
              <w:ind w:left="57"/>
              <w:rPr>
                <w:rFonts w:ascii="Segoe UI" w:eastAsia="Times New Roman" w:hAnsi="Segoe UI" w:cs="Times New Roman"/>
                <w:kern w:val="0"/>
                <w:sz w:val="17"/>
                <w:szCs w:val="17"/>
                <w:lang w:val="en-GB" w:eastAsia="en-GB"/>
              </w:rPr>
            </w:pPr>
            <w:r w:rsidRPr="008F5159">
              <w:rPr>
                <w:rFonts w:ascii="Segoe UI" w:eastAsia="Times New Roman" w:hAnsi="Segoe UI" w:cs="Times New Roman"/>
                <w:kern w:val="0"/>
                <w:sz w:val="17"/>
                <w:szCs w:val="17"/>
                <w:lang w:val="en-GB" w:eastAsia="en-GB"/>
              </w:rPr>
              <w:t>12</w:t>
            </w:r>
          </w:p>
        </w:tc>
        <w:tc>
          <w:tcPr>
            <w:tcW w:w="7392" w:type="dxa"/>
            <w:tcBorders>
              <w:top w:val="single" w:sz="6" w:space="0" w:color="auto"/>
              <w:left w:val="single" w:sz="4" w:space="0" w:color="auto"/>
              <w:bottom w:val="single" w:sz="6" w:space="0" w:color="auto"/>
              <w:right w:val="single" w:sz="6" w:space="0" w:color="auto"/>
            </w:tcBorders>
            <w:shd w:val="clear" w:color="auto" w:fill="auto"/>
          </w:tcPr>
          <w:p w:rsidR="008F5159" w:rsidRPr="008F5159" w:rsidRDefault="008F5159" w:rsidP="008F5159">
            <w:pPr>
              <w:widowControl/>
              <w:snapToGrid w:val="0"/>
              <w:spacing w:before="40" w:after="40"/>
              <w:ind w:left="57" w:rightChars="71" w:right="170"/>
              <w:rPr>
                <w:rFonts w:ascii="Segoe UI" w:eastAsia="Times New Roman" w:hAnsi="Segoe UI" w:cs="Times New Roman"/>
                <w:kern w:val="0"/>
                <w:sz w:val="17"/>
                <w:szCs w:val="20"/>
                <w:lang w:val="en-GB" w:eastAsia="it-IT"/>
              </w:rPr>
            </w:pPr>
            <w:r w:rsidRPr="008F5159">
              <w:rPr>
                <w:rFonts w:ascii="Segoe UI" w:eastAsia="Times New Roman" w:hAnsi="Segoe UI" w:cs="Times New Roman"/>
                <w:kern w:val="0"/>
                <w:sz w:val="17"/>
                <w:szCs w:val="20"/>
                <w:lang w:val="en-GB" w:eastAsia="it-IT"/>
              </w:rPr>
              <w:t>External non-capital LAC debt instruments issued directly by the resolution entity and that meet subordination requirements set out in the LAC Rules</w:t>
            </w:r>
          </w:p>
        </w:tc>
        <w:tc>
          <w:tcPr>
            <w:tcW w:w="1280" w:type="dxa"/>
            <w:tcBorders>
              <w:top w:val="single" w:sz="4" w:space="0" w:color="auto"/>
              <w:left w:val="single" w:sz="6" w:space="0" w:color="auto"/>
              <w:bottom w:val="single" w:sz="6" w:space="0" w:color="auto"/>
              <w:right w:val="single" w:sz="6" w:space="0" w:color="auto"/>
            </w:tcBorders>
            <w:shd w:val="clear" w:color="auto" w:fill="auto"/>
          </w:tcPr>
          <w:p w:rsidR="008F5159" w:rsidRPr="008F5159" w:rsidRDefault="008F5159" w:rsidP="008F5159">
            <w:pPr>
              <w:widowControl/>
              <w:snapToGrid w:val="0"/>
              <w:spacing w:before="40" w:after="40"/>
              <w:jc w:val="center"/>
              <w:rPr>
                <w:rFonts w:ascii="Segoe UI" w:eastAsia="Times New Roman" w:hAnsi="Segoe UI" w:cs="Times New Roman"/>
                <w:kern w:val="0"/>
                <w:sz w:val="17"/>
                <w:szCs w:val="20"/>
                <w:lang w:val="en-GB" w:eastAsia="it-IT"/>
              </w:rPr>
            </w:pPr>
          </w:p>
        </w:tc>
      </w:tr>
      <w:tr w:rsidR="008F5159" w:rsidRPr="008F5159" w:rsidTr="00297CA5">
        <w:trPr>
          <w:cantSplit/>
          <w:trHeight w:val="286"/>
        </w:trPr>
        <w:tc>
          <w:tcPr>
            <w:tcW w:w="572" w:type="dxa"/>
            <w:tcBorders>
              <w:top w:val="single" w:sz="4" w:space="0" w:color="auto"/>
              <w:left w:val="nil"/>
              <w:bottom w:val="single" w:sz="4" w:space="0" w:color="auto"/>
              <w:right w:val="single" w:sz="4" w:space="0" w:color="auto"/>
            </w:tcBorders>
            <w:shd w:val="clear" w:color="auto" w:fill="auto"/>
          </w:tcPr>
          <w:p w:rsidR="008F5159" w:rsidRPr="008F5159" w:rsidRDefault="008F5159" w:rsidP="008F5159">
            <w:pPr>
              <w:widowControl/>
              <w:snapToGrid w:val="0"/>
              <w:spacing w:before="40" w:after="40"/>
              <w:ind w:left="57"/>
              <w:rPr>
                <w:rFonts w:ascii="Segoe UI" w:eastAsia="Times New Roman" w:hAnsi="Segoe UI" w:cs="Times New Roman"/>
                <w:kern w:val="0"/>
                <w:sz w:val="17"/>
                <w:szCs w:val="17"/>
                <w:lang w:val="en-GB" w:eastAsia="en-GB"/>
              </w:rPr>
            </w:pPr>
            <w:r w:rsidRPr="008F5159">
              <w:rPr>
                <w:rFonts w:ascii="Segoe UI" w:eastAsia="Times New Roman" w:hAnsi="Segoe UI" w:cs="Times New Roman"/>
                <w:kern w:val="0"/>
                <w:sz w:val="17"/>
                <w:szCs w:val="17"/>
                <w:lang w:val="en-GB" w:eastAsia="en-GB"/>
              </w:rPr>
              <w:t>13</w:t>
            </w:r>
          </w:p>
        </w:tc>
        <w:tc>
          <w:tcPr>
            <w:tcW w:w="7392" w:type="dxa"/>
            <w:tcBorders>
              <w:top w:val="single" w:sz="6" w:space="0" w:color="auto"/>
              <w:left w:val="single" w:sz="4" w:space="0" w:color="auto"/>
              <w:bottom w:val="single" w:sz="4" w:space="0" w:color="auto"/>
              <w:right w:val="single" w:sz="6" w:space="0" w:color="auto"/>
            </w:tcBorders>
            <w:shd w:val="clear" w:color="auto" w:fill="FFFF00"/>
          </w:tcPr>
          <w:p w:rsidR="008F5159" w:rsidRPr="008F5159" w:rsidRDefault="008F5159" w:rsidP="008F5159">
            <w:pPr>
              <w:widowControl/>
              <w:snapToGrid w:val="0"/>
              <w:spacing w:before="40" w:after="40"/>
              <w:ind w:left="57" w:rightChars="71" w:right="170"/>
              <w:rPr>
                <w:rFonts w:ascii="Segoe UI" w:eastAsia="Times New Roman" w:hAnsi="Segoe UI" w:cs="Times New Roman"/>
                <w:kern w:val="0"/>
                <w:sz w:val="17"/>
                <w:szCs w:val="20"/>
                <w:lang w:val="en-GB" w:eastAsia="it-IT"/>
              </w:rPr>
            </w:pPr>
            <w:r w:rsidRPr="008F5159">
              <w:rPr>
                <w:rFonts w:ascii="Segoe UI" w:eastAsia="Times New Roman" w:hAnsi="Segoe UI" w:cs="Times New Roman"/>
                <w:kern w:val="0"/>
                <w:sz w:val="17"/>
                <w:szCs w:val="20"/>
                <w:lang w:val="en-GB" w:eastAsia="it-IT"/>
              </w:rPr>
              <w:t>External non-capital LAC debt instruments issued directly by the resolution entity and that do not meet subordination requirements but meet all other LAC eligibility requirements</w:t>
            </w:r>
          </w:p>
        </w:tc>
        <w:tc>
          <w:tcPr>
            <w:tcW w:w="1280" w:type="dxa"/>
            <w:tcBorders>
              <w:top w:val="single" w:sz="6" w:space="0" w:color="auto"/>
              <w:left w:val="single" w:sz="6" w:space="0" w:color="auto"/>
              <w:bottom w:val="single" w:sz="4" w:space="0" w:color="auto"/>
              <w:right w:val="single" w:sz="6" w:space="0" w:color="auto"/>
            </w:tcBorders>
            <w:shd w:val="clear" w:color="auto" w:fill="FFFF00"/>
          </w:tcPr>
          <w:p w:rsidR="008F5159" w:rsidRPr="008F5159" w:rsidRDefault="008F5159" w:rsidP="008F5159">
            <w:pPr>
              <w:widowControl/>
              <w:snapToGrid w:val="0"/>
              <w:spacing w:before="40" w:after="40"/>
              <w:jc w:val="center"/>
              <w:rPr>
                <w:rFonts w:ascii="Segoe UI" w:eastAsia="Times New Roman" w:hAnsi="Segoe UI" w:cs="Times New Roman"/>
                <w:kern w:val="0"/>
                <w:sz w:val="17"/>
                <w:szCs w:val="20"/>
                <w:lang w:val="en-GB" w:eastAsia="it-IT"/>
              </w:rPr>
            </w:pPr>
            <w:r w:rsidRPr="008F5159">
              <w:rPr>
                <w:rFonts w:ascii="Segoe UI" w:eastAsia="Times New Roman" w:hAnsi="Segoe UI" w:cs="Times New Roman"/>
                <w:kern w:val="0"/>
                <w:sz w:val="17"/>
                <w:szCs w:val="20"/>
                <w:lang w:val="en-GB" w:eastAsia="it-IT"/>
              </w:rPr>
              <w:t>Not applicable</w:t>
            </w:r>
          </w:p>
        </w:tc>
      </w:tr>
      <w:tr w:rsidR="008F5159" w:rsidRPr="008F5159" w:rsidTr="00297CA5">
        <w:trPr>
          <w:cantSplit/>
          <w:trHeight w:val="286"/>
        </w:trPr>
        <w:tc>
          <w:tcPr>
            <w:tcW w:w="572" w:type="dxa"/>
            <w:tcBorders>
              <w:top w:val="single" w:sz="4" w:space="0" w:color="auto"/>
              <w:left w:val="nil"/>
              <w:bottom w:val="single" w:sz="4" w:space="0" w:color="auto"/>
              <w:right w:val="single" w:sz="4" w:space="0" w:color="auto"/>
            </w:tcBorders>
            <w:shd w:val="clear" w:color="auto" w:fill="auto"/>
          </w:tcPr>
          <w:p w:rsidR="008F5159" w:rsidRPr="008F5159" w:rsidRDefault="008F5159" w:rsidP="008F5159">
            <w:pPr>
              <w:widowControl/>
              <w:snapToGrid w:val="0"/>
              <w:spacing w:before="40" w:after="40"/>
              <w:ind w:left="57"/>
              <w:rPr>
                <w:rFonts w:ascii="Segoe UI" w:eastAsia="Times New Roman" w:hAnsi="Segoe UI" w:cs="Times New Roman"/>
                <w:kern w:val="0"/>
                <w:sz w:val="17"/>
                <w:szCs w:val="17"/>
                <w:lang w:val="en-GB" w:eastAsia="en-GB"/>
              </w:rPr>
            </w:pPr>
            <w:r w:rsidRPr="008F5159">
              <w:rPr>
                <w:rFonts w:ascii="Segoe UI" w:eastAsia="Times New Roman" w:hAnsi="Segoe UI" w:cs="Times New Roman"/>
                <w:kern w:val="0"/>
                <w:sz w:val="17"/>
                <w:szCs w:val="17"/>
                <w:lang w:val="en-GB" w:eastAsia="en-GB"/>
              </w:rPr>
              <w:t>14</w:t>
            </w:r>
          </w:p>
        </w:tc>
        <w:tc>
          <w:tcPr>
            <w:tcW w:w="7392" w:type="dxa"/>
            <w:tcBorders>
              <w:top w:val="single" w:sz="4" w:space="0" w:color="auto"/>
              <w:left w:val="single" w:sz="4" w:space="0" w:color="auto"/>
              <w:bottom w:val="single" w:sz="4" w:space="0" w:color="auto"/>
              <w:right w:val="single" w:sz="6" w:space="0" w:color="auto"/>
            </w:tcBorders>
            <w:shd w:val="clear" w:color="auto" w:fill="FFFF00"/>
          </w:tcPr>
          <w:p w:rsidR="008F5159" w:rsidRPr="008F5159" w:rsidRDefault="008F5159" w:rsidP="001D15C2">
            <w:pPr>
              <w:widowControl/>
              <w:tabs>
                <w:tab w:val="left" w:pos="423"/>
              </w:tabs>
              <w:snapToGrid w:val="0"/>
              <w:spacing w:before="40" w:after="40"/>
              <w:ind w:leftChars="211" w:left="987" w:rightChars="71" w:right="170" w:hangingChars="283" w:hanging="481"/>
              <w:rPr>
                <w:rFonts w:ascii="Segoe UI" w:eastAsia="Times New Roman" w:hAnsi="Segoe UI" w:cs="Times New Roman"/>
                <w:kern w:val="0"/>
                <w:sz w:val="17"/>
                <w:szCs w:val="20"/>
                <w:lang w:val="en-GB" w:eastAsia="it-IT"/>
              </w:rPr>
            </w:pPr>
            <w:r w:rsidRPr="008F5159">
              <w:rPr>
                <w:rFonts w:ascii="Segoe UI" w:eastAsia="Times New Roman" w:hAnsi="Segoe UI" w:cs="Times New Roman"/>
                <w:kern w:val="0"/>
                <w:sz w:val="17"/>
                <w:szCs w:val="20"/>
                <w:lang w:val="en-GB" w:eastAsia="it-IT"/>
              </w:rPr>
              <w:tab/>
              <w:t>Of which: amount eligible as external loss-absorbing capacity after application of the caps</w:t>
            </w:r>
          </w:p>
        </w:tc>
        <w:tc>
          <w:tcPr>
            <w:tcW w:w="1280" w:type="dxa"/>
            <w:tcBorders>
              <w:top w:val="single" w:sz="4" w:space="0" w:color="auto"/>
              <w:left w:val="single" w:sz="6" w:space="0" w:color="auto"/>
              <w:bottom w:val="single" w:sz="4" w:space="0" w:color="auto"/>
              <w:right w:val="single" w:sz="6" w:space="0" w:color="auto"/>
            </w:tcBorders>
            <w:shd w:val="clear" w:color="auto" w:fill="FFFF00"/>
          </w:tcPr>
          <w:p w:rsidR="008F5159" w:rsidRPr="008F5159" w:rsidRDefault="008F5159" w:rsidP="008F5159">
            <w:pPr>
              <w:widowControl/>
              <w:snapToGrid w:val="0"/>
              <w:spacing w:before="40" w:after="40"/>
              <w:jc w:val="center"/>
              <w:rPr>
                <w:rFonts w:ascii="Segoe UI" w:eastAsia="Times New Roman" w:hAnsi="Segoe UI" w:cs="Times New Roman"/>
                <w:kern w:val="0"/>
                <w:sz w:val="17"/>
                <w:szCs w:val="20"/>
                <w:lang w:val="en-GB" w:eastAsia="it-IT"/>
              </w:rPr>
            </w:pPr>
            <w:r w:rsidRPr="008F5159">
              <w:rPr>
                <w:rFonts w:ascii="Segoe UI" w:eastAsia="Times New Roman" w:hAnsi="Segoe UI" w:cs="Times New Roman"/>
                <w:kern w:val="0"/>
                <w:sz w:val="17"/>
                <w:szCs w:val="20"/>
                <w:lang w:val="en-GB" w:eastAsia="it-IT"/>
              </w:rPr>
              <w:t>Not applicable</w:t>
            </w:r>
          </w:p>
        </w:tc>
      </w:tr>
      <w:tr w:rsidR="008F5159" w:rsidRPr="008F5159" w:rsidTr="00297CA5">
        <w:trPr>
          <w:cantSplit/>
          <w:trHeight w:val="286"/>
        </w:trPr>
        <w:tc>
          <w:tcPr>
            <w:tcW w:w="572" w:type="dxa"/>
            <w:tcBorders>
              <w:top w:val="single" w:sz="4" w:space="0" w:color="auto"/>
              <w:left w:val="nil"/>
              <w:bottom w:val="single" w:sz="4" w:space="0" w:color="auto"/>
              <w:right w:val="single" w:sz="4" w:space="0" w:color="auto"/>
            </w:tcBorders>
            <w:shd w:val="clear" w:color="auto" w:fill="auto"/>
          </w:tcPr>
          <w:p w:rsidR="008F5159" w:rsidRPr="008F5159" w:rsidRDefault="008F5159" w:rsidP="008F5159">
            <w:pPr>
              <w:widowControl/>
              <w:snapToGrid w:val="0"/>
              <w:spacing w:before="40" w:after="40"/>
              <w:ind w:left="57"/>
              <w:rPr>
                <w:rFonts w:ascii="Segoe UI" w:eastAsia="Times New Roman" w:hAnsi="Segoe UI" w:cs="Times New Roman"/>
                <w:kern w:val="0"/>
                <w:sz w:val="17"/>
                <w:szCs w:val="17"/>
                <w:lang w:val="en-GB" w:eastAsia="en-GB"/>
              </w:rPr>
            </w:pPr>
            <w:r w:rsidRPr="008F5159">
              <w:rPr>
                <w:rFonts w:ascii="Segoe UI" w:eastAsia="Times New Roman" w:hAnsi="Segoe UI" w:cs="Times New Roman"/>
                <w:kern w:val="0"/>
                <w:sz w:val="17"/>
                <w:szCs w:val="17"/>
                <w:lang w:val="en-GB" w:eastAsia="en-GB"/>
              </w:rPr>
              <w:lastRenderedPageBreak/>
              <w:t>15</w:t>
            </w:r>
          </w:p>
        </w:tc>
        <w:tc>
          <w:tcPr>
            <w:tcW w:w="7392" w:type="dxa"/>
            <w:tcBorders>
              <w:top w:val="single" w:sz="4" w:space="0" w:color="auto"/>
              <w:left w:val="single" w:sz="4" w:space="0" w:color="auto"/>
              <w:bottom w:val="single" w:sz="6" w:space="0" w:color="auto"/>
              <w:right w:val="single" w:sz="6" w:space="0" w:color="auto"/>
            </w:tcBorders>
            <w:shd w:val="clear" w:color="auto" w:fill="FFFF00"/>
          </w:tcPr>
          <w:p w:rsidR="008F5159" w:rsidRPr="008F5159" w:rsidRDefault="008F5159" w:rsidP="008F5159">
            <w:pPr>
              <w:widowControl/>
              <w:snapToGrid w:val="0"/>
              <w:spacing w:before="40" w:after="40"/>
              <w:ind w:left="57" w:rightChars="71" w:right="170"/>
              <w:rPr>
                <w:rFonts w:ascii="Segoe UI" w:eastAsia="Times New Roman" w:hAnsi="Segoe UI" w:cs="Times New Roman"/>
                <w:kern w:val="0"/>
                <w:sz w:val="17"/>
                <w:szCs w:val="20"/>
                <w:lang w:val="en-GB" w:eastAsia="it-IT"/>
              </w:rPr>
            </w:pPr>
            <w:r w:rsidRPr="008F5159">
              <w:rPr>
                <w:rFonts w:ascii="Segoe UI" w:eastAsia="Times New Roman" w:hAnsi="Segoe UI" w:cs="Times New Roman"/>
                <w:kern w:val="0"/>
                <w:sz w:val="17"/>
                <w:szCs w:val="20"/>
                <w:lang w:val="en-GB" w:eastAsia="it-IT"/>
              </w:rPr>
              <w:t>External non-capital LAC debt instruments issued by funding vehicles prior to 1 January 2022</w:t>
            </w:r>
          </w:p>
        </w:tc>
        <w:tc>
          <w:tcPr>
            <w:tcW w:w="1280" w:type="dxa"/>
            <w:tcBorders>
              <w:top w:val="single" w:sz="4" w:space="0" w:color="auto"/>
              <w:left w:val="single" w:sz="6" w:space="0" w:color="auto"/>
              <w:bottom w:val="single" w:sz="6" w:space="0" w:color="auto"/>
              <w:right w:val="single" w:sz="6" w:space="0" w:color="auto"/>
            </w:tcBorders>
            <w:shd w:val="clear" w:color="auto" w:fill="FFFF00"/>
          </w:tcPr>
          <w:p w:rsidR="008F5159" w:rsidRPr="008F5159" w:rsidRDefault="008F5159" w:rsidP="008F5159">
            <w:pPr>
              <w:widowControl/>
              <w:snapToGrid w:val="0"/>
              <w:spacing w:before="40" w:after="40"/>
              <w:jc w:val="center"/>
              <w:rPr>
                <w:rFonts w:ascii="Segoe UI" w:eastAsia="Times New Roman" w:hAnsi="Segoe UI" w:cs="Times New Roman"/>
                <w:kern w:val="0"/>
                <w:sz w:val="17"/>
                <w:szCs w:val="20"/>
                <w:lang w:val="en-GB" w:eastAsia="it-IT"/>
              </w:rPr>
            </w:pPr>
            <w:r w:rsidRPr="008F5159">
              <w:rPr>
                <w:rFonts w:ascii="Segoe UI" w:eastAsia="Times New Roman" w:hAnsi="Segoe UI" w:cs="Times New Roman"/>
                <w:kern w:val="0"/>
                <w:sz w:val="17"/>
                <w:szCs w:val="20"/>
                <w:lang w:val="en-GB" w:eastAsia="it-IT"/>
              </w:rPr>
              <w:t>Not applicable</w:t>
            </w:r>
          </w:p>
        </w:tc>
      </w:tr>
      <w:tr w:rsidR="008F5159" w:rsidRPr="008F5159" w:rsidTr="00297CA5">
        <w:trPr>
          <w:cantSplit/>
          <w:trHeight w:val="286"/>
        </w:trPr>
        <w:tc>
          <w:tcPr>
            <w:tcW w:w="572" w:type="dxa"/>
            <w:tcBorders>
              <w:top w:val="single" w:sz="4" w:space="0" w:color="auto"/>
              <w:left w:val="nil"/>
              <w:bottom w:val="single" w:sz="4" w:space="0" w:color="auto"/>
              <w:right w:val="single" w:sz="4" w:space="0" w:color="auto"/>
            </w:tcBorders>
            <w:shd w:val="clear" w:color="auto" w:fill="auto"/>
          </w:tcPr>
          <w:p w:rsidR="008F5159" w:rsidRPr="008F5159" w:rsidRDefault="008F5159" w:rsidP="008F5159">
            <w:pPr>
              <w:widowControl/>
              <w:snapToGrid w:val="0"/>
              <w:spacing w:before="40" w:after="40"/>
              <w:ind w:left="57"/>
              <w:rPr>
                <w:rFonts w:ascii="Segoe UI" w:eastAsia="Times New Roman" w:hAnsi="Segoe UI" w:cs="Times New Roman"/>
                <w:kern w:val="0"/>
                <w:sz w:val="17"/>
                <w:szCs w:val="17"/>
                <w:lang w:val="en-GB" w:eastAsia="en-GB"/>
              </w:rPr>
            </w:pPr>
            <w:r w:rsidRPr="008F5159">
              <w:rPr>
                <w:rFonts w:ascii="Segoe UI" w:eastAsia="Times New Roman" w:hAnsi="Segoe UI" w:cs="Times New Roman"/>
                <w:kern w:val="0"/>
                <w:sz w:val="17"/>
                <w:szCs w:val="17"/>
                <w:lang w:val="en-GB" w:eastAsia="en-GB"/>
              </w:rPr>
              <w:t>16</w:t>
            </w:r>
          </w:p>
        </w:tc>
        <w:tc>
          <w:tcPr>
            <w:tcW w:w="7392" w:type="dxa"/>
            <w:tcBorders>
              <w:top w:val="single" w:sz="6" w:space="0" w:color="auto"/>
              <w:left w:val="single" w:sz="4" w:space="0" w:color="auto"/>
              <w:bottom w:val="single" w:sz="18" w:space="0" w:color="auto"/>
              <w:right w:val="single" w:sz="6" w:space="0" w:color="auto"/>
            </w:tcBorders>
            <w:shd w:val="clear" w:color="auto" w:fill="FFFF00"/>
          </w:tcPr>
          <w:p w:rsidR="008F5159" w:rsidRPr="008F5159" w:rsidRDefault="008F5159" w:rsidP="008F5159">
            <w:pPr>
              <w:widowControl/>
              <w:snapToGrid w:val="0"/>
              <w:spacing w:before="40" w:after="40"/>
              <w:ind w:left="57" w:rightChars="71" w:right="170"/>
              <w:rPr>
                <w:rFonts w:ascii="Segoe UI" w:eastAsia="Times New Roman" w:hAnsi="Segoe UI" w:cs="Times New Roman"/>
                <w:kern w:val="0"/>
                <w:sz w:val="17"/>
                <w:szCs w:val="20"/>
                <w:lang w:val="en-GB" w:eastAsia="it-IT"/>
              </w:rPr>
            </w:pPr>
            <w:r w:rsidRPr="008F5159">
              <w:rPr>
                <w:rFonts w:ascii="Segoe UI" w:eastAsia="Times New Roman" w:hAnsi="Segoe UI" w:cs="Times New Roman"/>
                <w:kern w:val="0"/>
                <w:sz w:val="17"/>
                <w:szCs w:val="20"/>
                <w:lang w:val="en-GB" w:eastAsia="it-IT"/>
              </w:rPr>
              <w:t>Eligible ex ante commitments to recapitalise a resolution entity in resolution</w:t>
            </w:r>
          </w:p>
        </w:tc>
        <w:tc>
          <w:tcPr>
            <w:tcW w:w="1280" w:type="dxa"/>
            <w:tcBorders>
              <w:top w:val="single" w:sz="6" w:space="0" w:color="auto"/>
              <w:left w:val="single" w:sz="6" w:space="0" w:color="auto"/>
              <w:bottom w:val="single" w:sz="18" w:space="0" w:color="auto"/>
              <w:right w:val="single" w:sz="6" w:space="0" w:color="auto"/>
            </w:tcBorders>
            <w:shd w:val="clear" w:color="auto" w:fill="FFFF00"/>
          </w:tcPr>
          <w:p w:rsidR="008F5159" w:rsidRPr="008F5159" w:rsidRDefault="008F5159" w:rsidP="008F5159">
            <w:pPr>
              <w:widowControl/>
              <w:snapToGrid w:val="0"/>
              <w:spacing w:before="40" w:after="40"/>
              <w:jc w:val="center"/>
              <w:rPr>
                <w:rFonts w:ascii="Segoe UI" w:eastAsia="Times New Roman" w:hAnsi="Segoe UI" w:cs="Times New Roman"/>
                <w:kern w:val="0"/>
                <w:sz w:val="17"/>
                <w:szCs w:val="20"/>
                <w:lang w:val="en-GB" w:eastAsia="it-IT"/>
              </w:rPr>
            </w:pPr>
            <w:r w:rsidRPr="008F5159">
              <w:rPr>
                <w:rFonts w:ascii="Segoe UI" w:eastAsia="Times New Roman" w:hAnsi="Segoe UI" w:cs="Times New Roman"/>
                <w:kern w:val="0"/>
                <w:sz w:val="17"/>
                <w:szCs w:val="20"/>
                <w:lang w:val="en-GB" w:eastAsia="it-IT"/>
              </w:rPr>
              <w:t>Not applicable</w:t>
            </w:r>
          </w:p>
        </w:tc>
      </w:tr>
      <w:tr w:rsidR="008F5159" w:rsidRPr="008F5159" w:rsidTr="00297CA5">
        <w:trPr>
          <w:cantSplit/>
          <w:trHeight w:val="131"/>
        </w:trPr>
        <w:tc>
          <w:tcPr>
            <w:tcW w:w="572" w:type="dxa"/>
            <w:tcBorders>
              <w:top w:val="single" w:sz="4" w:space="0" w:color="auto"/>
              <w:left w:val="nil"/>
              <w:bottom w:val="single" w:sz="4" w:space="0" w:color="auto"/>
              <w:right w:val="single" w:sz="18" w:space="0" w:color="auto"/>
            </w:tcBorders>
          </w:tcPr>
          <w:p w:rsidR="008F5159" w:rsidRPr="008F5159" w:rsidRDefault="008F5159" w:rsidP="008F5159">
            <w:pPr>
              <w:widowControl/>
              <w:snapToGrid w:val="0"/>
              <w:spacing w:before="40" w:after="40"/>
              <w:ind w:left="57"/>
              <w:rPr>
                <w:rFonts w:ascii="Segoe UI" w:eastAsia="Times New Roman" w:hAnsi="Segoe UI" w:cs="Times New Roman"/>
                <w:kern w:val="0"/>
                <w:sz w:val="17"/>
                <w:szCs w:val="17"/>
                <w:lang w:val="en-GB" w:eastAsia="en-GB"/>
              </w:rPr>
            </w:pPr>
            <w:r w:rsidRPr="008F5159">
              <w:rPr>
                <w:rFonts w:ascii="Segoe UI" w:eastAsia="Times New Roman" w:hAnsi="Segoe UI" w:cs="Times New Roman"/>
                <w:kern w:val="0"/>
                <w:sz w:val="17"/>
                <w:szCs w:val="17"/>
                <w:lang w:val="en-GB" w:eastAsia="en-GB"/>
              </w:rPr>
              <w:t>17</w:t>
            </w:r>
          </w:p>
        </w:tc>
        <w:tc>
          <w:tcPr>
            <w:tcW w:w="7392" w:type="dxa"/>
            <w:tcBorders>
              <w:top w:val="single" w:sz="18" w:space="0" w:color="auto"/>
              <w:left w:val="single" w:sz="18" w:space="0" w:color="auto"/>
              <w:bottom w:val="single" w:sz="18" w:space="0" w:color="auto"/>
              <w:right w:val="single" w:sz="18" w:space="0" w:color="auto"/>
            </w:tcBorders>
            <w:shd w:val="clear" w:color="auto" w:fill="D9D9D9" w:themeFill="background1" w:themeFillShade="D9"/>
          </w:tcPr>
          <w:p w:rsidR="008F5159" w:rsidRPr="008F5159" w:rsidRDefault="008F5159" w:rsidP="008F5159">
            <w:pPr>
              <w:widowControl/>
              <w:snapToGrid w:val="0"/>
              <w:spacing w:before="40" w:after="40"/>
              <w:ind w:left="57" w:rightChars="71" w:right="170"/>
              <w:rPr>
                <w:rFonts w:ascii="Segoe UI" w:eastAsia="Times New Roman" w:hAnsi="Segoe UI" w:cs="Times New Roman"/>
                <w:b/>
                <w:kern w:val="0"/>
                <w:sz w:val="17"/>
                <w:szCs w:val="20"/>
                <w:lang w:val="en-GB" w:eastAsia="it-IT"/>
              </w:rPr>
            </w:pPr>
            <w:r w:rsidRPr="008F5159">
              <w:rPr>
                <w:rFonts w:ascii="Segoe UI" w:eastAsia="Times New Roman" w:hAnsi="Segoe UI" w:cs="Times New Roman"/>
                <w:b/>
                <w:kern w:val="0"/>
                <w:sz w:val="17"/>
                <w:szCs w:val="20"/>
                <w:lang w:val="en-GB" w:eastAsia="it-IT"/>
              </w:rPr>
              <w:t>External loss-absorbing capacity arising from non-capital LAC debt instruments before adjustments</w:t>
            </w:r>
          </w:p>
        </w:tc>
        <w:tc>
          <w:tcPr>
            <w:tcW w:w="1280" w:type="dxa"/>
            <w:tcBorders>
              <w:top w:val="single" w:sz="18" w:space="0" w:color="auto"/>
              <w:left w:val="single" w:sz="18" w:space="0" w:color="auto"/>
              <w:bottom w:val="single" w:sz="18" w:space="0" w:color="auto"/>
              <w:right w:val="single" w:sz="18" w:space="0" w:color="auto"/>
            </w:tcBorders>
            <w:shd w:val="clear" w:color="auto" w:fill="D9D9D9" w:themeFill="background1" w:themeFillShade="D9"/>
          </w:tcPr>
          <w:p w:rsidR="008F5159" w:rsidRPr="008F5159" w:rsidRDefault="008F5159" w:rsidP="008F5159">
            <w:pPr>
              <w:widowControl/>
              <w:snapToGrid w:val="0"/>
              <w:spacing w:before="40" w:after="40"/>
              <w:jc w:val="center"/>
              <w:rPr>
                <w:rFonts w:ascii="Segoe UI" w:eastAsia="Times New Roman" w:hAnsi="Segoe UI" w:cs="Times New Roman"/>
                <w:kern w:val="0"/>
                <w:sz w:val="17"/>
                <w:szCs w:val="20"/>
                <w:lang w:val="en-GB" w:eastAsia="it-IT"/>
              </w:rPr>
            </w:pPr>
          </w:p>
        </w:tc>
      </w:tr>
      <w:tr w:rsidR="008F5159" w:rsidRPr="008F5159" w:rsidTr="00297CA5">
        <w:trPr>
          <w:cantSplit/>
          <w:trHeight w:val="286"/>
        </w:trPr>
        <w:tc>
          <w:tcPr>
            <w:tcW w:w="572" w:type="dxa"/>
            <w:tcBorders>
              <w:top w:val="single" w:sz="4" w:space="0" w:color="auto"/>
              <w:left w:val="nil"/>
              <w:bottom w:val="single" w:sz="4" w:space="0" w:color="auto"/>
              <w:right w:val="single" w:sz="4" w:space="0" w:color="auto"/>
            </w:tcBorders>
            <w:shd w:val="clear" w:color="auto" w:fill="A6A6A6" w:themeFill="background1" w:themeFillShade="A6"/>
          </w:tcPr>
          <w:p w:rsidR="008F5159" w:rsidRPr="008F5159" w:rsidRDefault="008F5159" w:rsidP="008F5159">
            <w:pPr>
              <w:widowControl/>
              <w:snapToGrid w:val="0"/>
              <w:spacing w:before="40" w:after="40"/>
              <w:ind w:left="57"/>
              <w:rPr>
                <w:rFonts w:ascii="Segoe UI" w:eastAsia="Times New Roman" w:hAnsi="Segoe UI" w:cs="Times New Roman"/>
                <w:kern w:val="0"/>
                <w:sz w:val="17"/>
                <w:szCs w:val="17"/>
                <w:lang w:val="en-GB" w:eastAsia="en-GB"/>
              </w:rPr>
            </w:pPr>
          </w:p>
        </w:tc>
        <w:tc>
          <w:tcPr>
            <w:tcW w:w="7392" w:type="dxa"/>
            <w:tcBorders>
              <w:top w:val="single" w:sz="18" w:space="0" w:color="auto"/>
              <w:left w:val="single" w:sz="4" w:space="0" w:color="auto"/>
              <w:bottom w:val="single" w:sz="18" w:space="0" w:color="auto"/>
              <w:right w:val="nil"/>
            </w:tcBorders>
            <w:shd w:val="clear" w:color="auto" w:fill="A6A6A6" w:themeFill="background1" w:themeFillShade="A6"/>
          </w:tcPr>
          <w:p w:rsidR="008F5159" w:rsidRPr="008F5159" w:rsidRDefault="008F5159" w:rsidP="008F5159">
            <w:pPr>
              <w:widowControl/>
              <w:snapToGrid w:val="0"/>
              <w:spacing w:before="40" w:after="40"/>
              <w:ind w:left="57" w:rightChars="71" w:right="170"/>
              <w:rPr>
                <w:rFonts w:ascii="Segoe UI" w:eastAsia="Times New Roman" w:hAnsi="Segoe UI" w:cs="Times New Roman"/>
                <w:b/>
                <w:kern w:val="0"/>
                <w:sz w:val="17"/>
                <w:szCs w:val="20"/>
                <w:lang w:val="en-GB" w:eastAsia="it-IT"/>
              </w:rPr>
            </w:pPr>
            <w:r w:rsidRPr="008F5159">
              <w:rPr>
                <w:rFonts w:ascii="Segoe UI" w:eastAsia="Times New Roman" w:hAnsi="Segoe UI" w:cs="Times New Roman"/>
                <w:b/>
                <w:kern w:val="0"/>
                <w:sz w:val="17"/>
                <w:szCs w:val="20"/>
                <w:lang w:val="en-GB" w:eastAsia="it-IT"/>
              </w:rPr>
              <w:t>Non-regulatory capital elements of external loss-absorbing capacity: adjustments</w:t>
            </w:r>
          </w:p>
        </w:tc>
        <w:tc>
          <w:tcPr>
            <w:tcW w:w="1280" w:type="dxa"/>
            <w:tcBorders>
              <w:top w:val="single" w:sz="18" w:space="0" w:color="auto"/>
              <w:left w:val="nil"/>
              <w:bottom w:val="single" w:sz="18" w:space="0" w:color="auto"/>
              <w:right w:val="single" w:sz="4" w:space="0" w:color="auto"/>
            </w:tcBorders>
            <w:shd w:val="clear" w:color="auto" w:fill="A6A6A6" w:themeFill="background1" w:themeFillShade="A6"/>
          </w:tcPr>
          <w:p w:rsidR="008F5159" w:rsidRPr="008F5159" w:rsidRDefault="008F5159" w:rsidP="008F5159">
            <w:pPr>
              <w:widowControl/>
              <w:snapToGrid w:val="0"/>
              <w:spacing w:before="40" w:after="40"/>
              <w:jc w:val="center"/>
              <w:rPr>
                <w:rFonts w:ascii="Segoe UI" w:eastAsia="Times New Roman" w:hAnsi="Segoe UI" w:cs="Times New Roman"/>
                <w:kern w:val="0"/>
                <w:sz w:val="17"/>
                <w:szCs w:val="20"/>
                <w:lang w:val="en-GB" w:eastAsia="it-IT"/>
              </w:rPr>
            </w:pPr>
          </w:p>
        </w:tc>
      </w:tr>
      <w:tr w:rsidR="008F5159" w:rsidRPr="008F5159" w:rsidTr="00297CA5">
        <w:trPr>
          <w:cantSplit/>
          <w:trHeight w:val="286"/>
        </w:trPr>
        <w:tc>
          <w:tcPr>
            <w:tcW w:w="572" w:type="dxa"/>
            <w:tcBorders>
              <w:top w:val="single" w:sz="4" w:space="0" w:color="auto"/>
              <w:left w:val="nil"/>
              <w:bottom w:val="single" w:sz="4" w:space="0" w:color="auto"/>
              <w:right w:val="single" w:sz="18" w:space="0" w:color="auto"/>
            </w:tcBorders>
            <w:shd w:val="clear" w:color="auto" w:fill="auto"/>
          </w:tcPr>
          <w:p w:rsidR="008F5159" w:rsidRPr="008F5159" w:rsidRDefault="008F5159" w:rsidP="008F5159">
            <w:pPr>
              <w:widowControl/>
              <w:snapToGrid w:val="0"/>
              <w:spacing w:before="40" w:after="40"/>
              <w:ind w:left="57"/>
              <w:rPr>
                <w:rFonts w:ascii="Segoe UI" w:eastAsia="Times New Roman" w:hAnsi="Segoe UI" w:cs="Times New Roman"/>
                <w:kern w:val="0"/>
                <w:sz w:val="17"/>
                <w:szCs w:val="17"/>
                <w:lang w:val="en-GB" w:eastAsia="en-GB"/>
              </w:rPr>
            </w:pPr>
            <w:r w:rsidRPr="008F5159">
              <w:rPr>
                <w:rFonts w:ascii="Segoe UI" w:eastAsia="Times New Roman" w:hAnsi="Segoe UI" w:cs="Times New Roman"/>
                <w:kern w:val="0"/>
                <w:sz w:val="17"/>
                <w:szCs w:val="17"/>
                <w:lang w:val="en-GB" w:eastAsia="en-GB"/>
              </w:rPr>
              <w:t>18</w:t>
            </w:r>
          </w:p>
        </w:tc>
        <w:tc>
          <w:tcPr>
            <w:tcW w:w="7392" w:type="dxa"/>
            <w:tcBorders>
              <w:top w:val="single" w:sz="18" w:space="0" w:color="auto"/>
              <w:left w:val="single" w:sz="18" w:space="0" w:color="auto"/>
              <w:bottom w:val="single" w:sz="4" w:space="0" w:color="auto"/>
              <w:right w:val="single" w:sz="18" w:space="0" w:color="auto"/>
            </w:tcBorders>
            <w:shd w:val="clear" w:color="auto" w:fill="D9D9D9" w:themeFill="background1" w:themeFillShade="D9"/>
          </w:tcPr>
          <w:p w:rsidR="008F5159" w:rsidRPr="008F5159" w:rsidRDefault="008F5159" w:rsidP="008F5159">
            <w:pPr>
              <w:widowControl/>
              <w:snapToGrid w:val="0"/>
              <w:spacing w:before="40" w:after="40"/>
              <w:ind w:left="57" w:rightChars="71" w:right="170"/>
              <w:rPr>
                <w:rFonts w:ascii="Segoe UI" w:eastAsia="Times New Roman" w:hAnsi="Segoe UI" w:cs="Times New Roman"/>
                <w:b/>
                <w:kern w:val="0"/>
                <w:sz w:val="17"/>
                <w:szCs w:val="20"/>
                <w:lang w:val="en-GB" w:eastAsia="it-IT"/>
              </w:rPr>
            </w:pPr>
            <w:r w:rsidRPr="008F5159">
              <w:rPr>
                <w:rFonts w:ascii="Segoe UI" w:eastAsia="Times New Roman" w:hAnsi="Segoe UI" w:cs="Times New Roman"/>
                <w:b/>
                <w:kern w:val="0"/>
                <w:sz w:val="17"/>
                <w:szCs w:val="20"/>
                <w:lang w:val="en-GB" w:eastAsia="it-IT"/>
              </w:rPr>
              <w:t>External loss-absorbing capacity before deductions</w:t>
            </w:r>
          </w:p>
        </w:tc>
        <w:tc>
          <w:tcPr>
            <w:tcW w:w="1280" w:type="dxa"/>
            <w:tcBorders>
              <w:top w:val="single" w:sz="18" w:space="0" w:color="auto"/>
              <w:left w:val="single" w:sz="18" w:space="0" w:color="auto"/>
              <w:bottom w:val="single" w:sz="4" w:space="0" w:color="auto"/>
              <w:right w:val="single" w:sz="18" w:space="0" w:color="auto"/>
            </w:tcBorders>
            <w:shd w:val="clear" w:color="auto" w:fill="D9D9D9" w:themeFill="background1" w:themeFillShade="D9"/>
          </w:tcPr>
          <w:p w:rsidR="008F5159" w:rsidRPr="008F5159" w:rsidRDefault="008F5159" w:rsidP="008F5159">
            <w:pPr>
              <w:widowControl/>
              <w:snapToGrid w:val="0"/>
              <w:spacing w:before="40" w:after="40"/>
              <w:jc w:val="center"/>
              <w:rPr>
                <w:rFonts w:ascii="Segoe UI" w:eastAsia="Times New Roman" w:hAnsi="Segoe UI" w:cs="Times New Roman"/>
                <w:kern w:val="0"/>
                <w:sz w:val="17"/>
                <w:szCs w:val="20"/>
                <w:lang w:val="en-GB" w:eastAsia="it-IT"/>
              </w:rPr>
            </w:pPr>
          </w:p>
        </w:tc>
      </w:tr>
      <w:tr w:rsidR="008F5159" w:rsidRPr="008F5159" w:rsidTr="00297CA5">
        <w:trPr>
          <w:cantSplit/>
          <w:trHeight w:val="286"/>
        </w:trPr>
        <w:tc>
          <w:tcPr>
            <w:tcW w:w="572" w:type="dxa"/>
            <w:tcBorders>
              <w:top w:val="single" w:sz="4" w:space="0" w:color="auto"/>
              <w:left w:val="nil"/>
              <w:bottom w:val="single" w:sz="4" w:space="0" w:color="auto"/>
              <w:right w:val="single" w:sz="4" w:space="0" w:color="auto"/>
            </w:tcBorders>
            <w:shd w:val="clear" w:color="auto" w:fill="auto"/>
          </w:tcPr>
          <w:p w:rsidR="008F5159" w:rsidRPr="008F5159" w:rsidRDefault="008F5159" w:rsidP="008F5159">
            <w:pPr>
              <w:widowControl/>
              <w:snapToGrid w:val="0"/>
              <w:spacing w:before="40" w:after="40"/>
              <w:ind w:left="57"/>
              <w:rPr>
                <w:rFonts w:ascii="Segoe UI" w:eastAsia="Times New Roman" w:hAnsi="Segoe UI" w:cs="Times New Roman"/>
                <w:kern w:val="0"/>
                <w:sz w:val="17"/>
                <w:szCs w:val="17"/>
                <w:lang w:val="en-GB" w:eastAsia="en-GB"/>
              </w:rPr>
            </w:pPr>
            <w:r w:rsidRPr="008F5159">
              <w:rPr>
                <w:rFonts w:ascii="Segoe UI" w:eastAsia="Times New Roman" w:hAnsi="Segoe UI" w:cs="Times New Roman"/>
                <w:kern w:val="0"/>
                <w:sz w:val="17"/>
                <w:szCs w:val="17"/>
                <w:lang w:val="en-GB" w:eastAsia="en-GB"/>
              </w:rPr>
              <w:t>19</w:t>
            </w:r>
          </w:p>
        </w:tc>
        <w:tc>
          <w:tcPr>
            <w:tcW w:w="7392" w:type="dxa"/>
            <w:tcBorders>
              <w:top w:val="single" w:sz="18" w:space="0" w:color="auto"/>
              <w:left w:val="single" w:sz="4" w:space="0" w:color="auto"/>
              <w:bottom w:val="single" w:sz="4" w:space="0" w:color="auto"/>
              <w:right w:val="single" w:sz="4" w:space="0" w:color="auto"/>
            </w:tcBorders>
            <w:shd w:val="clear" w:color="auto" w:fill="auto"/>
          </w:tcPr>
          <w:p w:rsidR="008F5159" w:rsidRPr="008F5159" w:rsidRDefault="008F5159" w:rsidP="008F5159">
            <w:pPr>
              <w:widowControl/>
              <w:snapToGrid w:val="0"/>
              <w:spacing w:before="40" w:after="40"/>
              <w:ind w:left="57" w:rightChars="71" w:right="170"/>
              <w:rPr>
                <w:rFonts w:ascii="Segoe UI" w:eastAsia="Times New Roman" w:hAnsi="Segoe UI" w:cs="Times New Roman"/>
                <w:kern w:val="0"/>
                <w:sz w:val="17"/>
                <w:szCs w:val="20"/>
                <w:lang w:val="en-GB" w:eastAsia="it-IT"/>
              </w:rPr>
            </w:pPr>
            <w:r w:rsidRPr="008F5159">
              <w:rPr>
                <w:rFonts w:ascii="Segoe UI" w:eastAsia="Times New Roman" w:hAnsi="Segoe UI" w:cs="Times New Roman"/>
                <w:kern w:val="0"/>
                <w:sz w:val="17"/>
                <w:szCs w:val="20"/>
                <w:lang w:val="en-GB" w:eastAsia="it-IT"/>
              </w:rPr>
              <w:t xml:space="preserve">Deductions of exposures between the resolution entity’s LAC consolidation group and group companies outside that group that correspond to non-capital items eligible for external loss-absorbing capacity </w:t>
            </w:r>
          </w:p>
        </w:tc>
        <w:tc>
          <w:tcPr>
            <w:tcW w:w="1280" w:type="dxa"/>
            <w:tcBorders>
              <w:top w:val="single" w:sz="18" w:space="0" w:color="auto"/>
              <w:left w:val="single" w:sz="4" w:space="0" w:color="auto"/>
              <w:bottom w:val="single" w:sz="4" w:space="0" w:color="auto"/>
              <w:right w:val="single" w:sz="4" w:space="0" w:color="auto"/>
            </w:tcBorders>
            <w:shd w:val="clear" w:color="auto" w:fill="FFFFFF" w:themeFill="background1"/>
          </w:tcPr>
          <w:p w:rsidR="008F5159" w:rsidRPr="008F5159" w:rsidRDefault="008F5159" w:rsidP="008F5159">
            <w:pPr>
              <w:widowControl/>
              <w:snapToGrid w:val="0"/>
              <w:spacing w:before="40" w:after="40"/>
              <w:jc w:val="center"/>
              <w:rPr>
                <w:rFonts w:ascii="Segoe UI" w:eastAsia="Times New Roman" w:hAnsi="Segoe UI" w:cs="Times New Roman"/>
                <w:kern w:val="0"/>
                <w:sz w:val="17"/>
                <w:szCs w:val="20"/>
                <w:lang w:val="en-GB" w:eastAsia="it-IT"/>
              </w:rPr>
            </w:pPr>
          </w:p>
        </w:tc>
      </w:tr>
      <w:tr w:rsidR="008F5159" w:rsidRPr="008F5159" w:rsidTr="00297CA5">
        <w:trPr>
          <w:cantSplit/>
          <w:trHeight w:val="286"/>
        </w:trPr>
        <w:tc>
          <w:tcPr>
            <w:tcW w:w="572" w:type="dxa"/>
            <w:tcBorders>
              <w:top w:val="single" w:sz="4" w:space="0" w:color="auto"/>
              <w:left w:val="nil"/>
              <w:bottom w:val="single" w:sz="4" w:space="0" w:color="auto"/>
              <w:right w:val="single" w:sz="4" w:space="0" w:color="auto"/>
            </w:tcBorders>
            <w:shd w:val="clear" w:color="auto" w:fill="auto"/>
          </w:tcPr>
          <w:p w:rsidR="008F5159" w:rsidRPr="008F5159" w:rsidRDefault="008F5159" w:rsidP="008F5159">
            <w:pPr>
              <w:widowControl/>
              <w:snapToGrid w:val="0"/>
              <w:spacing w:before="40" w:after="40"/>
              <w:ind w:left="57"/>
              <w:rPr>
                <w:rFonts w:ascii="Segoe UI" w:eastAsia="Times New Roman" w:hAnsi="Segoe UI" w:cs="Times New Roman"/>
                <w:kern w:val="0"/>
                <w:sz w:val="17"/>
                <w:szCs w:val="17"/>
                <w:lang w:val="en-GB" w:eastAsia="en-GB"/>
              </w:rPr>
            </w:pPr>
            <w:r w:rsidRPr="008F5159">
              <w:rPr>
                <w:rFonts w:ascii="Segoe UI" w:eastAsia="Times New Roman" w:hAnsi="Segoe UI" w:cs="Times New Roman"/>
                <w:kern w:val="0"/>
                <w:sz w:val="17"/>
                <w:szCs w:val="17"/>
                <w:lang w:val="en-GB" w:eastAsia="en-GB"/>
              </w:rPr>
              <w:t>20</w:t>
            </w:r>
          </w:p>
        </w:tc>
        <w:tc>
          <w:tcPr>
            <w:tcW w:w="7392" w:type="dxa"/>
            <w:tcBorders>
              <w:top w:val="single" w:sz="4" w:space="0" w:color="auto"/>
              <w:left w:val="single" w:sz="4" w:space="0" w:color="auto"/>
              <w:bottom w:val="single" w:sz="4" w:space="0" w:color="auto"/>
              <w:right w:val="single" w:sz="4" w:space="0" w:color="auto"/>
            </w:tcBorders>
            <w:shd w:val="clear" w:color="auto" w:fill="auto"/>
          </w:tcPr>
          <w:p w:rsidR="008F5159" w:rsidRPr="008F5159" w:rsidRDefault="008F5159" w:rsidP="008F5159">
            <w:pPr>
              <w:widowControl/>
              <w:snapToGrid w:val="0"/>
              <w:spacing w:before="40" w:after="40"/>
              <w:ind w:left="57" w:rightChars="71" w:right="170"/>
              <w:rPr>
                <w:rFonts w:ascii="Segoe UI" w:eastAsia="Times New Roman" w:hAnsi="Segoe UI" w:cs="Times New Roman"/>
                <w:kern w:val="0"/>
                <w:sz w:val="17"/>
                <w:szCs w:val="20"/>
                <w:lang w:val="en-GB" w:eastAsia="it-IT"/>
              </w:rPr>
            </w:pPr>
            <w:r w:rsidRPr="008F5159">
              <w:rPr>
                <w:rFonts w:ascii="Segoe UI" w:eastAsia="Times New Roman" w:hAnsi="Segoe UI" w:cs="Times New Roman"/>
                <w:kern w:val="0"/>
                <w:sz w:val="17"/>
                <w:szCs w:val="20"/>
                <w:lang w:val="en-GB" w:eastAsia="it-IT"/>
              </w:rPr>
              <w:t>Deduction of holdings of its own non-capital LAC liabilities</w:t>
            </w:r>
          </w:p>
        </w:tc>
        <w:tc>
          <w:tcPr>
            <w:tcW w:w="1280" w:type="dxa"/>
            <w:tcBorders>
              <w:top w:val="single" w:sz="4" w:space="0" w:color="auto"/>
              <w:left w:val="single" w:sz="4" w:space="0" w:color="auto"/>
              <w:bottom w:val="single" w:sz="4" w:space="0" w:color="auto"/>
              <w:right w:val="single" w:sz="4" w:space="0" w:color="auto"/>
            </w:tcBorders>
            <w:shd w:val="clear" w:color="auto" w:fill="FFFFFF" w:themeFill="background1"/>
          </w:tcPr>
          <w:p w:rsidR="008F5159" w:rsidRPr="008F5159" w:rsidRDefault="008F5159" w:rsidP="008F5159">
            <w:pPr>
              <w:widowControl/>
              <w:snapToGrid w:val="0"/>
              <w:spacing w:before="40" w:after="40"/>
              <w:jc w:val="center"/>
              <w:rPr>
                <w:rFonts w:ascii="Segoe UI" w:eastAsia="Times New Roman" w:hAnsi="Segoe UI" w:cs="Times New Roman"/>
                <w:kern w:val="0"/>
                <w:sz w:val="17"/>
                <w:szCs w:val="20"/>
                <w:lang w:val="en-GB" w:eastAsia="it-IT"/>
              </w:rPr>
            </w:pPr>
          </w:p>
        </w:tc>
      </w:tr>
      <w:tr w:rsidR="008F5159" w:rsidRPr="008F5159" w:rsidTr="00297CA5">
        <w:trPr>
          <w:cantSplit/>
          <w:trHeight w:val="286"/>
        </w:trPr>
        <w:tc>
          <w:tcPr>
            <w:tcW w:w="572" w:type="dxa"/>
            <w:tcBorders>
              <w:top w:val="single" w:sz="4" w:space="0" w:color="auto"/>
              <w:left w:val="nil"/>
              <w:bottom w:val="single" w:sz="4" w:space="0" w:color="auto"/>
              <w:right w:val="single" w:sz="4" w:space="0" w:color="auto"/>
            </w:tcBorders>
            <w:shd w:val="clear" w:color="auto" w:fill="auto"/>
          </w:tcPr>
          <w:p w:rsidR="008F5159" w:rsidRPr="008F5159" w:rsidRDefault="008F5159" w:rsidP="008F5159">
            <w:pPr>
              <w:widowControl/>
              <w:snapToGrid w:val="0"/>
              <w:spacing w:before="40" w:after="40"/>
              <w:ind w:left="57"/>
              <w:rPr>
                <w:rFonts w:ascii="Segoe UI" w:eastAsia="Times New Roman" w:hAnsi="Segoe UI" w:cs="Times New Roman"/>
                <w:kern w:val="0"/>
                <w:sz w:val="17"/>
                <w:szCs w:val="17"/>
                <w:lang w:val="en-GB" w:eastAsia="en-GB"/>
              </w:rPr>
            </w:pPr>
            <w:r w:rsidRPr="008F5159">
              <w:rPr>
                <w:rFonts w:ascii="Segoe UI" w:eastAsia="Times New Roman" w:hAnsi="Segoe UI" w:cs="Times New Roman"/>
                <w:kern w:val="0"/>
                <w:sz w:val="17"/>
                <w:szCs w:val="17"/>
                <w:lang w:val="en-GB" w:eastAsia="en-GB"/>
              </w:rPr>
              <w:t>21</w:t>
            </w:r>
          </w:p>
        </w:tc>
        <w:tc>
          <w:tcPr>
            <w:tcW w:w="7392" w:type="dxa"/>
            <w:tcBorders>
              <w:top w:val="single" w:sz="4" w:space="0" w:color="auto"/>
              <w:left w:val="single" w:sz="4" w:space="0" w:color="auto"/>
              <w:bottom w:val="single" w:sz="18" w:space="0" w:color="auto"/>
              <w:right w:val="single" w:sz="4" w:space="0" w:color="auto"/>
            </w:tcBorders>
            <w:shd w:val="clear" w:color="auto" w:fill="auto"/>
          </w:tcPr>
          <w:p w:rsidR="008F5159" w:rsidRPr="008F5159" w:rsidRDefault="008F5159" w:rsidP="008F5159">
            <w:pPr>
              <w:widowControl/>
              <w:snapToGrid w:val="0"/>
              <w:spacing w:before="40" w:after="40"/>
              <w:ind w:left="57" w:rightChars="71" w:right="170"/>
              <w:rPr>
                <w:rFonts w:ascii="Segoe UI" w:eastAsia="Times New Roman" w:hAnsi="Segoe UI" w:cs="Times New Roman"/>
                <w:kern w:val="0"/>
                <w:sz w:val="17"/>
                <w:szCs w:val="20"/>
                <w:lang w:val="en-GB" w:eastAsia="it-IT"/>
              </w:rPr>
            </w:pPr>
            <w:r w:rsidRPr="008F5159">
              <w:rPr>
                <w:rFonts w:ascii="Segoe UI" w:eastAsia="Times New Roman" w:hAnsi="Segoe UI" w:cs="Times New Roman"/>
                <w:kern w:val="0"/>
                <w:sz w:val="17"/>
                <w:szCs w:val="20"/>
                <w:lang w:val="en-GB" w:eastAsia="it-IT"/>
              </w:rPr>
              <w:t>Other adjustments to external loss-absorbing capacity</w:t>
            </w:r>
          </w:p>
        </w:tc>
        <w:tc>
          <w:tcPr>
            <w:tcW w:w="1280" w:type="dxa"/>
            <w:tcBorders>
              <w:top w:val="single" w:sz="4" w:space="0" w:color="auto"/>
              <w:left w:val="single" w:sz="4" w:space="0" w:color="auto"/>
              <w:bottom w:val="single" w:sz="18" w:space="0" w:color="auto"/>
              <w:right w:val="single" w:sz="4" w:space="0" w:color="auto"/>
            </w:tcBorders>
            <w:shd w:val="clear" w:color="auto" w:fill="FFFFFF" w:themeFill="background1"/>
          </w:tcPr>
          <w:p w:rsidR="008F5159" w:rsidRPr="008F5159" w:rsidRDefault="008F5159" w:rsidP="008F5159">
            <w:pPr>
              <w:widowControl/>
              <w:snapToGrid w:val="0"/>
              <w:spacing w:before="40" w:after="40"/>
              <w:jc w:val="center"/>
              <w:rPr>
                <w:rFonts w:ascii="Segoe UI" w:eastAsia="Times New Roman" w:hAnsi="Segoe UI" w:cs="Times New Roman"/>
                <w:kern w:val="0"/>
                <w:sz w:val="17"/>
                <w:szCs w:val="20"/>
                <w:lang w:val="en-GB" w:eastAsia="it-IT"/>
              </w:rPr>
            </w:pPr>
          </w:p>
        </w:tc>
      </w:tr>
      <w:tr w:rsidR="008F5159" w:rsidRPr="008F5159" w:rsidTr="00297CA5">
        <w:trPr>
          <w:cantSplit/>
          <w:trHeight w:val="286"/>
        </w:trPr>
        <w:tc>
          <w:tcPr>
            <w:tcW w:w="572" w:type="dxa"/>
            <w:tcBorders>
              <w:top w:val="single" w:sz="4" w:space="0" w:color="auto"/>
              <w:left w:val="nil"/>
              <w:bottom w:val="single" w:sz="4" w:space="0" w:color="auto"/>
              <w:right w:val="single" w:sz="18" w:space="0" w:color="auto"/>
            </w:tcBorders>
            <w:shd w:val="clear" w:color="auto" w:fill="auto"/>
          </w:tcPr>
          <w:p w:rsidR="008F5159" w:rsidRPr="008F5159" w:rsidRDefault="008F5159" w:rsidP="008F5159">
            <w:pPr>
              <w:widowControl/>
              <w:snapToGrid w:val="0"/>
              <w:spacing w:before="40" w:after="40"/>
              <w:ind w:left="57"/>
              <w:rPr>
                <w:rFonts w:ascii="Segoe UI" w:eastAsia="Times New Roman" w:hAnsi="Segoe UI" w:cs="Times New Roman"/>
                <w:kern w:val="0"/>
                <w:sz w:val="17"/>
                <w:szCs w:val="17"/>
                <w:lang w:val="en-GB" w:eastAsia="en-GB"/>
              </w:rPr>
            </w:pPr>
            <w:r w:rsidRPr="008F5159">
              <w:rPr>
                <w:rFonts w:ascii="Segoe UI" w:eastAsia="Times New Roman" w:hAnsi="Segoe UI" w:cs="Times New Roman"/>
                <w:kern w:val="0"/>
                <w:sz w:val="17"/>
                <w:szCs w:val="17"/>
                <w:lang w:val="en-GB" w:eastAsia="en-GB"/>
              </w:rPr>
              <w:t>22</w:t>
            </w:r>
          </w:p>
        </w:tc>
        <w:tc>
          <w:tcPr>
            <w:tcW w:w="7392" w:type="dxa"/>
            <w:tcBorders>
              <w:top w:val="single" w:sz="18" w:space="0" w:color="auto"/>
              <w:left w:val="single" w:sz="18" w:space="0" w:color="auto"/>
              <w:bottom w:val="single" w:sz="18" w:space="0" w:color="auto"/>
              <w:right w:val="single" w:sz="18" w:space="0" w:color="auto"/>
            </w:tcBorders>
            <w:shd w:val="clear" w:color="auto" w:fill="D9D9D9" w:themeFill="background1" w:themeFillShade="D9"/>
          </w:tcPr>
          <w:p w:rsidR="008F5159" w:rsidRPr="008F5159" w:rsidRDefault="008F5159" w:rsidP="008F5159">
            <w:pPr>
              <w:widowControl/>
              <w:snapToGrid w:val="0"/>
              <w:spacing w:before="40" w:after="40"/>
              <w:ind w:left="57" w:rightChars="71" w:right="170"/>
              <w:rPr>
                <w:rFonts w:ascii="Segoe UI" w:eastAsia="Times New Roman" w:hAnsi="Segoe UI" w:cs="Times New Roman"/>
                <w:b/>
                <w:kern w:val="0"/>
                <w:sz w:val="17"/>
                <w:szCs w:val="20"/>
                <w:lang w:val="en-GB" w:eastAsia="it-IT"/>
              </w:rPr>
            </w:pPr>
            <w:r w:rsidRPr="008F5159">
              <w:rPr>
                <w:rFonts w:ascii="Segoe UI" w:eastAsia="Times New Roman" w:hAnsi="Segoe UI" w:cs="Times New Roman"/>
                <w:b/>
                <w:kern w:val="0"/>
                <w:sz w:val="17"/>
                <w:szCs w:val="20"/>
                <w:lang w:val="en-GB" w:eastAsia="it-IT"/>
              </w:rPr>
              <w:t>External loss-absorbing capacity after deductions</w:t>
            </w:r>
          </w:p>
        </w:tc>
        <w:tc>
          <w:tcPr>
            <w:tcW w:w="1280" w:type="dxa"/>
            <w:tcBorders>
              <w:top w:val="single" w:sz="18" w:space="0" w:color="auto"/>
              <w:left w:val="single" w:sz="18" w:space="0" w:color="auto"/>
              <w:bottom w:val="single" w:sz="18" w:space="0" w:color="auto"/>
              <w:right w:val="single" w:sz="18" w:space="0" w:color="auto"/>
            </w:tcBorders>
            <w:shd w:val="clear" w:color="auto" w:fill="D9D9D9" w:themeFill="background1" w:themeFillShade="D9"/>
          </w:tcPr>
          <w:p w:rsidR="008F5159" w:rsidRPr="008F5159" w:rsidRDefault="008F5159" w:rsidP="008F5159">
            <w:pPr>
              <w:widowControl/>
              <w:snapToGrid w:val="0"/>
              <w:spacing w:before="40" w:after="40"/>
              <w:jc w:val="center"/>
              <w:rPr>
                <w:rFonts w:ascii="Segoe UI" w:eastAsia="Times New Roman" w:hAnsi="Segoe UI" w:cs="Times New Roman"/>
                <w:kern w:val="0"/>
                <w:sz w:val="17"/>
                <w:szCs w:val="20"/>
                <w:lang w:val="en-GB" w:eastAsia="it-IT"/>
              </w:rPr>
            </w:pPr>
          </w:p>
        </w:tc>
      </w:tr>
      <w:tr w:rsidR="008F5159" w:rsidRPr="008F5159" w:rsidTr="00297CA5">
        <w:trPr>
          <w:cantSplit/>
          <w:trHeight w:val="286"/>
        </w:trPr>
        <w:tc>
          <w:tcPr>
            <w:tcW w:w="572" w:type="dxa"/>
            <w:tcBorders>
              <w:top w:val="single" w:sz="6" w:space="0" w:color="auto"/>
              <w:left w:val="nil"/>
              <w:bottom w:val="single" w:sz="6" w:space="0" w:color="auto"/>
              <w:right w:val="single" w:sz="4" w:space="0" w:color="auto"/>
            </w:tcBorders>
            <w:shd w:val="clear" w:color="auto" w:fill="A6A6A6" w:themeFill="background1" w:themeFillShade="A6"/>
          </w:tcPr>
          <w:p w:rsidR="008F5159" w:rsidRPr="008F5159" w:rsidRDefault="008F5159" w:rsidP="008F5159">
            <w:pPr>
              <w:widowControl/>
              <w:snapToGrid w:val="0"/>
              <w:spacing w:before="40" w:after="40"/>
              <w:ind w:left="417" w:rightChars="71" w:right="170"/>
              <w:rPr>
                <w:rFonts w:ascii="Segoe UI" w:eastAsia="Times New Roman" w:hAnsi="Segoe UI" w:cs="Times New Roman"/>
                <w:b/>
                <w:kern w:val="0"/>
                <w:sz w:val="17"/>
                <w:szCs w:val="17"/>
                <w:lang w:val="en-GB" w:eastAsia="it-IT"/>
              </w:rPr>
            </w:pPr>
          </w:p>
        </w:tc>
        <w:tc>
          <w:tcPr>
            <w:tcW w:w="7392" w:type="dxa"/>
            <w:tcBorders>
              <w:top w:val="single" w:sz="18" w:space="0" w:color="auto"/>
              <w:left w:val="single" w:sz="4" w:space="0" w:color="auto"/>
              <w:bottom w:val="single" w:sz="4" w:space="0" w:color="auto"/>
              <w:right w:val="nil"/>
            </w:tcBorders>
            <w:shd w:val="clear" w:color="auto" w:fill="A6A6A6" w:themeFill="background1" w:themeFillShade="A6"/>
          </w:tcPr>
          <w:p w:rsidR="008F5159" w:rsidRPr="008F5159" w:rsidRDefault="008F5159" w:rsidP="008F5159">
            <w:pPr>
              <w:widowControl/>
              <w:snapToGrid w:val="0"/>
              <w:spacing w:before="40" w:after="40"/>
              <w:ind w:left="57" w:rightChars="71" w:right="170"/>
              <w:rPr>
                <w:rFonts w:ascii="Segoe UI" w:eastAsia="Times New Roman" w:hAnsi="Segoe UI" w:cs="Times New Roman"/>
                <w:b/>
                <w:kern w:val="0"/>
                <w:sz w:val="17"/>
                <w:szCs w:val="17"/>
                <w:lang w:val="en-GB" w:eastAsia="it-IT"/>
              </w:rPr>
            </w:pPr>
            <w:r w:rsidRPr="008F5159">
              <w:rPr>
                <w:rFonts w:ascii="Segoe UI" w:eastAsia="Times New Roman" w:hAnsi="Segoe UI" w:cs="Times New Roman"/>
                <w:b/>
                <w:kern w:val="0"/>
                <w:sz w:val="17"/>
                <w:szCs w:val="17"/>
                <w:lang w:val="en-GB" w:eastAsia="it-IT"/>
              </w:rPr>
              <w:t>Risk-weighted amount and exposure measure under the LAC Rules for external loss-absorbing capacity purposes</w:t>
            </w:r>
          </w:p>
        </w:tc>
        <w:tc>
          <w:tcPr>
            <w:tcW w:w="1280" w:type="dxa"/>
            <w:tcBorders>
              <w:top w:val="single" w:sz="18" w:space="0" w:color="auto"/>
              <w:left w:val="nil"/>
              <w:bottom w:val="single" w:sz="4" w:space="0" w:color="auto"/>
              <w:right w:val="single" w:sz="6" w:space="0" w:color="auto"/>
            </w:tcBorders>
            <w:shd w:val="clear" w:color="auto" w:fill="A6A6A6" w:themeFill="background1" w:themeFillShade="A6"/>
          </w:tcPr>
          <w:p w:rsidR="008F5159" w:rsidRPr="008F5159" w:rsidRDefault="008F5159" w:rsidP="008F5159">
            <w:pPr>
              <w:widowControl/>
              <w:snapToGrid w:val="0"/>
              <w:spacing w:before="40" w:after="40"/>
              <w:ind w:left="57"/>
              <w:jc w:val="center"/>
              <w:rPr>
                <w:rFonts w:ascii="Segoe UI" w:eastAsia="Times New Roman" w:hAnsi="Segoe UI" w:cs="Times New Roman"/>
                <w:kern w:val="0"/>
                <w:sz w:val="17"/>
                <w:szCs w:val="20"/>
                <w:lang w:val="en-GB" w:eastAsia="it-IT"/>
              </w:rPr>
            </w:pPr>
          </w:p>
        </w:tc>
      </w:tr>
      <w:tr w:rsidR="008F5159" w:rsidRPr="008F5159" w:rsidTr="00297CA5">
        <w:trPr>
          <w:cantSplit/>
          <w:trHeight w:val="286"/>
        </w:trPr>
        <w:tc>
          <w:tcPr>
            <w:tcW w:w="572" w:type="dxa"/>
            <w:tcBorders>
              <w:top w:val="single" w:sz="6" w:space="0" w:color="auto"/>
              <w:left w:val="nil"/>
              <w:bottom w:val="single" w:sz="6" w:space="0" w:color="auto"/>
              <w:right w:val="single" w:sz="4" w:space="0" w:color="auto"/>
            </w:tcBorders>
            <w:shd w:val="clear" w:color="auto" w:fill="auto"/>
          </w:tcPr>
          <w:p w:rsidR="008F5159" w:rsidRPr="008F5159" w:rsidRDefault="008F5159" w:rsidP="008F5159">
            <w:pPr>
              <w:widowControl/>
              <w:snapToGrid w:val="0"/>
              <w:spacing w:before="40" w:after="40"/>
              <w:ind w:left="57"/>
              <w:rPr>
                <w:rFonts w:ascii="Segoe UI" w:eastAsia="Times New Roman" w:hAnsi="Segoe UI" w:cs="Times New Roman"/>
                <w:kern w:val="0"/>
                <w:sz w:val="17"/>
                <w:szCs w:val="17"/>
                <w:lang w:val="en-GB" w:eastAsia="en-GB"/>
              </w:rPr>
            </w:pPr>
            <w:r w:rsidRPr="008F5159">
              <w:rPr>
                <w:rFonts w:ascii="Segoe UI" w:eastAsia="Times New Roman" w:hAnsi="Segoe UI" w:cs="Times New Roman"/>
                <w:kern w:val="0"/>
                <w:sz w:val="17"/>
                <w:szCs w:val="17"/>
                <w:lang w:val="en-GB" w:eastAsia="en-GB"/>
              </w:rPr>
              <w:t>23</w:t>
            </w:r>
          </w:p>
        </w:tc>
        <w:tc>
          <w:tcPr>
            <w:tcW w:w="7392" w:type="dxa"/>
            <w:tcBorders>
              <w:top w:val="single" w:sz="4" w:space="0" w:color="auto"/>
              <w:left w:val="single" w:sz="4" w:space="0" w:color="auto"/>
              <w:bottom w:val="single" w:sz="4" w:space="0" w:color="auto"/>
              <w:right w:val="single" w:sz="4" w:space="0" w:color="auto"/>
            </w:tcBorders>
            <w:shd w:val="clear" w:color="auto" w:fill="auto"/>
          </w:tcPr>
          <w:p w:rsidR="008F5159" w:rsidRPr="008F5159" w:rsidRDefault="008F5159" w:rsidP="008F5159">
            <w:pPr>
              <w:widowControl/>
              <w:snapToGrid w:val="0"/>
              <w:spacing w:before="40" w:after="40"/>
              <w:ind w:left="57" w:rightChars="71" w:right="170"/>
              <w:rPr>
                <w:rFonts w:ascii="Segoe UI" w:eastAsia="Times New Roman" w:hAnsi="Segoe UI" w:cs="Times New Roman"/>
                <w:kern w:val="0"/>
                <w:sz w:val="17"/>
                <w:szCs w:val="17"/>
                <w:lang w:val="en-GB" w:eastAsia="it-IT"/>
              </w:rPr>
            </w:pPr>
            <w:r w:rsidRPr="008F5159">
              <w:rPr>
                <w:rFonts w:ascii="Segoe UI" w:eastAsia="Times New Roman" w:hAnsi="Segoe UI" w:cs="Times New Roman"/>
                <w:kern w:val="0"/>
                <w:sz w:val="17"/>
                <w:szCs w:val="17"/>
                <w:lang w:val="en-GB" w:eastAsia="it-IT"/>
              </w:rPr>
              <w:t xml:space="preserve">Risk-weighted amount under the LAC Rules </w:t>
            </w:r>
          </w:p>
        </w:tc>
        <w:tc>
          <w:tcPr>
            <w:tcW w:w="1280" w:type="dxa"/>
            <w:tcBorders>
              <w:top w:val="single" w:sz="4" w:space="0" w:color="auto"/>
              <w:left w:val="single" w:sz="4" w:space="0" w:color="auto"/>
              <w:bottom w:val="single" w:sz="4" w:space="0" w:color="auto"/>
              <w:right w:val="single" w:sz="4" w:space="0" w:color="auto"/>
            </w:tcBorders>
            <w:shd w:val="clear" w:color="auto" w:fill="auto"/>
          </w:tcPr>
          <w:p w:rsidR="008F5159" w:rsidRPr="008F5159" w:rsidRDefault="008F5159" w:rsidP="008F5159">
            <w:pPr>
              <w:widowControl/>
              <w:snapToGrid w:val="0"/>
              <w:spacing w:before="40" w:after="40"/>
              <w:ind w:left="57"/>
              <w:jc w:val="center"/>
              <w:rPr>
                <w:rFonts w:ascii="Segoe UI" w:eastAsia="Times New Roman" w:hAnsi="Segoe UI" w:cs="Times New Roman"/>
                <w:kern w:val="0"/>
                <w:sz w:val="17"/>
                <w:szCs w:val="20"/>
                <w:lang w:val="en-GB" w:eastAsia="it-IT"/>
              </w:rPr>
            </w:pPr>
          </w:p>
        </w:tc>
      </w:tr>
      <w:tr w:rsidR="008F5159" w:rsidRPr="008F5159" w:rsidTr="00297CA5">
        <w:trPr>
          <w:cantSplit/>
          <w:trHeight w:val="286"/>
        </w:trPr>
        <w:tc>
          <w:tcPr>
            <w:tcW w:w="572" w:type="dxa"/>
            <w:tcBorders>
              <w:top w:val="single" w:sz="6" w:space="0" w:color="auto"/>
              <w:left w:val="nil"/>
              <w:bottom w:val="single" w:sz="6" w:space="0" w:color="auto"/>
              <w:right w:val="single" w:sz="4" w:space="0" w:color="auto"/>
            </w:tcBorders>
            <w:shd w:val="clear" w:color="auto" w:fill="auto"/>
          </w:tcPr>
          <w:p w:rsidR="008F5159" w:rsidRPr="008F5159" w:rsidRDefault="008F5159" w:rsidP="008F5159">
            <w:pPr>
              <w:widowControl/>
              <w:snapToGrid w:val="0"/>
              <w:spacing w:before="40" w:after="40"/>
              <w:ind w:left="57"/>
              <w:rPr>
                <w:rFonts w:ascii="Segoe UI" w:eastAsia="Times New Roman" w:hAnsi="Segoe UI" w:cs="Times New Roman"/>
                <w:kern w:val="0"/>
                <w:sz w:val="17"/>
                <w:szCs w:val="17"/>
                <w:lang w:val="en-GB" w:eastAsia="en-GB"/>
              </w:rPr>
            </w:pPr>
            <w:r w:rsidRPr="008F5159">
              <w:rPr>
                <w:rFonts w:ascii="Segoe UI" w:eastAsia="Times New Roman" w:hAnsi="Segoe UI" w:cs="Times New Roman"/>
                <w:kern w:val="0"/>
                <w:sz w:val="17"/>
                <w:szCs w:val="17"/>
                <w:lang w:val="en-GB" w:eastAsia="en-GB"/>
              </w:rPr>
              <w:t>24</w:t>
            </w:r>
          </w:p>
        </w:tc>
        <w:tc>
          <w:tcPr>
            <w:tcW w:w="7392" w:type="dxa"/>
            <w:tcBorders>
              <w:top w:val="single" w:sz="4" w:space="0" w:color="auto"/>
              <w:left w:val="single" w:sz="4" w:space="0" w:color="auto"/>
              <w:bottom w:val="single" w:sz="4" w:space="0" w:color="auto"/>
              <w:right w:val="single" w:sz="4" w:space="0" w:color="auto"/>
            </w:tcBorders>
            <w:shd w:val="clear" w:color="auto" w:fill="auto"/>
          </w:tcPr>
          <w:p w:rsidR="008F5159" w:rsidRPr="008F5159" w:rsidRDefault="008F5159" w:rsidP="008F5159">
            <w:pPr>
              <w:widowControl/>
              <w:snapToGrid w:val="0"/>
              <w:spacing w:before="40" w:after="40"/>
              <w:ind w:left="57" w:rightChars="71" w:right="170"/>
              <w:rPr>
                <w:rFonts w:ascii="Segoe UI" w:eastAsia="Times New Roman" w:hAnsi="Segoe UI" w:cs="Times New Roman"/>
                <w:kern w:val="0"/>
                <w:sz w:val="17"/>
                <w:szCs w:val="17"/>
                <w:lang w:val="en-GB" w:eastAsia="it-IT"/>
              </w:rPr>
            </w:pPr>
            <w:r w:rsidRPr="008F5159">
              <w:rPr>
                <w:rFonts w:ascii="Segoe UI" w:eastAsia="Times New Roman" w:hAnsi="Segoe UI" w:cs="Times New Roman"/>
                <w:kern w:val="0"/>
                <w:sz w:val="17"/>
                <w:szCs w:val="17"/>
                <w:lang w:val="en-GB" w:eastAsia="it-IT"/>
              </w:rPr>
              <w:t xml:space="preserve">Exposure measure under the LAC Rules </w:t>
            </w:r>
          </w:p>
        </w:tc>
        <w:tc>
          <w:tcPr>
            <w:tcW w:w="1280" w:type="dxa"/>
            <w:tcBorders>
              <w:top w:val="single" w:sz="4" w:space="0" w:color="auto"/>
              <w:left w:val="single" w:sz="4" w:space="0" w:color="auto"/>
              <w:bottom w:val="single" w:sz="4" w:space="0" w:color="auto"/>
              <w:right w:val="single" w:sz="4" w:space="0" w:color="auto"/>
            </w:tcBorders>
            <w:shd w:val="clear" w:color="auto" w:fill="auto"/>
          </w:tcPr>
          <w:p w:rsidR="008F5159" w:rsidRPr="008F5159" w:rsidRDefault="008F5159" w:rsidP="008F5159">
            <w:pPr>
              <w:widowControl/>
              <w:snapToGrid w:val="0"/>
              <w:spacing w:before="40" w:after="40"/>
              <w:ind w:left="57"/>
              <w:jc w:val="center"/>
              <w:rPr>
                <w:rFonts w:ascii="Segoe UI" w:eastAsia="Times New Roman" w:hAnsi="Segoe UI" w:cs="Times New Roman"/>
                <w:kern w:val="0"/>
                <w:sz w:val="17"/>
                <w:szCs w:val="20"/>
                <w:lang w:val="en-GB" w:eastAsia="it-IT"/>
              </w:rPr>
            </w:pPr>
          </w:p>
        </w:tc>
      </w:tr>
      <w:tr w:rsidR="008F5159" w:rsidRPr="008F5159" w:rsidTr="00297CA5">
        <w:trPr>
          <w:cantSplit/>
          <w:trHeight w:val="286"/>
        </w:trPr>
        <w:tc>
          <w:tcPr>
            <w:tcW w:w="572" w:type="dxa"/>
            <w:tcBorders>
              <w:top w:val="single" w:sz="6" w:space="0" w:color="auto"/>
              <w:left w:val="nil"/>
              <w:bottom w:val="single" w:sz="6" w:space="0" w:color="auto"/>
              <w:right w:val="single" w:sz="4" w:space="0" w:color="auto"/>
            </w:tcBorders>
            <w:shd w:val="clear" w:color="auto" w:fill="A6A6A6" w:themeFill="background1" w:themeFillShade="A6"/>
          </w:tcPr>
          <w:p w:rsidR="008F5159" w:rsidRPr="008F5159" w:rsidRDefault="008F5159" w:rsidP="008F5159">
            <w:pPr>
              <w:widowControl/>
              <w:snapToGrid w:val="0"/>
              <w:spacing w:before="40" w:after="40"/>
              <w:ind w:left="57"/>
              <w:rPr>
                <w:rFonts w:ascii="Segoe UI" w:eastAsia="Times New Roman" w:hAnsi="Segoe UI" w:cs="Times New Roman"/>
                <w:kern w:val="0"/>
                <w:sz w:val="17"/>
                <w:szCs w:val="17"/>
                <w:lang w:val="en-GB" w:eastAsia="en-GB"/>
              </w:rPr>
            </w:pPr>
          </w:p>
        </w:tc>
        <w:tc>
          <w:tcPr>
            <w:tcW w:w="7392" w:type="dxa"/>
            <w:tcBorders>
              <w:top w:val="single" w:sz="4" w:space="0" w:color="auto"/>
              <w:left w:val="single" w:sz="4" w:space="0" w:color="auto"/>
              <w:bottom w:val="single" w:sz="18" w:space="0" w:color="auto"/>
              <w:right w:val="nil"/>
            </w:tcBorders>
            <w:shd w:val="clear" w:color="auto" w:fill="A6A6A6" w:themeFill="background1" w:themeFillShade="A6"/>
          </w:tcPr>
          <w:p w:rsidR="008F5159" w:rsidRPr="008F5159" w:rsidRDefault="008F5159" w:rsidP="008F5159">
            <w:pPr>
              <w:widowControl/>
              <w:snapToGrid w:val="0"/>
              <w:spacing w:before="40" w:after="40"/>
              <w:ind w:left="57" w:rightChars="71" w:right="170"/>
              <w:rPr>
                <w:rFonts w:ascii="Segoe UI" w:eastAsia="Times New Roman" w:hAnsi="Segoe UI" w:cs="Times New Roman"/>
                <w:b/>
                <w:kern w:val="0"/>
                <w:sz w:val="17"/>
                <w:szCs w:val="17"/>
                <w:lang w:val="en-GB" w:eastAsia="it-IT"/>
              </w:rPr>
            </w:pPr>
            <w:r w:rsidRPr="008F5159">
              <w:rPr>
                <w:rFonts w:ascii="Segoe UI" w:eastAsia="Times New Roman" w:hAnsi="Segoe UI" w:cs="Times New Roman"/>
                <w:b/>
                <w:kern w:val="0"/>
                <w:sz w:val="17"/>
                <w:szCs w:val="17"/>
                <w:lang w:val="en-GB" w:eastAsia="it-IT"/>
              </w:rPr>
              <w:t>External LAC ratios and buffers</w:t>
            </w:r>
          </w:p>
        </w:tc>
        <w:tc>
          <w:tcPr>
            <w:tcW w:w="1280" w:type="dxa"/>
            <w:tcBorders>
              <w:top w:val="single" w:sz="4" w:space="0" w:color="auto"/>
              <w:left w:val="nil"/>
              <w:bottom w:val="single" w:sz="18" w:space="0" w:color="auto"/>
              <w:right w:val="single" w:sz="4" w:space="0" w:color="auto"/>
            </w:tcBorders>
            <w:shd w:val="clear" w:color="auto" w:fill="A6A6A6" w:themeFill="background1" w:themeFillShade="A6"/>
          </w:tcPr>
          <w:p w:rsidR="008F5159" w:rsidRPr="008F5159" w:rsidRDefault="008F5159" w:rsidP="008F5159">
            <w:pPr>
              <w:widowControl/>
              <w:snapToGrid w:val="0"/>
              <w:spacing w:before="40" w:after="40"/>
              <w:ind w:left="57"/>
              <w:jc w:val="center"/>
              <w:rPr>
                <w:rFonts w:ascii="Segoe UI" w:eastAsia="Times New Roman" w:hAnsi="Segoe UI" w:cs="Times New Roman"/>
                <w:kern w:val="0"/>
                <w:sz w:val="17"/>
                <w:szCs w:val="20"/>
                <w:lang w:val="en-GB" w:eastAsia="it-IT"/>
              </w:rPr>
            </w:pPr>
          </w:p>
        </w:tc>
      </w:tr>
      <w:tr w:rsidR="008F5159" w:rsidRPr="008F5159" w:rsidTr="00297CA5">
        <w:trPr>
          <w:cantSplit/>
          <w:trHeight w:val="286"/>
        </w:trPr>
        <w:tc>
          <w:tcPr>
            <w:tcW w:w="572" w:type="dxa"/>
            <w:tcBorders>
              <w:top w:val="single" w:sz="6" w:space="0" w:color="auto"/>
              <w:left w:val="nil"/>
              <w:bottom w:val="single" w:sz="6" w:space="0" w:color="auto"/>
              <w:right w:val="single" w:sz="18" w:space="0" w:color="auto"/>
            </w:tcBorders>
            <w:shd w:val="clear" w:color="auto" w:fill="auto"/>
          </w:tcPr>
          <w:p w:rsidR="008F5159" w:rsidRPr="008F5159" w:rsidRDefault="008F5159" w:rsidP="008F5159">
            <w:pPr>
              <w:widowControl/>
              <w:snapToGrid w:val="0"/>
              <w:spacing w:before="40" w:after="40"/>
              <w:ind w:left="57"/>
              <w:rPr>
                <w:rFonts w:ascii="Segoe UI" w:eastAsia="Times New Roman" w:hAnsi="Segoe UI" w:cs="Times New Roman"/>
                <w:kern w:val="0"/>
                <w:sz w:val="17"/>
                <w:szCs w:val="17"/>
                <w:lang w:val="en-GB" w:eastAsia="en-GB"/>
              </w:rPr>
            </w:pPr>
            <w:r w:rsidRPr="008F5159">
              <w:rPr>
                <w:rFonts w:ascii="Segoe UI" w:eastAsia="Times New Roman" w:hAnsi="Segoe UI" w:cs="Times New Roman"/>
                <w:kern w:val="0"/>
                <w:sz w:val="17"/>
                <w:szCs w:val="17"/>
                <w:lang w:val="en-GB" w:eastAsia="en-GB"/>
              </w:rPr>
              <w:t>25</w:t>
            </w:r>
          </w:p>
        </w:tc>
        <w:tc>
          <w:tcPr>
            <w:tcW w:w="7392" w:type="dxa"/>
            <w:tcBorders>
              <w:top w:val="single" w:sz="18" w:space="0" w:color="auto"/>
              <w:left w:val="single" w:sz="18" w:space="0" w:color="auto"/>
              <w:bottom w:val="single" w:sz="18" w:space="0" w:color="auto"/>
              <w:right w:val="single" w:sz="18" w:space="0" w:color="auto"/>
            </w:tcBorders>
            <w:shd w:val="clear" w:color="auto" w:fill="D9D9D9" w:themeFill="background1" w:themeFillShade="D9"/>
          </w:tcPr>
          <w:p w:rsidR="008F5159" w:rsidRPr="008F5159" w:rsidRDefault="008F5159" w:rsidP="008F5159">
            <w:pPr>
              <w:widowControl/>
              <w:snapToGrid w:val="0"/>
              <w:spacing w:before="40" w:after="40"/>
              <w:ind w:left="57" w:rightChars="71" w:right="170"/>
              <w:rPr>
                <w:rFonts w:ascii="Segoe UI" w:eastAsia="Times New Roman" w:hAnsi="Segoe UI" w:cs="Times New Roman"/>
                <w:b/>
                <w:kern w:val="0"/>
                <w:sz w:val="17"/>
                <w:szCs w:val="17"/>
                <w:lang w:val="en-GB" w:eastAsia="it-IT"/>
              </w:rPr>
            </w:pPr>
            <w:r w:rsidRPr="008F5159">
              <w:rPr>
                <w:rFonts w:ascii="Segoe UI" w:eastAsia="Times New Roman" w:hAnsi="Segoe UI" w:cs="Times New Roman"/>
                <w:b/>
                <w:kern w:val="0"/>
                <w:sz w:val="17"/>
                <w:szCs w:val="17"/>
                <w:lang w:val="en-GB" w:eastAsia="it-IT"/>
              </w:rPr>
              <w:t xml:space="preserve">External LAC risk-weighted ratio </w:t>
            </w:r>
          </w:p>
        </w:tc>
        <w:tc>
          <w:tcPr>
            <w:tcW w:w="1280" w:type="dxa"/>
            <w:tcBorders>
              <w:top w:val="single" w:sz="18" w:space="0" w:color="auto"/>
              <w:left w:val="single" w:sz="18" w:space="0" w:color="auto"/>
              <w:bottom w:val="single" w:sz="18" w:space="0" w:color="auto"/>
              <w:right w:val="single" w:sz="18" w:space="0" w:color="auto"/>
            </w:tcBorders>
            <w:shd w:val="clear" w:color="auto" w:fill="D9D9D9" w:themeFill="background1" w:themeFillShade="D9"/>
          </w:tcPr>
          <w:p w:rsidR="008F5159" w:rsidRPr="008F5159" w:rsidRDefault="008F5159" w:rsidP="008F5159">
            <w:pPr>
              <w:widowControl/>
              <w:snapToGrid w:val="0"/>
              <w:spacing w:before="40" w:after="40"/>
              <w:ind w:left="57"/>
              <w:jc w:val="center"/>
              <w:rPr>
                <w:rFonts w:ascii="Segoe UI" w:eastAsia="Times New Roman" w:hAnsi="Segoe UI" w:cs="Times New Roman"/>
                <w:kern w:val="0"/>
                <w:sz w:val="17"/>
                <w:szCs w:val="20"/>
                <w:lang w:val="en-GB" w:eastAsia="it-IT"/>
              </w:rPr>
            </w:pPr>
          </w:p>
        </w:tc>
      </w:tr>
      <w:tr w:rsidR="008F5159" w:rsidRPr="008F5159" w:rsidTr="00297CA5">
        <w:trPr>
          <w:cantSplit/>
          <w:trHeight w:val="286"/>
        </w:trPr>
        <w:tc>
          <w:tcPr>
            <w:tcW w:w="572" w:type="dxa"/>
            <w:tcBorders>
              <w:top w:val="single" w:sz="6" w:space="0" w:color="auto"/>
              <w:left w:val="nil"/>
              <w:bottom w:val="single" w:sz="6" w:space="0" w:color="auto"/>
              <w:right w:val="single" w:sz="18" w:space="0" w:color="auto"/>
            </w:tcBorders>
            <w:shd w:val="clear" w:color="auto" w:fill="auto"/>
          </w:tcPr>
          <w:p w:rsidR="008F5159" w:rsidRPr="008F5159" w:rsidRDefault="008F5159" w:rsidP="008F5159">
            <w:pPr>
              <w:widowControl/>
              <w:snapToGrid w:val="0"/>
              <w:spacing w:before="40" w:after="40"/>
              <w:ind w:left="57"/>
              <w:rPr>
                <w:rFonts w:ascii="Segoe UI" w:eastAsia="Times New Roman" w:hAnsi="Segoe UI" w:cs="Times New Roman"/>
                <w:kern w:val="0"/>
                <w:sz w:val="17"/>
                <w:szCs w:val="17"/>
                <w:lang w:val="en-GB" w:eastAsia="en-GB"/>
              </w:rPr>
            </w:pPr>
            <w:r w:rsidRPr="008F5159">
              <w:rPr>
                <w:rFonts w:ascii="Segoe UI" w:eastAsia="Times New Roman" w:hAnsi="Segoe UI" w:cs="Times New Roman"/>
                <w:kern w:val="0"/>
                <w:sz w:val="17"/>
                <w:szCs w:val="17"/>
                <w:lang w:val="en-GB" w:eastAsia="en-GB"/>
              </w:rPr>
              <w:t>26</w:t>
            </w:r>
          </w:p>
        </w:tc>
        <w:tc>
          <w:tcPr>
            <w:tcW w:w="7392" w:type="dxa"/>
            <w:tcBorders>
              <w:top w:val="single" w:sz="18" w:space="0" w:color="auto"/>
              <w:left w:val="single" w:sz="18" w:space="0" w:color="auto"/>
              <w:bottom w:val="single" w:sz="18" w:space="0" w:color="auto"/>
              <w:right w:val="single" w:sz="18" w:space="0" w:color="auto"/>
            </w:tcBorders>
            <w:shd w:val="clear" w:color="auto" w:fill="D9D9D9" w:themeFill="background1" w:themeFillShade="D9"/>
          </w:tcPr>
          <w:p w:rsidR="008F5159" w:rsidRPr="008F5159" w:rsidRDefault="008F5159" w:rsidP="008F5159">
            <w:pPr>
              <w:widowControl/>
              <w:snapToGrid w:val="0"/>
              <w:spacing w:before="40" w:after="40"/>
              <w:ind w:left="57" w:rightChars="71" w:right="170"/>
              <w:rPr>
                <w:rFonts w:ascii="Segoe UI" w:eastAsia="Times New Roman" w:hAnsi="Segoe UI" w:cs="Times New Roman"/>
                <w:b/>
                <w:kern w:val="0"/>
                <w:sz w:val="17"/>
                <w:szCs w:val="17"/>
                <w:lang w:val="en-GB" w:eastAsia="it-IT"/>
              </w:rPr>
            </w:pPr>
            <w:r w:rsidRPr="008F5159">
              <w:rPr>
                <w:rFonts w:ascii="Segoe UI" w:eastAsia="Times New Roman" w:hAnsi="Segoe UI" w:cs="Times New Roman"/>
                <w:b/>
                <w:kern w:val="0"/>
                <w:sz w:val="17"/>
                <w:szCs w:val="17"/>
                <w:lang w:val="en-GB" w:eastAsia="it-IT"/>
              </w:rPr>
              <w:t>External LAC leverage ratio</w:t>
            </w:r>
          </w:p>
        </w:tc>
        <w:tc>
          <w:tcPr>
            <w:tcW w:w="1280" w:type="dxa"/>
            <w:tcBorders>
              <w:top w:val="single" w:sz="18" w:space="0" w:color="auto"/>
              <w:left w:val="single" w:sz="18" w:space="0" w:color="auto"/>
              <w:bottom w:val="single" w:sz="18" w:space="0" w:color="auto"/>
              <w:right w:val="single" w:sz="18" w:space="0" w:color="auto"/>
            </w:tcBorders>
            <w:shd w:val="clear" w:color="auto" w:fill="D9D9D9" w:themeFill="background1" w:themeFillShade="D9"/>
          </w:tcPr>
          <w:p w:rsidR="008F5159" w:rsidRPr="008F5159" w:rsidRDefault="008F5159" w:rsidP="008F5159">
            <w:pPr>
              <w:widowControl/>
              <w:snapToGrid w:val="0"/>
              <w:spacing w:before="40" w:after="40"/>
              <w:ind w:left="57"/>
              <w:jc w:val="center"/>
              <w:rPr>
                <w:rFonts w:ascii="Segoe UI" w:eastAsia="Times New Roman" w:hAnsi="Segoe UI" w:cs="Times New Roman"/>
                <w:kern w:val="0"/>
                <w:sz w:val="17"/>
                <w:szCs w:val="20"/>
                <w:lang w:val="en-GB" w:eastAsia="it-IT"/>
              </w:rPr>
            </w:pPr>
          </w:p>
        </w:tc>
      </w:tr>
      <w:tr w:rsidR="008F5159" w:rsidRPr="008F5159" w:rsidTr="00297CA5">
        <w:trPr>
          <w:cantSplit/>
          <w:trHeight w:val="286"/>
        </w:trPr>
        <w:tc>
          <w:tcPr>
            <w:tcW w:w="572" w:type="dxa"/>
            <w:tcBorders>
              <w:top w:val="single" w:sz="6" w:space="0" w:color="auto"/>
              <w:left w:val="nil"/>
              <w:bottom w:val="single" w:sz="6" w:space="0" w:color="auto"/>
              <w:right w:val="single" w:sz="18" w:space="0" w:color="auto"/>
            </w:tcBorders>
            <w:shd w:val="clear" w:color="auto" w:fill="auto"/>
          </w:tcPr>
          <w:p w:rsidR="008F5159" w:rsidRPr="008F5159" w:rsidRDefault="008F5159" w:rsidP="008F5159">
            <w:pPr>
              <w:widowControl/>
              <w:snapToGrid w:val="0"/>
              <w:spacing w:before="40" w:after="40"/>
              <w:ind w:left="57"/>
              <w:rPr>
                <w:rFonts w:ascii="Segoe UI" w:eastAsia="Times New Roman" w:hAnsi="Segoe UI" w:cs="Times New Roman"/>
                <w:kern w:val="0"/>
                <w:sz w:val="17"/>
                <w:szCs w:val="17"/>
                <w:lang w:val="en-GB" w:eastAsia="en-GB"/>
              </w:rPr>
            </w:pPr>
            <w:r w:rsidRPr="008F5159">
              <w:rPr>
                <w:rFonts w:ascii="Segoe UI" w:eastAsia="Times New Roman" w:hAnsi="Segoe UI" w:cs="Times New Roman"/>
                <w:kern w:val="0"/>
                <w:sz w:val="17"/>
                <w:szCs w:val="17"/>
                <w:lang w:val="en-GB" w:eastAsia="en-GB"/>
              </w:rPr>
              <w:t>27</w:t>
            </w:r>
          </w:p>
        </w:tc>
        <w:tc>
          <w:tcPr>
            <w:tcW w:w="7392" w:type="dxa"/>
            <w:tcBorders>
              <w:top w:val="single" w:sz="18" w:space="0" w:color="auto"/>
              <w:left w:val="single" w:sz="18" w:space="0" w:color="auto"/>
              <w:bottom w:val="single" w:sz="18" w:space="0" w:color="auto"/>
              <w:right w:val="single" w:sz="18" w:space="0" w:color="auto"/>
            </w:tcBorders>
            <w:shd w:val="clear" w:color="auto" w:fill="D9D9D9" w:themeFill="background1" w:themeFillShade="D9"/>
          </w:tcPr>
          <w:p w:rsidR="008F5159" w:rsidRPr="008F5159" w:rsidRDefault="008F5159" w:rsidP="008F5159">
            <w:pPr>
              <w:widowControl/>
              <w:snapToGrid w:val="0"/>
              <w:spacing w:before="40" w:after="40"/>
              <w:ind w:left="57" w:rightChars="71" w:right="170"/>
              <w:rPr>
                <w:rFonts w:ascii="Segoe UI" w:eastAsia="Times New Roman" w:hAnsi="Segoe UI" w:cs="Times New Roman"/>
                <w:b/>
                <w:kern w:val="0"/>
                <w:sz w:val="17"/>
                <w:szCs w:val="17"/>
                <w:lang w:val="en-GB" w:eastAsia="it-IT"/>
              </w:rPr>
            </w:pPr>
            <w:r w:rsidRPr="008F5159">
              <w:rPr>
                <w:rFonts w:ascii="Segoe UI" w:eastAsia="Times New Roman" w:hAnsi="Segoe UI" w:cs="Times New Roman"/>
                <w:b/>
                <w:kern w:val="0"/>
                <w:sz w:val="17"/>
                <w:szCs w:val="17"/>
                <w:lang w:val="en-GB" w:eastAsia="it-IT"/>
              </w:rPr>
              <w:t>CET1 capital (as a percentage of RWA under the Banking (Capital) Rules (“BCR”)) available after meeting the LAC consolidation group’s minimum capital and LAC requirements</w:t>
            </w:r>
          </w:p>
        </w:tc>
        <w:tc>
          <w:tcPr>
            <w:tcW w:w="1280" w:type="dxa"/>
            <w:tcBorders>
              <w:top w:val="single" w:sz="18" w:space="0" w:color="auto"/>
              <w:left w:val="single" w:sz="18" w:space="0" w:color="auto"/>
              <w:bottom w:val="single" w:sz="18" w:space="0" w:color="auto"/>
              <w:right w:val="single" w:sz="18" w:space="0" w:color="auto"/>
            </w:tcBorders>
            <w:shd w:val="clear" w:color="auto" w:fill="D9D9D9" w:themeFill="background1" w:themeFillShade="D9"/>
          </w:tcPr>
          <w:p w:rsidR="008F5159" w:rsidRPr="008F5159" w:rsidRDefault="008F5159" w:rsidP="008F5159">
            <w:pPr>
              <w:widowControl/>
              <w:snapToGrid w:val="0"/>
              <w:spacing w:before="40" w:after="40"/>
              <w:ind w:left="57"/>
              <w:jc w:val="center"/>
              <w:rPr>
                <w:rFonts w:ascii="Segoe UI" w:eastAsia="Times New Roman" w:hAnsi="Segoe UI" w:cs="Times New Roman"/>
                <w:kern w:val="0"/>
                <w:sz w:val="17"/>
                <w:szCs w:val="20"/>
                <w:lang w:val="en-GB" w:eastAsia="it-IT"/>
              </w:rPr>
            </w:pPr>
          </w:p>
        </w:tc>
      </w:tr>
      <w:tr w:rsidR="008F5159" w:rsidRPr="008F5159" w:rsidTr="00297CA5">
        <w:trPr>
          <w:cantSplit/>
          <w:trHeight w:val="286"/>
        </w:trPr>
        <w:tc>
          <w:tcPr>
            <w:tcW w:w="572" w:type="dxa"/>
            <w:tcBorders>
              <w:top w:val="single" w:sz="6" w:space="0" w:color="auto"/>
              <w:left w:val="nil"/>
              <w:bottom w:val="single" w:sz="6" w:space="0" w:color="auto"/>
              <w:right w:val="single" w:sz="4" w:space="0" w:color="auto"/>
            </w:tcBorders>
            <w:shd w:val="clear" w:color="auto" w:fill="auto"/>
          </w:tcPr>
          <w:p w:rsidR="008F5159" w:rsidRPr="008F5159" w:rsidRDefault="008F5159" w:rsidP="008F5159">
            <w:pPr>
              <w:widowControl/>
              <w:snapToGrid w:val="0"/>
              <w:spacing w:before="40" w:after="40"/>
              <w:ind w:left="57"/>
              <w:rPr>
                <w:rFonts w:ascii="Segoe UI" w:eastAsia="Times New Roman" w:hAnsi="Segoe UI" w:cs="Times New Roman"/>
                <w:kern w:val="0"/>
                <w:sz w:val="17"/>
                <w:szCs w:val="17"/>
                <w:lang w:val="en-GB" w:eastAsia="en-GB"/>
              </w:rPr>
            </w:pPr>
            <w:r w:rsidRPr="008F5159">
              <w:rPr>
                <w:rFonts w:ascii="Segoe UI" w:eastAsia="Times New Roman" w:hAnsi="Segoe UI" w:cs="Times New Roman"/>
                <w:kern w:val="0"/>
                <w:sz w:val="17"/>
                <w:szCs w:val="17"/>
                <w:lang w:val="en-GB" w:eastAsia="en-GB"/>
              </w:rPr>
              <w:t>28</w:t>
            </w:r>
          </w:p>
        </w:tc>
        <w:tc>
          <w:tcPr>
            <w:tcW w:w="7392" w:type="dxa"/>
            <w:tcBorders>
              <w:top w:val="single" w:sz="18" w:space="0" w:color="auto"/>
              <w:left w:val="single" w:sz="4" w:space="0" w:color="auto"/>
              <w:bottom w:val="single" w:sz="4" w:space="0" w:color="auto"/>
              <w:right w:val="single" w:sz="4" w:space="0" w:color="auto"/>
            </w:tcBorders>
            <w:shd w:val="clear" w:color="auto" w:fill="auto"/>
          </w:tcPr>
          <w:p w:rsidR="008F5159" w:rsidRPr="008F5159" w:rsidRDefault="008F5159" w:rsidP="008F5159">
            <w:pPr>
              <w:widowControl/>
              <w:snapToGrid w:val="0"/>
              <w:spacing w:before="40" w:after="40"/>
              <w:ind w:left="57" w:rightChars="71" w:right="170"/>
              <w:rPr>
                <w:rFonts w:ascii="Segoe UI" w:eastAsia="Times New Roman" w:hAnsi="Segoe UI" w:cs="Times New Roman"/>
                <w:kern w:val="0"/>
                <w:sz w:val="17"/>
                <w:szCs w:val="17"/>
                <w:lang w:val="en-GB" w:eastAsia="it-IT"/>
              </w:rPr>
            </w:pPr>
            <w:r w:rsidRPr="008F5159">
              <w:rPr>
                <w:rFonts w:ascii="Segoe UI" w:eastAsia="Times New Roman" w:hAnsi="Segoe UI" w:cs="Times New Roman"/>
                <w:kern w:val="0"/>
                <w:sz w:val="17"/>
                <w:szCs w:val="17"/>
                <w:lang w:val="en-GB" w:eastAsia="it-IT"/>
              </w:rPr>
              <w:t>Institution-specific buffer requirement (capital conservation buffer plus countercyclical capital buffer requirements plus higher loss absorbency requirement, expressed as a percentage of RWA under the BCR)</w:t>
            </w:r>
          </w:p>
        </w:tc>
        <w:tc>
          <w:tcPr>
            <w:tcW w:w="1280" w:type="dxa"/>
            <w:tcBorders>
              <w:top w:val="single" w:sz="18" w:space="0" w:color="auto"/>
              <w:left w:val="single" w:sz="4" w:space="0" w:color="auto"/>
              <w:bottom w:val="single" w:sz="4" w:space="0" w:color="auto"/>
              <w:right w:val="single" w:sz="4" w:space="0" w:color="auto"/>
            </w:tcBorders>
            <w:shd w:val="clear" w:color="auto" w:fill="auto"/>
          </w:tcPr>
          <w:p w:rsidR="008F5159" w:rsidRPr="008F5159" w:rsidRDefault="008F5159" w:rsidP="008F5159">
            <w:pPr>
              <w:widowControl/>
              <w:snapToGrid w:val="0"/>
              <w:spacing w:before="40" w:after="40"/>
              <w:ind w:left="57"/>
              <w:jc w:val="center"/>
              <w:rPr>
                <w:rFonts w:ascii="Segoe UI" w:eastAsia="Times New Roman" w:hAnsi="Segoe UI" w:cs="Times New Roman"/>
                <w:kern w:val="0"/>
                <w:sz w:val="17"/>
                <w:szCs w:val="20"/>
                <w:lang w:val="en-GB" w:eastAsia="it-IT"/>
              </w:rPr>
            </w:pPr>
          </w:p>
        </w:tc>
      </w:tr>
      <w:tr w:rsidR="008F5159" w:rsidRPr="008F5159" w:rsidTr="00297CA5">
        <w:trPr>
          <w:cantSplit/>
          <w:trHeight w:val="286"/>
        </w:trPr>
        <w:tc>
          <w:tcPr>
            <w:tcW w:w="572" w:type="dxa"/>
            <w:tcBorders>
              <w:top w:val="single" w:sz="6" w:space="0" w:color="auto"/>
              <w:left w:val="nil"/>
              <w:bottom w:val="single" w:sz="6" w:space="0" w:color="auto"/>
              <w:right w:val="single" w:sz="4" w:space="0" w:color="auto"/>
            </w:tcBorders>
            <w:shd w:val="clear" w:color="auto" w:fill="auto"/>
          </w:tcPr>
          <w:p w:rsidR="008F5159" w:rsidRPr="008F5159" w:rsidRDefault="008F5159" w:rsidP="008F5159">
            <w:pPr>
              <w:widowControl/>
              <w:snapToGrid w:val="0"/>
              <w:spacing w:before="40" w:after="40"/>
              <w:ind w:left="57"/>
              <w:rPr>
                <w:rFonts w:ascii="Segoe UI" w:eastAsia="Times New Roman" w:hAnsi="Segoe UI" w:cs="Times New Roman"/>
                <w:kern w:val="0"/>
                <w:sz w:val="17"/>
                <w:szCs w:val="17"/>
                <w:lang w:val="en-GB" w:eastAsia="en-GB"/>
              </w:rPr>
            </w:pPr>
            <w:r w:rsidRPr="008F5159">
              <w:rPr>
                <w:rFonts w:ascii="Segoe UI" w:eastAsia="Times New Roman" w:hAnsi="Segoe UI" w:cs="Times New Roman"/>
                <w:kern w:val="0"/>
                <w:sz w:val="17"/>
                <w:szCs w:val="17"/>
                <w:lang w:val="en-GB" w:eastAsia="en-GB"/>
              </w:rPr>
              <w:t>29</w:t>
            </w:r>
          </w:p>
        </w:tc>
        <w:tc>
          <w:tcPr>
            <w:tcW w:w="7392" w:type="dxa"/>
            <w:tcBorders>
              <w:top w:val="single" w:sz="4" w:space="0" w:color="auto"/>
              <w:left w:val="single" w:sz="4" w:space="0" w:color="auto"/>
              <w:bottom w:val="single" w:sz="4" w:space="0" w:color="auto"/>
              <w:right w:val="single" w:sz="4" w:space="0" w:color="auto"/>
            </w:tcBorders>
            <w:shd w:val="clear" w:color="auto" w:fill="auto"/>
          </w:tcPr>
          <w:p w:rsidR="008F5159" w:rsidRPr="008F5159" w:rsidRDefault="008F5159" w:rsidP="008F5159">
            <w:pPr>
              <w:widowControl/>
              <w:tabs>
                <w:tab w:val="left" w:pos="423"/>
              </w:tabs>
              <w:snapToGrid w:val="0"/>
              <w:spacing w:before="40" w:after="40"/>
              <w:ind w:leftChars="211" w:left="506" w:rightChars="71" w:right="170"/>
              <w:rPr>
                <w:rFonts w:ascii="Segoe UI" w:eastAsia="Times New Roman" w:hAnsi="Segoe UI" w:cs="Times New Roman"/>
                <w:kern w:val="0"/>
                <w:sz w:val="17"/>
                <w:szCs w:val="20"/>
                <w:lang w:val="en-GB" w:eastAsia="it-IT"/>
              </w:rPr>
            </w:pPr>
            <w:r w:rsidRPr="008F5159">
              <w:rPr>
                <w:rFonts w:ascii="Segoe UI" w:eastAsia="Times New Roman" w:hAnsi="Segoe UI" w:cs="Times New Roman"/>
                <w:kern w:val="0"/>
                <w:sz w:val="17"/>
                <w:szCs w:val="20"/>
                <w:lang w:val="en-GB" w:eastAsia="it-IT"/>
              </w:rPr>
              <w:tab/>
              <w:t>Of which: capital conservation buffer requirement</w:t>
            </w:r>
          </w:p>
        </w:tc>
        <w:tc>
          <w:tcPr>
            <w:tcW w:w="1280" w:type="dxa"/>
            <w:tcBorders>
              <w:top w:val="single" w:sz="4" w:space="0" w:color="auto"/>
              <w:left w:val="single" w:sz="4" w:space="0" w:color="auto"/>
              <w:bottom w:val="single" w:sz="4" w:space="0" w:color="auto"/>
              <w:right w:val="single" w:sz="4" w:space="0" w:color="auto"/>
            </w:tcBorders>
            <w:shd w:val="clear" w:color="auto" w:fill="auto"/>
          </w:tcPr>
          <w:p w:rsidR="008F5159" w:rsidRPr="008F5159" w:rsidRDefault="008F5159" w:rsidP="008F5159">
            <w:pPr>
              <w:widowControl/>
              <w:snapToGrid w:val="0"/>
              <w:spacing w:before="40" w:after="40"/>
              <w:ind w:left="57"/>
              <w:jc w:val="center"/>
              <w:rPr>
                <w:rFonts w:ascii="Segoe UI" w:eastAsia="Times New Roman" w:hAnsi="Segoe UI" w:cs="Times New Roman"/>
                <w:kern w:val="0"/>
                <w:sz w:val="17"/>
                <w:szCs w:val="20"/>
                <w:lang w:val="en-GB" w:eastAsia="it-IT"/>
              </w:rPr>
            </w:pPr>
          </w:p>
        </w:tc>
      </w:tr>
      <w:tr w:rsidR="008F5159" w:rsidRPr="008F5159" w:rsidTr="00297CA5">
        <w:trPr>
          <w:cantSplit/>
          <w:trHeight w:val="286"/>
        </w:trPr>
        <w:tc>
          <w:tcPr>
            <w:tcW w:w="572" w:type="dxa"/>
            <w:tcBorders>
              <w:top w:val="single" w:sz="6" w:space="0" w:color="auto"/>
              <w:left w:val="nil"/>
              <w:bottom w:val="single" w:sz="6" w:space="0" w:color="auto"/>
              <w:right w:val="single" w:sz="4" w:space="0" w:color="auto"/>
            </w:tcBorders>
            <w:shd w:val="clear" w:color="auto" w:fill="auto"/>
          </w:tcPr>
          <w:p w:rsidR="008F5159" w:rsidRPr="008F5159" w:rsidRDefault="008F5159" w:rsidP="008F5159">
            <w:pPr>
              <w:widowControl/>
              <w:snapToGrid w:val="0"/>
              <w:spacing w:before="40" w:after="40"/>
              <w:ind w:left="57"/>
              <w:rPr>
                <w:rFonts w:ascii="Segoe UI" w:eastAsia="Times New Roman" w:hAnsi="Segoe UI" w:cs="Times New Roman"/>
                <w:kern w:val="0"/>
                <w:sz w:val="17"/>
                <w:szCs w:val="17"/>
                <w:lang w:val="en-GB" w:eastAsia="en-GB"/>
              </w:rPr>
            </w:pPr>
            <w:r w:rsidRPr="008F5159">
              <w:rPr>
                <w:rFonts w:ascii="Segoe UI" w:eastAsia="Times New Roman" w:hAnsi="Segoe UI" w:cs="Times New Roman"/>
                <w:kern w:val="0"/>
                <w:sz w:val="17"/>
                <w:szCs w:val="17"/>
                <w:lang w:val="en-GB" w:eastAsia="en-GB"/>
              </w:rPr>
              <w:t>30</w:t>
            </w:r>
          </w:p>
        </w:tc>
        <w:tc>
          <w:tcPr>
            <w:tcW w:w="7392" w:type="dxa"/>
            <w:tcBorders>
              <w:top w:val="single" w:sz="4" w:space="0" w:color="auto"/>
              <w:left w:val="single" w:sz="4" w:space="0" w:color="auto"/>
              <w:bottom w:val="single" w:sz="4" w:space="0" w:color="auto"/>
              <w:right w:val="single" w:sz="4" w:space="0" w:color="auto"/>
            </w:tcBorders>
            <w:shd w:val="clear" w:color="auto" w:fill="auto"/>
          </w:tcPr>
          <w:p w:rsidR="008F5159" w:rsidRPr="008F5159" w:rsidRDefault="008F5159" w:rsidP="008F5159">
            <w:pPr>
              <w:widowControl/>
              <w:tabs>
                <w:tab w:val="left" w:pos="423"/>
              </w:tabs>
              <w:snapToGrid w:val="0"/>
              <w:spacing w:before="40" w:after="40"/>
              <w:ind w:leftChars="211" w:left="506" w:rightChars="71" w:right="170"/>
              <w:rPr>
                <w:rFonts w:ascii="Segoe UI" w:eastAsia="Times New Roman" w:hAnsi="Segoe UI" w:cs="Times New Roman"/>
                <w:kern w:val="0"/>
                <w:sz w:val="17"/>
                <w:szCs w:val="20"/>
                <w:lang w:val="en-GB" w:eastAsia="it-IT"/>
              </w:rPr>
            </w:pPr>
            <w:r w:rsidRPr="008F5159">
              <w:rPr>
                <w:rFonts w:ascii="Segoe UI" w:eastAsia="Times New Roman" w:hAnsi="Segoe UI" w:cs="Times New Roman"/>
                <w:kern w:val="0"/>
                <w:sz w:val="17"/>
                <w:szCs w:val="20"/>
                <w:lang w:val="en-GB" w:eastAsia="it-IT"/>
              </w:rPr>
              <w:tab/>
              <w:t>Of which: institution-specific countercyclical capital buffer requirement</w:t>
            </w:r>
          </w:p>
        </w:tc>
        <w:tc>
          <w:tcPr>
            <w:tcW w:w="1280" w:type="dxa"/>
            <w:tcBorders>
              <w:top w:val="single" w:sz="4" w:space="0" w:color="auto"/>
              <w:left w:val="single" w:sz="4" w:space="0" w:color="auto"/>
              <w:bottom w:val="single" w:sz="4" w:space="0" w:color="auto"/>
              <w:right w:val="single" w:sz="4" w:space="0" w:color="auto"/>
            </w:tcBorders>
            <w:shd w:val="clear" w:color="auto" w:fill="auto"/>
          </w:tcPr>
          <w:p w:rsidR="008F5159" w:rsidRPr="008F5159" w:rsidRDefault="008F5159" w:rsidP="008F5159">
            <w:pPr>
              <w:widowControl/>
              <w:snapToGrid w:val="0"/>
              <w:spacing w:before="40" w:after="40"/>
              <w:ind w:left="57"/>
              <w:jc w:val="center"/>
              <w:rPr>
                <w:rFonts w:ascii="Segoe UI" w:eastAsia="Times New Roman" w:hAnsi="Segoe UI" w:cs="Times New Roman"/>
                <w:kern w:val="0"/>
                <w:sz w:val="17"/>
                <w:szCs w:val="20"/>
                <w:lang w:val="en-GB" w:eastAsia="it-IT"/>
              </w:rPr>
            </w:pPr>
          </w:p>
        </w:tc>
      </w:tr>
      <w:tr w:rsidR="008F5159" w:rsidRPr="008F5159" w:rsidTr="00297CA5">
        <w:trPr>
          <w:cantSplit/>
          <w:trHeight w:val="286"/>
        </w:trPr>
        <w:tc>
          <w:tcPr>
            <w:tcW w:w="572" w:type="dxa"/>
            <w:tcBorders>
              <w:top w:val="single" w:sz="6" w:space="0" w:color="auto"/>
              <w:left w:val="nil"/>
              <w:bottom w:val="single" w:sz="6" w:space="0" w:color="auto"/>
              <w:right w:val="single" w:sz="4" w:space="0" w:color="auto"/>
            </w:tcBorders>
            <w:shd w:val="clear" w:color="auto" w:fill="auto"/>
          </w:tcPr>
          <w:p w:rsidR="008F5159" w:rsidRPr="008F5159" w:rsidRDefault="008F5159" w:rsidP="008F5159">
            <w:pPr>
              <w:widowControl/>
              <w:snapToGrid w:val="0"/>
              <w:spacing w:before="40" w:after="40"/>
              <w:ind w:left="57"/>
              <w:rPr>
                <w:rFonts w:ascii="Segoe UI" w:eastAsia="Times New Roman" w:hAnsi="Segoe UI" w:cs="Times New Roman"/>
                <w:kern w:val="0"/>
                <w:sz w:val="17"/>
                <w:szCs w:val="17"/>
                <w:lang w:val="en-GB" w:eastAsia="en-GB"/>
              </w:rPr>
            </w:pPr>
            <w:r w:rsidRPr="008F5159">
              <w:rPr>
                <w:rFonts w:ascii="Segoe UI" w:eastAsia="Times New Roman" w:hAnsi="Segoe UI" w:cs="Times New Roman"/>
                <w:kern w:val="0"/>
                <w:sz w:val="17"/>
                <w:szCs w:val="17"/>
                <w:lang w:val="en-GB" w:eastAsia="en-GB"/>
              </w:rPr>
              <w:t>31</w:t>
            </w:r>
          </w:p>
        </w:tc>
        <w:tc>
          <w:tcPr>
            <w:tcW w:w="7392" w:type="dxa"/>
            <w:tcBorders>
              <w:top w:val="single" w:sz="4" w:space="0" w:color="auto"/>
              <w:left w:val="single" w:sz="4" w:space="0" w:color="auto"/>
              <w:bottom w:val="single" w:sz="4" w:space="0" w:color="auto"/>
              <w:right w:val="single" w:sz="4" w:space="0" w:color="auto"/>
            </w:tcBorders>
            <w:shd w:val="clear" w:color="auto" w:fill="auto"/>
          </w:tcPr>
          <w:p w:rsidR="008F5159" w:rsidRPr="008F5159" w:rsidRDefault="008F5159" w:rsidP="008F5159">
            <w:pPr>
              <w:widowControl/>
              <w:tabs>
                <w:tab w:val="left" w:pos="423"/>
              </w:tabs>
              <w:snapToGrid w:val="0"/>
              <w:spacing w:before="40" w:after="40"/>
              <w:ind w:leftChars="211" w:left="506" w:rightChars="71" w:right="170"/>
              <w:rPr>
                <w:rFonts w:ascii="Segoe UI" w:eastAsia="Times New Roman" w:hAnsi="Segoe UI" w:cs="Times New Roman"/>
                <w:kern w:val="0"/>
                <w:sz w:val="17"/>
                <w:szCs w:val="20"/>
                <w:lang w:val="en-GB" w:eastAsia="it-IT"/>
              </w:rPr>
            </w:pPr>
            <w:r w:rsidRPr="008F5159">
              <w:rPr>
                <w:rFonts w:ascii="Segoe UI" w:eastAsia="Times New Roman" w:hAnsi="Segoe UI" w:cs="Times New Roman"/>
                <w:kern w:val="0"/>
                <w:sz w:val="17"/>
                <w:szCs w:val="20"/>
                <w:lang w:val="en-GB" w:eastAsia="it-IT"/>
              </w:rPr>
              <w:tab/>
              <w:t>Of which: higher loss absorbency requirement</w:t>
            </w:r>
          </w:p>
        </w:tc>
        <w:tc>
          <w:tcPr>
            <w:tcW w:w="1280" w:type="dxa"/>
            <w:tcBorders>
              <w:top w:val="single" w:sz="4" w:space="0" w:color="auto"/>
              <w:left w:val="single" w:sz="4" w:space="0" w:color="auto"/>
              <w:bottom w:val="single" w:sz="4" w:space="0" w:color="auto"/>
              <w:right w:val="single" w:sz="4" w:space="0" w:color="auto"/>
            </w:tcBorders>
            <w:shd w:val="clear" w:color="auto" w:fill="auto"/>
          </w:tcPr>
          <w:p w:rsidR="008F5159" w:rsidRPr="008F5159" w:rsidRDefault="008F5159" w:rsidP="008F5159">
            <w:pPr>
              <w:widowControl/>
              <w:snapToGrid w:val="0"/>
              <w:spacing w:before="40" w:after="40"/>
              <w:ind w:left="57"/>
              <w:jc w:val="center"/>
              <w:rPr>
                <w:rFonts w:ascii="Segoe UI" w:eastAsia="Times New Roman" w:hAnsi="Segoe UI" w:cs="Times New Roman"/>
                <w:kern w:val="0"/>
                <w:sz w:val="17"/>
                <w:szCs w:val="20"/>
                <w:lang w:val="en-GB" w:eastAsia="it-IT"/>
              </w:rPr>
            </w:pPr>
          </w:p>
        </w:tc>
      </w:tr>
      <w:tr w:rsidR="008F5159" w:rsidRPr="008F5159" w:rsidTr="00297CA5">
        <w:trPr>
          <w:trHeight w:val="286"/>
        </w:trPr>
        <w:tc>
          <w:tcPr>
            <w:tcW w:w="9244" w:type="dxa"/>
            <w:gridSpan w:val="3"/>
            <w:tcBorders>
              <w:top w:val="single" w:sz="6" w:space="0" w:color="auto"/>
              <w:left w:val="nil"/>
              <w:bottom w:val="single" w:sz="6" w:space="0" w:color="auto"/>
              <w:right w:val="single" w:sz="4" w:space="0" w:color="auto"/>
            </w:tcBorders>
            <w:shd w:val="clear" w:color="auto" w:fill="auto"/>
          </w:tcPr>
          <w:p w:rsidR="008F5159" w:rsidRPr="008F5159" w:rsidRDefault="008F5159" w:rsidP="008F5159">
            <w:pPr>
              <w:widowControl/>
              <w:snapToGrid w:val="0"/>
              <w:spacing w:before="40" w:after="40" w:line="240" w:lineRule="exact"/>
              <w:ind w:rightChars="71" w:right="170"/>
              <w:jc w:val="both"/>
              <w:rPr>
                <w:rFonts w:ascii="Segoe UI" w:eastAsia="Times New Roman" w:hAnsi="Segoe UI" w:cs="Times New Roman"/>
                <w:i/>
                <w:kern w:val="0"/>
                <w:sz w:val="17"/>
                <w:szCs w:val="20"/>
                <w:lang w:val="en-GB" w:eastAsia="it-IT"/>
              </w:rPr>
            </w:pPr>
            <w:r w:rsidRPr="008F5159">
              <w:rPr>
                <w:rFonts w:ascii="Segoe UI" w:eastAsia="Times New Roman" w:hAnsi="Segoe UI" w:cs="Times New Roman"/>
                <w:i/>
                <w:kern w:val="0"/>
                <w:sz w:val="17"/>
                <w:szCs w:val="20"/>
                <w:lang w:val="en-GB" w:eastAsia="it-IT"/>
              </w:rPr>
              <w:t>Points to note:</w:t>
            </w:r>
          </w:p>
          <w:p w:rsidR="008F5159" w:rsidRPr="008F5159" w:rsidRDefault="008F5159" w:rsidP="008F5159">
            <w:pPr>
              <w:widowControl/>
              <w:numPr>
                <w:ilvl w:val="0"/>
                <w:numId w:val="3"/>
              </w:numPr>
              <w:snapToGrid w:val="0"/>
              <w:spacing w:before="40" w:after="40" w:line="240" w:lineRule="exact"/>
              <w:ind w:rightChars="71" w:right="170"/>
              <w:jc w:val="both"/>
              <w:rPr>
                <w:rFonts w:ascii="Segoe UI" w:eastAsia="Times New Roman" w:hAnsi="Segoe UI" w:cs="Times New Roman"/>
                <w:i/>
                <w:kern w:val="0"/>
                <w:sz w:val="17"/>
                <w:szCs w:val="20"/>
                <w:lang w:val="en-GB" w:eastAsia="it-IT"/>
              </w:rPr>
            </w:pPr>
            <w:r w:rsidRPr="008F5159">
              <w:rPr>
                <w:rFonts w:ascii="Segoe UI" w:eastAsia="Times New Roman" w:hAnsi="Segoe UI" w:cs="Times New Roman"/>
                <w:i/>
                <w:kern w:val="0"/>
                <w:sz w:val="17"/>
                <w:szCs w:val="20"/>
                <w:lang w:val="en-GB" w:eastAsia="it-IT"/>
              </w:rPr>
              <w:t>Under the BCBS’s standards on Pillar 3 disclosure requirements – consolidated and enhanced framework (March 2017), template TLAC1 applies to the disclosure of loss-absorbing capacity composition at the resolution group level.  In tailoring template TLAC1 for Hong Kong, the HKMA has made necessary adjustments so that the template applies to the disclosure of external loss-absorbing capacity composition at the LAC consolidation group level, instead of the resolution group level, to reflect that a requirement of a resolution entity to maintain, on a consolidated basis, its external LAC risk-weighted ratio or its external LAC leverage ratio at or above a specified minimum under the LAC Rules is imposed with respect to its LAC consolidation group.</w:t>
            </w:r>
          </w:p>
          <w:p w:rsidR="008F5159" w:rsidRPr="008F5159" w:rsidRDefault="008F5159" w:rsidP="008F5159">
            <w:pPr>
              <w:widowControl/>
              <w:numPr>
                <w:ilvl w:val="0"/>
                <w:numId w:val="3"/>
              </w:numPr>
              <w:snapToGrid w:val="0"/>
              <w:spacing w:before="40" w:after="40" w:line="240" w:lineRule="exact"/>
              <w:ind w:rightChars="71" w:right="170"/>
              <w:jc w:val="both"/>
              <w:rPr>
                <w:rFonts w:ascii="Segoe UI" w:eastAsia="Times New Roman" w:hAnsi="Segoe UI" w:cs="Times New Roman"/>
                <w:i/>
                <w:kern w:val="0"/>
                <w:sz w:val="17"/>
                <w:szCs w:val="20"/>
                <w:lang w:val="en-GB" w:eastAsia="it-IT"/>
              </w:rPr>
            </w:pPr>
            <w:r w:rsidRPr="008F5159">
              <w:rPr>
                <w:rFonts w:ascii="Segoe UI" w:eastAsia="Times New Roman" w:hAnsi="Segoe UI" w:cs="Times New Roman"/>
                <w:i/>
                <w:kern w:val="0"/>
                <w:sz w:val="17"/>
                <w:szCs w:val="20"/>
                <w:lang w:val="en-GB" w:eastAsia="it-IT"/>
              </w:rPr>
              <w:t>Where the LAC consolidation group of the resolution entity under the LAC Rules is the same as the capital consolidation group, those rows that refer to regulatory capital before adjustments coincide with information provided under template CC1.  Otherwise, the capital and RWA for regulatory capital purposes for a LAC consolidation group reported in this template will not directly correspond to the capital and RWA for regulatory capital purposes reported in template CC1.</w:t>
            </w:r>
          </w:p>
          <w:p w:rsidR="008F5159" w:rsidRPr="008F5159" w:rsidRDefault="008F5159" w:rsidP="008F5159">
            <w:pPr>
              <w:widowControl/>
              <w:numPr>
                <w:ilvl w:val="0"/>
                <w:numId w:val="3"/>
              </w:numPr>
              <w:snapToGrid w:val="0"/>
              <w:spacing w:before="40" w:after="40" w:line="240" w:lineRule="exact"/>
              <w:ind w:rightChars="71" w:right="170"/>
              <w:jc w:val="both"/>
              <w:rPr>
                <w:rFonts w:ascii="Segoe UI" w:eastAsia="Times New Roman" w:hAnsi="Segoe UI" w:cs="Times New Roman"/>
                <w:i/>
                <w:kern w:val="0"/>
                <w:sz w:val="17"/>
                <w:szCs w:val="17"/>
                <w:lang w:val="en-GB" w:eastAsia="it-IT"/>
              </w:rPr>
            </w:pPr>
            <w:r w:rsidRPr="008F5159">
              <w:rPr>
                <w:rFonts w:ascii="Segoe UI" w:eastAsia="Times New Roman" w:hAnsi="Segoe UI" w:cs="Times New Roman"/>
                <w:i/>
                <w:kern w:val="0"/>
                <w:sz w:val="17"/>
                <w:szCs w:val="20"/>
                <w:lang w:val="en-GB" w:eastAsia="it-IT"/>
              </w:rPr>
              <w:t xml:space="preserve">The regulatory capital elements of external loss-absorbing capacity of a LAC consolidation group shall include only capital instruments issued by entities belonging to the LAC consolidation group.  The external loss-absorbing capacity position is based on the risk-weighted amount under the LAC Rules (as set out in paragraph (a)(ii) or paragraph (b) (as the case requires) of the definition of “risk-weighted amount” under rule 2 of the LAC Rules) and exposure measure under the LAC Rules (as set out in paragraph (a)(ii) or paragraph (b) (as the case requires) of the definition of “exposure measure” under rule 2 of the LAC Rules) calculated at the level of the </w:t>
            </w:r>
            <w:r w:rsidRPr="008F5159">
              <w:rPr>
                <w:rFonts w:ascii="Segoe UI" w:eastAsia="Times New Roman" w:hAnsi="Segoe UI" w:cs="Times New Roman"/>
                <w:i/>
                <w:kern w:val="0"/>
                <w:sz w:val="17"/>
                <w:szCs w:val="20"/>
                <w:lang w:val="en-GB" w:eastAsia="it-IT"/>
              </w:rPr>
              <w:lastRenderedPageBreak/>
              <w:t xml:space="preserve">LAC consolidation group.  </w:t>
            </w:r>
          </w:p>
          <w:p w:rsidR="008F5159" w:rsidRPr="008F5159" w:rsidRDefault="008F5159" w:rsidP="008F5159">
            <w:pPr>
              <w:widowControl/>
              <w:numPr>
                <w:ilvl w:val="0"/>
                <w:numId w:val="3"/>
              </w:numPr>
              <w:snapToGrid w:val="0"/>
              <w:spacing w:before="40" w:after="40" w:line="240" w:lineRule="exact"/>
              <w:ind w:rightChars="71" w:right="170"/>
              <w:jc w:val="both"/>
              <w:rPr>
                <w:rFonts w:ascii="Segoe UI" w:eastAsia="Times New Roman" w:hAnsi="Segoe UI" w:cs="Times New Roman"/>
                <w:i/>
                <w:kern w:val="0"/>
                <w:sz w:val="17"/>
                <w:szCs w:val="20"/>
                <w:lang w:val="en-GB" w:eastAsia="it-IT"/>
              </w:rPr>
            </w:pPr>
            <w:r w:rsidRPr="008F5159">
              <w:rPr>
                <w:rFonts w:ascii="Segoe UI" w:eastAsia="Times New Roman" w:hAnsi="Segoe UI" w:cs="Times New Roman"/>
                <w:i/>
                <w:kern w:val="0"/>
                <w:sz w:val="17"/>
                <w:szCs w:val="17"/>
                <w:lang w:val="en-GB" w:eastAsia="en-US"/>
              </w:rPr>
              <w:t xml:space="preserve">Unless otherwise specified, any holdings of non-capital LAC liabilities issued by financial sector entities that are group companies that are not members of the resolution entity’s LAC consolidation group which </w:t>
            </w:r>
            <w:r w:rsidRPr="008F5159">
              <w:rPr>
                <w:rFonts w:ascii="Segoe UI" w:eastAsia="Times New Roman" w:hAnsi="Segoe UI" w:cs="Times New Roman"/>
                <w:i/>
                <w:kern w:val="0"/>
                <w:sz w:val="17"/>
                <w:szCs w:val="20"/>
                <w:lang w:val="en-GB" w:eastAsia="it-IT"/>
              </w:rPr>
              <w:t>should be deducted from external loss-absorbing capacity under the LAC Rules are to be reported in row 19.</w:t>
            </w:r>
            <w:r w:rsidRPr="008F5159">
              <w:rPr>
                <w:rFonts w:ascii="Segoe UI" w:eastAsia="Times New Roman" w:hAnsi="Segoe UI" w:cs="Times New Roman"/>
                <w:i/>
                <w:kern w:val="0"/>
                <w:sz w:val="17"/>
                <w:szCs w:val="17"/>
                <w:lang w:val="en-GB" w:eastAsia="en-US"/>
              </w:rPr>
              <w:t xml:space="preserve">  If applicable, any holdings of non-capital LAC liabilities issued by such financial sector entities which should be deducted pursuant to the BCR (or, for a resolution entity that is not an AI, which should be deducted as if the BCR applied to it) should have been reflected in the figures reported for rows 1, 2, and 6 (i.e. the figures reported for rows 1, 2 and 6 should be net of such holdings), following BCR provisions governing the mechanism for deduction of the holdings, i.e. only the amount of such holdings which exceeds the sum of the non-capital LAC debt instruments issued by the resolution entity are deducted from its T2 capital, AT1 capital or CET1 capital, as applicable.  </w:t>
            </w:r>
          </w:p>
          <w:p w:rsidR="008F5159" w:rsidRPr="008F5159" w:rsidRDefault="008F5159" w:rsidP="008F5159">
            <w:pPr>
              <w:widowControl/>
              <w:numPr>
                <w:ilvl w:val="0"/>
                <w:numId w:val="3"/>
              </w:numPr>
              <w:snapToGrid w:val="0"/>
              <w:spacing w:before="40" w:after="40" w:line="240" w:lineRule="exact"/>
              <w:ind w:rightChars="71" w:right="170"/>
              <w:jc w:val="both"/>
              <w:rPr>
                <w:rFonts w:ascii="Segoe UI" w:eastAsia="Times New Roman" w:hAnsi="Segoe UI" w:cs="Times New Roman"/>
                <w:i/>
                <w:kern w:val="0"/>
                <w:sz w:val="17"/>
                <w:szCs w:val="20"/>
                <w:lang w:val="en-GB" w:eastAsia="it-IT"/>
              </w:rPr>
            </w:pPr>
            <w:r w:rsidRPr="008F5159">
              <w:rPr>
                <w:rFonts w:ascii="Segoe UI" w:eastAsia="Times New Roman" w:hAnsi="Segoe UI" w:cs="Times New Roman"/>
                <w:i/>
                <w:kern w:val="0"/>
                <w:sz w:val="17"/>
                <w:szCs w:val="20"/>
                <w:lang w:val="en-GB" w:eastAsia="it-IT"/>
              </w:rPr>
              <w:t>In the case of a resolution entity that is an AI and whose LAC consolidation group is the same as its capital consolidation group, the resolution entity may, pursuant to rule 52(2) of the LAC Rules and subject to the specified conditions being met, set out figures for rows 28 to 31 in a separate document (e.g. a document for reporting under template KM1) that is signposted in this template, instead of reporting the figures in these rows in this template.</w:t>
            </w:r>
          </w:p>
          <w:p w:rsidR="008F5159" w:rsidRPr="008F5159" w:rsidRDefault="008F5159" w:rsidP="008F5159">
            <w:pPr>
              <w:widowControl/>
              <w:numPr>
                <w:ilvl w:val="0"/>
                <w:numId w:val="3"/>
              </w:numPr>
              <w:snapToGrid w:val="0"/>
              <w:spacing w:before="40" w:after="40" w:line="240" w:lineRule="exact"/>
              <w:ind w:rightChars="71" w:right="170"/>
              <w:jc w:val="both"/>
              <w:rPr>
                <w:rFonts w:ascii="Segoe UI" w:eastAsia="Times New Roman" w:hAnsi="Segoe UI" w:cs="Times New Roman"/>
                <w:i/>
                <w:kern w:val="0"/>
                <w:sz w:val="17"/>
                <w:szCs w:val="20"/>
                <w:lang w:val="en-GB" w:eastAsia="it-IT"/>
              </w:rPr>
            </w:pPr>
            <w:r w:rsidRPr="008F5159">
              <w:rPr>
                <w:rFonts w:ascii="Segoe UI" w:eastAsia="新細明體" w:hAnsi="Segoe UI" w:cs="Segoe UI"/>
                <w:i/>
                <w:color w:val="000000"/>
                <w:kern w:val="0"/>
                <w:sz w:val="17"/>
                <w:szCs w:val="17"/>
                <w:lang w:val="en-GB" w:eastAsia="en-US"/>
              </w:rPr>
              <w:t xml:space="preserve">All figures should be reported in absolute amount regardless of whether the amount is to be added to or deducted from the total.  </w:t>
            </w:r>
          </w:p>
          <w:p w:rsidR="008F5159" w:rsidRPr="008F5159" w:rsidRDefault="008F5159" w:rsidP="008F5159">
            <w:pPr>
              <w:widowControl/>
              <w:numPr>
                <w:ilvl w:val="0"/>
                <w:numId w:val="3"/>
              </w:numPr>
              <w:snapToGrid w:val="0"/>
              <w:spacing w:before="40" w:after="40" w:line="240" w:lineRule="exact"/>
              <w:ind w:rightChars="71" w:right="170"/>
              <w:jc w:val="both"/>
              <w:rPr>
                <w:rFonts w:ascii="Segoe UI" w:eastAsia="Times New Roman" w:hAnsi="Segoe UI" w:cs="Times New Roman"/>
                <w:i/>
                <w:kern w:val="0"/>
                <w:sz w:val="17"/>
                <w:szCs w:val="20"/>
                <w:lang w:val="en-GB" w:eastAsia="it-IT"/>
              </w:rPr>
            </w:pPr>
            <w:r w:rsidRPr="008F5159">
              <w:rPr>
                <w:rFonts w:ascii="Segoe UI" w:eastAsia="新細明體" w:hAnsi="Segoe UI" w:cs="Segoe UI"/>
                <w:i/>
                <w:color w:val="000000"/>
                <w:kern w:val="0"/>
                <w:sz w:val="17"/>
                <w:szCs w:val="17"/>
                <w:lang w:val="en-GB" w:eastAsia="en-US"/>
              </w:rPr>
              <w:t>Where the functional currency of a resolution entity is a currency other than Hong Kong dollars and the resolution entity reports amounts in this template in Hong Kong dollars, the closing middle market T/T rates prevailing at the end of the current reporting period should be used for conversion purposes.</w:t>
            </w:r>
          </w:p>
          <w:p w:rsidR="008F5159" w:rsidRPr="008F5159" w:rsidRDefault="008F5159" w:rsidP="008F5159">
            <w:pPr>
              <w:widowControl/>
              <w:numPr>
                <w:ilvl w:val="0"/>
                <w:numId w:val="3"/>
              </w:numPr>
              <w:snapToGrid w:val="0"/>
              <w:spacing w:before="40" w:after="40" w:line="240" w:lineRule="exact"/>
              <w:ind w:rightChars="71" w:right="170"/>
              <w:jc w:val="both"/>
              <w:rPr>
                <w:rFonts w:ascii="Segoe UI" w:eastAsia="Times New Roman" w:hAnsi="Segoe UI" w:cs="Times New Roman"/>
                <w:i/>
                <w:kern w:val="0"/>
                <w:sz w:val="17"/>
                <w:szCs w:val="20"/>
                <w:lang w:val="en-GB" w:eastAsia="it-IT"/>
              </w:rPr>
            </w:pPr>
            <w:r w:rsidRPr="008F5159">
              <w:rPr>
                <w:rFonts w:ascii="Segoe UI" w:eastAsia="Times New Roman" w:hAnsi="Segoe UI" w:cs="Times New Roman"/>
                <w:i/>
                <w:kern w:val="0"/>
                <w:sz w:val="17"/>
                <w:szCs w:val="20"/>
                <w:lang w:val="en-GB" w:eastAsia="it-IT"/>
              </w:rPr>
              <w:t>Regarding the shading:</w:t>
            </w:r>
          </w:p>
          <w:p w:rsidR="008F5159" w:rsidRPr="008F5159" w:rsidRDefault="008F5159" w:rsidP="008F5159">
            <w:pPr>
              <w:widowControl/>
              <w:numPr>
                <w:ilvl w:val="1"/>
                <w:numId w:val="3"/>
              </w:numPr>
              <w:autoSpaceDE w:val="0"/>
              <w:autoSpaceDN w:val="0"/>
              <w:adjustRightInd w:val="0"/>
              <w:spacing w:after="60" w:line="240" w:lineRule="exact"/>
              <w:ind w:rightChars="71" w:right="170"/>
              <w:jc w:val="both"/>
              <w:rPr>
                <w:rFonts w:ascii="Segoe UI" w:eastAsia="Times New Roman" w:hAnsi="Segoe UI" w:cs="Times New Roman"/>
                <w:i/>
                <w:kern w:val="0"/>
                <w:sz w:val="17"/>
                <w:szCs w:val="17"/>
                <w:lang w:val="en-GB" w:eastAsia="it-IT"/>
              </w:rPr>
            </w:pPr>
            <w:r w:rsidRPr="008F5159">
              <w:rPr>
                <w:rFonts w:ascii="Segoe UI" w:eastAsia="Times New Roman" w:hAnsi="Segoe UI" w:cs="Times New Roman"/>
                <w:i/>
                <w:kern w:val="0"/>
                <w:sz w:val="17"/>
                <w:szCs w:val="17"/>
                <w:lang w:val="en-GB" w:eastAsia="it-IT"/>
              </w:rPr>
              <w:t>A row shaded dark grey introduces a new section detailing one of the main components of external loss-absorbing capacity.</w:t>
            </w:r>
          </w:p>
          <w:p w:rsidR="008F5159" w:rsidRPr="008F5159" w:rsidRDefault="008F5159" w:rsidP="008F5159">
            <w:pPr>
              <w:widowControl/>
              <w:numPr>
                <w:ilvl w:val="1"/>
                <w:numId w:val="3"/>
              </w:numPr>
              <w:autoSpaceDE w:val="0"/>
              <w:autoSpaceDN w:val="0"/>
              <w:adjustRightInd w:val="0"/>
              <w:spacing w:after="60" w:line="240" w:lineRule="exact"/>
              <w:ind w:rightChars="71" w:right="170"/>
              <w:jc w:val="both"/>
              <w:rPr>
                <w:rFonts w:ascii="Segoe UI" w:eastAsia="Times New Roman" w:hAnsi="Segoe UI" w:cs="Times New Roman"/>
                <w:i/>
                <w:kern w:val="0"/>
                <w:sz w:val="17"/>
                <w:szCs w:val="17"/>
                <w:lang w:val="en-GB" w:eastAsia="it-IT"/>
              </w:rPr>
            </w:pPr>
            <w:r w:rsidRPr="008F5159">
              <w:rPr>
                <w:rFonts w:ascii="Segoe UI" w:eastAsia="Times New Roman" w:hAnsi="Segoe UI" w:cs="Times New Roman"/>
                <w:i/>
                <w:kern w:val="0"/>
                <w:sz w:val="17"/>
                <w:szCs w:val="17"/>
                <w:lang w:val="en-GB" w:eastAsia="it-IT"/>
              </w:rPr>
              <w:t>A row shaded light grey with no thick border reports the sum of the rows in the relevant section.</w:t>
            </w:r>
          </w:p>
          <w:p w:rsidR="008F5159" w:rsidRPr="008F5159" w:rsidRDefault="008F5159" w:rsidP="008F5159">
            <w:pPr>
              <w:widowControl/>
              <w:numPr>
                <w:ilvl w:val="1"/>
                <w:numId w:val="3"/>
              </w:numPr>
              <w:autoSpaceDE w:val="0"/>
              <w:autoSpaceDN w:val="0"/>
              <w:adjustRightInd w:val="0"/>
              <w:spacing w:after="60" w:line="240" w:lineRule="exact"/>
              <w:ind w:rightChars="71" w:right="170"/>
              <w:jc w:val="both"/>
              <w:rPr>
                <w:rFonts w:ascii="Segoe UI" w:eastAsia="Times New Roman" w:hAnsi="Segoe UI" w:cs="Times New Roman"/>
                <w:i/>
                <w:kern w:val="0"/>
                <w:sz w:val="17"/>
                <w:szCs w:val="17"/>
                <w:lang w:val="en-GB" w:eastAsia="it-IT"/>
              </w:rPr>
            </w:pPr>
            <w:r w:rsidRPr="008F5159">
              <w:rPr>
                <w:rFonts w:ascii="Segoe UI" w:eastAsia="Times New Roman" w:hAnsi="Segoe UI" w:cs="Times New Roman"/>
                <w:i/>
                <w:kern w:val="0"/>
                <w:sz w:val="17"/>
                <w:szCs w:val="17"/>
                <w:lang w:val="en-GB" w:eastAsia="it-IT"/>
              </w:rPr>
              <w:t>A row shaded light grey with a thick border reports one of the main components of external loss-absorbing capacity</w:t>
            </w:r>
          </w:p>
          <w:p w:rsidR="008F5159" w:rsidRPr="008F5159" w:rsidRDefault="008F5159" w:rsidP="008F5159">
            <w:pPr>
              <w:widowControl/>
              <w:numPr>
                <w:ilvl w:val="1"/>
                <w:numId w:val="3"/>
              </w:numPr>
              <w:autoSpaceDE w:val="0"/>
              <w:autoSpaceDN w:val="0"/>
              <w:adjustRightInd w:val="0"/>
              <w:spacing w:after="60" w:line="240" w:lineRule="exact"/>
              <w:ind w:rightChars="71" w:right="170"/>
              <w:jc w:val="both"/>
              <w:rPr>
                <w:rFonts w:ascii="Segoe UI" w:eastAsia="Times New Roman" w:hAnsi="Segoe UI" w:cs="Times New Roman"/>
                <w:i/>
                <w:kern w:val="0"/>
                <w:sz w:val="17"/>
                <w:szCs w:val="17"/>
                <w:lang w:val="en-GB" w:eastAsia="it-IT"/>
              </w:rPr>
            </w:pPr>
            <w:r w:rsidRPr="008F5159">
              <w:rPr>
                <w:rFonts w:ascii="Segoe UI" w:eastAsia="Times New Roman" w:hAnsi="Segoe UI" w:cs="Times New Roman"/>
                <w:i/>
                <w:kern w:val="0"/>
                <w:sz w:val="17"/>
                <w:szCs w:val="17"/>
                <w:lang w:val="en-GB" w:eastAsia="it-IT"/>
              </w:rPr>
              <w:t>A row shaded yellow identifies an item that is not applicable in Hong Kong.</w:t>
            </w:r>
          </w:p>
          <w:p w:rsidR="008F5159" w:rsidRPr="008F5159" w:rsidRDefault="008F5159" w:rsidP="008F5159">
            <w:pPr>
              <w:widowControl/>
              <w:numPr>
                <w:ilvl w:val="0"/>
                <w:numId w:val="3"/>
              </w:numPr>
              <w:snapToGrid w:val="0"/>
              <w:spacing w:before="40" w:after="40" w:line="240" w:lineRule="exact"/>
              <w:ind w:rightChars="71" w:right="170"/>
              <w:jc w:val="both"/>
              <w:rPr>
                <w:rFonts w:ascii="Segoe UI" w:eastAsia="Times New Roman" w:hAnsi="Segoe UI" w:cs="Times New Roman"/>
                <w:i/>
                <w:kern w:val="0"/>
                <w:sz w:val="17"/>
                <w:szCs w:val="17"/>
                <w:lang w:val="en-GB" w:eastAsia="it-IT"/>
              </w:rPr>
            </w:pPr>
            <w:r w:rsidRPr="008F5159">
              <w:rPr>
                <w:rFonts w:ascii="Segoe UI" w:eastAsia="Times New Roman" w:hAnsi="Segoe UI" w:cs="Times New Roman"/>
                <w:i/>
                <w:kern w:val="0"/>
                <w:sz w:val="17"/>
                <w:szCs w:val="20"/>
                <w:lang w:val="en-GB" w:eastAsia="it-IT"/>
              </w:rPr>
              <w:t xml:space="preserve">The following table provides guidance in relation to each row of the above template.  </w:t>
            </w:r>
          </w:p>
        </w:tc>
      </w:tr>
    </w:tbl>
    <w:p w:rsidR="008F5159" w:rsidRPr="008F5159" w:rsidRDefault="008F5159" w:rsidP="008F5159">
      <w:pPr>
        <w:widowControl/>
        <w:spacing w:before="120" w:after="120"/>
        <w:rPr>
          <w:rFonts w:ascii="Segoe UI" w:eastAsia="Times New Roman" w:hAnsi="Segoe UI" w:cs="Times New Roman"/>
          <w:kern w:val="0"/>
          <w:sz w:val="17"/>
          <w:szCs w:val="17"/>
          <w:u w:val="single"/>
          <w:lang w:val="en-GB" w:eastAsia="en-US"/>
        </w:rPr>
      </w:pPr>
    </w:p>
    <w:tbl>
      <w:tblPr>
        <w:tblStyle w:val="TableGrid1"/>
        <w:tblW w:w="9214" w:type="dxa"/>
        <w:tblInd w:w="-459" w:type="dxa"/>
        <w:tblLook w:val="04A0" w:firstRow="1" w:lastRow="0" w:firstColumn="1" w:lastColumn="0" w:noHBand="0" w:noVBand="1"/>
      </w:tblPr>
      <w:tblGrid>
        <w:gridCol w:w="567"/>
        <w:gridCol w:w="8647"/>
      </w:tblGrid>
      <w:tr w:rsidR="008F5159" w:rsidRPr="008F5159" w:rsidTr="00297CA5">
        <w:trPr>
          <w:tblHeader/>
        </w:trPr>
        <w:tc>
          <w:tcPr>
            <w:tcW w:w="9214" w:type="dxa"/>
            <w:gridSpan w:val="2"/>
            <w:shd w:val="clear" w:color="auto" w:fill="BFBFBF" w:themeFill="background1" w:themeFillShade="BF"/>
          </w:tcPr>
          <w:p w:rsidR="008F5159" w:rsidRPr="008F5159" w:rsidRDefault="008F5159" w:rsidP="008F5159">
            <w:pPr>
              <w:widowControl/>
              <w:spacing w:before="40" w:after="40"/>
              <w:jc w:val="both"/>
              <w:rPr>
                <w:rFonts w:ascii="Segoe UI" w:hAnsi="Segoe UI" w:cs="Times New Roman"/>
                <w:b/>
                <w:kern w:val="0"/>
                <w:sz w:val="17"/>
                <w:szCs w:val="17"/>
                <w:lang w:val="en-GB" w:eastAsia="en-GB"/>
              </w:rPr>
            </w:pPr>
            <w:r w:rsidRPr="008F5159">
              <w:rPr>
                <w:rFonts w:ascii="Segoe UI" w:hAnsi="Segoe UI" w:cs="Times New Roman"/>
                <w:b/>
                <w:kern w:val="0"/>
                <w:sz w:val="17"/>
                <w:szCs w:val="17"/>
                <w:lang w:val="en-GB" w:eastAsia="en-GB"/>
              </w:rPr>
              <w:t>Explanatory Note</w:t>
            </w:r>
          </w:p>
        </w:tc>
      </w:tr>
      <w:tr w:rsidR="008F5159" w:rsidRPr="008F5159" w:rsidTr="00297CA5">
        <w:trPr>
          <w:trHeight w:val="373"/>
        </w:trPr>
        <w:tc>
          <w:tcPr>
            <w:tcW w:w="9214" w:type="dxa"/>
            <w:gridSpan w:val="2"/>
            <w:shd w:val="clear" w:color="auto" w:fill="F2F2F2" w:themeFill="background1" w:themeFillShade="F2"/>
          </w:tcPr>
          <w:p w:rsidR="008F5159" w:rsidRPr="008F5159" w:rsidRDefault="008F5159" w:rsidP="008F5159">
            <w:pPr>
              <w:widowControl/>
              <w:spacing w:before="40" w:after="40"/>
              <w:jc w:val="both"/>
              <w:rPr>
                <w:rFonts w:ascii="Segoe UI" w:eastAsia="Times New Roman" w:hAnsi="Segoe UI" w:cs="Times New Roman"/>
                <w:i/>
                <w:kern w:val="0"/>
                <w:sz w:val="17"/>
                <w:szCs w:val="17"/>
                <w:lang w:val="en-GB" w:eastAsia="en-US"/>
              </w:rPr>
            </w:pPr>
            <w:r w:rsidRPr="008F5159">
              <w:rPr>
                <w:rFonts w:ascii="Segoe UI" w:hAnsi="Segoe UI" w:cs="Times New Roman"/>
                <w:b/>
                <w:kern w:val="0"/>
                <w:sz w:val="17"/>
                <w:szCs w:val="17"/>
                <w:lang w:val="en-GB" w:eastAsia="en-GB"/>
              </w:rPr>
              <w:t>Rows</w:t>
            </w:r>
          </w:p>
        </w:tc>
      </w:tr>
      <w:tr w:rsidR="008F5159" w:rsidRPr="008F5159" w:rsidTr="00297CA5">
        <w:trPr>
          <w:trHeight w:val="373"/>
        </w:trPr>
        <w:tc>
          <w:tcPr>
            <w:tcW w:w="567" w:type="dxa"/>
          </w:tcPr>
          <w:p w:rsidR="008F5159" w:rsidRPr="008F5159" w:rsidRDefault="008F5159" w:rsidP="008F5159">
            <w:pPr>
              <w:keepLines/>
              <w:tabs>
                <w:tab w:val="left" w:pos="150"/>
                <w:tab w:val="left" w:pos="397"/>
                <w:tab w:val="left" w:pos="794"/>
                <w:tab w:val="left" w:pos="1191"/>
              </w:tabs>
              <w:spacing w:before="40" w:after="40"/>
              <w:rPr>
                <w:rFonts w:ascii="Segoe UI" w:eastAsia="Times New Roman" w:hAnsi="Segoe UI" w:cs="Segoe UI"/>
                <w:kern w:val="0"/>
                <w:sz w:val="17"/>
                <w:szCs w:val="17"/>
                <w:lang w:val="en-GB" w:eastAsia="en-GB"/>
              </w:rPr>
            </w:pPr>
            <w:r w:rsidRPr="008F5159">
              <w:rPr>
                <w:rFonts w:ascii="Segoe UI" w:eastAsia="Times New Roman" w:hAnsi="Segoe UI" w:cs="Segoe UI"/>
                <w:kern w:val="0"/>
                <w:sz w:val="17"/>
                <w:szCs w:val="17"/>
                <w:lang w:val="en-GB" w:eastAsia="en-GB"/>
              </w:rPr>
              <w:t>1</w:t>
            </w:r>
          </w:p>
        </w:tc>
        <w:tc>
          <w:tcPr>
            <w:tcW w:w="8647" w:type="dxa"/>
          </w:tcPr>
          <w:p w:rsidR="008F5159" w:rsidRPr="008F5159" w:rsidRDefault="008F5159" w:rsidP="008F5159">
            <w:pPr>
              <w:widowControl/>
              <w:spacing w:before="40" w:after="40"/>
              <w:jc w:val="both"/>
              <w:rPr>
                <w:rFonts w:ascii="Segoe UI" w:eastAsia="Times New Roman" w:hAnsi="Segoe UI" w:cs="Times New Roman"/>
                <w:kern w:val="0"/>
                <w:sz w:val="17"/>
                <w:szCs w:val="17"/>
                <w:lang w:val="en-GB" w:eastAsia="en-US"/>
              </w:rPr>
            </w:pPr>
            <w:r w:rsidRPr="008F5159">
              <w:rPr>
                <w:rFonts w:ascii="Segoe UI" w:eastAsia="Times New Roman" w:hAnsi="Segoe UI" w:cs="Times New Roman"/>
                <w:kern w:val="0"/>
                <w:sz w:val="17"/>
                <w:szCs w:val="17"/>
                <w:lang w:val="en-GB" w:eastAsia="en-US"/>
              </w:rPr>
              <w:t xml:space="preserve">CET1 capital of the resolution entity, calculated as if the BCR applied to the entity with respect to its LAC consolidation group as defined in the LAC Rules.  </w:t>
            </w:r>
          </w:p>
        </w:tc>
      </w:tr>
      <w:tr w:rsidR="008F5159" w:rsidRPr="008F5159" w:rsidTr="00297CA5">
        <w:trPr>
          <w:trHeight w:val="373"/>
        </w:trPr>
        <w:tc>
          <w:tcPr>
            <w:tcW w:w="567" w:type="dxa"/>
          </w:tcPr>
          <w:p w:rsidR="008F5159" w:rsidRPr="008F5159" w:rsidRDefault="008F5159" w:rsidP="008F5159">
            <w:pPr>
              <w:keepLines/>
              <w:tabs>
                <w:tab w:val="left" w:pos="150"/>
                <w:tab w:val="left" w:pos="397"/>
                <w:tab w:val="left" w:pos="794"/>
                <w:tab w:val="left" w:pos="1191"/>
              </w:tabs>
              <w:spacing w:before="40" w:after="40"/>
              <w:rPr>
                <w:rFonts w:ascii="Segoe UI" w:eastAsia="Times New Roman" w:hAnsi="Segoe UI" w:cs="Segoe UI"/>
                <w:kern w:val="0"/>
                <w:sz w:val="17"/>
                <w:szCs w:val="17"/>
                <w:lang w:val="en-GB" w:eastAsia="en-GB"/>
              </w:rPr>
            </w:pPr>
            <w:r w:rsidRPr="008F5159">
              <w:rPr>
                <w:rFonts w:ascii="Segoe UI" w:eastAsia="Times New Roman" w:hAnsi="Segoe UI" w:cs="Segoe UI"/>
                <w:kern w:val="0"/>
                <w:sz w:val="17"/>
                <w:szCs w:val="17"/>
                <w:lang w:val="en-GB" w:eastAsia="en-GB"/>
              </w:rPr>
              <w:t>2</w:t>
            </w:r>
          </w:p>
        </w:tc>
        <w:tc>
          <w:tcPr>
            <w:tcW w:w="8647" w:type="dxa"/>
          </w:tcPr>
          <w:p w:rsidR="008F5159" w:rsidRPr="008F5159" w:rsidRDefault="008F5159" w:rsidP="008F5159">
            <w:pPr>
              <w:widowControl/>
              <w:spacing w:before="40" w:after="40"/>
              <w:jc w:val="both"/>
              <w:rPr>
                <w:rFonts w:ascii="Segoe UI" w:eastAsia="Times New Roman" w:hAnsi="Segoe UI" w:cs="Times New Roman"/>
                <w:kern w:val="0"/>
                <w:sz w:val="15"/>
                <w:szCs w:val="17"/>
                <w:lang w:val="en-GB" w:eastAsia="en-US"/>
              </w:rPr>
            </w:pPr>
            <w:r w:rsidRPr="008F5159">
              <w:rPr>
                <w:rFonts w:ascii="Segoe UI" w:eastAsia="Times New Roman" w:hAnsi="Segoe UI" w:cs="Times New Roman"/>
                <w:kern w:val="0"/>
                <w:sz w:val="17"/>
                <w:szCs w:val="17"/>
                <w:lang w:val="en-GB" w:eastAsia="en-US"/>
              </w:rPr>
              <w:t>AT1 capital before LAC adjustments of the resolution entity, calculated as if the BCR applied to the entity with respect to its LAC consolidation group as defined in the LAC Rules.</w:t>
            </w:r>
          </w:p>
        </w:tc>
      </w:tr>
      <w:tr w:rsidR="008F5159" w:rsidRPr="008F5159" w:rsidTr="00297CA5">
        <w:trPr>
          <w:trHeight w:val="373"/>
        </w:trPr>
        <w:tc>
          <w:tcPr>
            <w:tcW w:w="567" w:type="dxa"/>
          </w:tcPr>
          <w:p w:rsidR="008F5159" w:rsidRPr="008F5159" w:rsidRDefault="008F5159" w:rsidP="008F5159">
            <w:pPr>
              <w:keepLines/>
              <w:tabs>
                <w:tab w:val="left" w:pos="150"/>
                <w:tab w:val="left" w:pos="397"/>
                <w:tab w:val="left" w:pos="794"/>
                <w:tab w:val="left" w:pos="1191"/>
              </w:tabs>
              <w:spacing w:before="40" w:after="40"/>
              <w:rPr>
                <w:rFonts w:ascii="Segoe UI" w:eastAsia="Times New Roman" w:hAnsi="Segoe UI" w:cs="Segoe UI"/>
                <w:kern w:val="0"/>
                <w:sz w:val="17"/>
                <w:szCs w:val="17"/>
                <w:lang w:val="en-GB" w:eastAsia="en-GB"/>
              </w:rPr>
            </w:pPr>
            <w:r w:rsidRPr="008F5159">
              <w:rPr>
                <w:rFonts w:ascii="Segoe UI" w:eastAsia="Times New Roman" w:hAnsi="Segoe UI" w:cs="Segoe UI"/>
                <w:kern w:val="0"/>
                <w:sz w:val="17"/>
                <w:szCs w:val="17"/>
                <w:lang w:val="en-GB" w:eastAsia="en-GB"/>
              </w:rPr>
              <w:t>3</w:t>
            </w:r>
          </w:p>
        </w:tc>
        <w:tc>
          <w:tcPr>
            <w:tcW w:w="8647" w:type="dxa"/>
            <w:shd w:val="clear" w:color="auto" w:fill="auto"/>
          </w:tcPr>
          <w:p w:rsidR="008F5159" w:rsidRPr="008F5159" w:rsidRDefault="008F5159" w:rsidP="008F5159">
            <w:pPr>
              <w:widowControl/>
              <w:spacing w:before="40" w:after="40"/>
              <w:jc w:val="both"/>
              <w:rPr>
                <w:rFonts w:ascii="Segoe UI" w:eastAsia="Times New Roman" w:hAnsi="Segoe UI" w:cs="Times New Roman"/>
                <w:kern w:val="0"/>
                <w:sz w:val="17"/>
                <w:szCs w:val="17"/>
                <w:lang w:val="en-GB" w:eastAsia="en-US"/>
              </w:rPr>
            </w:pPr>
            <w:r w:rsidRPr="008F5159">
              <w:rPr>
                <w:rFonts w:ascii="Segoe UI" w:eastAsia="Times New Roman" w:hAnsi="Segoe UI" w:cs="Times New Roman"/>
                <w:kern w:val="0"/>
                <w:sz w:val="17"/>
                <w:szCs w:val="17"/>
                <w:lang w:val="en-GB" w:eastAsia="en-US"/>
              </w:rPr>
              <w:t>AT1 capital instruments issued by a member of the LAC consolidation group other than the resolution entity that do not count towards external loss-absorbing capacity pursuant to rule 37(a)(ii) of the LAC Rules.  For a resolution entity whose LAC consolidation group is either the same as or referenced against its capital consolidation group for calculating regulatory capital, the amount is equal to that reported in row 34 in template CC1 if the latter is ineligible external loss-absorbing capacity according to rule 37(a)(ii) of the LAC Rules.</w:t>
            </w:r>
          </w:p>
        </w:tc>
      </w:tr>
      <w:tr w:rsidR="008F5159" w:rsidRPr="008F5159" w:rsidTr="00297CA5">
        <w:trPr>
          <w:trHeight w:val="373"/>
        </w:trPr>
        <w:tc>
          <w:tcPr>
            <w:tcW w:w="567" w:type="dxa"/>
          </w:tcPr>
          <w:p w:rsidR="008F5159" w:rsidRPr="008F5159" w:rsidRDefault="008F5159" w:rsidP="008F5159">
            <w:pPr>
              <w:keepLines/>
              <w:tabs>
                <w:tab w:val="left" w:pos="150"/>
                <w:tab w:val="left" w:pos="397"/>
                <w:tab w:val="left" w:pos="794"/>
                <w:tab w:val="left" w:pos="1191"/>
              </w:tabs>
              <w:spacing w:before="40" w:after="40"/>
              <w:rPr>
                <w:rFonts w:ascii="Segoe UI" w:eastAsia="Times New Roman" w:hAnsi="Segoe UI" w:cs="Segoe UI"/>
                <w:kern w:val="0"/>
                <w:sz w:val="17"/>
                <w:szCs w:val="17"/>
                <w:lang w:val="en-GB" w:eastAsia="en-GB"/>
              </w:rPr>
            </w:pPr>
            <w:r w:rsidRPr="008F5159">
              <w:rPr>
                <w:rFonts w:ascii="Segoe UI" w:eastAsia="Times New Roman" w:hAnsi="Segoe UI" w:cs="Segoe UI"/>
                <w:kern w:val="0"/>
                <w:sz w:val="17"/>
                <w:szCs w:val="17"/>
                <w:lang w:val="en-GB" w:eastAsia="en-GB"/>
              </w:rPr>
              <w:t>4</w:t>
            </w:r>
          </w:p>
        </w:tc>
        <w:tc>
          <w:tcPr>
            <w:tcW w:w="8647" w:type="dxa"/>
            <w:shd w:val="clear" w:color="auto" w:fill="auto"/>
          </w:tcPr>
          <w:p w:rsidR="008F5159" w:rsidRPr="008F5159" w:rsidRDefault="008F5159" w:rsidP="008F5159">
            <w:pPr>
              <w:widowControl/>
              <w:spacing w:before="40" w:after="40"/>
              <w:jc w:val="both"/>
              <w:rPr>
                <w:rFonts w:ascii="Segoe UI" w:eastAsia="Times New Roman" w:hAnsi="Segoe UI" w:cs="Times New Roman"/>
                <w:kern w:val="0"/>
                <w:sz w:val="17"/>
                <w:szCs w:val="17"/>
                <w:lang w:val="en-GB" w:eastAsia="en-US"/>
              </w:rPr>
            </w:pPr>
            <w:r w:rsidRPr="008F5159">
              <w:rPr>
                <w:rFonts w:ascii="Segoe UI" w:eastAsia="Times New Roman" w:hAnsi="Segoe UI" w:cs="Times New Roman"/>
                <w:kern w:val="0"/>
                <w:sz w:val="17"/>
                <w:szCs w:val="17"/>
                <w:lang w:val="en-GB" w:eastAsia="en-US"/>
              </w:rPr>
              <w:t xml:space="preserve">Other elements of AT1 capital that are ineligible as external loss-absorbing capacity (excluding those already incorporated in row 3).  For example, any AT1 capital instrument that is not an external LAC debt instrument </w:t>
            </w:r>
            <w:r w:rsidRPr="008F5159">
              <w:rPr>
                <w:rFonts w:ascii="Segoe UI" w:eastAsia="Times New Roman" w:hAnsi="Segoe UI" w:cs="Times New Roman"/>
                <w:kern w:val="0"/>
                <w:sz w:val="17"/>
                <w:szCs w:val="17"/>
                <w:lang w:val="en-GB" w:eastAsia="en-US"/>
              </w:rPr>
              <w:lastRenderedPageBreak/>
              <w:t xml:space="preserve">(i.e. it does not meet all the qualifying criteria set out in Schedule 1 to the LAC Rules) under rule 37(a)(i) of the LAC Rules or any item of AT1 capital instrument that a resolution entity is required by the resolution authority to exclude from, or to discontinue inclusion in, the calculation of its external loss-absorbing capacity under rule 42 of the LAC Rules. </w:t>
            </w:r>
          </w:p>
        </w:tc>
      </w:tr>
      <w:tr w:rsidR="008F5159" w:rsidRPr="008F5159" w:rsidTr="00297CA5">
        <w:trPr>
          <w:trHeight w:val="373"/>
        </w:trPr>
        <w:tc>
          <w:tcPr>
            <w:tcW w:w="567" w:type="dxa"/>
          </w:tcPr>
          <w:p w:rsidR="008F5159" w:rsidRPr="008F5159" w:rsidRDefault="008F5159" w:rsidP="008F5159">
            <w:pPr>
              <w:keepLines/>
              <w:tabs>
                <w:tab w:val="left" w:pos="150"/>
                <w:tab w:val="left" w:pos="397"/>
                <w:tab w:val="left" w:pos="794"/>
                <w:tab w:val="left" w:pos="1191"/>
              </w:tabs>
              <w:spacing w:before="40" w:after="40"/>
              <w:rPr>
                <w:rFonts w:ascii="Segoe UI" w:eastAsia="Times New Roman" w:hAnsi="Segoe UI" w:cs="Segoe UI"/>
                <w:kern w:val="0"/>
                <w:sz w:val="17"/>
                <w:szCs w:val="17"/>
                <w:lang w:val="en-GB" w:eastAsia="en-GB"/>
              </w:rPr>
            </w:pPr>
            <w:r w:rsidRPr="008F5159">
              <w:rPr>
                <w:rFonts w:ascii="Segoe UI" w:eastAsia="Times New Roman" w:hAnsi="Segoe UI" w:cs="Segoe UI"/>
                <w:kern w:val="0"/>
                <w:sz w:val="17"/>
                <w:szCs w:val="17"/>
                <w:lang w:val="en-GB" w:eastAsia="en-GB"/>
              </w:rPr>
              <w:lastRenderedPageBreak/>
              <w:t>5</w:t>
            </w:r>
          </w:p>
        </w:tc>
        <w:tc>
          <w:tcPr>
            <w:tcW w:w="8647" w:type="dxa"/>
            <w:shd w:val="clear" w:color="auto" w:fill="auto"/>
          </w:tcPr>
          <w:p w:rsidR="008F5159" w:rsidRPr="008F5159" w:rsidRDefault="008F5159" w:rsidP="008F5159">
            <w:pPr>
              <w:widowControl/>
              <w:spacing w:before="40" w:after="40"/>
              <w:jc w:val="both"/>
              <w:rPr>
                <w:rFonts w:ascii="Segoe UI" w:eastAsia="Times New Roman" w:hAnsi="Segoe UI" w:cs="Times New Roman"/>
                <w:kern w:val="0"/>
                <w:sz w:val="17"/>
                <w:szCs w:val="17"/>
                <w:lang w:val="en-GB" w:eastAsia="en-US"/>
              </w:rPr>
            </w:pPr>
            <w:r w:rsidRPr="008F5159">
              <w:rPr>
                <w:rFonts w:ascii="Segoe UI" w:eastAsia="Times New Roman" w:hAnsi="Segoe UI" w:cs="Times New Roman"/>
                <w:kern w:val="0"/>
                <w:sz w:val="17"/>
                <w:szCs w:val="17"/>
                <w:lang w:val="en-GB" w:eastAsia="en-US"/>
              </w:rPr>
              <w:t>AT1 capital eligible to be included under the LAC Rules, calculated as the value in row 2 minus the values in rows 3 and 4.</w:t>
            </w:r>
          </w:p>
        </w:tc>
      </w:tr>
      <w:tr w:rsidR="008F5159" w:rsidRPr="008F5159" w:rsidTr="00297CA5">
        <w:trPr>
          <w:trHeight w:val="373"/>
        </w:trPr>
        <w:tc>
          <w:tcPr>
            <w:tcW w:w="567" w:type="dxa"/>
          </w:tcPr>
          <w:p w:rsidR="008F5159" w:rsidRPr="008F5159" w:rsidRDefault="008F5159" w:rsidP="008F5159">
            <w:pPr>
              <w:keepLines/>
              <w:tabs>
                <w:tab w:val="left" w:pos="150"/>
                <w:tab w:val="left" w:pos="397"/>
                <w:tab w:val="left" w:pos="794"/>
                <w:tab w:val="left" w:pos="1191"/>
              </w:tabs>
              <w:spacing w:before="40" w:after="40"/>
              <w:rPr>
                <w:rFonts w:ascii="Segoe UI" w:eastAsia="Times New Roman" w:hAnsi="Segoe UI" w:cs="Segoe UI"/>
                <w:kern w:val="0"/>
                <w:sz w:val="17"/>
                <w:szCs w:val="17"/>
                <w:lang w:val="en-GB" w:eastAsia="en-GB"/>
              </w:rPr>
            </w:pPr>
            <w:r w:rsidRPr="008F5159">
              <w:rPr>
                <w:rFonts w:ascii="Segoe UI" w:eastAsia="Times New Roman" w:hAnsi="Segoe UI" w:cs="Segoe UI"/>
                <w:kern w:val="0"/>
                <w:sz w:val="17"/>
                <w:szCs w:val="17"/>
                <w:lang w:val="en-GB" w:eastAsia="en-GB"/>
              </w:rPr>
              <w:t>6</w:t>
            </w:r>
          </w:p>
        </w:tc>
        <w:tc>
          <w:tcPr>
            <w:tcW w:w="8647" w:type="dxa"/>
          </w:tcPr>
          <w:p w:rsidR="008F5159" w:rsidRPr="008F5159" w:rsidRDefault="008F5159" w:rsidP="008F5159">
            <w:pPr>
              <w:widowControl/>
              <w:spacing w:before="40" w:after="40"/>
              <w:jc w:val="both"/>
              <w:rPr>
                <w:rFonts w:ascii="Segoe UI" w:eastAsia="Times New Roman" w:hAnsi="Segoe UI" w:cs="Times New Roman"/>
                <w:kern w:val="0"/>
                <w:sz w:val="17"/>
                <w:szCs w:val="17"/>
                <w:lang w:val="en-GB" w:eastAsia="en-US"/>
              </w:rPr>
            </w:pPr>
            <w:r w:rsidRPr="008F5159">
              <w:rPr>
                <w:rFonts w:ascii="Segoe UI" w:eastAsia="Times New Roman" w:hAnsi="Segoe UI" w:cs="Times New Roman"/>
                <w:kern w:val="0"/>
                <w:sz w:val="17"/>
                <w:szCs w:val="17"/>
                <w:lang w:val="en-GB" w:eastAsia="en-US"/>
              </w:rPr>
              <w:t>Tier 2 capital before LAC adjustments of the resolution entity, calculated as if the BCR applied to the entity with respect to its LAC consolidation group as defined in the LAC Rules.</w:t>
            </w:r>
          </w:p>
        </w:tc>
      </w:tr>
      <w:tr w:rsidR="008F5159" w:rsidRPr="008F5159" w:rsidTr="00297CA5">
        <w:trPr>
          <w:trHeight w:val="373"/>
        </w:trPr>
        <w:tc>
          <w:tcPr>
            <w:tcW w:w="567" w:type="dxa"/>
          </w:tcPr>
          <w:p w:rsidR="008F5159" w:rsidRPr="008F5159" w:rsidRDefault="008F5159" w:rsidP="008F5159">
            <w:pPr>
              <w:keepLines/>
              <w:tabs>
                <w:tab w:val="left" w:pos="150"/>
                <w:tab w:val="left" w:pos="397"/>
                <w:tab w:val="left" w:pos="794"/>
                <w:tab w:val="left" w:pos="1191"/>
              </w:tabs>
              <w:spacing w:before="40" w:after="40"/>
              <w:rPr>
                <w:rFonts w:ascii="Segoe UI" w:eastAsia="Times New Roman" w:hAnsi="Segoe UI" w:cs="Segoe UI"/>
                <w:kern w:val="0"/>
                <w:sz w:val="17"/>
                <w:szCs w:val="17"/>
                <w:lang w:val="en-GB" w:eastAsia="en-GB"/>
              </w:rPr>
            </w:pPr>
            <w:r w:rsidRPr="008F5159">
              <w:rPr>
                <w:rFonts w:ascii="Segoe UI" w:eastAsia="Times New Roman" w:hAnsi="Segoe UI" w:cs="Segoe UI"/>
                <w:kern w:val="0"/>
                <w:sz w:val="17"/>
                <w:szCs w:val="17"/>
                <w:lang w:val="en-GB" w:eastAsia="en-GB"/>
              </w:rPr>
              <w:t>7</w:t>
            </w:r>
          </w:p>
        </w:tc>
        <w:tc>
          <w:tcPr>
            <w:tcW w:w="8647" w:type="dxa"/>
          </w:tcPr>
          <w:p w:rsidR="008F5159" w:rsidRPr="008F5159" w:rsidRDefault="008F5159" w:rsidP="008F5159">
            <w:pPr>
              <w:widowControl/>
              <w:spacing w:before="40" w:after="40"/>
              <w:jc w:val="both"/>
              <w:rPr>
                <w:rFonts w:ascii="Segoe UI" w:eastAsia="Times New Roman" w:hAnsi="Segoe UI" w:cs="Times New Roman"/>
                <w:kern w:val="0"/>
                <w:sz w:val="17"/>
                <w:szCs w:val="17"/>
                <w:lang w:val="en-GB" w:eastAsia="en-US"/>
              </w:rPr>
            </w:pPr>
            <w:r w:rsidRPr="008F5159">
              <w:rPr>
                <w:rFonts w:ascii="Segoe UI" w:eastAsia="Times New Roman" w:hAnsi="Segoe UI" w:cs="Times New Roman"/>
                <w:kern w:val="0"/>
                <w:sz w:val="17"/>
                <w:szCs w:val="17"/>
                <w:lang w:val="en-GB" w:eastAsia="en-US"/>
              </w:rPr>
              <w:t>Amortized portion of T2 capital instruments that are external LAC debt instruments issued by the resolution entity.  This row recognises that as long as a T2 capital instrument has more than one year of residual maturity as required under section 1(1)(e) of Schedule 1 to the LAC Rules, the full amount may be included in external loss-absorbing capacity, even if the instrument is partially derecognised from regulatory capital under the BCR due to the requirement to amortise the instrument in the five years before maturity.  Only the amount not recognised in regulatory capital aforementioned but meeting all external loss-absorbing capacity eligibility criteria should be reported in this row.</w:t>
            </w:r>
          </w:p>
        </w:tc>
      </w:tr>
      <w:tr w:rsidR="008F5159" w:rsidRPr="008F5159" w:rsidTr="00297CA5">
        <w:trPr>
          <w:trHeight w:val="373"/>
        </w:trPr>
        <w:tc>
          <w:tcPr>
            <w:tcW w:w="567" w:type="dxa"/>
          </w:tcPr>
          <w:p w:rsidR="008F5159" w:rsidRPr="008F5159" w:rsidRDefault="008F5159" w:rsidP="008F5159">
            <w:pPr>
              <w:keepLines/>
              <w:tabs>
                <w:tab w:val="left" w:pos="150"/>
                <w:tab w:val="left" w:pos="397"/>
                <w:tab w:val="left" w:pos="794"/>
                <w:tab w:val="left" w:pos="1191"/>
              </w:tabs>
              <w:spacing w:before="40" w:after="40"/>
              <w:rPr>
                <w:rFonts w:ascii="Segoe UI" w:eastAsia="Times New Roman" w:hAnsi="Segoe UI" w:cs="Segoe UI"/>
                <w:kern w:val="0"/>
                <w:sz w:val="17"/>
                <w:szCs w:val="17"/>
                <w:lang w:val="en-GB" w:eastAsia="en-GB"/>
              </w:rPr>
            </w:pPr>
            <w:r w:rsidRPr="008F5159">
              <w:rPr>
                <w:rFonts w:ascii="Segoe UI" w:eastAsia="Times New Roman" w:hAnsi="Segoe UI" w:cs="Segoe UI"/>
                <w:kern w:val="0"/>
                <w:sz w:val="17"/>
                <w:szCs w:val="17"/>
                <w:lang w:val="en-GB" w:eastAsia="en-GB"/>
              </w:rPr>
              <w:t>8</w:t>
            </w:r>
          </w:p>
        </w:tc>
        <w:tc>
          <w:tcPr>
            <w:tcW w:w="8647" w:type="dxa"/>
          </w:tcPr>
          <w:p w:rsidR="008F5159" w:rsidRPr="008F5159" w:rsidRDefault="008F5159" w:rsidP="008F5159">
            <w:pPr>
              <w:widowControl/>
              <w:spacing w:before="40" w:after="40"/>
              <w:jc w:val="both"/>
              <w:rPr>
                <w:rFonts w:ascii="Segoe UI" w:eastAsia="Times New Roman" w:hAnsi="Segoe UI" w:cs="Times New Roman"/>
                <w:kern w:val="0"/>
                <w:sz w:val="17"/>
                <w:szCs w:val="17"/>
                <w:lang w:val="en-GB" w:eastAsia="en-US"/>
              </w:rPr>
            </w:pPr>
            <w:r w:rsidRPr="008F5159">
              <w:rPr>
                <w:rFonts w:ascii="Segoe UI" w:eastAsia="Times New Roman" w:hAnsi="Segoe UI" w:cs="Times New Roman"/>
                <w:kern w:val="0"/>
                <w:sz w:val="17"/>
                <w:szCs w:val="17"/>
                <w:lang w:val="en-GB" w:eastAsia="en-US"/>
              </w:rPr>
              <w:t>T2 capital instruments issued by a member of the LAC consolidation group other than the resolution entity that do not count towards external loss-absorbing capacity under rule 37(a)(ii) of the LAC Rules.  For a resolution entity whose LAC consolidation group is either the same as or referenced against its capital consolidation group for calculating regulatory capital, the amount is equal to that reported in row 48 of template CC1 if the latter is ineligible external loss-absorbing capacity according to rule 37(a)(ii) of the LAC Rules.</w:t>
            </w:r>
          </w:p>
        </w:tc>
      </w:tr>
      <w:tr w:rsidR="008F5159" w:rsidRPr="008F5159" w:rsidTr="00297CA5">
        <w:trPr>
          <w:trHeight w:val="373"/>
        </w:trPr>
        <w:tc>
          <w:tcPr>
            <w:tcW w:w="567" w:type="dxa"/>
          </w:tcPr>
          <w:p w:rsidR="008F5159" w:rsidRPr="008F5159" w:rsidRDefault="008F5159" w:rsidP="008F5159">
            <w:pPr>
              <w:keepLines/>
              <w:tabs>
                <w:tab w:val="left" w:pos="150"/>
                <w:tab w:val="left" w:pos="397"/>
                <w:tab w:val="left" w:pos="794"/>
                <w:tab w:val="left" w:pos="1191"/>
              </w:tabs>
              <w:spacing w:before="40" w:after="40"/>
              <w:rPr>
                <w:rFonts w:ascii="Segoe UI" w:eastAsia="Times New Roman" w:hAnsi="Segoe UI" w:cs="Segoe UI"/>
                <w:kern w:val="0"/>
                <w:sz w:val="17"/>
                <w:szCs w:val="17"/>
                <w:lang w:val="en-GB" w:eastAsia="en-GB"/>
              </w:rPr>
            </w:pPr>
            <w:r w:rsidRPr="008F5159">
              <w:rPr>
                <w:rFonts w:ascii="Segoe UI" w:eastAsia="Times New Roman" w:hAnsi="Segoe UI" w:cs="Segoe UI"/>
                <w:kern w:val="0"/>
                <w:sz w:val="17"/>
                <w:szCs w:val="17"/>
                <w:lang w:val="en-GB" w:eastAsia="en-GB"/>
              </w:rPr>
              <w:t>9</w:t>
            </w:r>
          </w:p>
        </w:tc>
        <w:tc>
          <w:tcPr>
            <w:tcW w:w="8647" w:type="dxa"/>
          </w:tcPr>
          <w:p w:rsidR="008F5159" w:rsidRPr="008F5159" w:rsidRDefault="008F5159" w:rsidP="008F5159">
            <w:pPr>
              <w:widowControl/>
              <w:spacing w:before="40" w:after="40"/>
              <w:jc w:val="both"/>
              <w:rPr>
                <w:rFonts w:ascii="Segoe UI" w:eastAsia="Times New Roman" w:hAnsi="Segoe UI" w:cs="Times New Roman"/>
                <w:kern w:val="0"/>
                <w:sz w:val="17"/>
                <w:szCs w:val="17"/>
                <w:lang w:val="en-GB" w:eastAsia="en-US"/>
              </w:rPr>
            </w:pPr>
            <w:r w:rsidRPr="008F5159">
              <w:rPr>
                <w:rFonts w:ascii="Segoe UI" w:eastAsia="Times New Roman" w:hAnsi="Segoe UI" w:cs="Times New Roman"/>
                <w:kern w:val="0"/>
                <w:sz w:val="17"/>
                <w:szCs w:val="17"/>
                <w:lang w:val="en-GB" w:eastAsia="en-US"/>
              </w:rPr>
              <w:t xml:space="preserve">Other elements of T2 capital that are ineligible as external loss-absorbing capacity (excluding those already incorporated in row 8).  For example, any T2 capital instrument that is not an external LAC debt instrument (i.e. it does not meet all the qualifying criteria set out in Schedule 1 to the LAC Rules) under rule 37(a)(i) of the LAC Rules or any item of T2 capital instrument that a resolution entity is required by the resolution authority to exclude from, or to discontinue inclusion in, the calculation of its external loss-absorbing capacity under rule 42 of the LAC Rules.  </w:t>
            </w:r>
          </w:p>
        </w:tc>
      </w:tr>
      <w:tr w:rsidR="008F5159" w:rsidRPr="008F5159" w:rsidTr="00297CA5">
        <w:trPr>
          <w:trHeight w:val="373"/>
        </w:trPr>
        <w:tc>
          <w:tcPr>
            <w:tcW w:w="567" w:type="dxa"/>
          </w:tcPr>
          <w:p w:rsidR="008F5159" w:rsidRPr="008F5159" w:rsidRDefault="008F5159" w:rsidP="008F5159">
            <w:pPr>
              <w:keepLines/>
              <w:tabs>
                <w:tab w:val="left" w:pos="150"/>
                <w:tab w:val="left" w:pos="397"/>
                <w:tab w:val="left" w:pos="794"/>
                <w:tab w:val="left" w:pos="1191"/>
              </w:tabs>
              <w:spacing w:before="40" w:after="40"/>
              <w:rPr>
                <w:rFonts w:ascii="Segoe UI" w:eastAsia="Times New Roman" w:hAnsi="Segoe UI" w:cs="Segoe UI"/>
                <w:kern w:val="0"/>
                <w:sz w:val="17"/>
                <w:szCs w:val="17"/>
                <w:lang w:val="en-GB" w:eastAsia="en-GB"/>
              </w:rPr>
            </w:pPr>
            <w:r w:rsidRPr="008F5159">
              <w:rPr>
                <w:rFonts w:ascii="Segoe UI" w:eastAsia="Times New Roman" w:hAnsi="Segoe UI" w:cs="Segoe UI"/>
                <w:kern w:val="0"/>
                <w:sz w:val="17"/>
                <w:szCs w:val="17"/>
                <w:lang w:val="en-GB" w:eastAsia="en-GB"/>
              </w:rPr>
              <w:t>10</w:t>
            </w:r>
          </w:p>
        </w:tc>
        <w:tc>
          <w:tcPr>
            <w:tcW w:w="8647" w:type="dxa"/>
          </w:tcPr>
          <w:p w:rsidR="008F5159" w:rsidRPr="008F5159" w:rsidRDefault="008F5159" w:rsidP="008F5159">
            <w:pPr>
              <w:widowControl/>
              <w:spacing w:before="40" w:after="40"/>
              <w:jc w:val="both"/>
              <w:rPr>
                <w:rFonts w:ascii="Segoe UI" w:eastAsia="Times New Roman" w:hAnsi="Segoe UI" w:cs="Times New Roman"/>
                <w:kern w:val="0"/>
                <w:sz w:val="17"/>
                <w:szCs w:val="17"/>
                <w:lang w:val="en-GB" w:eastAsia="en-US"/>
              </w:rPr>
            </w:pPr>
            <w:r w:rsidRPr="008F5159">
              <w:rPr>
                <w:rFonts w:ascii="Segoe UI" w:eastAsia="Times New Roman" w:hAnsi="Segoe UI" w:cs="Times New Roman"/>
                <w:kern w:val="0"/>
                <w:sz w:val="17"/>
                <w:szCs w:val="17"/>
                <w:lang w:val="en-GB" w:eastAsia="en-US"/>
              </w:rPr>
              <w:t>T2 capital eligible to be included under the LAC Rules, calculated as value in row 6, add the value in row 7, and then minus the values in rows 8 and 9.</w:t>
            </w:r>
          </w:p>
        </w:tc>
      </w:tr>
      <w:tr w:rsidR="008F5159" w:rsidRPr="008F5159" w:rsidTr="00297CA5">
        <w:trPr>
          <w:trHeight w:val="373"/>
        </w:trPr>
        <w:tc>
          <w:tcPr>
            <w:tcW w:w="567" w:type="dxa"/>
          </w:tcPr>
          <w:p w:rsidR="008F5159" w:rsidRPr="008F5159" w:rsidRDefault="008F5159" w:rsidP="008F5159">
            <w:pPr>
              <w:keepLines/>
              <w:tabs>
                <w:tab w:val="left" w:pos="150"/>
                <w:tab w:val="left" w:pos="397"/>
                <w:tab w:val="left" w:pos="794"/>
                <w:tab w:val="left" w:pos="1191"/>
              </w:tabs>
              <w:spacing w:before="40" w:after="40"/>
              <w:rPr>
                <w:rFonts w:ascii="Segoe UI" w:eastAsia="Times New Roman" w:hAnsi="Segoe UI" w:cs="Segoe UI"/>
                <w:kern w:val="0"/>
                <w:sz w:val="17"/>
                <w:szCs w:val="17"/>
                <w:lang w:val="en-GB" w:eastAsia="en-GB"/>
              </w:rPr>
            </w:pPr>
            <w:r w:rsidRPr="008F5159">
              <w:rPr>
                <w:rFonts w:ascii="Segoe UI" w:eastAsia="Times New Roman" w:hAnsi="Segoe UI" w:cs="Segoe UI"/>
                <w:kern w:val="0"/>
                <w:sz w:val="17"/>
                <w:szCs w:val="17"/>
                <w:lang w:val="en-GB" w:eastAsia="en-GB"/>
              </w:rPr>
              <w:t>11</w:t>
            </w:r>
          </w:p>
        </w:tc>
        <w:tc>
          <w:tcPr>
            <w:tcW w:w="8647" w:type="dxa"/>
          </w:tcPr>
          <w:p w:rsidR="008F5159" w:rsidRPr="008F5159" w:rsidRDefault="008F5159" w:rsidP="008F5159">
            <w:pPr>
              <w:widowControl/>
              <w:spacing w:before="40" w:after="40"/>
              <w:jc w:val="both"/>
              <w:rPr>
                <w:rFonts w:ascii="Segoe UI" w:eastAsia="Times New Roman" w:hAnsi="Segoe UI" w:cs="Times New Roman"/>
                <w:kern w:val="0"/>
                <w:sz w:val="17"/>
                <w:szCs w:val="17"/>
                <w:lang w:val="en-GB" w:eastAsia="en-US"/>
              </w:rPr>
            </w:pPr>
            <w:r w:rsidRPr="008F5159">
              <w:rPr>
                <w:rFonts w:ascii="Segoe UI" w:eastAsia="Times New Roman" w:hAnsi="Segoe UI" w:cs="Times New Roman"/>
                <w:kern w:val="0"/>
                <w:sz w:val="17"/>
                <w:szCs w:val="17"/>
                <w:lang w:val="en-GB" w:eastAsia="en-US"/>
              </w:rPr>
              <w:t>External loss-absorbing capacity arising from regulatory capital, calculated as the sum of values in rows 1, 5 and 10.</w:t>
            </w:r>
          </w:p>
        </w:tc>
      </w:tr>
      <w:tr w:rsidR="008F5159" w:rsidRPr="008F5159" w:rsidTr="00297CA5">
        <w:trPr>
          <w:trHeight w:val="373"/>
        </w:trPr>
        <w:tc>
          <w:tcPr>
            <w:tcW w:w="567" w:type="dxa"/>
          </w:tcPr>
          <w:p w:rsidR="008F5159" w:rsidRPr="008F5159" w:rsidRDefault="008F5159" w:rsidP="008F5159">
            <w:pPr>
              <w:keepLines/>
              <w:tabs>
                <w:tab w:val="left" w:pos="150"/>
                <w:tab w:val="left" w:pos="397"/>
                <w:tab w:val="left" w:pos="794"/>
                <w:tab w:val="left" w:pos="1191"/>
              </w:tabs>
              <w:spacing w:before="40" w:after="40"/>
              <w:rPr>
                <w:rFonts w:ascii="Segoe UI" w:eastAsia="Times New Roman" w:hAnsi="Segoe UI" w:cs="Segoe UI"/>
                <w:kern w:val="0"/>
                <w:sz w:val="17"/>
                <w:szCs w:val="17"/>
                <w:lang w:val="en-GB" w:eastAsia="en-GB"/>
              </w:rPr>
            </w:pPr>
            <w:r w:rsidRPr="008F5159">
              <w:rPr>
                <w:rFonts w:ascii="Segoe UI" w:eastAsia="Times New Roman" w:hAnsi="Segoe UI" w:cs="Segoe UI"/>
                <w:kern w:val="0"/>
                <w:sz w:val="17"/>
                <w:szCs w:val="17"/>
                <w:lang w:val="en-GB" w:eastAsia="en-GB"/>
              </w:rPr>
              <w:t>12</w:t>
            </w:r>
          </w:p>
        </w:tc>
        <w:tc>
          <w:tcPr>
            <w:tcW w:w="8647" w:type="dxa"/>
          </w:tcPr>
          <w:p w:rsidR="008F5159" w:rsidRPr="008F5159" w:rsidRDefault="008F5159" w:rsidP="008F5159">
            <w:pPr>
              <w:widowControl/>
              <w:spacing w:before="40" w:after="40"/>
              <w:jc w:val="both"/>
              <w:rPr>
                <w:rFonts w:ascii="Segoe UI" w:eastAsia="Times New Roman" w:hAnsi="Segoe UI" w:cs="Times New Roman"/>
                <w:kern w:val="0"/>
                <w:sz w:val="17"/>
                <w:szCs w:val="17"/>
                <w:lang w:val="en-GB" w:eastAsia="en-US"/>
              </w:rPr>
            </w:pPr>
            <w:r w:rsidRPr="008F5159">
              <w:rPr>
                <w:rFonts w:ascii="Segoe UI" w:eastAsia="Times New Roman" w:hAnsi="Segoe UI" w:cs="Times New Roman"/>
                <w:kern w:val="0"/>
                <w:sz w:val="17"/>
                <w:szCs w:val="17"/>
                <w:lang w:val="en-GB" w:eastAsia="en-US"/>
              </w:rPr>
              <w:t>External non-capital LAC debt instruments issued directly by the resolution entity and that meet the subordination requirements set out in section 1(1)(i) of Schedule 1 to the LAC Rules.</w:t>
            </w:r>
          </w:p>
        </w:tc>
      </w:tr>
      <w:tr w:rsidR="008F5159" w:rsidRPr="008F5159" w:rsidTr="00297CA5">
        <w:trPr>
          <w:trHeight w:val="373"/>
        </w:trPr>
        <w:tc>
          <w:tcPr>
            <w:tcW w:w="567" w:type="dxa"/>
          </w:tcPr>
          <w:p w:rsidR="008F5159" w:rsidRPr="008F5159" w:rsidRDefault="008F5159" w:rsidP="008F5159">
            <w:pPr>
              <w:keepLines/>
              <w:tabs>
                <w:tab w:val="left" w:pos="150"/>
                <w:tab w:val="left" w:pos="397"/>
                <w:tab w:val="left" w:pos="794"/>
                <w:tab w:val="left" w:pos="1191"/>
              </w:tabs>
              <w:spacing w:before="40" w:after="40"/>
              <w:rPr>
                <w:rFonts w:ascii="Segoe UI" w:eastAsia="Times New Roman" w:hAnsi="Segoe UI" w:cs="Segoe UI"/>
                <w:kern w:val="0"/>
                <w:sz w:val="17"/>
                <w:szCs w:val="17"/>
                <w:lang w:val="en-GB" w:eastAsia="en-GB"/>
              </w:rPr>
            </w:pPr>
            <w:r w:rsidRPr="008F5159">
              <w:rPr>
                <w:rFonts w:ascii="Segoe UI" w:eastAsia="Times New Roman" w:hAnsi="Segoe UI" w:cs="Segoe UI"/>
                <w:kern w:val="0"/>
                <w:sz w:val="17"/>
                <w:szCs w:val="17"/>
                <w:lang w:val="en-GB" w:eastAsia="en-GB"/>
              </w:rPr>
              <w:t>13</w:t>
            </w:r>
          </w:p>
        </w:tc>
        <w:tc>
          <w:tcPr>
            <w:tcW w:w="8647" w:type="dxa"/>
          </w:tcPr>
          <w:p w:rsidR="008F5159" w:rsidRPr="008F5159" w:rsidRDefault="008F5159" w:rsidP="008F5159">
            <w:pPr>
              <w:widowControl/>
              <w:spacing w:before="40" w:after="40"/>
              <w:jc w:val="both"/>
              <w:rPr>
                <w:rFonts w:ascii="Segoe UI" w:eastAsia="Times New Roman" w:hAnsi="Segoe UI" w:cs="Times New Roman"/>
                <w:kern w:val="0"/>
                <w:sz w:val="17"/>
                <w:szCs w:val="17"/>
                <w:lang w:val="en-GB" w:eastAsia="en-US"/>
              </w:rPr>
            </w:pPr>
            <w:r w:rsidRPr="008F5159">
              <w:rPr>
                <w:rFonts w:ascii="Segoe UI" w:eastAsia="Times New Roman" w:hAnsi="Segoe UI" w:cs="Times New Roman"/>
                <w:kern w:val="0"/>
                <w:sz w:val="17"/>
                <w:szCs w:val="17"/>
                <w:lang w:val="en-GB" w:eastAsia="en-GB"/>
              </w:rPr>
              <w:t>The subordination exemptions in Section 11 of the FSB TLAC Term Sheet that relate to liabilities that rank pari passu with excluded liabilities do not apply in Hong Kong under the LAC Rules.</w:t>
            </w:r>
          </w:p>
        </w:tc>
      </w:tr>
      <w:tr w:rsidR="008F5159" w:rsidRPr="008F5159" w:rsidTr="00297CA5">
        <w:trPr>
          <w:trHeight w:val="373"/>
        </w:trPr>
        <w:tc>
          <w:tcPr>
            <w:tcW w:w="567" w:type="dxa"/>
          </w:tcPr>
          <w:p w:rsidR="008F5159" w:rsidRPr="008F5159" w:rsidRDefault="008F5159" w:rsidP="008F5159">
            <w:pPr>
              <w:keepLines/>
              <w:tabs>
                <w:tab w:val="left" w:pos="150"/>
                <w:tab w:val="left" w:pos="397"/>
                <w:tab w:val="left" w:pos="794"/>
                <w:tab w:val="left" w:pos="1191"/>
              </w:tabs>
              <w:spacing w:before="40" w:after="40"/>
              <w:rPr>
                <w:rFonts w:ascii="Segoe UI" w:eastAsia="Times New Roman" w:hAnsi="Segoe UI" w:cs="Segoe UI"/>
                <w:kern w:val="0"/>
                <w:sz w:val="17"/>
                <w:szCs w:val="17"/>
                <w:lang w:val="en-GB" w:eastAsia="en-GB"/>
              </w:rPr>
            </w:pPr>
            <w:r w:rsidRPr="008F5159">
              <w:rPr>
                <w:rFonts w:ascii="Segoe UI" w:eastAsia="Times New Roman" w:hAnsi="Segoe UI" w:cs="Segoe UI"/>
                <w:kern w:val="0"/>
                <w:sz w:val="17"/>
                <w:szCs w:val="17"/>
                <w:lang w:val="en-GB" w:eastAsia="en-GB"/>
              </w:rPr>
              <w:lastRenderedPageBreak/>
              <w:t>14</w:t>
            </w:r>
          </w:p>
        </w:tc>
        <w:tc>
          <w:tcPr>
            <w:tcW w:w="8647" w:type="dxa"/>
          </w:tcPr>
          <w:p w:rsidR="008F5159" w:rsidRPr="008F5159" w:rsidRDefault="008F5159" w:rsidP="008F5159">
            <w:pPr>
              <w:widowControl/>
              <w:spacing w:before="40" w:after="40"/>
              <w:jc w:val="both"/>
              <w:rPr>
                <w:rFonts w:ascii="Segoe UI" w:eastAsia="Times New Roman" w:hAnsi="Segoe UI" w:cs="Times New Roman"/>
                <w:kern w:val="0"/>
                <w:sz w:val="17"/>
                <w:szCs w:val="17"/>
                <w:lang w:val="en-GB" w:eastAsia="en-US"/>
              </w:rPr>
            </w:pPr>
            <w:r w:rsidRPr="008F5159">
              <w:rPr>
                <w:rFonts w:ascii="Segoe UI" w:eastAsia="Times New Roman" w:hAnsi="Segoe UI" w:cs="Times New Roman"/>
                <w:kern w:val="0"/>
                <w:sz w:val="17"/>
                <w:szCs w:val="17"/>
                <w:lang w:val="en-GB" w:eastAsia="en-GB"/>
              </w:rPr>
              <w:t>The subordination exemptions in Section 11 of the FSB TLAC Term Sheet that relate to liabilities that rank pari passu with excluded liabilities do not apply in Hong Kong under the LAC Rules.</w:t>
            </w:r>
          </w:p>
        </w:tc>
      </w:tr>
      <w:tr w:rsidR="008F5159" w:rsidRPr="008F5159" w:rsidTr="00297CA5">
        <w:trPr>
          <w:trHeight w:val="373"/>
        </w:trPr>
        <w:tc>
          <w:tcPr>
            <w:tcW w:w="567" w:type="dxa"/>
          </w:tcPr>
          <w:p w:rsidR="008F5159" w:rsidRPr="008F5159" w:rsidRDefault="008F5159" w:rsidP="008F5159">
            <w:pPr>
              <w:keepLines/>
              <w:tabs>
                <w:tab w:val="left" w:pos="150"/>
                <w:tab w:val="left" w:pos="397"/>
                <w:tab w:val="left" w:pos="794"/>
                <w:tab w:val="left" w:pos="1191"/>
              </w:tabs>
              <w:spacing w:before="40" w:after="40"/>
              <w:rPr>
                <w:rFonts w:ascii="Segoe UI" w:eastAsia="Times New Roman" w:hAnsi="Segoe UI" w:cs="Segoe UI"/>
                <w:kern w:val="0"/>
                <w:sz w:val="17"/>
                <w:szCs w:val="17"/>
                <w:lang w:val="en-GB" w:eastAsia="en-GB"/>
              </w:rPr>
            </w:pPr>
            <w:r w:rsidRPr="008F5159">
              <w:rPr>
                <w:rFonts w:ascii="Segoe UI" w:eastAsia="Times New Roman" w:hAnsi="Segoe UI" w:cs="Segoe UI"/>
                <w:kern w:val="0"/>
                <w:sz w:val="17"/>
                <w:szCs w:val="17"/>
                <w:lang w:val="en-GB" w:eastAsia="en-GB"/>
              </w:rPr>
              <w:t>15</w:t>
            </w:r>
          </w:p>
        </w:tc>
        <w:tc>
          <w:tcPr>
            <w:tcW w:w="8647" w:type="dxa"/>
          </w:tcPr>
          <w:p w:rsidR="008F5159" w:rsidRPr="008F5159" w:rsidRDefault="008F5159" w:rsidP="008F5159">
            <w:pPr>
              <w:widowControl/>
              <w:spacing w:before="40" w:after="40"/>
              <w:jc w:val="both"/>
              <w:rPr>
                <w:rFonts w:ascii="Segoe UI" w:eastAsia="Times New Roman" w:hAnsi="Segoe UI" w:cs="Times New Roman"/>
                <w:kern w:val="0"/>
                <w:sz w:val="17"/>
                <w:szCs w:val="17"/>
                <w:lang w:val="en-GB" w:eastAsia="en-US"/>
              </w:rPr>
            </w:pPr>
            <w:r w:rsidRPr="008F5159">
              <w:rPr>
                <w:rFonts w:ascii="Segoe UI" w:eastAsia="Times New Roman" w:hAnsi="Segoe UI" w:cs="Times New Roman"/>
                <w:kern w:val="0"/>
                <w:sz w:val="17"/>
                <w:szCs w:val="17"/>
                <w:lang w:val="en-GB" w:eastAsia="en-GB"/>
              </w:rPr>
              <w:t>The exemptions for instruments issued by funding vehicles in Section 8 of the FSB TLAC Term Sheet do not apply in Hong Kong under the LAC Rules.</w:t>
            </w:r>
          </w:p>
        </w:tc>
      </w:tr>
      <w:tr w:rsidR="008F5159" w:rsidRPr="008F5159" w:rsidTr="00297CA5">
        <w:trPr>
          <w:trHeight w:val="373"/>
        </w:trPr>
        <w:tc>
          <w:tcPr>
            <w:tcW w:w="567" w:type="dxa"/>
          </w:tcPr>
          <w:p w:rsidR="008F5159" w:rsidRPr="008F5159" w:rsidRDefault="008F5159" w:rsidP="008F5159">
            <w:pPr>
              <w:keepLines/>
              <w:tabs>
                <w:tab w:val="left" w:pos="150"/>
                <w:tab w:val="left" w:pos="397"/>
                <w:tab w:val="left" w:pos="794"/>
                <w:tab w:val="left" w:pos="1191"/>
              </w:tabs>
              <w:spacing w:before="40" w:after="40"/>
              <w:rPr>
                <w:rFonts w:ascii="Segoe UI" w:eastAsia="Times New Roman" w:hAnsi="Segoe UI" w:cs="Segoe UI"/>
                <w:kern w:val="0"/>
                <w:sz w:val="17"/>
                <w:szCs w:val="17"/>
                <w:lang w:val="en-GB" w:eastAsia="en-GB"/>
              </w:rPr>
            </w:pPr>
            <w:r w:rsidRPr="008F5159">
              <w:rPr>
                <w:rFonts w:ascii="Segoe UI" w:eastAsia="Times New Roman" w:hAnsi="Segoe UI" w:cs="Segoe UI"/>
                <w:kern w:val="0"/>
                <w:sz w:val="17"/>
                <w:szCs w:val="17"/>
                <w:lang w:val="en-GB" w:eastAsia="en-GB"/>
              </w:rPr>
              <w:t>16</w:t>
            </w:r>
          </w:p>
        </w:tc>
        <w:tc>
          <w:tcPr>
            <w:tcW w:w="8647" w:type="dxa"/>
          </w:tcPr>
          <w:p w:rsidR="008F5159" w:rsidRPr="008F5159" w:rsidRDefault="008F5159" w:rsidP="008F5159">
            <w:pPr>
              <w:widowControl/>
              <w:spacing w:before="40" w:after="40"/>
              <w:jc w:val="both"/>
              <w:rPr>
                <w:rFonts w:ascii="Segoe UI" w:eastAsia="Times New Roman" w:hAnsi="Segoe UI" w:cs="Times New Roman"/>
                <w:kern w:val="0"/>
                <w:sz w:val="17"/>
                <w:szCs w:val="17"/>
                <w:lang w:val="en-GB" w:eastAsia="en-US"/>
              </w:rPr>
            </w:pPr>
            <w:r w:rsidRPr="008F5159">
              <w:rPr>
                <w:rFonts w:ascii="Segoe UI" w:eastAsia="Times New Roman" w:hAnsi="Segoe UI" w:cs="Times New Roman"/>
                <w:kern w:val="0"/>
                <w:sz w:val="17"/>
                <w:szCs w:val="17"/>
                <w:lang w:val="en-GB" w:eastAsia="en-GB"/>
              </w:rPr>
              <w:t>The provision for ex ante commitments to recapitalise a resolution entity to count towards TLAC requirements as set out in Section 7 of the FSB TLAC Term Sheet do not apply in Hong Kong under the LAC Rules.</w:t>
            </w:r>
          </w:p>
        </w:tc>
      </w:tr>
      <w:tr w:rsidR="008F5159" w:rsidRPr="008F5159" w:rsidTr="00297CA5">
        <w:trPr>
          <w:trHeight w:val="373"/>
        </w:trPr>
        <w:tc>
          <w:tcPr>
            <w:tcW w:w="567" w:type="dxa"/>
          </w:tcPr>
          <w:p w:rsidR="008F5159" w:rsidRPr="008F5159" w:rsidRDefault="008F5159" w:rsidP="008F5159">
            <w:pPr>
              <w:keepLines/>
              <w:tabs>
                <w:tab w:val="left" w:pos="150"/>
                <w:tab w:val="left" w:pos="397"/>
                <w:tab w:val="left" w:pos="794"/>
                <w:tab w:val="left" w:pos="1191"/>
              </w:tabs>
              <w:spacing w:before="40" w:after="40"/>
              <w:rPr>
                <w:rFonts w:ascii="Segoe UI" w:eastAsia="Times New Roman" w:hAnsi="Segoe UI" w:cs="Segoe UI"/>
                <w:kern w:val="0"/>
                <w:sz w:val="17"/>
                <w:szCs w:val="17"/>
                <w:lang w:val="en-GB" w:eastAsia="en-GB"/>
              </w:rPr>
            </w:pPr>
            <w:r w:rsidRPr="008F5159">
              <w:rPr>
                <w:rFonts w:ascii="Segoe UI" w:eastAsia="Times New Roman" w:hAnsi="Segoe UI" w:cs="Segoe UI"/>
                <w:kern w:val="0"/>
                <w:sz w:val="17"/>
                <w:szCs w:val="17"/>
                <w:lang w:val="en-GB" w:eastAsia="en-GB"/>
              </w:rPr>
              <w:t>17</w:t>
            </w:r>
          </w:p>
        </w:tc>
        <w:tc>
          <w:tcPr>
            <w:tcW w:w="8647" w:type="dxa"/>
          </w:tcPr>
          <w:p w:rsidR="008F5159" w:rsidRPr="008F5159" w:rsidRDefault="008F5159" w:rsidP="008F5159">
            <w:pPr>
              <w:widowControl/>
              <w:spacing w:before="40" w:after="40"/>
              <w:jc w:val="both"/>
              <w:rPr>
                <w:rFonts w:ascii="Segoe UI" w:eastAsia="Times New Roman" w:hAnsi="Segoe UI" w:cs="Times New Roman"/>
                <w:kern w:val="0"/>
                <w:sz w:val="17"/>
                <w:szCs w:val="17"/>
                <w:lang w:val="en-GB" w:eastAsia="en-US"/>
              </w:rPr>
            </w:pPr>
            <w:r w:rsidRPr="008F5159">
              <w:rPr>
                <w:rFonts w:ascii="Segoe UI" w:eastAsia="Times New Roman" w:hAnsi="Segoe UI" w:cs="Times New Roman"/>
                <w:kern w:val="0"/>
                <w:sz w:val="17"/>
                <w:szCs w:val="17"/>
                <w:lang w:val="en-GB" w:eastAsia="en-US"/>
              </w:rPr>
              <w:t>External loss-absorbing capacity arising from non-capital LAC debt instruments before adjustments.  The value in row 17 is the same as the value in row 12.</w:t>
            </w:r>
          </w:p>
        </w:tc>
      </w:tr>
      <w:tr w:rsidR="008F5159" w:rsidRPr="008F5159" w:rsidTr="00297CA5">
        <w:trPr>
          <w:trHeight w:val="373"/>
        </w:trPr>
        <w:tc>
          <w:tcPr>
            <w:tcW w:w="567" w:type="dxa"/>
          </w:tcPr>
          <w:p w:rsidR="008F5159" w:rsidRPr="008F5159" w:rsidRDefault="008F5159" w:rsidP="008F5159">
            <w:pPr>
              <w:keepLines/>
              <w:tabs>
                <w:tab w:val="left" w:pos="150"/>
                <w:tab w:val="left" w:pos="397"/>
                <w:tab w:val="left" w:pos="794"/>
                <w:tab w:val="left" w:pos="1191"/>
              </w:tabs>
              <w:spacing w:before="40" w:after="40"/>
              <w:rPr>
                <w:rFonts w:ascii="Segoe UI" w:eastAsia="Times New Roman" w:hAnsi="Segoe UI" w:cs="Segoe UI"/>
                <w:kern w:val="0"/>
                <w:sz w:val="17"/>
                <w:szCs w:val="17"/>
                <w:lang w:val="en-GB" w:eastAsia="en-GB"/>
              </w:rPr>
            </w:pPr>
            <w:r w:rsidRPr="008F5159">
              <w:rPr>
                <w:rFonts w:ascii="Segoe UI" w:eastAsia="Times New Roman" w:hAnsi="Segoe UI" w:cs="Segoe UI"/>
                <w:kern w:val="0"/>
                <w:sz w:val="17"/>
                <w:szCs w:val="17"/>
                <w:lang w:val="en-GB" w:eastAsia="en-GB"/>
              </w:rPr>
              <w:t>18</w:t>
            </w:r>
          </w:p>
        </w:tc>
        <w:tc>
          <w:tcPr>
            <w:tcW w:w="8647" w:type="dxa"/>
          </w:tcPr>
          <w:p w:rsidR="008F5159" w:rsidRPr="008F5159" w:rsidRDefault="008F5159" w:rsidP="008F5159">
            <w:pPr>
              <w:widowControl/>
              <w:spacing w:before="40" w:after="40"/>
              <w:jc w:val="both"/>
              <w:rPr>
                <w:rFonts w:ascii="Segoe UI" w:eastAsia="Times New Roman" w:hAnsi="Segoe UI" w:cs="Times New Roman"/>
                <w:kern w:val="0"/>
                <w:sz w:val="17"/>
                <w:szCs w:val="17"/>
                <w:lang w:val="en-GB" w:eastAsia="en-US"/>
              </w:rPr>
            </w:pPr>
            <w:r w:rsidRPr="008F5159">
              <w:rPr>
                <w:rFonts w:ascii="Segoe UI" w:eastAsia="Times New Roman" w:hAnsi="Segoe UI" w:cs="Times New Roman"/>
                <w:kern w:val="0"/>
                <w:sz w:val="17"/>
                <w:szCs w:val="17"/>
                <w:lang w:val="en-GB" w:eastAsia="en-US"/>
              </w:rPr>
              <w:t>External loss-absorbing capacity before adjustments, calculated as the sum of values in rows 11 and 17.</w:t>
            </w:r>
          </w:p>
        </w:tc>
      </w:tr>
      <w:tr w:rsidR="008F5159" w:rsidRPr="008F5159" w:rsidTr="00297CA5">
        <w:trPr>
          <w:trHeight w:val="373"/>
        </w:trPr>
        <w:tc>
          <w:tcPr>
            <w:tcW w:w="567" w:type="dxa"/>
          </w:tcPr>
          <w:p w:rsidR="008F5159" w:rsidRPr="008F5159" w:rsidRDefault="008F5159" w:rsidP="008F5159">
            <w:pPr>
              <w:keepLines/>
              <w:tabs>
                <w:tab w:val="left" w:pos="150"/>
                <w:tab w:val="left" w:pos="397"/>
                <w:tab w:val="left" w:pos="794"/>
                <w:tab w:val="left" w:pos="1191"/>
              </w:tabs>
              <w:spacing w:before="40" w:after="40"/>
              <w:rPr>
                <w:rFonts w:ascii="Segoe UI" w:eastAsia="Times New Roman" w:hAnsi="Segoe UI" w:cs="Segoe UI"/>
                <w:kern w:val="0"/>
                <w:sz w:val="17"/>
                <w:szCs w:val="17"/>
                <w:lang w:val="en-GB" w:eastAsia="en-GB"/>
              </w:rPr>
            </w:pPr>
            <w:r w:rsidRPr="008F5159">
              <w:rPr>
                <w:rFonts w:ascii="Segoe UI" w:eastAsia="Times New Roman" w:hAnsi="Segoe UI" w:cs="Segoe UI"/>
                <w:kern w:val="0"/>
                <w:sz w:val="17"/>
                <w:szCs w:val="17"/>
                <w:lang w:val="en-GB" w:eastAsia="en-GB"/>
              </w:rPr>
              <w:t>19</w:t>
            </w:r>
          </w:p>
        </w:tc>
        <w:tc>
          <w:tcPr>
            <w:tcW w:w="8647" w:type="dxa"/>
          </w:tcPr>
          <w:p w:rsidR="008F5159" w:rsidRPr="008F5159" w:rsidRDefault="008F5159" w:rsidP="008F5159">
            <w:pPr>
              <w:widowControl/>
              <w:spacing w:before="40" w:after="40"/>
              <w:jc w:val="both"/>
              <w:rPr>
                <w:rFonts w:ascii="Segoe UI" w:eastAsia="Times New Roman" w:hAnsi="Segoe UI" w:cs="Times New Roman"/>
                <w:kern w:val="0"/>
                <w:sz w:val="17"/>
                <w:szCs w:val="17"/>
                <w:lang w:val="en-GB" w:eastAsia="en-US"/>
              </w:rPr>
            </w:pPr>
            <w:r w:rsidRPr="008F5159">
              <w:rPr>
                <w:rFonts w:ascii="Segoe UI" w:eastAsia="Times New Roman" w:hAnsi="Segoe UI" w:cs="Times New Roman"/>
                <w:kern w:val="0"/>
                <w:sz w:val="17"/>
                <w:szCs w:val="17"/>
                <w:lang w:val="en-GB" w:eastAsia="en-US"/>
              </w:rPr>
              <w:t xml:space="preserve">Deductions of exposures between the resolution entity’s LAC consolidation group and group companies outside that group that correspond to items eligible for external loss-absorbing capacity.  This row reports the amount of holdings of non-capital LAC liabilities issued by financial sector entities that are group companies that are not members of the resolution entity’s LAC consolidation group, calculated in accordance with rule 38(1)(b) of, and Schedule 4 to, the LAC Rules.  </w:t>
            </w:r>
          </w:p>
        </w:tc>
      </w:tr>
      <w:tr w:rsidR="008F5159" w:rsidRPr="008F5159" w:rsidTr="00297CA5">
        <w:trPr>
          <w:trHeight w:val="373"/>
        </w:trPr>
        <w:tc>
          <w:tcPr>
            <w:tcW w:w="567" w:type="dxa"/>
          </w:tcPr>
          <w:p w:rsidR="008F5159" w:rsidRPr="008F5159" w:rsidRDefault="008F5159" w:rsidP="008F5159">
            <w:pPr>
              <w:keepLines/>
              <w:tabs>
                <w:tab w:val="left" w:pos="150"/>
                <w:tab w:val="left" w:pos="397"/>
                <w:tab w:val="left" w:pos="794"/>
                <w:tab w:val="left" w:pos="1191"/>
              </w:tabs>
              <w:spacing w:before="40" w:after="40"/>
              <w:rPr>
                <w:rFonts w:ascii="Segoe UI" w:eastAsia="Times New Roman" w:hAnsi="Segoe UI" w:cs="Segoe UI"/>
                <w:kern w:val="0"/>
                <w:sz w:val="17"/>
                <w:szCs w:val="17"/>
                <w:lang w:val="en-GB" w:eastAsia="en-GB"/>
              </w:rPr>
            </w:pPr>
            <w:r w:rsidRPr="008F5159">
              <w:rPr>
                <w:rFonts w:ascii="Segoe UI" w:eastAsia="Times New Roman" w:hAnsi="Segoe UI" w:cs="Segoe UI"/>
                <w:kern w:val="0"/>
                <w:sz w:val="17"/>
                <w:szCs w:val="17"/>
                <w:lang w:val="en-GB" w:eastAsia="en-GB"/>
              </w:rPr>
              <w:t>20</w:t>
            </w:r>
          </w:p>
        </w:tc>
        <w:tc>
          <w:tcPr>
            <w:tcW w:w="8647" w:type="dxa"/>
            <w:shd w:val="clear" w:color="auto" w:fill="auto"/>
          </w:tcPr>
          <w:p w:rsidR="008F5159" w:rsidRPr="008F5159" w:rsidRDefault="008F5159" w:rsidP="008F5159">
            <w:pPr>
              <w:widowControl/>
              <w:spacing w:before="40" w:after="40"/>
              <w:jc w:val="both"/>
              <w:rPr>
                <w:rFonts w:ascii="Segoe UI" w:eastAsia="Times New Roman" w:hAnsi="Segoe UI" w:cs="Times New Roman"/>
                <w:kern w:val="0"/>
                <w:sz w:val="17"/>
                <w:szCs w:val="17"/>
                <w:lang w:val="en-GB" w:eastAsia="en-US"/>
              </w:rPr>
            </w:pPr>
            <w:r w:rsidRPr="008F5159">
              <w:rPr>
                <w:rFonts w:ascii="Segoe UI" w:eastAsia="Times New Roman" w:hAnsi="Segoe UI" w:cs="Times New Roman"/>
                <w:kern w:val="0"/>
                <w:sz w:val="17"/>
                <w:szCs w:val="17"/>
                <w:lang w:val="en-GB" w:eastAsia="en-US"/>
              </w:rPr>
              <w:t>Deductions of holdings of its own non-capital LAC liabilities.  This row reports the amount to be deducted from the resolution entity’s external loss-absorbing capacity resources in accordance with rule 38(1)(a) of, and Schedule 4 to, the LAC Rules.</w:t>
            </w:r>
          </w:p>
        </w:tc>
      </w:tr>
      <w:tr w:rsidR="008F5159" w:rsidRPr="008F5159" w:rsidTr="00297CA5">
        <w:trPr>
          <w:trHeight w:val="373"/>
        </w:trPr>
        <w:tc>
          <w:tcPr>
            <w:tcW w:w="567" w:type="dxa"/>
          </w:tcPr>
          <w:p w:rsidR="008F5159" w:rsidRPr="008F5159" w:rsidRDefault="008F5159" w:rsidP="008F5159">
            <w:pPr>
              <w:keepLines/>
              <w:tabs>
                <w:tab w:val="left" w:pos="150"/>
                <w:tab w:val="left" w:pos="397"/>
                <w:tab w:val="left" w:pos="794"/>
                <w:tab w:val="left" w:pos="1191"/>
              </w:tabs>
              <w:spacing w:before="40" w:after="40"/>
              <w:rPr>
                <w:rFonts w:ascii="Segoe UI" w:eastAsia="Times New Roman" w:hAnsi="Segoe UI" w:cs="Segoe UI"/>
                <w:kern w:val="0"/>
                <w:sz w:val="17"/>
                <w:szCs w:val="17"/>
                <w:lang w:val="en-GB" w:eastAsia="en-GB"/>
              </w:rPr>
            </w:pPr>
            <w:r w:rsidRPr="008F5159">
              <w:rPr>
                <w:rFonts w:ascii="Segoe UI" w:eastAsia="Times New Roman" w:hAnsi="Segoe UI" w:cs="Segoe UI"/>
                <w:kern w:val="0"/>
                <w:sz w:val="17"/>
                <w:szCs w:val="17"/>
                <w:lang w:val="en-GB" w:eastAsia="en-GB"/>
              </w:rPr>
              <w:t>21</w:t>
            </w:r>
          </w:p>
        </w:tc>
        <w:tc>
          <w:tcPr>
            <w:tcW w:w="8647" w:type="dxa"/>
            <w:shd w:val="clear" w:color="auto" w:fill="FFFFFF" w:themeFill="background1"/>
          </w:tcPr>
          <w:p w:rsidR="008F5159" w:rsidRPr="008F5159" w:rsidRDefault="008F5159" w:rsidP="008F5159">
            <w:pPr>
              <w:widowControl/>
              <w:spacing w:before="40" w:after="40"/>
              <w:jc w:val="both"/>
              <w:rPr>
                <w:rFonts w:ascii="Segoe UI" w:eastAsia="Times New Roman" w:hAnsi="Segoe UI" w:cs="Times New Roman"/>
                <w:kern w:val="0"/>
                <w:sz w:val="17"/>
                <w:szCs w:val="17"/>
                <w:lang w:val="en-GB" w:eastAsia="en-US"/>
              </w:rPr>
            </w:pPr>
            <w:r w:rsidRPr="008F5159">
              <w:rPr>
                <w:rFonts w:ascii="Segoe UI" w:eastAsia="Times New Roman" w:hAnsi="Segoe UI" w:cs="Times New Roman"/>
                <w:kern w:val="0"/>
                <w:sz w:val="17"/>
                <w:szCs w:val="17"/>
                <w:lang w:val="en-GB" w:eastAsia="en-US"/>
              </w:rPr>
              <w:t>Other adjustments to external loss-absorbing capacity.  For example, any item of non-capital LAC liabilities that the resolution entity is required by the resolution authority to exclude from, or to discontinue inclusion in, the calculation of its external loss-absorbing capacity under rule 42 of the LAC Rules.</w:t>
            </w:r>
          </w:p>
        </w:tc>
      </w:tr>
      <w:tr w:rsidR="008F5159" w:rsidRPr="008F5159" w:rsidTr="00297CA5">
        <w:trPr>
          <w:trHeight w:val="373"/>
        </w:trPr>
        <w:tc>
          <w:tcPr>
            <w:tcW w:w="567" w:type="dxa"/>
          </w:tcPr>
          <w:p w:rsidR="008F5159" w:rsidRPr="008F5159" w:rsidRDefault="008F5159" w:rsidP="008F5159">
            <w:pPr>
              <w:keepLines/>
              <w:tabs>
                <w:tab w:val="left" w:pos="150"/>
                <w:tab w:val="left" w:pos="397"/>
                <w:tab w:val="left" w:pos="794"/>
                <w:tab w:val="left" w:pos="1191"/>
              </w:tabs>
              <w:spacing w:before="40" w:after="40"/>
              <w:rPr>
                <w:rFonts w:ascii="Segoe UI" w:eastAsia="Times New Roman" w:hAnsi="Segoe UI" w:cs="Segoe UI"/>
                <w:kern w:val="0"/>
                <w:sz w:val="17"/>
                <w:szCs w:val="17"/>
                <w:lang w:val="en-GB" w:eastAsia="en-GB"/>
              </w:rPr>
            </w:pPr>
            <w:r w:rsidRPr="008F5159">
              <w:rPr>
                <w:rFonts w:ascii="Segoe UI" w:eastAsia="Times New Roman" w:hAnsi="Segoe UI" w:cs="Segoe UI"/>
                <w:kern w:val="0"/>
                <w:sz w:val="17"/>
                <w:szCs w:val="17"/>
                <w:lang w:val="en-GB" w:eastAsia="en-GB"/>
              </w:rPr>
              <w:t>22</w:t>
            </w:r>
          </w:p>
        </w:tc>
        <w:tc>
          <w:tcPr>
            <w:tcW w:w="8647" w:type="dxa"/>
            <w:shd w:val="clear" w:color="auto" w:fill="FFFFFF" w:themeFill="background1"/>
          </w:tcPr>
          <w:p w:rsidR="008F5159" w:rsidRPr="008F5159" w:rsidRDefault="008F5159" w:rsidP="008F5159">
            <w:pPr>
              <w:widowControl/>
              <w:spacing w:before="40" w:after="40"/>
              <w:jc w:val="both"/>
              <w:rPr>
                <w:rFonts w:ascii="Segoe UI" w:eastAsia="Times New Roman" w:hAnsi="Segoe UI" w:cs="Times New Roman"/>
                <w:kern w:val="0"/>
                <w:sz w:val="17"/>
                <w:szCs w:val="17"/>
                <w:lang w:val="en-GB" w:eastAsia="en-US"/>
              </w:rPr>
            </w:pPr>
            <w:r w:rsidRPr="008F5159">
              <w:rPr>
                <w:rFonts w:ascii="Segoe UI" w:eastAsia="Times New Roman" w:hAnsi="Segoe UI" w:cs="Times New Roman"/>
                <w:kern w:val="0"/>
                <w:sz w:val="17"/>
                <w:szCs w:val="17"/>
                <w:lang w:val="en-GB" w:eastAsia="en-US"/>
              </w:rPr>
              <w:t>External loss-absorbing capacity of the resolution entity at the LAC consolidation group level after deductions, calculated as the value in row 18 minus the sum of values in rows 19, 20 and 21.</w:t>
            </w:r>
          </w:p>
        </w:tc>
      </w:tr>
      <w:tr w:rsidR="008F5159" w:rsidRPr="008F5159" w:rsidTr="00297CA5">
        <w:trPr>
          <w:trHeight w:val="373"/>
        </w:trPr>
        <w:tc>
          <w:tcPr>
            <w:tcW w:w="567" w:type="dxa"/>
          </w:tcPr>
          <w:p w:rsidR="008F5159" w:rsidRPr="008F5159" w:rsidRDefault="008F5159" w:rsidP="008F5159">
            <w:pPr>
              <w:keepLines/>
              <w:tabs>
                <w:tab w:val="left" w:pos="150"/>
                <w:tab w:val="left" w:pos="397"/>
                <w:tab w:val="left" w:pos="794"/>
                <w:tab w:val="left" w:pos="1191"/>
              </w:tabs>
              <w:spacing w:before="40" w:after="40"/>
              <w:rPr>
                <w:rFonts w:ascii="Segoe UI" w:eastAsia="Times New Roman" w:hAnsi="Segoe UI" w:cs="Segoe UI"/>
                <w:kern w:val="0"/>
                <w:sz w:val="17"/>
                <w:szCs w:val="17"/>
                <w:lang w:val="en-GB" w:eastAsia="en-GB"/>
              </w:rPr>
            </w:pPr>
            <w:r w:rsidRPr="008F5159">
              <w:rPr>
                <w:rFonts w:ascii="Segoe UI" w:eastAsia="Times New Roman" w:hAnsi="Segoe UI" w:cs="Segoe UI"/>
                <w:kern w:val="0"/>
                <w:sz w:val="17"/>
                <w:szCs w:val="17"/>
                <w:lang w:val="en-GB" w:eastAsia="en-GB"/>
              </w:rPr>
              <w:t>23</w:t>
            </w:r>
          </w:p>
        </w:tc>
        <w:tc>
          <w:tcPr>
            <w:tcW w:w="8647" w:type="dxa"/>
            <w:shd w:val="clear" w:color="auto" w:fill="FFFFFF" w:themeFill="background1"/>
          </w:tcPr>
          <w:p w:rsidR="008F5159" w:rsidRPr="008F5159" w:rsidRDefault="008F5159" w:rsidP="008F5159">
            <w:pPr>
              <w:widowControl/>
              <w:spacing w:before="40" w:after="40"/>
              <w:jc w:val="both"/>
              <w:rPr>
                <w:rFonts w:ascii="Segoe UI" w:eastAsia="Times New Roman" w:hAnsi="Segoe UI" w:cs="Times New Roman"/>
                <w:kern w:val="0"/>
                <w:sz w:val="17"/>
                <w:szCs w:val="17"/>
                <w:lang w:val="en-GB" w:eastAsia="en-US"/>
              </w:rPr>
            </w:pPr>
            <w:r w:rsidRPr="008F5159">
              <w:rPr>
                <w:rFonts w:ascii="Segoe UI" w:eastAsia="Times New Roman" w:hAnsi="Segoe UI" w:cs="Times New Roman"/>
                <w:kern w:val="0"/>
                <w:sz w:val="17"/>
                <w:szCs w:val="17"/>
                <w:lang w:val="en-GB" w:eastAsia="en-US"/>
              </w:rPr>
              <w:t>Risk-weighted amount under the LAC Rules of the resolution entity at the LAC consolidation group level.  For a resolution entity whose LAC consolidation group is the same as its capital consolidation group for calculating regulatory capital and which does not have items deducted from its external loss-absorbing capacity in accordance with rule 38 of the LAC Rules (save in cases that there is a variation in the methodology applied in determining the risk-weighted amount under the LAC Rules further to written approval by the resolution authority under rule 15(4) or rule 16(4) of the LAC Rules), the amount reported in this row will be equal to that in row 60 of template CC1.</w:t>
            </w:r>
          </w:p>
        </w:tc>
      </w:tr>
      <w:tr w:rsidR="008F5159" w:rsidRPr="008F5159" w:rsidTr="00297CA5">
        <w:trPr>
          <w:trHeight w:val="373"/>
        </w:trPr>
        <w:tc>
          <w:tcPr>
            <w:tcW w:w="567" w:type="dxa"/>
          </w:tcPr>
          <w:p w:rsidR="008F5159" w:rsidRPr="008F5159" w:rsidRDefault="008F5159" w:rsidP="008F5159">
            <w:pPr>
              <w:keepLines/>
              <w:tabs>
                <w:tab w:val="left" w:pos="150"/>
                <w:tab w:val="left" w:pos="397"/>
                <w:tab w:val="left" w:pos="794"/>
                <w:tab w:val="left" w:pos="1191"/>
              </w:tabs>
              <w:spacing w:before="40" w:after="40"/>
              <w:rPr>
                <w:rFonts w:ascii="Segoe UI" w:eastAsia="Times New Roman" w:hAnsi="Segoe UI" w:cs="Segoe UI"/>
                <w:kern w:val="0"/>
                <w:sz w:val="17"/>
                <w:szCs w:val="17"/>
                <w:lang w:val="en-GB" w:eastAsia="en-GB"/>
              </w:rPr>
            </w:pPr>
            <w:r w:rsidRPr="008F5159">
              <w:rPr>
                <w:rFonts w:ascii="Segoe UI" w:eastAsia="Times New Roman" w:hAnsi="Segoe UI" w:cs="Segoe UI"/>
                <w:kern w:val="0"/>
                <w:sz w:val="17"/>
                <w:szCs w:val="17"/>
                <w:lang w:val="en-GB" w:eastAsia="en-GB"/>
              </w:rPr>
              <w:t>24</w:t>
            </w:r>
          </w:p>
        </w:tc>
        <w:tc>
          <w:tcPr>
            <w:tcW w:w="8647" w:type="dxa"/>
            <w:shd w:val="clear" w:color="auto" w:fill="FFFFFF" w:themeFill="background1"/>
          </w:tcPr>
          <w:p w:rsidR="008F5159" w:rsidRPr="008F5159" w:rsidRDefault="008F5159" w:rsidP="008F5159">
            <w:pPr>
              <w:widowControl/>
              <w:spacing w:before="40" w:after="40"/>
              <w:jc w:val="both"/>
              <w:rPr>
                <w:rFonts w:ascii="Segoe UI" w:eastAsia="Times New Roman" w:hAnsi="Segoe UI" w:cs="Times New Roman"/>
                <w:kern w:val="0"/>
                <w:sz w:val="17"/>
                <w:szCs w:val="17"/>
                <w:lang w:val="en-GB" w:eastAsia="en-US"/>
              </w:rPr>
            </w:pPr>
            <w:r w:rsidRPr="008F5159">
              <w:rPr>
                <w:rFonts w:ascii="Segoe UI" w:eastAsia="Times New Roman" w:hAnsi="Segoe UI" w:cs="Times New Roman"/>
                <w:kern w:val="0"/>
                <w:sz w:val="17"/>
                <w:szCs w:val="17"/>
                <w:lang w:val="en-GB" w:eastAsia="en-US"/>
              </w:rPr>
              <w:t xml:space="preserve">Exposure measure under the LAC Rules of the resolution entity at the LAC consolidation group level.  </w:t>
            </w:r>
          </w:p>
        </w:tc>
      </w:tr>
      <w:tr w:rsidR="008F5159" w:rsidRPr="008F5159" w:rsidTr="00297CA5">
        <w:trPr>
          <w:trHeight w:val="373"/>
        </w:trPr>
        <w:tc>
          <w:tcPr>
            <w:tcW w:w="567" w:type="dxa"/>
          </w:tcPr>
          <w:p w:rsidR="008F5159" w:rsidRPr="008F5159" w:rsidRDefault="008F5159" w:rsidP="008F5159">
            <w:pPr>
              <w:keepLines/>
              <w:tabs>
                <w:tab w:val="left" w:pos="150"/>
                <w:tab w:val="left" w:pos="397"/>
                <w:tab w:val="left" w:pos="794"/>
                <w:tab w:val="left" w:pos="1191"/>
              </w:tabs>
              <w:spacing w:before="40" w:after="40"/>
              <w:rPr>
                <w:rFonts w:ascii="Segoe UI" w:eastAsia="Times New Roman" w:hAnsi="Segoe UI" w:cs="Segoe UI"/>
                <w:kern w:val="0"/>
                <w:sz w:val="17"/>
                <w:szCs w:val="17"/>
                <w:lang w:val="en-GB" w:eastAsia="en-GB"/>
              </w:rPr>
            </w:pPr>
            <w:r w:rsidRPr="008F5159">
              <w:rPr>
                <w:rFonts w:ascii="Segoe UI" w:eastAsia="Times New Roman" w:hAnsi="Segoe UI" w:cs="Segoe UI"/>
                <w:kern w:val="0"/>
                <w:sz w:val="17"/>
                <w:szCs w:val="17"/>
                <w:lang w:val="en-GB" w:eastAsia="en-GB"/>
              </w:rPr>
              <w:t>25</w:t>
            </w:r>
          </w:p>
        </w:tc>
        <w:tc>
          <w:tcPr>
            <w:tcW w:w="8647" w:type="dxa"/>
            <w:shd w:val="clear" w:color="auto" w:fill="FFFFFF" w:themeFill="background1"/>
          </w:tcPr>
          <w:p w:rsidR="008F5159" w:rsidRPr="008F5159" w:rsidRDefault="008F5159" w:rsidP="008F5159">
            <w:pPr>
              <w:widowControl/>
              <w:spacing w:before="40" w:after="40"/>
              <w:jc w:val="both"/>
              <w:rPr>
                <w:rFonts w:ascii="Segoe UI" w:eastAsia="Times New Roman" w:hAnsi="Segoe UI" w:cs="Times New Roman"/>
                <w:kern w:val="0"/>
                <w:sz w:val="17"/>
                <w:szCs w:val="17"/>
                <w:lang w:val="en-GB" w:eastAsia="en-US"/>
              </w:rPr>
            </w:pPr>
            <w:r w:rsidRPr="008F5159">
              <w:rPr>
                <w:rFonts w:ascii="Segoe UI" w:eastAsia="Times New Roman" w:hAnsi="Segoe UI" w:cs="Times New Roman"/>
                <w:kern w:val="0"/>
                <w:sz w:val="17"/>
                <w:szCs w:val="17"/>
                <w:lang w:val="en-GB" w:eastAsia="en-US"/>
              </w:rPr>
              <w:t>External LAC risk-weighted ratio, calculated as the value in row 22 divided by that in row 23.</w:t>
            </w:r>
          </w:p>
        </w:tc>
      </w:tr>
      <w:tr w:rsidR="008F5159" w:rsidRPr="008F5159" w:rsidTr="00297CA5">
        <w:trPr>
          <w:trHeight w:val="373"/>
        </w:trPr>
        <w:tc>
          <w:tcPr>
            <w:tcW w:w="567" w:type="dxa"/>
          </w:tcPr>
          <w:p w:rsidR="008F5159" w:rsidRPr="008F5159" w:rsidRDefault="008F5159" w:rsidP="008F5159">
            <w:pPr>
              <w:keepLines/>
              <w:tabs>
                <w:tab w:val="left" w:pos="150"/>
                <w:tab w:val="left" w:pos="397"/>
                <w:tab w:val="left" w:pos="794"/>
                <w:tab w:val="left" w:pos="1191"/>
              </w:tabs>
              <w:spacing w:before="40" w:after="40"/>
              <w:rPr>
                <w:rFonts w:ascii="Segoe UI" w:eastAsia="Times New Roman" w:hAnsi="Segoe UI" w:cs="Segoe UI"/>
                <w:kern w:val="0"/>
                <w:sz w:val="17"/>
                <w:szCs w:val="17"/>
                <w:lang w:val="en-GB" w:eastAsia="en-GB"/>
              </w:rPr>
            </w:pPr>
            <w:r w:rsidRPr="008F5159">
              <w:rPr>
                <w:rFonts w:ascii="Segoe UI" w:eastAsia="Times New Roman" w:hAnsi="Segoe UI" w:cs="Segoe UI"/>
                <w:kern w:val="0"/>
                <w:sz w:val="17"/>
                <w:szCs w:val="17"/>
                <w:lang w:val="en-GB" w:eastAsia="en-GB"/>
              </w:rPr>
              <w:t>26</w:t>
            </w:r>
          </w:p>
        </w:tc>
        <w:tc>
          <w:tcPr>
            <w:tcW w:w="8647" w:type="dxa"/>
            <w:shd w:val="clear" w:color="auto" w:fill="FFFFFF" w:themeFill="background1"/>
          </w:tcPr>
          <w:p w:rsidR="008F5159" w:rsidRPr="008F5159" w:rsidRDefault="008F5159" w:rsidP="008F5159">
            <w:pPr>
              <w:widowControl/>
              <w:spacing w:before="40" w:after="40"/>
              <w:jc w:val="both"/>
              <w:rPr>
                <w:rFonts w:ascii="Segoe UI" w:eastAsia="Times New Roman" w:hAnsi="Segoe UI" w:cs="Times New Roman"/>
                <w:kern w:val="0"/>
                <w:sz w:val="17"/>
                <w:szCs w:val="17"/>
                <w:lang w:val="en-GB" w:eastAsia="en-US"/>
              </w:rPr>
            </w:pPr>
            <w:r w:rsidRPr="008F5159">
              <w:rPr>
                <w:rFonts w:ascii="Segoe UI" w:eastAsia="Times New Roman" w:hAnsi="Segoe UI" w:cs="Times New Roman"/>
                <w:kern w:val="0"/>
                <w:sz w:val="17"/>
                <w:szCs w:val="17"/>
                <w:lang w:val="en-GB" w:eastAsia="en-US"/>
              </w:rPr>
              <w:t>External LAC leverage ratio, calculated as the value in row 22 divided by that in row 24.</w:t>
            </w:r>
          </w:p>
        </w:tc>
      </w:tr>
      <w:tr w:rsidR="008F5159" w:rsidRPr="008F5159" w:rsidTr="00297CA5">
        <w:trPr>
          <w:trHeight w:val="373"/>
        </w:trPr>
        <w:tc>
          <w:tcPr>
            <w:tcW w:w="567" w:type="dxa"/>
          </w:tcPr>
          <w:p w:rsidR="008F5159" w:rsidRPr="008F5159" w:rsidRDefault="008F5159" w:rsidP="008F5159">
            <w:pPr>
              <w:keepLines/>
              <w:tabs>
                <w:tab w:val="left" w:pos="150"/>
                <w:tab w:val="left" w:pos="397"/>
                <w:tab w:val="left" w:pos="794"/>
                <w:tab w:val="left" w:pos="1191"/>
              </w:tabs>
              <w:spacing w:before="40" w:after="40"/>
              <w:rPr>
                <w:rFonts w:ascii="Segoe UI" w:eastAsia="Times New Roman" w:hAnsi="Segoe UI" w:cs="Segoe UI"/>
                <w:kern w:val="0"/>
                <w:sz w:val="17"/>
                <w:szCs w:val="17"/>
                <w:lang w:val="en-GB" w:eastAsia="en-GB"/>
              </w:rPr>
            </w:pPr>
            <w:r w:rsidRPr="008F5159">
              <w:rPr>
                <w:rFonts w:ascii="Segoe UI" w:eastAsia="Times New Roman" w:hAnsi="Segoe UI" w:cs="Segoe UI"/>
                <w:kern w:val="0"/>
                <w:sz w:val="17"/>
                <w:szCs w:val="17"/>
                <w:lang w:val="en-GB" w:eastAsia="en-GB"/>
              </w:rPr>
              <w:t>27</w:t>
            </w:r>
          </w:p>
        </w:tc>
        <w:tc>
          <w:tcPr>
            <w:tcW w:w="8647" w:type="dxa"/>
          </w:tcPr>
          <w:p w:rsidR="008F5159" w:rsidRPr="008F5159" w:rsidRDefault="008F5159" w:rsidP="008F5159">
            <w:pPr>
              <w:widowControl/>
              <w:spacing w:before="40" w:after="40"/>
              <w:jc w:val="both"/>
              <w:rPr>
                <w:rFonts w:ascii="Segoe UI" w:eastAsia="Times New Roman" w:hAnsi="Segoe UI" w:cs="Times New Roman"/>
                <w:kern w:val="0"/>
                <w:sz w:val="17"/>
                <w:szCs w:val="17"/>
                <w:lang w:val="en-GB" w:eastAsia="en-US"/>
              </w:rPr>
            </w:pPr>
            <w:r w:rsidRPr="008F5159">
              <w:rPr>
                <w:rFonts w:ascii="Segoe UI" w:eastAsia="Times New Roman" w:hAnsi="Segoe UI" w:cs="Times New Roman"/>
                <w:kern w:val="0"/>
                <w:sz w:val="17"/>
                <w:szCs w:val="17"/>
                <w:lang w:val="en-GB" w:eastAsia="en-US"/>
              </w:rPr>
              <w:t xml:space="preserve">(Not applicable for a resolution entity that is not an AI).  The resolution entity’s CET1 ratio available after meeting its minimum capital requirements and LAC requirements, calculated as the ratio of (a) its CET1 less any </w:t>
            </w:r>
            <w:r w:rsidRPr="008F5159">
              <w:rPr>
                <w:rFonts w:ascii="Segoe UI" w:eastAsia="Times New Roman" w:hAnsi="Segoe UI" w:cs="Times New Roman"/>
                <w:kern w:val="0"/>
                <w:sz w:val="17"/>
                <w:szCs w:val="17"/>
                <w:lang w:val="en-GB" w:eastAsia="en-US"/>
              </w:rPr>
              <w:lastRenderedPageBreak/>
              <w:t xml:space="preserve">common equity used to meet CET1, Tier 1, total minimum capital and LAC requirements; to (b) its RWA under the BCR.  </w:t>
            </w:r>
          </w:p>
          <w:p w:rsidR="008F5159" w:rsidRPr="008F5159" w:rsidRDefault="008F5159" w:rsidP="008F5159">
            <w:pPr>
              <w:widowControl/>
              <w:spacing w:before="40" w:after="40"/>
              <w:jc w:val="both"/>
              <w:rPr>
                <w:rFonts w:ascii="Segoe UI" w:eastAsia="Times New Roman" w:hAnsi="Segoe UI" w:cs="Times New Roman"/>
                <w:kern w:val="0"/>
                <w:sz w:val="17"/>
                <w:szCs w:val="17"/>
                <w:lang w:val="en-GB" w:eastAsia="en-US"/>
              </w:rPr>
            </w:pPr>
            <w:r w:rsidRPr="008F5159">
              <w:rPr>
                <w:rFonts w:ascii="Segoe UI" w:eastAsia="Times New Roman" w:hAnsi="Segoe UI" w:cs="Times New Roman"/>
                <w:kern w:val="0"/>
                <w:sz w:val="17"/>
                <w:szCs w:val="17"/>
                <w:lang w:val="en-GB" w:eastAsia="en-US"/>
              </w:rPr>
              <w:t>For example, suppose the LAC consolidation group of a resolution entity has 100 risk-weighted amount, 10 CET1 capital and 1.5 AT1 capital (both assumed to be eligible as loss-absorbing capacity), no T2 capital and 9 external non-capital LAC debt instruments, its pillar 2A requirement is 1%, and the Monetary Authority does not exercise his powers under rule 19(2) of the LAC Rules to vary the resolution component ratio.  The resolution entity will have to earmark its CET1 capital to meet the 8% minimum capital requirement and 18% LAC requirement (i.e. 2 times of minimum capital requirement and pillar 2A requirements).  The net CET1 capital left to meet other requirements (which could include Pillar 2 or buffers) will be 10 – 4.5 – 2 – 1 = 2.5.</w:t>
            </w:r>
          </w:p>
        </w:tc>
      </w:tr>
      <w:tr w:rsidR="008F5159" w:rsidRPr="008F5159" w:rsidTr="00297CA5">
        <w:trPr>
          <w:trHeight w:val="373"/>
        </w:trPr>
        <w:tc>
          <w:tcPr>
            <w:tcW w:w="567" w:type="dxa"/>
          </w:tcPr>
          <w:p w:rsidR="008F5159" w:rsidRPr="008F5159" w:rsidRDefault="008F5159" w:rsidP="008F5159">
            <w:pPr>
              <w:keepLines/>
              <w:tabs>
                <w:tab w:val="left" w:pos="150"/>
                <w:tab w:val="left" w:pos="397"/>
                <w:tab w:val="left" w:pos="794"/>
                <w:tab w:val="left" w:pos="1191"/>
              </w:tabs>
              <w:spacing w:before="40" w:after="40"/>
              <w:rPr>
                <w:rFonts w:ascii="Segoe UI" w:eastAsia="Times New Roman" w:hAnsi="Segoe UI" w:cs="Segoe UI"/>
                <w:kern w:val="0"/>
                <w:sz w:val="17"/>
                <w:szCs w:val="17"/>
                <w:lang w:val="en-GB" w:eastAsia="en-GB"/>
              </w:rPr>
            </w:pPr>
            <w:r w:rsidRPr="008F5159">
              <w:rPr>
                <w:rFonts w:ascii="Segoe UI" w:eastAsia="Times New Roman" w:hAnsi="Segoe UI" w:cs="Segoe UI"/>
                <w:kern w:val="0"/>
                <w:sz w:val="17"/>
                <w:szCs w:val="17"/>
                <w:lang w:val="en-GB" w:eastAsia="en-GB"/>
              </w:rPr>
              <w:lastRenderedPageBreak/>
              <w:t>28</w:t>
            </w:r>
          </w:p>
        </w:tc>
        <w:tc>
          <w:tcPr>
            <w:tcW w:w="8647" w:type="dxa"/>
          </w:tcPr>
          <w:p w:rsidR="008F5159" w:rsidRPr="008F5159" w:rsidRDefault="008F5159" w:rsidP="008F5159">
            <w:pPr>
              <w:widowControl/>
              <w:spacing w:before="40" w:after="40"/>
              <w:jc w:val="both"/>
              <w:rPr>
                <w:rFonts w:ascii="Segoe UI" w:eastAsia="Times New Roman" w:hAnsi="Segoe UI" w:cs="Times New Roman"/>
                <w:kern w:val="0"/>
                <w:sz w:val="17"/>
                <w:szCs w:val="17"/>
                <w:lang w:val="en-GB" w:eastAsia="en-US"/>
              </w:rPr>
            </w:pPr>
            <w:r w:rsidRPr="008F5159">
              <w:rPr>
                <w:rFonts w:ascii="Segoe UI" w:eastAsia="Times New Roman" w:hAnsi="Segoe UI" w:cs="Times New Roman"/>
                <w:kern w:val="0"/>
                <w:sz w:val="17"/>
                <w:szCs w:val="17"/>
                <w:lang w:val="en-GB" w:eastAsia="en-US"/>
              </w:rPr>
              <w:t xml:space="preserve">(Only applicable to a resolution entity that is an AI and whose LAC consolidation group is the same as its capital consolidation group).  Institution-specific buffer requirements, calculated as the sum of: (i) the capital conservation buffer requirement; (ii) the countercyclical capital buffer requirement; and (iii) the higher loss absorbency requirement, in each case calculated as if the BCR applied to the resolution entity at the LAC consolidation group level.  </w:t>
            </w:r>
          </w:p>
          <w:p w:rsidR="008F5159" w:rsidRPr="008F5159" w:rsidRDefault="008F5159" w:rsidP="008F5159">
            <w:pPr>
              <w:widowControl/>
              <w:spacing w:before="40" w:after="40"/>
              <w:jc w:val="both"/>
              <w:rPr>
                <w:rFonts w:ascii="Segoe UI" w:eastAsia="Times New Roman" w:hAnsi="Segoe UI" w:cs="Times New Roman"/>
                <w:kern w:val="0"/>
                <w:sz w:val="17"/>
                <w:szCs w:val="17"/>
                <w:lang w:val="en-GB" w:eastAsia="en-US"/>
              </w:rPr>
            </w:pPr>
            <w:r w:rsidRPr="008F5159">
              <w:rPr>
                <w:rFonts w:ascii="Segoe UI" w:eastAsia="Times New Roman" w:hAnsi="Segoe UI" w:cs="Times New Roman"/>
                <w:kern w:val="0"/>
                <w:sz w:val="17"/>
                <w:szCs w:val="17"/>
                <w:lang w:val="en-GB" w:eastAsia="en-US"/>
              </w:rPr>
              <w:t xml:space="preserve">The value reported in this row should be equal to the sum of values for capital conservation buffer requirement, countercyclical capital buffer requirement and higher loss absorbency requirement reported in row 11 of template KM1.    </w:t>
            </w:r>
          </w:p>
        </w:tc>
      </w:tr>
      <w:tr w:rsidR="008F5159" w:rsidRPr="008F5159" w:rsidTr="00297CA5">
        <w:trPr>
          <w:trHeight w:val="373"/>
        </w:trPr>
        <w:tc>
          <w:tcPr>
            <w:tcW w:w="567" w:type="dxa"/>
          </w:tcPr>
          <w:p w:rsidR="008F5159" w:rsidRPr="008F5159" w:rsidRDefault="008F5159" w:rsidP="008F5159">
            <w:pPr>
              <w:keepLines/>
              <w:tabs>
                <w:tab w:val="left" w:pos="150"/>
                <w:tab w:val="left" w:pos="397"/>
                <w:tab w:val="left" w:pos="794"/>
                <w:tab w:val="left" w:pos="1191"/>
              </w:tabs>
              <w:spacing w:before="40" w:after="40"/>
              <w:rPr>
                <w:rFonts w:ascii="Segoe UI" w:eastAsia="Times New Roman" w:hAnsi="Segoe UI" w:cs="Segoe UI"/>
                <w:kern w:val="0"/>
                <w:sz w:val="17"/>
                <w:szCs w:val="17"/>
                <w:lang w:val="en-GB" w:eastAsia="en-GB"/>
              </w:rPr>
            </w:pPr>
            <w:r w:rsidRPr="008F5159">
              <w:rPr>
                <w:rFonts w:ascii="Segoe UI" w:eastAsia="Times New Roman" w:hAnsi="Segoe UI" w:cs="Segoe UI"/>
                <w:kern w:val="0"/>
                <w:sz w:val="17"/>
                <w:szCs w:val="17"/>
                <w:lang w:val="en-GB" w:eastAsia="en-GB"/>
              </w:rPr>
              <w:t>29</w:t>
            </w:r>
          </w:p>
        </w:tc>
        <w:tc>
          <w:tcPr>
            <w:tcW w:w="8647" w:type="dxa"/>
          </w:tcPr>
          <w:p w:rsidR="008F5159" w:rsidRPr="008F5159" w:rsidRDefault="008F5159" w:rsidP="008F5159">
            <w:pPr>
              <w:widowControl/>
              <w:spacing w:before="40" w:after="40"/>
              <w:jc w:val="both"/>
              <w:rPr>
                <w:rFonts w:ascii="Segoe UI" w:eastAsia="Times New Roman" w:hAnsi="Segoe UI" w:cs="Times New Roman"/>
                <w:kern w:val="0"/>
                <w:sz w:val="17"/>
                <w:szCs w:val="17"/>
                <w:lang w:val="en-GB" w:eastAsia="en-US"/>
              </w:rPr>
            </w:pPr>
            <w:r w:rsidRPr="008F5159">
              <w:rPr>
                <w:rFonts w:ascii="Segoe UI" w:eastAsia="Times New Roman" w:hAnsi="Segoe UI" w:cs="Times New Roman"/>
                <w:kern w:val="0"/>
                <w:sz w:val="17"/>
                <w:szCs w:val="17"/>
                <w:lang w:val="en-GB" w:eastAsia="en-US"/>
              </w:rPr>
              <w:t xml:space="preserve">(Only applicable to a resolution entity that is an AI and whose LAC consolidation group is the same as its capital consolidation group).  The portion of the amount in row 28 (expressed as a percentage of the RWA under the BCR) that relates to the capital conservation buffer requirement.  </w:t>
            </w:r>
          </w:p>
          <w:p w:rsidR="008F5159" w:rsidRPr="008F5159" w:rsidRDefault="008F5159" w:rsidP="008F5159">
            <w:pPr>
              <w:widowControl/>
              <w:spacing w:before="40" w:after="40"/>
              <w:jc w:val="both"/>
              <w:rPr>
                <w:rFonts w:ascii="Segoe UI" w:eastAsia="Times New Roman" w:hAnsi="Segoe UI" w:cs="Times New Roman"/>
                <w:kern w:val="0"/>
                <w:sz w:val="17"/>
                <w:szCs w:val="17"/>
                <w:lang w:val="en-GB" w:eastAsia="en-US"/>
              </w:rPr>
            </w:pPr>
            <w:r w:rsidRPr="008F5159">
              <w:rPr>
                <w:rFonts w:ascii="Segoe UI" w:eastAsia="Times New Roman" w:hAnsi="Segoe UI" w:cs="Times New Roman"/>
                <w:kern w:val="0"/>
                <w:sz w:val="17"/>
                <w:szCs w:val="17"/>
                <w:lang w:val="en-GB" w:eastAsia="en-US"/>
              </w:rPr>
              <w:t xml:space="preserve">The value reported in this row should be equal to the value for capital conservation buffer requirement reported in row 8 of template KM1.   </w:t>
            </w:r>
          </w:p>
        </w:tc>
      </w:tr>
      <w:tr w:rsidR="008F5159" w:rsidRPr="008F5159" w:rsidTr="00297CA5">
        <w:trPr>
          <w:trHeight w:val="373"/>
        </w:trPr>
        <w:tc>
          <w:tcPr>
            <w:tcW w:w="567" w:type="dxa"/>
          </w:tcPr>
          <w:p w:rsidR="008F5159" w:rsidRPr="008F5159" w:rsidRDefault="008F5159" w:rsidP="008F5159">
            <w:pPr>
              <w:keepLines/>
              <w:tabs>
                <w:tab w:val="left" w:pos="150"/>
                <w:tab w:val="left" w:pos="397"/>
                <w:tab w:val="left" w:pos="794"/>
                <w:tab w:val="left" w:pos="1191"/>
              </w:tabs>
              <w:spacing w:before="40" w:after="40"/>
              <w:rPr>
                <w:rFonts w:ascii="Segoe UI" w:eastAsia="Times New Roman" w:hAnsi="Segoe UI" w:cs="Segoe UI"/>
                <w:kern w:val="0"/>
                <w:sz w:val="17"/>
                <w:szCs w:val="17"/>
                <w:lang w:val="en-GB" w:eastAsia="en-GB"/>
              </w:rPr>
            </w:pPr>
            <w:r w:rsidRPr="008F5159">
              <w:rPr>
                <w:rFonts w:ascii="Segoe UI" w:eastAsia="Times New Roman" w:hAnsi="Segoe UI" w:cs="Segoe UI"/>
                <w:kern w:val="0"/>
                <w:sz w:val="17"/>
                <w:szCs w:val="17"/>
                <w:lang w:val="en-GB" w:eastAsia="en-GB"/>
              </w:rPr>
              <w:t>30</w:t>
            </w:r>
          </w:p>
        </w:tc>
        <w:tc>
          <w:tcPr>
            <w:tcW w:w="8647" w:type="dxa"/>
          </w:tcPr>
          <w:p w:rsidR="008F5159" w:rsidRPr="008F5159" w:rsidRDefault="008F5159" w:rsidP="008F5159">
            <w:pPr>
              <w:widowControl/>
              <w:spacing w:before="40" w:after="40"/>
              <w:jc w:val="both"/>
              <w:rPr>
                <w:rFonts w:ascii="Segoe UI" w:eastAsia="Times New Roman" w:hAnsi="Segoe UI" w:cs="Times New Roman"/>
                <w:kern w:val="0"/>
                <w:sz w:val="17"/>
                <w:szCs w:val="17"/>
                <w:lang w:val="en-GB" w:eastAsia="en-US"/>
              </w:rPr>
            </w:pPr>
            <w:r w:rsidRPr="008F5159">
              <w:rPr>
                <w:rFonts w:ascii="Segoe UI" w:eastAsia="Times New Roman" w:hAnsi="Segoe UI" w:cs="Times New Roman"/>
                <w:kern w:val="0"/>
                <w:sz w:val="17"/>
                <w:szCs w:val="17"/>
                <w:lang w:val="en-GB" w:eastAsia="en-US"/>
              </w:rPr>
              <w:t xml:space="preserve">(Only applicable to a resolution entity that is an AI and whose LAC consolidation group is the same as its capital consolidation group).  The portion of the amount in row 28 (expressed as a percentage of the RWA under the BCR) that relates to the countercyclical capital buffer requirement.  </w:t>
            </w:r>
          </w:p>
          <w:p w:rsidR="008F5159" w:rsidRPr="008F5159" w:rsidRDefault="008F5159" w:rsidP="008F5159">
            <w:pPr>
              <w:widowControl/>
              <w:spacing w:before="40" w:after="40"/>
              <w:jc w:val="both"/>
              <w:rPr>
                <w:rFonts w:ascii="Segoe UI" w:eastAsia="Times New Roman" w:hAnsi="Segoe UI" w:cs="Times New Roman"/>
                <w:kern w:val="0"/>
                <w:sz w:val="17"/>
                <w:szCs w:val="17"/>
                <w:lang w:val="en-GB" w:eastAsia="en-US"/>
              </w:rPr>
            </w:pPr>
            <w:r w:rsidRPr="008F5159">
              <w:rPr>
                <w:rFonts w:ascii="Segoe UI" w:eastAsia="Times New Roman" w:hAnsi="Segoe UI" w:cs="Times New Roman"/>
                <w:kern w:val="0"/>
                <w:sz w:val="17"/>
                <w:szCs w:val="17"/>
                <w:lang w:val="en-GB" w:eastAsia="en-US"/>
              </w:rPr>
              <w:t xml:space="preserve">The value reported in this row should be equal to the value for countercyclical capital buffer requirement reported in row 9 of template KM1.   </w:t>
            </w:r>
          </w:p>
        </w:tc>
      </w:tr>
      <w:tr w:rsidR="008F5159" w:rsidRPr="008F5159" w:rsidTr="00297CA5">
        <w:trPr>
          <w:trHeight w:val="373"/>
        </w:trPr>
        <w:tc>
          <w:tcPr>
            <w:tcW w:w="567" w:type="dxa"/>
          </w:tcPr>
          <w:p w:rsidR="008F5159" w:rsidRPr="008F5159" w:rsidRDefault="008F5159" w:rsidP="008F5159">
            <w:pPr>
              <w:keepLines/>
              <w:tabs>
                <w:tab w:val="left" w:pos="150"/>
                <w:tab w:val="left" w:pos="397"/>
                <w:tab w:val="left" w:pos="794"/>
                <w:tab w:val="left" w:pos="1191"/>
              </w:tabs>
              <w:spacing w:before="40" w:after="40"/>
              <w:rPr>
                <w:rFonts w:ascii="Segoe UI" w:eastAsia="Times New Roman" w:hAnsi="Segoe UI" w:cs="Segoe UI"/>
                <w:kern w:val="0"/>
                <w:sz w:val="17"/>
                <w:szCs w:val="17"/>
                <w:lang w:val="en-GB" w:eastAsia="en-GB"/>
              </w:rPr>
            </w:pPr>
            <w:r w:rsidRPr="008F5159">
              <w:rPr>
                <w:rFonts w:ascii="Segoe UI" w:eastAsia="Times New Roman" w:hAnsi="Segoe UI" w:cs="Segoe UI"/>
                <w:kern w:val="0"/>
                <w:sz w:val="17"/>
                <w:szCs w:val="17"/>
                <w:lang w:val="en-GB" w:eastAsia="en-GB"/>
              </w:rPr>
              <w:t>31</w:t>
            </w:r>
          </w:p>
        </w:tc>
        <w:tc>
          <w:tcPr>
            <w:tcW w:w="8647" w:type="dxa"/>
          </w:tcPr>
          <w:p w:rsidR="008F5159" w:rsidRPr="008F5159" w:rsidRDefault="008F5159" w:rsidP="008F5159">
            <w:pPr>
              <w:widowControl/>
              <w:spacing w:before="40" w:after="40"/>
              <w:jc w:val="both"/>
              <w:rPr>
                <w:rFonts w:ascii="Segoe UI" w:eastAsia="Times New Roman" w:hAnsi="Segoe UI" w:cs="Times New Roman"/>
                <w:kern w:val="0"/>
                <w:sz w:val="17"/>
                <w:szCs w:val="17"/>
                <w:lang w:val="en-GB" w:eastAsia="en-US"/>
              </w:rPr>
            </w:pPr>
            <w:r w:rsidRPr="008F5159">
              <w:rPr>
                <w:rFonts w:ascii="Segoe UI" w:eastAsia="Times New Roman" w:hAnsi="Segoe UI" w:cs="Times New Roman"/>
                <w:kern w:val="0"/>
                <w:sz w:val="17"/>
                <w:szCs w:val="17"/>
                <w:lang w:val="en-GB" w:eastAsia="en-US"/>
              </w:rPr>
              <w:t xml:space="preserve">(Only applicable to a resolution entity that is an AI and whose LAC consolidation group is the same as its capital consolidation group).  The portion of the amount in row 28 (expressed as a percentage of the RWA under the BCR) that relates to the higher loss absorbency requirement.  </w:t>
            </w:r>
          </w:p>
          <w:p w:rsidR="008F5159" w:rsidRPr="008F5159" w:rsidRDefault="008F5159" w:rsidP="008F5159">
            <w:pPr>
              <w:widowControl/>
              <w:spacing w:before="40" w:after="40"/>
              <w:jc w:val="both"/>
              <w:rPr>
                <w:rFonts w:ascii="Segoe UI" w:eastAsia="Times New Roman" w:hAnsi="Segoe UI" w:cs="Times New Roman"/>
                <w:kern w:val="0"/>
                <w:sz w:val="17"/>
                <w:szCs w:val="17"/>
                <w:lang w:val="en-GB" w:eastAsia="en-US"/>
              </w:rPr>
            </w:pPr>
            <w:r w:rsidRPr="008F5159">
              <w:rPr>
                <w:rFonts w:ascii="Segoe UI" w:eastAsia="Times New Roman" w:hAnsi="Segoe UI" w:cs="Times New Roman"/>
                <w:kern w:val="0"/>
                <w:sz w:val="17"/>
                <w:szCs w:val="17"/>
                <w:lang w:val="en-GB" w:eastAsia="en-US"/>
              </w:rPr>
              <w:t xml:space="preserve">The value reported in this row should be equal to the value for higher loss absorbency requirement reported in row 10 of template KM1.   </w:t>
            </w:r>
          </w:p>
        </w:tc>
      </w:tr>
    </w:tbl>
    <w:p w:rsidR="008F5159" w:rsidRPr="008F5159" w:rsidRDefault="008F5159" w:rsidP="008F5159">
      <w:pPr>
        <w:widowControl/>
        <w:rPr>
          <w:rFonts w:ascii="Segoe UI" w:eastAsia="Times New Roman" w:hAnsi="Segoe UI" w:cs="Times New Roman"/>
          <w:kern w:val="0"/>
          <w:sz w:val="20"/>
          <w:szCs w:val="20"/>
          <w:lang w:val="en-GB" w:eastAsia="en-US"/>
        </w:rPr>
      </w:pPr>
    </w:p>
    <w:p w:rsidR="00297CA5" w:rsidRDefault="00297CA5">
      <w:pPr>
        <w:rPr>
          <w:lang w:val="en-GB"/>
        </w:rPr>
        <w:sectPr w:rsidR="00297CA5">
          <w:footerReference w:type="default" r:id="rId14"/>
          <w:pgSz w:w="11906" w:h="16838"/>
          <w:pgMar w:top="1440" w:right="1800" w:bottom="1440" w:left="1800" w:header="851" w:footer="992" w:gutter="0"/>
          <w:cols w:space="425"/>
          <w:docGrid w:type="lines" w:linePitch="360"/>
        </w:sectPr>
      </w:pPr>
    </w:p>
    <w:tbl>
      <w:tblPr>
        <w:tblW w:w="9242" w:type="dxa"/>
        <w:tblInd w:w="-459" w:type="dxa"/>
        <w:tblBorders>
          <w:top w:val="single" w:sz="4" w:space="0" w:color="auto"/>
          <w:bottom w:val="single" w:sz="4" w:space="0" w:color="auto"/>
          <w:insideH w:val="single" w:sz="4" w:space="0" w:color="auto"/>
          <w:insideV w:val="single" w:sz="4" w:space="0" w:color="auto"/>
        </w:tblBorders>
        <w:tblLook w:val="00A0" w:firstRow="1" w:lastRow="0" w:firstColumn="1" w:lastColumn="0" w:noHBand="0" w:noVBand="0"/>
      </w:tblPr>
      <w:tblGrid>
        <w:gridCol w:w="2008"/>
        <w:gridCol w:w="7234"/>
      </w:tblGrid>
      <w:tr w:rsidR="00297CA5" w:rsidRPr="00297CA5" w:rsidTr="00297CA5">
        <w:tc>
          <w:tcPr>
            <w:tcW w:w="9242" w:type="dxa"/>
            <w:gridSpan w:val="2"/>
            <w:tcBorders>
              <w:top w:val="nil"/>
            </w:tcBorders>
          </w:tcPr>
          <w:p w:rsidR="00297CA5" w:rsidRPr="00297CA5" w:rsidRDefault="00297CA5" w:rsidP="00297CA5">
            <w:pPr>
              <w:widowControl/>
              <w:spacing w:before="40" w:after="40"/>
              <w:jc w:val="both"/>
              <w:rPr>
                <w:rFonts w:ascii="Segoe UI" w:eastAsia="Times New Roman" w:hAnsi="Segoe UI" w:cs="Times New Roman"/>
                <w:noProof/>
                <w:kern w:val="0"/>
                <w:sz w:val="17"/>
                <w:szCs w:val="20"/>
                <w:lang w:val="en-GB" w:eastAsia="en-GB"/>
              </w:rPr>
            </w:pPr>
            <w:r w:rsidRPr="00297CA5">
              <w:rPr>
                <w:rFonts w:ascii="Segoe UI" w:eastAsia="Times New Roman" w:hAnsi="Segoe UI" w:cs="Times New Roman"/>
                <w:kern w:val="0"/>
                <w:sz w:val="22"/>
                <w:szCs w:val="20"/>
                <w:lang w:val="en-GB" w:eastAsia="en-US"/>
              </w:rPr>
              <w:lastRenderedPageBreak/>
              <w:t>Template TLAC1(A): LAC composition of material subsidiary (at LAC consolidation group level)</w:t>
            </w:r>
          </w:p>
        </w:tc>
      </w:tr>
      <w:tr w:rsidR="00297CA5" w:rsidRPr="00297CA5" w:rsidTr="00297CA5">
        <w:tc>
          <w:tcPr>
            <w:tcW w:w="2008" w:type="dxa"/>
          </w:tcPr>
          <w:p w:rsidR="00297CA5" w:rsidRPr="00297CA5" w:rsidRDefault="00297CA5" w:rsidP="00297CA5">
            <w:pPr>
              <w:widowControl/>
              <w:spacing w:before="40" w:after="40"/>
              <w:rPr>
                <w:rFonts w:ascii="Segoe UI" w:eastAsia="Times New Roman" w:hAnsi="Segoe UI" w:cs="Times New Roman"/>
                <w:noProof/>
                <w:kern w:val="0"/>
                <w:sz w:val="17"/>
                <w:szCs w:val="20"/>
                <w:lang w:val="en-GB" w:eastAsia="en-GB"/>
              </w:rPr>
            </w:pPr>
            <w:r w:rsidRPr="00297CA5">
              <w:rPr>
                <w:rFonts w:ascii="Segoe UI" w:eastAsia="Times New Roman" w:hAnsi="Segoe UI" w:cs="Times New Roman"/>
                <w:b/>
                <w:kern w:val="0"/>
                <w:sz w:val="17"/>
                <w:szCs w:val="20"/>
                <w:lang w:val="en-GB" w:eastAsia="en-GB"/>
              </w:rPr>
              <w:t>Purpose:</w:t>
            </w:r>
          </w:p>
        </w:tc>
        <w:tc>
          <w:tcPr>
            <w:tcW w:w="7234" w:type="dxa"/>
          </w:tcPr>
          <w:p w:rsidR="00297CA5" w:rsidRPr="00297CA5" w:rsidRDefault="00297CA5" w:rsidP="00297CA5">
            <w:pPr>
              <w:widowControl/>
              <w:spacing w:before="40" w:after="40"/>
              <w:jc w:val="both"/>
              <w:rPr>
                <w:rFonts w:ascii="Segoe UI" w:eastAsia="Times New Roman" w:hAnsi="Segoe UI" w:cs="Times New Roman"/>
                <w:kern w:val="0"/>
                <w:sz w:val="17"/>
                <w:szCs w:val="20"/>
                <w:lang w:val="en-GB" w:eastAsia="en-GB"/>
              </w:rPr>
            </w:pPr>
            <w:r w:rsidRPr="00297CA5">
              <w:rPr>
                <w:rFonts w:ascii="Segoe UI" w:eastAsia="Times New Roman" w:hAnsi="Segoe UI" w:cs="Times New Roman"/>
                <w:kern w:val="0"/>
                <w:sz w:val="17"/>
                <w:szCs w:val="20"/>
                <w:lang w:val="en-GB" w:eastAsia="en-GB"/>
              </w:rPr>
              <w:t>To provide details of the composition of a material subsidiary’s internal loss-absorbing capacity.</w:t>
            </w:r>
          </w:p>
        </w:tc>
      </w:tr>
      <w:tr w:rsidR="00297CA5" w:rsidRPr="00297CA5" w:rsidTr="00297CA5">
        <w:tc>
          <w:tcPr>
            <w:tcW w:w="2008" w:type="dxa"/>
          </w:tcPr>
          <w:p w:rsidR="00297CA5" w:rsidRPr="00297CA5" w:rsidRDefault="00297CA5" w:rsidP="00297CA5">
            <w:pPr>
              <w:widowControl/>
              <w:spacing w:before="40" w:after="40"/>
              <w:rPr>
                <w:rFonts w:ascii="Segoe UI" w:eastAsia="Times New Roman" w:hAnsi="Segoe UI" w:cs="Times New Roman"/>
                <w:b/>
                <w:kern w:val="0"/>
                <w:sz w:val="17"/>
                <w:szCs w:val="20"/>
                <w:lang w:val="en-GB" w:eastAsia="en-GB"/>
              </w:rPr>
            </w:pPr>
            <w:r w:rsidRPr="00297CA5">
              <w:rPr>
                <w:rFonts w:ascii="Segoe UI" w:eastAsia="Times New Roman" w:hAnsi="Segoe UI" w:cs="Times New Roman"/>
                <w:b/>
                <w:kern w:val="0"/>
                <w:sz w:val="17"/>
                <w:szCs w:val="20"/>
                <w:lang w:val="en-GB" w:eastAsia="en-GB"/>
              </w:rPr>
              <w:t>Scope of application:</w:t>
            </w:r>
          </w:p>
        </w:tc>
        <w:tc>
          <w:tcPr>
            <w:tcW w:w="7234" w:type="dxa"/>
          </w:tcPr>
          <w:p w:rsidR="00297CA5" w:rsidRPr="00297CA5" w:rsidRDefault="00297CA5" w:rsidP="00297CA5">
            <w:pPr>
              <w:widowControl/>
              <w:spacing w:before="40" w:after="40"/>
              <w:jc w:val="both"/>
              <w:rPr>
                <w:rFonts w:ascii="Segoe UI" w:hAnsi="Segoe UI" w:cs="Times New Roman"/>
                <w:b/>
                <w:kern w:val="0"/>
                <w:sz w:val="17"/>
                <w:szCs w:val="20"/>
                <w:lang w:eastAsia="en-GB"/>
              </w:rPr>
            </w:pPr>
            <w:r w:rsidRPr="00297CA5">
              <w:rPr>
                <w:rFonts w:ascii="Segoe UI" w:eastAsia="Times New Roman" w:hAnsi="Segoe UI" w:cs="Times New Roman"/>
                <w:kern w:val="0"/>
                <w:sz w:val="17"/>
                <w:szCs w:val="17"/>
                <w:lang w:val="en-GB" w:eastAsia="en-US"/>
              </w:rPr>
              <w:t xml:space="preserve">This template is mandatory for all material subsidiaries under the Financial Institutions (Resolution) (Loss-absorbing Capacity Requirements – Banking Sector) Rules (“LAC Rules”).  </w:t>
            </w:r>
          </w:p>
        </w:tc>
      </w:tr>
      <w:tr w:rsidR="00297CA5" w:rsidRPr="00297CA5" w:rsidTr="00297CA5">
        <w:tc>
          <w:tcPr>
            <w:tcW w:w="2008" w:type="dxa"/>
          </w:tcPr>
          <w:p w:rsidR="00297CA5" w:rsidRPr="00297CA5" w:rsidRDefault="00297CA5" w:rsidP="00297CA5">
            <w:pPr>
              <w:widowControl/>
              <w:spacing w:before="40" w:after="40"/>
              <w:rPr>
                <w:rFonts w:ascii="Segoe UI" w:eastAsia="Times New Roman" w:hAnsi="Segoe UI" w:cs="Times New Roman"/>
                <w:b/>
                <w:kern w:val="0"/>
                <w:sz w:val="17"/>
                <w:szCs w:val="20"/>
                <w:lang w:val="en-GB" w:eastAsia="en-GB"/>
              </w:rPr>
            </w:pPr>
            <w:r w:rsidRPr="00297CA5">
              <w:rPr>
                <w:rFonts w:ascii="Segoe UI" w:eastAsia="Times New Roman" w:hAnsi="Segoe UI" w:cs="Times New Roman"/>
                <w:b/>
                <w:kern w:val="0"/>
                <w:sz w:val="17"/>
                <w:szCs w:val="20"/>
                <w:lang w:val="en-GB" w:eastAsia="en-GB"/>
              </w:rPr>
              <w:t>Content:</w:t>
            </w:r>
          </w:p>
        </w:tc>
        <w:tc>
          <w:tcPr>
            <w:tcW w:w="7234" w:type="dxa"/>
          </w:tcPr>
          <w:p w:rsidR="00297CA5" w:rsidRPr="00297CA5" w:rsidRDefault="00297CA5" w:rsidP="00297CA5">
            <w:pPr>
              <w:widowControl/>
              <w:spacing w:before="40" w:after="40"/>
              <w:jc w:val="both"/>
              <w:rPr>
                <w:rFonts w:ascii="Segoe UI" w:hAnsi="Segoe UI" w:cs="Times New Roman"/>
                <w:b/>
                <w:kern w:val="0"/>
                <w:sz w:val="17"/>
                <w:szCs w:val="20"/>
                <w:lang w:eastAsia="en-GB"/>
              </w:rPr>
            </w:pPr>
            <w:r w:rsidRPr="00297CA5">
              <w:rPr>
                <w:rFonts w:ascii="Segoe UI" w:eastAsia="Times New Roman" w:hAnsi="Segoe UI" w:cs="Times New Roman"/>
                <w:kern w:val="0"/>
                <w:sz w:val="17"/>
                <w:szCs w:val="17"/>
                <w:lang w:val="en-GB" w:eastAsia="en-US"/>
              </w:rPr>
              <w:t xml:space="preserve">Carrying values (corresponding to the values reported in financial statements).  </w:t>
            </w:r>
          </w:p>
        </w:tc>
      </w:tr>
      <w:tr w:rsidR="00297CA5" w:rsidRPr="00297CA5" w:rsidTr="00297CA5">
        <w:tc>
          <w:tcPr>
            <w:tcW w:w="2008" w:type="dxa"/>
          </w:tcPr>
          <w:p w:rsidR="00297CA5" w:rsidRPr="00297CA5" w:rsidRDefault="00297CA5" w:rsidP="00297CA5">
            <w:pPr>
              <w:widowControl/>
              <w:spacing w:before="40" w:after="40"/>
              <w:rPr>
                <w:rFonts w:ascii="Segoe UI" w:eastAsia="Times New Roman" w:hAnsi="Segoe UI" w:cs="Times New Roman"/>
                <w:kern w:val="0"/>
                <w:sz w:val="17"/>
                <w:szCs w:val="20"/>
                <w:lang w:val="en-GB" w:eastAsia="en-GB"/>
              </w:rPr>
            </w:pPr>
            <w:r w:rsidRPr="00297CA5">
              <w:rPr>
                <w:rFonts w:ascii="Segoe UI" w:eastAsia="Times New Roman" w:hAnsi="Segoe UI" w:cs="Times New Roman"/>
                <w:b/>
                <w:kern w:val="0"/>
                <w:sz w:val="17"/>
                <w:szCs w:val="20"/>
                <w:lang w:val="en-GB" w:eastAsia="en-GB"/>
              </w:rPr>
              <w:t>Frequency:</w:t>
            </w:r>
          </w:p>
        </w:tc>
        <w:tc>
          <w:tcPr>
            <w:tcW w:w="7234" w:type="dxa"/>
          </w:tcPr>
          <w:p w:rsidR="00297CA5" w:rsidRPr="00297CA5" w:rsidRDefault="00297CA5" w:rsidP="00297CA5">
            <w:pPr>
              <w:widowControl/>
              <w:spacing w:before="40" w:after="40"/>
              <w:jc w:val="both"/>
              <w:rPr>
                <w:rFonts w:ascii="Segoe UI" w:eastAsia="Times New Roman" w:hAnsi="Segoe UI" w:cs="Times New Roman"/>
                <w:kern w:val="0"/>
                <w:sz w:val="17"/>
                <w:szCs w:val="20"/>
                <w:lang w:val="en-GB" w:eastAsia="en-GB"/>
              </w:rPr>
            </w:pPr>
            <w:r w:rsidRPr="00297CA5">
              <w:rPr>
                <w:rFonts w:ascii="Segoe UI" w:eastAsia="Times New Roman" w:hAnsi="Segoe UI" w:cs="Times New Roman"/>
                <w:kern w:val="0"/>
                <w:sz w:val="17"/>
                <w:szCs w:val="20"/>
                <w:lang w:val="en-GB" w:eastAsia="en-GB"/>
              </w:rPr>
              <w:t>Semi-annual.</w:t>
            </w:r>
          </w:p>
        </w:tc>
      </w:tr>
      <w:tr w:rsidR="00297CA5" w:rsidRPr="00297CA5" w:rsidTr="00297CA5">
        <w:tc>
          <w:tcPr>
            <w:tcW w:w="2008" w:type="dxa"/>
          </w:tcPr>
          <w:p w:rsidR="00297CA5" w:rsidRPr="00297CA5" w:rsidRDefault="00297CA5" w:rsidP="00297CA5">
            <w:pPr>
              <w:widowControl/>
              <w:spacing w:before="40" w:after="40"/>
              <w:rPr>
                <w:rFonts w:ascii="Segoe UI" w:eastAsia="Times New Roman" w:hAnsi="Segoe UI" w:cs="Times New Roman"/>
                <w:kern w:val="0"/>
                <w:sz w:val="17"/>
                <w:szCs w:val="20"/>
                <w:lang w:val="en-GB" w:eastAsia="en-GB"/>
              </w:rPr>
            </w:pPr>
            <w:r w:rsidRPr="00297CA5">
              <w:rPr>
                <w:rFonts w:ascii="Segoe UI" w:eastAsia="Times New Roman" w:hAnsi="Segoe UI" w:cs="Times New Roman"/>
                <w:b/>
                <w:kern w:val="0"/>
                <w:sz w:val="17"/>
                <w:szCs w:val="20"/>
                <w:lang w:val="en-GB" w:eastAsia="en-GB"/>
              </w:rPr>
              <w:t>Format:</w:t>
            </w:r>
          </w:p>
        </w:tc>
        <w:tc>
          <w:tcPr>
            <w:tcW w:w="7234" w:type="dxa"/>
          </w:tcPr>
          <w:p w:rsidR="00297CA5" w:rsidRPr="00297CA5" w:rsidRDefault="00297CA5" w:rsidP="00297CA5">
            <w:pPr>
              <w:widowControl/>
              <w:spacing w:before="40" w:after="40"/>
              <w:jc w:val="both"/>
              <w:rPr>
                <w:rFonts w:ascii="Segoe UI" w:eastAsia="Times New Roman" w:hAnsi="Segoe UI" w:cs="Times New Roman"/>
                <w:kern w:val="0"/>
                <w:sz w:val="17"/>
                <w:szCs w:val="20"/>
                <w:lang w:val="en-GB" w:eastAsia="en-GB"/>
              </w:rPr>
            </w:pPr>
            <w:r w:rsidRPr="00297CA5">
              <w:rPr>
                <w:rFonts w:ascii="Segoe UI" w:eastAsia="Times New Roman" w:hAnsi="Segoe UI" w:cs="Times New Roman"/>
                <w:kern w:val="0"/>
                <w:sz w:val="17"/>
                <w:szCs w:val="20"/>
                <w:lang w:val="en-GB" w:eastAsia="en-GB"/>
              </w:rPr>
              <w:t xml:space="preserve">Fixed.  </w:t>
            </w:r>
          </w:p>
        </w:tc>
      </w:tr>
      <w:tr w:rsidR="00297CA5" w:rsidRPr="00297CA5" w:rsidTr="00297CA5">
        <w:tc>
          <w:tcPr>
            <w:tcW w:w="2008" w:type="dxa"/>
          </w:tcPr>
          <w:p w:rsidR="00297CA5" w:rsidRPr="00297CA5" w:rsidRDefault="00297CA5" w:rsidP="00297CA5">
            <w:pPr>
              <w:widowControl/>
              <w:spacing w:before="40" w:after="40"/>
              <w:rPr>
                <w:rFonts w:ascii="Segoe UI" w:eastAsia="Times New Roman" w:hAnsi="Segoe UI" w:cs="Times New Roman"/>
                <w:b/>
                <w:kern w:val="0"/>
                <w:sz w:val="17"/>
                <w:szCs w:val="20"/>
                <w:lang w:val="en-GB" w:eastAsia="en-GB"/>
              </w:rPr>
            </w:pPr>
            <w:r w:rsidRPr="00297CA5">
              <w:rPr>
                <w:rFonts w:ascii="Segoe UI" w:hAnsi="Segoe UI" w:cs="Times New Roman"/>
                <w:b/>
                <w:kern w:val="0"/>
                <w:sz w:val="17"/>
                <w:szCs w:val="17"/>
                <w:lang w:val="en-GB" w:eastAsia="en-GB"/>
              </w:rPr>
              <w:t>Accompanying narrative</w:t>
            </w:r>
            <w:r w:rsidRPr="00297CA5">
              <w:rPr>
                <w:rFonts w:ascii="Segoe UI" w:hAnsi="Segoe UI" w:cs="Times New Roman"/>
                <w:kern w:val="0"/>
                <w:sz w:val="17"/>
                <w:szCs w:val="17"/>
                <w:lang w:val="en-GB" w:eastAsia="en-GB"/>
              </w:rPr>
              <w:t>:</w:t>
            </w:r>
          </w:p>
        </w:tc>
        <w:tc>
          <w:tcPr>
            <w:tcW w:w="7234" w:type="dxa"/>
          </w:tcPr>
          <w:p w:rsidR="00297CA5" w:rsidRPr="00297CA5" w:rsidRDefault="00297CA5" w:rsidP="00297CA5">
            <w:pPr>
              <w:widowControl/>
              <w:spacing w:before="40" w:after="40"/>
              <w:jc w:val="both"/>
              <w:rPr>
                <w:rFonts w:ascii="Segoe UI" w:eastAsia="Times New Roman" w:hAnsi="Segoe UI" w:cs="Times New Roman"/>
                <w:noProof/>
                <w:kern w:val="0"/>
                <w:sz w:val="17"/>
                <w:szCs w:val="17"/>
                <w:lang w:val="en-GB" w:eastAsia="en-GB"/>
              </w:rPr>
            </w:pPr>
            <w:r w:rsidRPr="00297CA5">
              <w:rPr>
                <w:rFonts w:ascii="Segoe UI" w:eastAsia="Times New Roman" w:hAnsi="Segoe UI" w:cs="Times New Roman"/>
                <w:kern w:val="0"/>
                <w:sz w:val="17"/>
                <w:szCs w:val="17"/>
                <w:lang w:val="en-GB" w:eastAsia="en-GB"/>
              </w:rPr>
              <w:t>Material subsidiaries should supplement the template with a narrative commentary to explain any significant changes over the reporting period and the key drivers of such change(s).  Qualitative narrative on the preferred resolution strategy covering the material subsidiary, as identified by the resolution authority under rule 3 of the LAC Rules, may be included to facilitate understanding of the TLAC templates.</w:t>
            </w:r>
          </w:p>
        </w:tc>
      </w:tr>
      <w:tr w:rsidR="00297CA5" w:rsidRPr="00297CA5" w:rsidTr="00297CA5">
        <w:tc>
          <w:tcPr>
            <w:tcW w:w="2008" w:type="dxa"/>
          </w:tcPr>
          <w:p w:rsidR="00297CA5" w:rsidRPr="00297CA5" w:rsidRDefault="00297CA5" w:rsidP="00297CA5">
            <w:pPr>
              <w:widowControl/>
              <w:spacing w:before="40" w:after="40"/>
              <w:rPr>
                <w:rFonts w:ascii="Segoe UI" w:hAnsi="Segoe UI" w:cs="Times New Roman"/>
                <w:b/>
                <w:kern w:val="0"/>
                <w:sz w:val="17"/>
                <w:szCs w:val="17"/>
                <w:lang w:val="en-GB" w:eastAsia="en-GB"/>
              </w:rPr>
            </w:pPr>
            <w:r w:rsidRPr="00297CA5">
              <w:rPr>
                <w:rFonts w:ascii="Segoe UI" w:hAnsi="Segoe UI" w:cs="Times New Roman"/>
                <w:b/>
                <w:kern w:val="0"/>
                <w:sz w:val="17"/>
                <w:szCs w:val="17"/>
                <w:lang w:val="en-GB" w:eastAsia="en-GB"/>
              </w:rPr>
              <w:t>Corresponding LAC Rules rule</w:t>
            </w:r>
          </w:p>
        </w:tc>
        <w:tc>
          <w:tcPr>
            <w:tcW w:w="7234" w:type="dxa"/>
          </w:tcPr>
          <w:p w:rsidR="00297CA5" w:rsidRPr="00297CA5" w:rsidRDefault="00297CA5" w:rsidP="00297CA5">
            <w:pPr>
              <w:widowControl/>
              <w:spacing w:before="40" w:after="40"/>
              <w:jc w:val="both"/>
              <w:rPr>
                <w:rFonts w:ascii="Segoe UI" w:eastAsia="Times New Roman" w:hAnsi="Segoe UI" w:cs="Times New Roman"/>
                <w:kern w:val="0"/>
                <w:sz w:val="17"/>
                <w:szCs w:val="17"/>
                <w:lang w:val="en-GB" w:eastAsia="en-GB"/>
              </w:rPr>
            </w:pPr>
            <w:r w:rsidRPr="00297CA5">
              <w:rPr>
                <w:rFonts w:ascii="Segoe UI" w:eastAsia="Times New Roman" w:hAnsi="Segoe UI" w:cs="Times New Roman"/>
                <w:kern w:val="0"/>
                <w:sz w:val="17"/>
                <w:szCs w:val="17"/>
                <w:lang w:val="en-GB" w:eastAsia="en-GB"/>
              </w:rPr>
              <w:t>48</w:t>
            </w:r>
          </w:p>
        </w:tc>
      </w:tr>
    </w:tbl>
    <w:p w:rsidR="00297CA5" w:rsidRPr="00297CA5" w:rsidRDefault="00297CA5" w:rsidP="00297CA5">
      <w:pPr>
        <w:widowControl/>
        <w:rPr>
          <w:rFonts w:ascii="Segoe UI" w:eastAsia="Times New Roman" w:hAnsi="Segoe UI" w:cs="Times New Roman"/>
          <w:kern w:val="0"/>
          <w:sz w:val="22"/>
          <w:szCs w:val="20"/>
          <w:lang w:val="en-GB" w:eastAsia="en-US"/>
        </w:rPr>
      </w:pPr>
    </w:p>
    <w:tbl>
      <w:tblPr>
        <w:tblW w:w="9214" w:type="dxa"/>
        <w:tblInd w:w="-567" w:type="dxa"/>
        <w:tblBorders>
          <w:top w:val="single" w:sz="8" w:space="0" w:color="BCBDBC"/>
          <w:left w:val="single" w:sz="8" w:space="0" w:color="BCBDBC"/>
          <w:bottom w:val="single" w:sz="8" w:space="0" w:color="BCBDBC"/>
          <w:right w:val="single" w:sz="8" w:space="0" w:color="BCBDBC"/>
          <w:insideH w:val="single" w:sz="6" w:space="0" w:color="BCBDBC"/>
          <w:insideV w:val="single" w:sz="6" w:space="0" w:color="BCBDBC"/>
        </w:tblBorders>
        <w:tblLayout w:type="fixed"/>
        <w:tblCellMar>
          <w:left w:w="0" w:type="dxa"/>
          <w:right w:w="0" w:type="dxa"/>
        </w:tblCellMar>
        <w:tblLook w:val="00A0" w:firstRow="1" w:lastRow="0" w:firstColumn="1" w:lastColumn="0" w:noHBand="0" w:noVBand="0"/>
      </w:tblPr>
      <w:tblGrid>
        <w:gridCol w:w="570"/>
        <w:gridCol w:w="7368"/>
        <w:gridCol w:w="1276"/>
      </w:tblGrid>
      <w:tr w:rsidR="00297CA5" w:rsidRPr="00297CA5" w:rsidTr="00297CA5">
        <w:trPr>
          <w:trHeight w:val="242"/>
          <w:tblHeader/>
        </w:trPr>
        <w:tc>
          <w:tcPr>
            <w:tcW w:w="7938" w:type="dxa"/>
            <w:gridSpan w:val="2"/>
            <w:tcBorders>
              <w:top w:val="nil"/>
              <w:left w:val="nil"/>
              <w:bottom w:val="nil"/>
              <w:right w:val="single" w:sz="4" w:space="0" w:color="auto"/>
            </w:tcBorders>
            <w:vAlign w:val="center"/>
          </w:tcPr>
          <w:p w:rsidR="00297CA5" w:rsidRPr="00297CA5" w:rsidRDefault="00297CA5" w:rsidP="00297CA5">
            <w:pPr>
              <w:widowControl/>
              <w:snapToGrid w:val="0"/>
              <w:spacing w:before="40" w:after="40"/>
              <w:rPr>
                <w:rFonts w:ascii="Segoe UI" w:eastAsia="Times New Roman" w:hAnsi="Segoe UI" w:cs="Times New Roman"/>
                <w:b/>
                <w:kern w:val="0"/>
                <w:sz w:val="17"/>
                <w:szCs w:val="20"/>
                <w:lang w:val="en-GB" w:eastAsia="it-IT"/>
              </w:rPr>
            </w:pPr>
          </w:p>
        </w:tc>
        <w:tc>
          <w:tcPr>
            <w:tcW w:w="1276" w:type="dxa"/>
            <w:tcBorders>
              <w:top w:val="single" w:sz="6" w:space="0" w:color="auto"/>
              <w:left w:val="single" w:sz="6" w:space="0" w:color="auto"/>
              <w:bottom w:val="single" w:sz="6" w:space="0" w:color="auto"/>
              <w:right w:val="single" w:sz="6" w:space="0" w:color="auto"/>
            </w:tcBorders>
            <w:vAlign w:val="center"/>
          </w:tcPr>
          <w:p w:rsidR="00297CA5" w:rsidRPr="00297CA5" w:rsidRDefault="00297CA5" w:rsidP="00297CA5">
            <w:pPr>
              <w:widowControl/>
              <w:snapToGrid w:val="0"/>
              <w:spacing w:before="40" w:after="40"/>
              <w:jc w:val="center"/>
              <w:rPr>
                <w:rFonts w:ascii="Segoe UI" w:eastAsia="Times New Roman" w:hAnsi="Segoe UI" w:cs="Times New Roman"/>
                <w:kern w:val="0"/>
                <w:sz w:val="17"/>
                <w:szCs w:val="20"/>
                <w:lang w:val="en-GB" w:eastAsia="it-IT"/>
              </w:rPr>
            </w:pPr>
            <w:r w:rsidRPr="00297CA5">
              <w:rPr>
                <w:rFonts w:ascii="Segoe UI" w:eastAsia="Times New Roman" w:hAnsi="Segoe UI" w:cs="Times New Roman"/>
                <w:kern w:val="0"/>
                <w:sz w:val="17"/>
                <w:szCs w:val="20"/>
                <w:lang w:val="en-GB" w:eastAsia="it-IT"/>
              </w:rPr>
              <w:t>(a)</w:t>
            </w:r>
          </w:p>
        </w:tc>
      </w:tr>
      <w:tr w:rsidR="00297CA5" w:rsidRPr="00297CA5" w:rsidTr="00297CA5">
        <w:trPr>
          <w:trHeight w:val="162"/>
          <w:tblHeader/>
        </w:trPr>
        <w:tc>
          <w:tcPr>
            <w:tcW w:w="7938" w:type="dxa"/>
            <w:gridSpan w:val="2"/>
            <w:tcBorders>
              <w:top w:val="nil"/>
              <w:left w:val="nil"/>
              <w:bottom w:val="single" w:sz="6" w:space="0" w:color="auto"/>
              <w:right w:val="single" w:sz="6" w:space="0" w:color="auto"/>
            </w:tcBorders>
            <w:vAlign w:val="center"/>
          </w:tcPr>
          <w:p w:rsidR="00297CA5" w:rsidRPr="00297CA5" w:rsidRDefault="00297CA5" w:rsidP="00297CA5">
            <w:pPr>
              <w:widowControl/>
              <w:snapToGrid w:val="0"/>
              <w:spacing w:before="40" w:after="40"/>
              <w:rPr>
                <w:rFonts w:ascii="Segoe UI" w:eastAsia="Times New Roman" w:hAnsi="Segoe UI" w:cs="Times New Roman"/>
                <w:b/>
                <w:kern w:val="0"/>
                <w:sz w:val="17"/>
                <w:szCs w:val="20"/>
                <w:lang w:val="en-GB" w:eastAsia="it-IT"/>
              </w:rPr>
            </w:pPr>
          </w:p>
        </w:tc>
        <w:tc>
          <w:tcPr>
            <w:tcW w:w="1276" w:type="dxa"/>
            <w:tcBorders>
              <w:top w:val="single" w:sz="6" w:space="0" w:color="auto"/>
              <w:left w:val="single" w:sz="6" w:space="0" w:color="auto"/>
              <w:bottom w:val="single" w:sz="6" w:space="0" w:color="auto"/>
              <w:right w:val="single" w:sz="6" w:space="0" w:color="auto"/>
            </w:tcBorders>
            <w:vAlign w:val="center"/>
          </w:tcPr>
          <w:p w:rsidR="00297CA5" w:rsidRPr="00297CA5" w:rsidRDefault="00297CA5" w:rsidP="00297CA5">
            <w:pPr>
              <w:widowControl/>
              <w:snapToGrid w:val="0"/>
              <w:spacing w:before="40" w:after="40"/>
              <w:jc w:val="center"/>
              <w:rPr>
                <w:rFonts w:ascii="Segoe UI" w:eastAsia="Times New Roman" w:hAnsi="Segoe UI" w:cs="Times New Roman"/>
                <w:b/>
                <w:kern w:val="0"/>
                <w:sz w:val="17"/>
                <w:szCs w:val="20"/>
                <w:lang w:val="en-GB" w:eastAsia="it-IT"/>
              </w:rPr>
            </w:pPr>
            <w:r w:rsidRPr="00297CA5">
              <w:rPr>
                <w:rFonts w:ascii="Segoe UI" w:eastAsia="Times New Roman" w:hAnsi="Segoe UI" w:cs="Times New Roman"/>
                <w:b/>
                <w:kern w:val="0"/>
                <w:sz w:val="17"/>
                <w:szCs w:val="20"/>
                <w:lang w:val="en-GB" w:eastAsia="it-IT"/>
              </w:rPr>
              <w:t>Amount</w:t>
            </w:r>
          </w:p>
        </w:tc>
      </w:tr>
      <w:tr w:rsidR="00297CA5" w:rsidRPr="00297CA5" w:rsidTr="00297CA5">
        <w:trPr>
          <w:trHeight w:val="285"/>
        </w:trPr>
        <w:tc>
          <w:tcPr>
            <w:tcW w:w="570" w:type="dxa"/>
            <w:tcBorders>
              <w:top w:val="single" w:sz="6" w:space="0" w:color="auto"/>
              <w:left w:val="nil"/>
              <w:bottom w:val="single" w:sz="6" w:space="0" w:color="BCBDBC"/>
              <w:right w:val="single" w:sz="4" w:space="0" w:color="auto"/>
            </w:tcBorders>
            <w:shd w:val="clear" w:color="auto" w:fill="A6A6A6" w:themeFill="background1" w:themeFillShade="A6"/>
          </w:tcPr>
          <w:p w:rsidR="00297CA5" w:rsidRPr="00297CA5" w:rsidRDefault="00297CA5" w:rsidP="00297CA5">
            <w:pPr>
              <w:widowControl/>
              <w:snapToGrid w:val="0"/>
              <w:spacing w:before="40" w:after="40"/>
              <w:ind w:left="417" w:rightChars="71" w:right="170"/>
              <w:rPr>
                <w:rFonts w:ascii="Segoe UI" w:eastAsia="Times New Roman" w:hAnsi="Segoe UI" w:cs="Times New Roman"/>
                <w:b/>
                <w:kern w:val="0"/>
                <w:sz w:val="17"/>
                <w:szCs w:val="20"/>
                <w:lang w:val="en-GB" w:eastAsia="it-IT"/>
              </w:rPr>
            </w:pPr>
          </w:p>
        </w:tc>
        <w:tc>
          <w:tcPr>
            <w:tcW w:w="7368" w:type="dxa"/>
            <w:tcBorders>
              <w:top w:val="single" w:sz="6" w:space="0" w:color="auto"/>
              <w:left w:val="single" w:sz="4" w:space="0" w:color="auto"/>
              <w:bottom w:val="single" w:sz="6" w:space="0" w:color="BCBDBC"/>
              <w:right w:val="nil"/>
            </w:tcBorders>
            <w:shd w:val="clear" w:color="auto" w:fill="A6A6A6" w:themeFill="background1" w:themeFillShade="A6"/>
          </w:tcPr>
          <w:p w:rsidR="00297CA5" w:rsidRPr="00297CA5" w:rsidRDefault="00297CA5" w:rsidP="00297CA5">
            <w:pPr>
              <w:widowControl/>
              <w:snapToGrid w:val="0"/>
              <w:spacing w:before="40" w:after="40"/>
              <w:ind w:left="57" w:rightChars="71" w:right="170"/>
              <w:rPr>
                <w:rFonts w:ascii="Segoe UI" w:eastAsia="Times New Roman" w:hAnsi="Segoe UI" w:cs="Times New Roman"/>
                <w:b/>
                <w:kern w:val="0"/>
                <w:sz w:val="17"/>
                <w:szCs w:val="20"/>
                <w:lang w:val="en-GB" w:eastAsia="it-IT"/>
              </w:rPr>
            </w:pPr>
            <w:r w:rsidRPr="00297CA5">
              <w:rPr>
                <w:rFonts w:ascii="Segoe UI" w:eastAsia="Times New Roman" w:hAnsi="Segoe UI" w:cs="Times New Roman"/>
                <w:b/>
                <w:kern w:val="0"/>
                <w:sz w:val="17"/>
                <w:szCs w:val="20"/>
                <w:lang w:val="en-GB" w:eastAsia="it-IT"/>
              </w:rPr>
              <w:t>Regulatory capital elements of internal loss-absorbing capacity and adjustments</w:t>
            </w:r>
          </w:p>
        </w:tc>
        <w:tc>
          <w:tcPr>
            <w:tcW w:w="1276" w:type="dxa"/>
            <w:tcBorders>
              <w:top w:val="single" w:sz="6" w:space="0" w:color="auto"/>
              <w:left w:val="nil"/>
              <w:bottom w:val="single" w:sz="6" w:space="0" w:color="BCBDBC"/>
              <w:right w:val="single" w:sz="4" w:space="0" w:color="auto"/>
            </w:tcBorders>
            <w:shd w:val="clear" w:color="auto" w:fill="A6A6A6" w:themeFill="background1" w:themeFillShade="A6"/>
          </w:tcPr>
          <w:p w:rsidR="00297CA5" w:rsidRPr="00297CA5" w:rsidRDefault="00297CA5" w:rsidP="00297CA5">
            <w:pPr>
              <w:widowControl/>
              <w:snapToGrid w:val="0"/>
              <w:spacing w:before="40" w:after="40"/>
              <w:rPr>
                <w:rFonts w:ascii="Segoe UI" w:eastAsia="Times New Roman" w:hAnsi="Segoe UI" w:cs="Times New Roman"/>
                <w:kern w:val="0"/>
                <w:sz w:val="17"/>
                <w:szCs w:val="20"/>
                <w:lang w:val="en-GB" w:eastAsia="it-IT"/>
              </w:rPr>
            </w:pPr>
          </w:p>
        </w:tc>
      </w:tr>
      <w:tr w:rsidR="00297CA5" w:rsidRPr="00297CA5" w:rsidTr="00297CA5">
        <w:trPr>
          <w:trHeight w:val="285"/>
        </w:trPr>
        <w:tc>
          <w:tcPr>
            <w:tcW w:w="570" w:type="dxa"/>
            <w:tcBorders>
              <w:top w:val="single" w:sz="6" w:space="0" w:color="auto"/>
              <w:left w:val="nil"/>
              <w:bottom w:val="single" w:sz="6" w:space="0" w:color="auto"/>
              <w:right w:val="single" w:sz="4" w:space="0" w:color="auto"/>
            </w:tcBorders>
            <w:shd w:val="clear" w:color="auto" w:fill="auto"/>
          </w:tcPr>
          <w:p w:rsidR="00297CA5" w:rsidRPr="00297CA5" w:rsidRDefault="00297CA5" w:rsidP="00297CA5">
            <w:pPr>
              <w:widowControl/>
              <w:snapToGrid w:val="0"/>
              <w:spacing w:before="40" w:after="40"/>
              <w:ind w:left="57"/>
              <w:rPr>
                <w:rFonts w:ascii="Segoe UI" w:eastAsia="Times New Roman" w:hAnsi="Segoe UI" w:cs="Times New Roman"/>
                <w:kern w:val="0"/>
                <w:sz w:val="17"/>
                <w:szCs w:val="17"/>
                <w:lang w:val="en-GB" w:eastAsia="en-GB"/>
              </w:rPr>
            </w:pPr>
            <w:r w:rsidRPr="00297CA5">
              <w:rPr>
                <w:rFonts w:ascii="Segoe UI" w:eastAsia="Times New Roman" w:hAnsi="Segoe UI" w:cs="Times New Roman"/>
                <w:kern w:val="0"/>
                <w:sz w:val="17"/>
                <w:szCs w:val="17"/>
                <w:lang w:val="en-GB" w:eastAsia="en-GB"/>
              </w:rPr>
              <w:t>1</w:t>
            </w:r>
          </w:p>
        </w:tc>
        <w:tc>
          <w:tcPr>
            <w:tcW w:w="7368" w:type="dxa"/>
            <w:tcBorders>
              <w:top w:val="single" w:sz="6" w:space="0" w:color="auto"/>
              <w:left w:val="single" w:sz="4" w:space="0" w:color="auto"/>
              <w:bottom w:val="single" w:sz="6" w:space="0" w:color="auto"/>
              <w:right w:val="single" w:sz="6" w:space="0" w:color="auto"/>
            </w:tcBorders>
            <w:shd w:val="clear" w:color="auto" w:fill="auto"/>
          </w:tcPr>
          <w:p w:rsidR="00297CA5" w:rsidRPr="00297CA5" w:rsidRDefault="00297CA5" w:rsidP="00297CA5">
            <w:pPr>
              <w:widowControl/>
              <w:snapToGrid w:val="0"/>
              <w:spacing w:before="40" w:after="40"/>
              <w:ind w:left="57" w:rightChars="71" w:right="170"/>
              <w:rPr>
                <w:rFonts w:ascii="Segoe UI" w:eastAsia="Times New Roman" w:hAnsi="Segoe UI" w:cs="Times New Roman"/>
                <w:kern w:val="0"/>
                <w:sz w:val="17"/>
                <w:szCs w:val="20"/>
                <w:lang w:eastAsia="it-IT"/>
              </w:rPr>
            </w:pPr>
            <w:r w:rsidRPr="00297CA5">
              <w:rPr>
                <w:rFonts w:ascii="Segoe UI" w:eastAsia="Times New Roman" w:hAnsi="Segoe UI" w:cs="Times New Roman"/>
                <w:kern w:val="0"/>
                <w:sz w:val="17"/>
                <w:szCs w:val="20"/>
                <w:lang w:val="en-GB" w:eastAsia="it-IT"/>
              </w:rPr>
              <w:t>Common Equity Tier 1 (“CET1”) capital</w:t>
            </w:r>
          </w:p>
        </w:tc>
        <w:tc>
          <w:tcPr>
            <w:tcW w:w="1276" w:type="dxa"/>
            <w:tcBorders>
              <w:top w:val="single" w:sz="6" w:space="0" w:color="auto"/>
              <w:left w:val="single" w:sz="6" w:space="0" w:color="auto"/>
              <w:bottom w:val="single" w:sz="6" w:space="0" w:color="auto"/>
              <w:right w:val="single" w:sz="6" w:space="0" w:color="auto"/>
            </w:tcBorders>
            <w:shd w:val="clear" w:color="auto" w:fill="auto"/>
          </w:tcPr>
          <w:p w:rsidR="00297CA5" w:rsidRPr="00297CA5" w:rsidRDefault="00297CA5" w:rsidP="00297CA5">
            <w:pPr>
              <w:widowControl/>
              <w:snapToGrid w:val="0"/>
              <w:spacing w:before="40" w:after="40"/>
              <w:jc w:val="center"/>
              <w:rPr>
                <w:rFonts w:ascii="Segoe UI" w:eastAsia="Times New Roman" w:hAnsi="Segoe UI" w:cs="Times New Roman"/>
                <w:kern w:val="0"/>
                <w:sz w:val="17"/>
                <w:szCs w:val="20"/>
                <w:lang w:val="en-GB" w:eastAsia="it-IT"/>
              </w:rPr>
            </w:pPr>
          </w:p>
        </w:tc>
      </w:tr>
      <w:tr w:rsidR="00297CA5" w:rsidRPr="00297CA5" w:rsidTr="00297CA5">
        <w:trPr>
          <w:trHeight w:val="285"/>
        </w:trPr>
        <w:tc>
          <w:tcPr>
            <w:tcW w:w="570" w:type="dxa"/>
            <w:tcBorders>
              <w:top w:val="single" w:sz="6" w:space="0" w:color="auto"/>
              <w:left w:val="nil"/>
              <w:bottom w:val="single" w:sz="6" w:space="0" w:color="auto"/>
              <w:right w:val="single" w:sz="4" w:space="0" w:color="auto"/>
            </w:tcBorders>
            <w:shd w:val="clear" w:color="auto" w:fill="auto"/>
          </w:tcPr>
          <w:p w:rsidR="00297CA5" w:rsidRPr="00297CA5" w:rsidRDefault="00297CA5" w:rsidP="00297CA5">
            <w:pPr>
              <w:widowControl/>
              <w:snapToGrid w:val="0"/>
              <w:spacing w:before="40" w:after="40"/>
              <w:ind w:left="57"/>
              <w:rPr>
                <w:rFonts w:ascii="Segoe UI" w:eastAsia="Times New Roman" w:hAnsi="Segoe UI" w:cs="Times New Roman"/>
                <w:kern w:val="0"/>
                <w:sz w:val="17"/>
                <w:szCs w:val="17"/>
                <w:lang w:val="en-GB" w:eastAsia="en-GB"/>
              </w:rPr>
            </w:pPr>
            <w:r w:rsidRPr="00297CA5">
              <w:rPr>
                <w:rFonts w:ascii="Segoe UI" w:eastAsia="Times New Roman" w:hAnsi="Segoe UI" w:cs="Times New Roman"/>
                <w:kern w:val="0"/>
                <w:sz w:val="17"/>
                <w:szCs w:val="17"/>
                <w:lang w:val="en-GB" w:eastAsia="en-GB"/>
              </w:rPr>
              <w:t>2</w:t>
            </w:r>
          </w:p>
        </w:tc>
        <w:tc>
          <w:tcPr>
            <w:tcW w:w="7368" w:type="dxa"/>
            <w:tcBorders>
              <w:top w:val="single" w:sz="6" w:space="0" w:color="auto"/>
              <w:left w:val="single" w:sz="4" w:space="0" w:color="auto"/>
              <w:bottom w:val="single" w:sz="6" w:space="0" w:color="auto"/>
              <w:right w:val="single" w:sz="6" w:space="0" w:color="auto"/>
            </w:tcBorders>
            <w:shd w:val="clear" w:color="auto" w:fill="auto"/>
          </w:tcPr>
          <w:p w:rsidR="00297CA5" w:rsidRPr="00297CA5" w:rsidRDefault="00297CA5" w:rsidP="00297CA5">
            <w:pPr>
              <w:widowControl/>
              <w:snapToGrid w:val="0"/>
              <w:spacing w:before="40" w:after="40"/>
              <w:ind w:left="57" w:rightChars="71" w:right="170"/>
              <w:rPr>
                <w:rFonts w:ascii="Segoe UI" w:eastAsia="Times New Roman" w:hAnsi="Segoe UI" w:cs="Times New Roman"/>
                <w:kern w:val="0"/>
                <w:sz w:val="17"/>
                <w:szCs w:val="20"/>
                <w:lang w:val="en-GB" w:eastAsia="it-IT"/>
              </w:rPr>
            </w:pPr>
            <w:r w:rsidRPr="00297CA5">
              <w:rPr>
                <w:rFonts w:ascii="Segoe UI" w:eastAsia="Times New Roman" w:hAnsi="Segoe UI" w:cs="Times New Roman"/>
                <w:kern w:val="0"/>
                <w:sz w:val="17"/>
                <w:szCs w:val="20"/>
                <w:lang w:val="en-GB" w:eastAsia="it-IT"/>
              </w:rPr>
              <w:t>Additional Tier 1 (“AT1”) capital before LAC adjustments</w:t>
            </w:r>
          </w:p>
        </w:tc>
        <w:tc>
          <w:tcPr>
            <w:tcW w:w="1276" w:type="dxa"/>
            <w:tcBorders>
              <w:top w:val="single" w:sz="6" w:space="0" w:color="auto"/>
              <w:left w:val="single" w:sz="6" w:space="0" w:color="auto"/>
              <w:bottom w:val="single" w:sz="6" w:space="0" w:color="auto"/>
              <w:right w:val="single" w:sz="6" w:space="0" w:color="auto"/>
            </w:tcBorders>
            <w:shd w:val="clear" w:color="auto" w:fill="auto"/>
          </w:tcPr>
          <w:p w:rsidR="00297CA5" w:rsidRPr="00297CA5" w:rsidRDefault="00297CA5" w:rsidP="00297CA5">
            <w:pPr>
              <w:widowControl/>
              <w:snapToGrid w:val="0"/>
              <w:spacing w:before="40" w:after="40"/>
              <w:jc w:val="center"/>
              <w:rPr>
                <w:rFonts w:ascii="Segoe UI" w:eastAsia="Times New Roman" w:hAnsi="Segoe UI" w:cs="Times New Roman"/>
                <w:kern w:val="0"/>
                <w:sz w:val="17"/>
                <w:szCs w:val="20"/>
                <w:lang w:val="en-GB" w:eastAsia="it-IT"/>
              </w:rPr>
            </w:pPr>
          </w:p>
        </w:tc>
      </w:tr>
      <w:tr w:rsidR="00297CA5" w:rsidRPr="00297CA5" w:rsidTr="00297CA5">
        <w:trPr>
          <w:trHeight w:val="285"/>
        </w:trPr>
        <w:tc>
          <w:tcPr>
            <w:tcW w:w="570" w:type="dxa"/>
            <w:tcBorders>
              <w:top w:val="single" w:sz="6" w:space="0" w:color="auto"/>
              <w:left w:val="nil"/>
              <w:bottom w:val="single" w:sz="6" w:space="0" w:color="auto"/>
              <w:right w:val="single" w:sz="4" w:space="0" w:color="auto"/>
            </w:tcBorders>
            <w:shd w:val="clear" w:color="auto" w:fill="auto"/>
          </w:tcPr>
          <w:p w:rsidR="00297CA5" w:rsidRPr="00297CA5" w:rsidRDefault="00297CA5" w:rsidP="00297CA5">
            <w:pPr>
              <w:widowControl/>
              <w:snapToGrid w:val="0"/>
              <w:spacing w:before="40" w:after="40"/>
              <w:ind w:left="57"/>
              <w:rPr>
                <w:rFonts w:ascii="Segoe UI" w:eastAsia="Times New Roman" w:hAnsi="Segoe UI" w:cs="Times New Roman"/>
                <w:kern w:val="0"/>
                <w:sz w:val="17"/>
                <w:szCs w:val="17"/>
                <w:lang w:val="en-GB" w:eastAsia="en-GB"/>
              </w:rPr>
            </w:pPr>
            <w:r w:rsidRPr="00297CA5">
              <w:rPr>
                <w:rFonts w:ascii="Segoe UI" w:eastAsia="Times New Roman" w:hAnsi="Segoe UI" w:cs="Times New Roman"/>
                <w:kern w:val="0"/>
                <w:sz w:val="17"/>
                <w:szCs w:val="17"/>
                <w:lang w:val="en-GB" w:eastAsia="en-GB"/>
              </w:rPr>
              <w:t>3</w:t>
            </w:r>
          </w:p>
        </w:tc>
        <w:tc>
          <w:tcPr>
            <w:tcW w:w="7368" w:type="dxa"/>
            <w:tcBorders>
              <w:top w:val="single" w:sz="6" w:space="0" w:color="auto"/>
              <w:left w:val="single" w:sz="4" w:space="0" w:color="auto"/>
              <w:bottom w:val="single" w:sz="6" w:space="0" w:color="auto"/>
              <w:right w:val="single" w:sz="6" w:space="0" w:color="auto"/>
            </w:tcBorders>
            <w:shd w:val="clear" w:color="auto" w:fill="auto"/>
          </w:tcPr>
          <w:p w:rsidR="00297CA5" w:rsidRPr="00297CA5" w:rsidRDefault="00297CA5" w:rsidP="001D15C2">
            <w:pPr>
              <w:widowControl/>
              <w:tabs>
                <w:tab w:val="left" w:pos="423"/>
              </w:tabs>
              <w:snapToGrid w:val="0"/>
              <w:spacing w:before="40" w:after="40"/>
              <w:ind w:leftChars="211" w:left="987" w:rightChars="71" w:right="170" w:hangingChars="283" w:hanging="481"/>
              <w:rPr>
                <w:rFonts w:ascii="Segoe UI" w:eastAsia="Times New Roman" w:hAnsi="Segoe UI" w:cs="Times New Roman"/>
                <w:kern w:val="0"/>
                <w:sz w:val="17"/>
                <w:szCs w:val="20"/>
                <w:lang w:val="en-GB" w:eastAsia="it-IT"/>
              </w:rPr>
            </w:pPr>
            <w:r w:rsidRPr="00297CA5">
              <w:rPr>
                <w:rFonts w:ascii="Segoe UI" w:eastAsia="Times New Roman" w:hAnsi="Segoe UI" w:cs="Times New Roman"/>
                <w:kern w:val="0"/>
                <w:sz w:val="17"/>
                <w:szCs w:val="20"/>
                <w:lang w:val="en-GB" w:eastAsia="it-IT"/>
              </w:rPr>
              <w:tab/>
              <w:t>AT1 capital instruments ineligible as internal loss-absorbing capacity as not issued directly or indirectly to, and held directly or indirectly by, the resolution entity or non-HK resolution entity in the material subsidiary’s resolution group</w:t>
            </w:r>
          </w:p>
        </w:tc>
        <w:tc>
          <w:tcPr>
            <w:tcW w:w="1276" w:type="dxa"/>
            <w:tcBorders>
              <w:top w:val="single" w:sz="6" w:space="0" w:color="auto"/>
              <w:left w:val="single" w:sz="6" w:space="0" w:color="auto"/>
              <w:bottom w:val="single" w:sz="6" w:space="0" w:color="auto"/>
              <w:right w:val="single" w:sz="6" w:space="0" w:color="auto"/>
            </w:tcBorders>
            <w:shd w:val="clear" w:color="auto" w:fill="auto"/>
          </w:tcPr>
          <w:p w:rsidR="00297CA5" w:rsidRPr="00297CA5" w:rsidRDefault="00297CA5" w:rsidP="00297CA5">
            <w:pPr>
              <w:widowControl/>
              <w:snapToGrid w:val="0"/>
              <w:spacing w:before="40" w:after="40"/>
              <w:jc w:val="center"/>
              <w:rPr>
                <w:rFonts w:ascii="Segoe UI" w:eastAsia="Times New Roman" w:hAnsi="Segoe UI" w:cs="Times New Roman"/>
                <w:kern w:val="0"/>
                <w:sz w:val="17"/>
                <w:szCs w:val="20"/>
                <w:lang w:val="en-GB" w:eastAsia="it-IT"/>
              </w:rPr>
            </w:pPr>
          </w:p>
        </w:tc>
      </w:tr>
      <w:tr w:rsidR="00297CA5" w:rsidRPr="00297CA5" w:rsidTr="00297CA5">
        <w:trPr>
          <w:trHeight w:val="285"/>
        </w:trPr>
        <w:tc>
          <w:tcPr>
            <w:tcW w:w="570" w:type="dxa"/>
            <w:tcBorders>
              <w:top w:val="single" w:sz="6" w:space="0" w:color="auto"/>
              <w:left w:val="nil"/>
              <w:bottom w:val="single" w:sz="6" w:space="0" w:color="auto"/>
              <w:right w:val="single" w:sz="4" w:space="0" w:color="auto"/>
            </w:tcBorders>
            <w:shd w:val="clear" w:color="auto" w:fill="auto"/>
          </w:tcPr>
          <w:p w:rsidR="00297CA5" w:rsidRPr="00297CA5" w:rsidRDefault="00297CA5" w:rsidP="00297CA5">
            <w:pPr>
              <w:widowControl/>
              <w:snapToGrid w:val="0"/>
              <w:spacing w:before="40" w:after="40"/>
              <w:ind w:left="57"/>
              <w:rPr>
                <w:rFonts w:ascii="Segoe UI" w:eastAsia="Times New Roman" w:hAnsi="Segoe UI" w:cs="Times New Roman"/>
                <w:kern w:val="0"/>
                <w:sz w:val="17"/>
                <w:szCs w:val="17"/>
                <w:lang w:val="en-GB" w:eastAsia="en-GB"/>
              </w:rPr>
            </w:pPr>
            <w:r w:rsidRPr="00297CA5">
              <w:rPr>
                <w:rFonts w:ascii="Segoe UI" w:eastAsia="Times New Roman" w:hAnsi="Segoe UI" w:cs="Times New Roman"/>
                <w:kern w:val="0"/>
                <w:sz w:val="17"/>
                <w:szCs w:val="17"/>
                <w:lang w:val="en-GB" w:eastAsia="en-GB"/>
              </w:rPr>
              <w:t>4</w:t>
            </w:r>
          </w:p>
        </w:tc>
        <w:tc>
          <w:tcPr>
            <w:tcW w:w="7368" w:type="dxa"/>
            <w:tcBorders>
              <w:top w:val="single" w:sz="6" w:space="0" w:color="auto"/>
              <w:left w:val="single" w:sz="4" w:space="0" w:color="auto"/>
              <w:bottom w:val="single" w:sz="6" w:space="0" w:color="auto"/>
              <w:right w:val="single" w:sz="6" w:space="0" w:color="auto"/>
            </w:tcBorders>
            <w:shd w:val="clear" w:color="auto" w:fill="auto"/>
          </w:tcPr>
          <w:p w:rsidR="00297CA5" w:rsidRPr="00297CA5" w:rsidRDefault="00297CA5" w:rsidP="00297CA5">
            <w:pPr>
              <w:widowControl/>
              <w:tabs>
                <w:tab w:val="left" w:pos="423"/>
              </w:tabs>
              <w:snapToGrid w:val="0"/>
              <w:spacing w:before="40" w:after="40"/>
              <w:ind w:leftChars="211" w:left="506" w:rightChars="71" w:right="170"/>
              <w:rPr>
                <w:rFonts w:ascii="Segoe UI" w:eastAsia="Times New Roman" w:hAnsi="Segoe UI" w:cs="Times New Roman"/>
                <w:kern w:val="0"/>
                <w:sz w:val="17"/>
                <w:szCs w:val="20"/>
                <w:lang w:val="en-GB" w:eastAsia="it-IT"/>
              </w:rPr>
            </w:pPr>
            <w:r w:rsidRPr="00297CA5">
              <w:rPr>
                <w:rFonts w:ascii="Segoe UI" w:eastAsia="Times New Roman" w:hAnsi="Segoe UI" w:cs="Times New Roman"/>
                <w:kern w:val="0"/>
                <w:sz w:val="17"/>
                <w:szCs w:val="20"/>
                <w:lang w:val="en-GB" w:eastAsia="it-IT"/>
              </w:rPr>
              <w:tab/>
              <w:t>Other adjustments</w:t>
            </w:r>
          </w:p>
        </w:tc>
        <w:tc>
          <w:tcPr>
            <w:tcW w:w="1276" w:type="dxa"/>
            <w:tcBorders>
              <w:top w:val="single" w:sz="6" w:space="0" w:color="auto"/>
              <w:left w:val="single" w:sz="6" w:space="0" w:color="auto"/>
              <w:bottom w:val="single" w:sz="6" w:space="0" w:color="auto"/>
              <w:right w:val="single" w:sz="6" w:space="0" w:color="auto"/>
            </w:tcBorders>
            <w:shd w:val="clear" w:color="auto" w:fill="auto"/>
          </w:tcPr>
          <w:p w:rsidR="00297CA5" w:rsidRPr="00297CA5" w:rsidRDefault="00297CA5" w:rsidP="00297CA5">
            <w:pPr>
              <w:widowControl/>
              <w:snapToGrid w:val="0"/>
              <w:spacing w:before="40" w:after="40"/>
              <w:jc w:val="center"/>
              <w:rPr>
                <w:rFonts w:ascii="Segoe UI" w:eastAsia="Times New Roman" w:hAnsi="Segoe UI" w:cs="Times New Roman"/>
                <w:kern w:val="0"/>
                <w:sz w:val="17"/>
                <w:szCs w:val="20"/>
                <w:lang w:val="en-GB" w:eastAsia="it-IT"/>
              </w:rPr>
            </w:pPr>
          </w:p>
        </w:tc>
      </w:tr>
      <w:tr w:rsidR="00297CA5" w:rsidRPr="00297CA5" w:rsidTr="00297CA5">
        <w:trPr>
          <w:trHeight w:val="285"/>
        </w:trPr>
        <w:tc>
          <w:tcPr>
            <w:tcW w:w="570" w:type="dxa"/>
            <w:tcBorders>
              <w:top w:val="single" w:sz="6" w:space="0" w:color="auto"/>
              <w:left w:val="nil"/>
              <w:bottom w:val="single" w:sz="6" w:space="0" w:color="auto"/>
              <w:right w:val="single" w:sz="4" w:space="0" w:color="auto"/>
            </w:tcBorders>
            <w:shd w:val="clear" w:color="auto" w:fill="auto"/>
          </w:tcPr>
          <w:p w:rsidR="00297CA5" w:rsidRPr="00297CA5" w:rsidRDefault="00297CA5" w:rsidP="00297CA5">
            <w:pPr>
              <w:widowControl/>
              <w:snapToGrid w:val="0"/>
              <w:spacing w:before="40" w:after="40"/>
              <w:ind w:left="57"/>
              <w:rPr>
                <w:rFonts w:ascii="Segoe UI" w:eastAsia="Times New Roman" w:hAnsi="Segoe UI" w:cs="Times New Roman"/>
                <w:kern w:val="0"/>
                <w:sz w:val="17"/>
                <w:szCs w:val="17"/>
                <w:lang w:val="en-GB" w:eastAsia="en-GB"/>
              </w:rPr>
            </w:pPr>
            <w:r w:rsidRPr="00297CA5">
              <w:rPr>
                <w:rFonts w:ascii="Segoe UI" w:eastAsia="Times New Roman" w:hAnsi="Segoe UI" w:cs="Times New Roman"/>
                <w:kern w:val="0"/>
                <w:sz w:val="17"/>
                <w:szCs w:val="17"/>
                <w:lang w:val="en-GB" w:eastAsia="en-GB"/>
              </w:rPr>
              <w:t>5</w:t>
            </w:r>
          </w:p>
        </w:tc>
        <w:tc>
          <w:tcPr>
            <w:tcW w:w="7368" w:type="dxa"/>
            <w:tcBorders>
              <w:top w:val="single" w:sz="6" w:space="0" w:color="auto"/>
              <w:left w:val="single" w:sz="4" w:space="0" w:color="auto"/>
              <w:bottom w:val="single" w:sz="6" w:space="0" w:color="auto"/>
              <w:right w:val="single" w:sz="6" w:space="0" w:color="auto"/>
            </w:tcBorders>
            <w:shd w:val="clear" w:color="auto" w:fill="D9D9D9" w:themeFill="background1" w:themeFillShade="D9"/>
          </w:tcPr>
          <w:p w:rsidR="00297CA5" w:rsidRPr="00297CA5" w:rsidRDefault="00297CA5" w:rsidP="00297CA5">
            <w:pPr>
              <w:widowControl/>
              <w:snapToGrid w:val="0"/>
              <w:spacing w:before="40" w:after="40"/>
              <w:ind w:left="57" w:rightChars="71" w:right="170"/>
              <w:rPr>
                <w:rFonts w:ascii="Segoe UI" w:eastAsia="Times New Roman" w:hAnsi="Segoe UI" w:cs="Times New Roman"/>
                <w:kern w:val="0"/>
                <w:sz w:val="17"/>
                <w:szCs w:val="20"/>
                <w:lang w:val="en-GB" w:eastAsia="it-IT"/>
              </w:rPr>
            </w:pPr>
            <w:r w:rsidRPr="00297CA5">
              <w:rPr>
                <w:rFonts w:ascii="Segoe UI" w:eastAsia="Times New Roman" w:hAnsi="Segoe UI" w:cs="Times New Roman"/>
                <w:kern w:val="0"/>
                <w:sz w:val="17"/>
                <w:szCs w:val="20"/>
                <w:lang w:val="en-GB" w:eastAsia="it-IT"/>
              </w:rPr>
              <w:t>AT1 capital eligible under the LAC Rules</w:t>
            </w:r>
          </w:p>
        </w:tc>
        <w:tc>
          <w:tcPr>
            <w:tcW w:w="1276"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297CA5" w:rsidRPr="00297CA5" w:rsidRDefault="00297CA5" w:rsidP="00297CA5">
            <w:pPr>
              <w:widowControl/>
              <w:snapToGrid w:val="0"/>
              <w:spacing w:before="40" w:after="40"/>
              <w:jc w:val="center"/>
              <w:rPr>
                <w:rFonts w:ascii="Segoe UI" w:eastAsia="Times New Roman" w:hAnsi="Segoe UI" w:cs="Times New Roman"/>
                <w:kern w:val="0"/>
                <w:sz w:val="17"/>
                <w:szCs w:val="20"/>
                <w:lang w:val="en-GB" w:eastAsia="it-IT"/>
              </w:rPr>
            </w:pPr>
          </w:p>
        </w:tc>
      </w:tr>
      <w:tr w:rsidR="00297CA5" w:rsidRPr="00297CA5" w:rsidTr="00297CA5">
        <w:trPr>
          <w:trHeight w:val="285"/>
        </w:trPr>
        <w:tc>
          <w:tcPr>
            <w:tcW w:w="570" w:type="dxa"/>
            <w:tcBorders>
              <w:top w:val="single" w:sz="6" w:space="0" w:color="auto"/>
              <w:left w:val="nil"/>
              <w:bottom w:val="single" w:sz="6" w:space="0" w:color="auto"/>
              <w:right w:val="single" w:sz="4" w:space="0" w:color="auto"/>
            </w:tcBorders>
            <w:shd w:val="clear" w:color="auto" w:fill="auto"/>
          </w:tcPr>
          <w:p w:rsidR="00297CA5" w:rsidRPr="00297CA5" w:rsidRDefault="00297CA5" w:rsidP="00297CA5">
            <w:pPr>
              <w:widowControl/>
              <w:snapToGrid w:val="0"/>
              <w:spacing w:before="40" w:after="40"/>
              <w:ind w:left="57"/>
              <w:rPr>
                <w:rFonts w:ascii="Segoe UI" w:eastAsia="Times New Roman" w:hAnsi="Segoe UI" w:cs="Times New Roman"/>
                <w:kern w:val="0"/>
                <w:sz w:val="17"/>
                <w:szCs w:val="17"/>
                <w:lang w:val="en-GB" w:eastAsia="en-GB"/>
              </w:rPr>
            </w:pPr>
            <w:r w:rsidRPr="00297CA5">
              <w:rPr>
                <w:rFonts w:ascii="Segoe UI" w:eastAsia="Times New Roman" w:hAnsi="Segoe UI" w:cs="Times New Roman"/>
                <w:kern w:val="0"/>
                <w:sz w:val="17"/>
                <w:szCs w:val="17"/>
                <w:lang w:val="en-GB" w:eastAsia="en-GB"/>
              </w:rPr>
              <w:t>6</w:t>
            </w:r>
          </w:p>
        </w:tc>
        <w:tc>
          <w:tcPr>
            <w:tcW w:w="7368" w:type="dxa"/>
            <w:tcBorders>
              <w:top w:val="single" w:sz="6" w:space="0" w:color="auto"/>
              <w:left w:val="single" w:sz="4" w:space="0" w:color="auto"/>
              <w:bottom w:val="single" w:sz="6" w:space="0" w:color="auto"/>
              <w:right w:val="single" w:sz="6" w:space="0" w:color="auto"/>
            </w:tcBorders>
            <w:shd w:val="clear" w:color="auto" w:fill="auto"/>
          </w:tcPr>
          <w:p w:rsidR="00297CA5" w:rsidRPr="00297CA5" w:rsidRDefault="00297CA5" w:rsidP="00297CA5">
            <w:pPr>
              <w:widowControl/>
              <w:snapToGrid w:val="0"/>
              <w:spacing w:before="40" w:after="40"/>
              <w:ind w:left="57" w:rightChars="71" w:right="170"/>
              <w:rPr>
                <w:rFonts w:ascii="Segoe UI" w:eastAsia="Times New Roman" w:hAnsi="Segoe UI" w:cs="Times New Roman"/>
                <w:kern w:val="0"/>
                <w:sz w:val="17"/>
                <w:szCs w:val="20"/>
                <w:lang w:val="en-GB" w:eastAsia="it-IT"/>
              </w:rPr>
            </w:pPr>
            <w:r w:rsidRPr="00297CA5">
              <w:rPr>
                <w:rFonts w:ascii="Segoe UI" w:eastAsia="Times New Roman" w:hAnsi="Segoe UI" w:cs="Times New Roman"/>
                <w:kern w:val="0"/>
                <w:sz w:val="17"/>
                <w:szCs w:val="20"/>
                <w:lang w:val="en-GB" w:eastAsia="it-IT"/>
              </w:rPr>
              <w:t>Tier 2 (“T2”) capital before LAC adjustments</w:t>
            </w:r>
          </w:p>
        </w:tc>
        <w:tc>
          <w:tcPr>
            <w:tcW w:w="1276" w:type="dxa"/>
            <w:tcBorders>
              <w:top w:val="single" w:sz="6" w:space="0" w:color="auto"/>
              <w:left w:val="single" w:sz="6" w:space="0" w:color="auto"/>
              <w:bottom w:val="single" w:sz="6" w:space="0" w:color="auto"/>
              <w:right w:val="single" w:sz="6" w:space="0" w:color="auto"/>
            </w:tcBorders>
            <w:shd w:val="clear" w:color="auto" w:fill="auto"/>
          </w:tcPr>
          <w:p w:rsidR="00297CA5" w:rsidRPr="00297CA5" w:rsidRDefault="00297CA5" w:rsidP="00297CA5">
            <w:pPr>
              <w:widowControl/>
              <w:snapToGrid w:val="0"/>
              <w:spacing w:before="40" w:after="40"/>
              <w:jc w:val="center"/>
              <w:rPr>
                <w:rFonts w:ascii="Segoe UI" w:eastAsia="Times New Roman" w:hAnsi="Segoe UI" w:cs="Times New Roman"/>
                <w:kern w:val="0"/>
                <w:sz w:val="17"/>
                <w:szCs w:val="20"/>
                <w:lang w:val="en-GB" w:eastAsia="it-IT"/>
              </w:rPr>
            </w:pPr>
          </w:p>
        </w:tc>
      </w:tr>
      <w:tr w:rsidR="00297CA5" w:rsidRPr="00297CA5" w:rsidTr="00297CA5">
        <w:trPr>
          <w:trHeight w:val="285"/>
        </w:trPr>
        <w:tc>
          <w:tcPr>
            <w:tcW w:w="570" w:type="dxa"/>
            <w:tcBorders>
              <w:top w:val="single" w:sz="6" w:space="0" w:color="auto"/>
              <w:left w:val="nil"/>
              <w:bottom w:val="single" w:sz="6" w:space="0" w:color="auto"/>
              <w:right w:val="single" w:sz="4" w:space="0" w:color="auto"/>
            </w:tcBorders>
            <w:shd w:val="clear" w:color="auto" w:fill="auto"/>
          </w:tcPr>
          <w:p w:rsidR="00297CA5" w:rsidRPr="00297CA5" w:rsidRDefault="00297CA5" w:rsidP="00297CA5">
            <w:pPr>
              <w:widowControl/>
              <w:snapToGrid w:val="0"/>
              <w:spacing w:before="40" w:after="40"/>
              <w:ind w:left="57"/>
              <w:rPr>
                <w:rFonts w:ascii="Segoe UI" w:eastAsia="Times New Roman" w:hAnsi="Segoe UI" w:cs="Times New Roman"/>
                <w:kern w:val="0"/>
                <w:sz w:val="17"/>
                <w:szCs w:val="17"/>
                <w:lang w:val="en-GB" w:eastAsia="en-GB"/>
              </w:rPr>
            </w:pPr>
            <w:r w:rsidRPr="00297CA5">
              <w:rPr>
                <w:rFonts w:ascii="Segoe UI" w:eastAsia="Times New Roman" w:hAnsi="Segoe UI" w:cs="Times New Roman"/>
                <w:kern w:val="0"/>
                <w:sz w:val="17"/>
                <w:szCs w:val="17"/>
                <w:lang w:val="en-GB" w:eastAsia="en-GB"/>
              </w:rPr>
              <w:t>7</w:t>
            </w:r>
          </w:p>
        </w:tc>
        <w:tc>
          <w:tcPr>
            <w:tcW w:w="7368" w:type="dxa"/>
            <w:tcBorders>
              <w:top w:val="single" w:sz="6" w:space="0" w:color="auto"/>
              <w:left w:val="single" w:sz="4" w:space="0" w:color="auto"/>
              <w:bottom w:val="single" w:sz="6" w:space="0" w:color="auto"/>
              <w:right w:val="single" w:sz="6" w:space="0" w:color="auto"/>
            </w:tcBorders>
            <w:shd w:val="clear" w:color="auto" w:fill="auto"/>
          </w:tcPr>
          <w:p w:rsidR="00297CA5" w:rsidRPr="00297CA5" w:rsidRDefault="00297CA5" w:rsidP="001D15C2">
            <w:pPr>
              <w:widowControl/>
              <w:tabs>
                <w:tab w:val="left" w:pos="423"/>
              </w:tabs>
              <w:snapToGrid w:val="0"/>
              <w:spacing w:before="40" w:after="40"/>
              <w:ind w:leftChars="211" w:left="987" w:rightChars="71" w:right="170" w:hangingChars="283" w:hanging="481"/>
              <w:rPr>
                <w:rFonts w:ascii="Segoe UI" w:eastAsia="Times New Roman" w:hAnsi="Segoe UI" w:cs="Times New Roman"/>
                <w:kern w:val="0"/>
                <w:sz w:val="17"/>
                <w:szCs w:val="20"/>
                <w:lang w:val="en-GB" w:eastAsia="it-IT"/>
              </w:rPr>
            </w:pPr>
            <w:r w:rsidRPr="00297CA5">
              <w:rPr>
                <w:rFonts w:ascii="Segoe UI" w:eastAsia="Times New Roman" w:hAnsi="Segoe UI" w:cs="Times New Roman"/>
                <w:kern w:val="0"/>
                <w:sz w:val="17"/>
                <w:szCs w:val="20"/>
                <w:lang w:val="en-GB" w:eastAsia="it-IT"/>
              </w:rPr>
              <w:tab/>
              <w:t>Amortized portion of T2 capital instruments that are internal LAC debt instruments issued directly or indirectly to, and held directly or indirectly by, the resolution entity or non-HK resolution entity in the material subsidiary’s resolution group</w:t>
            </w:r>
          </w:p>
        </w:tc>
        <w:tc>
          <w:tcPr>
            <w:tcW w:w="1276" w:type="dxa"/>
            <w:tcBorders>
              <w:top w:val="single" w:sz="6" w:space="0" w:color="auto"/>
              <w:left w:val="single" w:sz="6" w:space="0" w:color="auto"/>
              <w:bottom w:val="single" w:sz="6" w:space="0" w:color="auto"/>
              <w:right w:val="single" w:sz="6" w:space="0" w:color="auto"/>
            </w:tcBorders>
            <w:shd w:val="clear" w:color="auto" w:fill="auto"/>
          </w:tcPr>
          <w:p w:rsidR="00297CA5" w:rsidRPr="00297CA5" w:rsidRDefault="00297CA5" w:rsidP="00297CA5">
            <w:pPr>
              <w:widowControl/>
              <w:snapToGrid w:val="0"/>
              <w:spacing w:before="40" w:after="40"/>
              <w:jc w:val="center"/>
              <w:rPr>
                <w:rFonts w:ascii="Segoe UI" w:eastAsia="Times New Roman" w:hAnsi="Segoe UI" w:cs="Times New Roman"/>
                <w:kern w:val="0"/>
                <w:sz w:val="17"/>
                <w:szCs w:val="20"/>
                <w:lang w:val="en-GB" w:eastAsia="it-IT"/>
              </w:rPr>
            </w:pPr>
          </w:p>
        </w:tc>
      </w:tr>
      <w:tr w:rsidR="00297CA5" w:rsidRPr="00297CA5" w:rsidTr="00297CA5">
        <w:trPr>
          <w:trHeight w:val="285"/>
        </w:trPr>
        <w:tc>
          <w:tcPr>
            <w:tcW w:w="570" w:type="dxa"/>
            <w:tcBorders>
              <w:top w:val="single" w:sz="6" w:space="0" w:color="auto"/>
              <w:left w:val="nil"/>
              <w:bottom w:val="single" w:sz="6" w:space="0" w:color="auto"/>
              <w:right w:val="single" w:sz="4" w:space="0" w:color="auto"/>
            </w:tcBorders>
            <w:shd w:val="clear" w:color="auto" w:fill="auto"/>
          </w:tcPr>
          <w:p w:rsidR="00297CA5" w:rsidRPr="00297CA5" w:rsidRDefault="00297CA5" w:rsidP="00297CA5">
            <w:pPr>
              <w:widowControl/>
              <w:snapToGrid w:val="0"/>
              <w:spacing w:before="40" w:after="40"/>
              <w:ind w:left="57"/>
              <w:rPr>
                <w:rFonts w:ascii="Segoe UI" w:eastAsia="Times New Roman" w:hAnsi="Segoe UI" w:cs="Times New Roman"/>
                <w:kern w:val="0"/>
                <w:sz w:val="17"/>
                <w:szCs w:val="17"/>
                <w:lang w:val="en-GB" w:eastAsia="en-GB"/>
              </w:rPr>
            </w:pPr>
            <w:r w:rsidRPr="00297CA5">
              <w:rPr>
                <w:rFonts w:ascii="Segoe UI" w:eastAsia="Times New Roman" w:hAnsi="Segoe UI" w:cs="Times New Roman"/>
                <w:kern w:val="0"/>
                <w:sz w:val="17"/>
                <w:szCs w:val="17"/>
                <w:lang w:val="en-GB" w:eastAsia="en-GB"/>
              </w:rPr>
              <w:t>8</w:t>
            </w:r>
          </w:p>
        </w:tc>
        <w:tc>
          <w:tcPr>
            <w:tcW w:w="7368" w:type="dxa"/>
            <w:tcBorders>
              <w:top w:val="single" w:sz="6" w:space="0" w:color="auto"/>
              <w:left w:val="single" w:sz="4" w:space="0" w:color="auto"/>
              <w:bottom w:val="single" w:sz="6" w:space="0" w:color="auto"/>
              <w:right w:val="single" w:sz="6" w:space="0" w:color="auto"/>
            </w:tcBorders>
            <w:shd w:val="clear" w:color="auto" w:fill="auto"/>
          </w:tcPr>
          <w:p w:rsidR="00297CA5" w:rsidRPr="00297CA5" w:rsidRDefault="00297CA5" w:rsidP="001D15C2">
            <w:pPr>
              <w:widowControl/>
              <w:tabs>
                <w:tab w:val="left" w:pos="423"/>
              </w:tabs>
              <w:snapToGrid w:val="0"/>
              <w:spacing w:before="40" w:after="40"/>
              <w:ind w:leftChars="211" w:left="987" w:rightChars="71" w:right="170" w:hangingChars="283" w:hanging="481"/>
              <w:rPr>
                <w:rFonts w:ascii="Segoe UI" w:eastAsia="Times New Roman" w:hAnsi="Segoe UI" w:cs="Times New Roman"/>
                <w:kern w:val="0"/>
                <w:sz w:val="17"/>
                <w:szCs w:val="20"/>
                <w:lang w:val="en-GB" w:eastAsia="it-IT"/>
              </w:rPr>
            </w:pPr>
            <w:r w:rsidRPr="00297CA5">
              <w:rPr>
                <w:rFonts w:ascii="Segoe UI" w:eastAsia="Times New Roman" w:hAnsi="Segoe UI" w:cs="Times New Roman"/>
                <w:kern w:val="0"/>
                <w:sz w:val="17"/>
                <w:szCs w:val="20"/>
                <w:lang w:val="en-GB" w:eastAsia="it-IT"/>
              </w:rPr>
              <w:tab/>
              <w:t>T2 capital instruments ineligible as internal loss-absorbing capacity as not issued directly or indirectly to, and held directly or indirectly by, the resolution entity or non-HK resolution entity in the material subsidiary’s resolution group</w:t>
            </w:r>
          </w:p>
        </w:tc>
        <w:tc>
          <w:tcPr>
            <w:tcW w:w="1276" w:type="dxa"/>
            <w:tcBorders>
              <w:top w:val="single" w:sz="6" w:space="0" w:color="auto"/>
              <w:left w:val="single" w:sz="6" w:space="0" w:color="auto"/>
              <w:bottom w:val="single" w:sz="6" w:space="0" w:color="auto"/>
              <w:right w:val="single" w:sz="6" w:space="0" w:color="auto"/>
            </w:tcBorders>
            <w:shd w:val="clear" w:color="auto" w:fill="auto"/>
          </w:tcPr>
          <w:p w:rsidR="00297CA5" w:rsidRPr="00297CA5" w:rsidRDefault="00297CA5" w:rsidP="00297CA5">
            <w:pPr>
              <w:widowControl/>
              <w:snapToGrid w:val="0"/>
              <w:spacing w:before="40" w:after="40"/>
              <w:jc w:val="center"/>
              <w:rPr>
                <w:rFonts w:ascii="Segoe UI" w:eastAsia="Times New Roman" w:hAnsi="Segoe UI" w:cs="Times New Roman"/>
                <w:kern w:val="0"/>
                <w:sz w:val="17"/>
                <w:szCs w:val="20"/>
                <w:lang w:val="en-GB" w:eastAsia="it-IT"/>
              </w:rPr>
            </w:pPr>
          </w:p>
        </w:tc>
      </w:tr>
      <w:tr w:rsidR="00297CA5" w:rsidRPr="00297CA5" w:rsidTr="00297CA5">
        <w:trPr>
          <w:trHeight w:val="285"/>
        </w:trPr>
        <w:tc>
          <w:tcPr>
            <w:tcW w:w="570" w:type="dxa"/>
            <w:tcBorders>
              <w:top w:val="single" w:sz="6" w:space="0" w:color="auto"/>
              <w:left w:val="nil"/>
              <w:bottom w:val="single" w:sz="6" w:space="0" w:color="auto"/>
              <w:right w:val="single" w:sz="4" w:space="0" w:color="auto"/>
            </w:tcBorders>
            <w:shd w:val="clear" w:color="auto" w:fill="auto"/>
          </w:tcPr>
          <w:p w:rsidR="00297CA5" w:rsidRPr="00297CA5" w:rsidRDefault="00297CA5" w:rsidP="00297CA5">
            <w:pPr>
              <w:widowControl/>
              <w:snapToGrid w:val="0"/>
              <w:spacing w:before="40" w:after="40"/>
              <w:ind w:left="57"/>
              <w:rPr>
                <w:rFonts w:ascii="Segoe UI" w:eastAsia="Times New Roman" w:hAnsi="Segoe UI" w:cs="Times New Roman"/>
                <w:kern w:val="0"/>
                <w:sz w:val="17"/>
                <w:szCs w:val="17"/>
                <w:lang w:val="en-GB" w:eastAsia="en-GB"/>
              </w:rPr>
            </w:pPr>
            <w:r w:rsidRPr="00297CA5">
              <w:rPr>
                <w:rFonts w:ascii="Segoe UI" w:eastAsia="Times New Roman" w:hAnsi="Segoe UI" w:cs="Times New Roman"/>
                <w:kern w:val="0"/>
                <w:sz w:val="17"/>
                <w:szCs w:val="17"/>
                <w:lang w:val="en-GB" w:eastAsia="en-GB"/>
              </w:rPr>
              <w:t>9</w:t>
            </w:r>
          </w:p>
        </w:tc>
        <w:tc>
          <w:tcPr>
            <w:tcW w:w="7368" w:type="dxa"/>
            <w:tcBorders>
              <w:top w:val="single" w:sz="6" w:space="0" w:color="auto"/>
              <w:left w:val="single" w:sz="4" w:space="0" w:color="auto"/>
              <w:bottom w:val="single" w:sz="6" w:space="0" w:color="auto"/>
              <w:right w:val="single" w:sz="6" w:space="0" w:color="auto"/>
            </w:tcBorders>
            <w:shd w:val="clear" w:color="auto" w:fill="auto"/>
          </w:tcPr>
          <w:p w:rsidR="00297CA5" w:rsidRPr="00297CA5" w:rsidRDefault="00297CA5" w:rsidP="00297CA5">
            <w:pPr>
              <w:widowControl/>
              <w:tabs>
                <w:tab w:val="left" w:pos="423"/>
              </w:tabs>
              <w:snapToGrid w:val="0"/>
              <w:spacing w:before="40" w:after="40"/>
              <w:ind w:leftChars="211" w:left="506" w:rightChars="71" w:right="170"/>
              <w:rPr>
                <w:rFonts w:ascii="Segoe UI" w:eastAsia="Times New Roman" w:hAnsi="Segoe UI" w:cs="Times New Roman"/>
                <w:kern w:val="0"/>
                <w:sz w:val="17"/>
                <w:szCs w:val="20"/>
                <w:lang w:val="en-GB" w:eastAsia="it-IT"/>
              </w:rPr>
            </w:pPr>
            <w:r w:rsidRPr="00297CA5">
              <w:rPr>
                <w:rFonts w:ascii="Segoe UI" w:eastAsia="Times New Roman" w:hAnsi="Segoe UI" w:cs="Times New Roman"/>
                <w:kern w:val="0"/>
                <w:sz w:val="17"/>
                <w:szCs w:val="20"/>
                <w:lang w:val="en-GB" w:eastAsia="it-IT"/>
              </w:rPr>
              <w:tab/>
              <w:t>Other adjustments</w:t>
            </w:r>
          </w:p>
        </w:tc>
        <w:tc>
          <w:tcPr>
            <w:tcW w:w="1276" w:type="dxa"/>
            <w:tcBorders>
              <w:top w:val="single" w:sz="6" w:space="0" w:color="auto"/>
              <w:left w:val="single" w:sz="6" w:space="0" w:color="auto"/>
              <w:bottom w:val="single" w:sz="6" w:space="0" w:color="auto"/>
              <w:right w:val="single" w:sz="6" w:space="0" w:color="auto"/>
            </w:tcBorders>
            <w:shd w:val="clear" w:color="auto" w:fill="auto"/>
          </w:tcPr>
          <w:p w:rsidR="00297CA5" w:rsidRPr="00297CA5" w:rsidRDefault="00297CA5" w:rsidP="00297CA5">
            <w:pPr>
              <w:widowControl/>
              <w:snapToGrid w:val="0"/>
              <w:spacing w:before="40" w:after="40"/>
              <w:jc w:val="center"/>
              <w:rPr>
                <w:rFonts w:ascii="Segoe UI" w:eastAsia="Times New Roman" w:hAnsi="Segoe UI" w:cs="Times New Roman"/>
                <w:kern w:val="0"/>
                <w:sz w:val="17"/>
                <w:szCs w:val="20"/>
                <w:lang w:val="en-GB" w:eastAsia="it-IT"/>
              </w:rPr>
            </w:pPr>
          </w:p>
        </w:tc>
      </w:tr>
      <w:tr w:rsidR="00297CA5" w:rsidRPr="00297CA5" w:rsidTr="00297CA5">
        <w:trPr>
          <w:trHeight w:val="285"/>
        </w:trPr>
        <w:tc>
          <w:tcPr>
            <w:tcW w:w="570" w:type="dxa"/>
            <w:tcBorders>
              <w:top w:val="single" w:sz="6" w:space="0" w:color="auto"/>
              <w:left w:val="nil"/>
              <w:bottom w:val="single" w:sz="6" w:space="0" w:color="auto"/>
              <w:right w:val="single" w:sz="4" w:space="0" w:color="auto"/>
            </w:tcBorders>
            <w:shd w:val="clear" w:color="auto" w:fill="auto"/>
          </w:tcPr>
          <w:p w:rsidR="00297CA5" w:rsidRPr="00297CA5" w:rsidRDefault="00297CA5" w:rsidP="00297CA5">
            <w:pPr>
              <w:widowControl/>
              <w:snapToGrid w:val="0"/>
              <w:spacing w:before="40" w:after="40"/>
              <w:ind w:left="57"/>
              <w:rPr>
                <w:rFonts w:ascii="Segoe UI" w:eastAsia="Times New Roman" w:hAnsi="Segoe UI" w:cs="Times New Roman"/>
                <w:kern w:val="0"/>
                <w:sz w:val="17"/>
                <w:szCs w:val="17"/>
                <w:lang w:val="en-GB" w:eastAsia="en-GB"/>
              </w:rPr>
            </w:pPr>
            <w:r w:rsidRPr="00297CA5">
              <w:rPr>
                <w:rFonts w:ascii="Segoe UI" w:eastAsia="Times New Roman" w:hAnsi="Segoe UI" w:cs="Times New Roman"/>
                <w:kern w:val="0"/>
                <w:sz w:val="17"/>
                <w:szCs w:val="17"/>
                <w:lang w:val="en-GB" w:eastAsia="en-GB"/>
              </w:rPr>
              <w:t>10</w:t>
            </w:r>
          </w:p>
        </w:tc>
        <w:tc>
          <w:tcPr>
            <w:tcW w:w="7368" w:type="dxa"/>
            <w:tcBorders>
              <w:top w:val="single" w:sz="6" w:space="0" w:color="auto"/>
              <w:left w:val="single" w:sz="4" w:space="0" w:color="auto"/>
              <w:bottom w:val="single" w:sz="18" w:space="0" w:color="auto"/>
              <w:right w:val="single" w:sz="6" w:space="0" w:color="auto"/>
            </w:tcBorders>
            <w:shd w:val="clear" w:color="auto" w:fill="D9D9D9" w:themeFill="background1" w:themeFillShade="D9"/>
          </w:tcPr>
          <w:p w:rsidR="00297CA5" w:rsidRPr="00297CA5" w:rsidRDefault="00297CA5" w:rsidP="00297CA5">
            <w:pPr>
              <w:widowControl/>
              <w:snapToGrid w:val="0"/>
              <w:spacing w:before="40" w:after="40"/>
              <w:ind w:left="57" w:rightChars="71" w:right="170"/>
              <w:rPr>
                <w:rFonts w:ascii="Segoe UI" w:eastAsia="Times New Roman" w:hAnsi="Segoe UI" w:cs="Times New Roman"/>
                <w:kern w:val="0"/>
                <w:sz w:val="17"/>
                <w:szCs w:val="20"/>
                <w:lang w:val="en-GB" w:eastAsia="it-IT"/>
              </w:rPr>
            </w:pPr>
            <w:r w:rsidRPr="00297CA5">
              <w:rPr>
                <w:rFonts w:ascii="Segoe UI" w:eastAsia="Times New Roman" w:hAnsi="Segoe UI" w:cs="Times New Roman"/>
                <w:kern w:val="0"/>
                <w:sz w:val="17"/>
                <w:szCs w:val="20"/>
                <w:lang w:val="en-GB" w:eastAsia="it-IT"/>
              </w:rPr>
              <w:t>T2 capital eligible under the LAC Rules</w:t>
            </w:r>
          </w:p>
        </w:tc>
        <w:tc>
          <w:tcPr>
            <w:tcW w:w="1276" w:type="dxa"/>
            <w:tcBorders>
              <w:top w:val="single" w:sz="6" w:space="0" w:color="auto"/>
              <w:left w:val="single" w:sz="6" w:space="0" w:color="auto"/>
              <w:bottom w:val="single" w:sz="18" w:space="0" w:color="auto"/>
              <w:right w:val="single" w:sz="6" w:space="0" w:color="auto"/>
            </w:tcBorders>
            <w:shd w:val="clear" w:color="auto" w:fill="D9D9D9" w:themeFill="background1" w:themeFillShade="D9"/>
          </w:tcPr>
          <w:p w:rsidR="00297CA5" w:rsidRPr="00297CA5" w:rsidRDefault="00297CA5" w:rsidP="00297CA5">
            <w:pPr>
              <w:widowControl/>
              <w:snapToGrid w:val="0"/>
              <w:spacing w:before="40" w:after="40"/>
              <w:jc w:val="center"/>
              <w:rPr>
                <w:rFonts w:ascii="Segoe UI" w:eastAsia="Times New Roman" w:hAnsi="Segoe UI" w:cs="Times New Roman"/>
                <w:kern w:val="0"/>
                <w:sz w:val="17"/>
                <w:szCs w:val="20"/>
                <w:lang w:val="en-GB" w:eastAsia="it-IT"/>
              </w:rPr>
            </w:pPr>
          </w:p>
        </w:tc>
      </w:tr>
      <w:tr w:rsidR="00297CA5" w:rsidRPr="00297CA5" w:rsidTr="00297CA5">
        <w:trPr>
          <w:trHeight w:val="285"/>
        </w:trPr>
        <w:tc>
          <w:tcPr>
            <w:tcW w:w="570" w:type="dxa"/>
            <w:tcBorders>
              <w:top w:val="single" w:sz="6" w:space="0" w:color="auto"/>
              <w:left w:val="nil"/>
              <w:bottom w:val="single" w:sz="6" w:space="0" w:color="auto"/>
              <w:right w:val="single" w:sz="18" w:space="0" w:color="auto"/>
            </w:tcBorders>
            <w:shd w:val="clear" w:color="auto" w:fill="auto"/>
          </w:tcPr>
          <w:p w:rsidR="00297CA5" w:rsidRPr="00297CA5" w:rsidRDefault="00297CA5" w:rsidP="00297CA5">
            <w:pPr>
              <w:widowControl/>
              <w:snapToGrid w:val="0"/>
              <w:spacing w:before="40" w:after="40"/>
              <w:ind w:left="57"/>
              <w:rPr>
                <w:rFonts w:ascii="Segoe UI" w:eastAsia="Times New Roman" w:hAnsi="Segoe UI" w:cs="Times New Roman"/>
                <w:kern w:val="0"/>
                <w:sz w:val="17"/>
                <w:szCs w:val="17"/>
                <w:lang w:val="en-GB" w:eastAsia="en-GB"/>
              </w:rPr>
            </w:pPr>
            <w:r w:rsidRPr="00297CA5">
              <w:rPr>
                <w:rFonts w:ascii="Segoe UI" w:eastAsia="Times New Roman" w:hAnsi="Segoe UI" w:cs="Times New Roman"/>
                <w:kern w:val="0"/>
                <w:sz w:val="17"/>
                <w:szCs w:val="17"/>
                <w:lang w:val="en-GB" w:eastAsia="en-GB"/>
              </w:rPr>
              <w:t>11</w:t>
            </w:r>
          </w:p>
        </w:tc>
        <w:tc>
          <w:tcPr>
            <w:tcW w:w="7368" w:type="dxa"/>
            <w:tcBorders>
              <w:top w:val="single" w:sz="18" w:space="0" w:color="auto"/>
              <w:left w:val="single" w:sz="18" w:space="0" w:color="auto"/>
              <w:bottom w:val="single" w:sz="18" w:space="0" w:color="auto"/>
              <w:right w:val="single" w:sz="18" w:space="0" w:color="auto"/>
            </w:tcBorders>
            <w:shd w:val="clear" w:color="auto" w:fill="D9D9D9" w:themeFill="background1" w:themeFillShade="D9"/>
          </w:tcPr>
          <w:p w:rsidR="00297CA5" w:rsidRPr="00297CA5" w:rsidRDefault="00297CA5" w:rsidP="00297CA5">
            <w:pPr>
              <w:widowControl/>
              <w:snapToGrid w:val="0"/>
              <w:spacing w:before="40" w:after="40"/>
              <w:ind w:left="57" w:rightChars="71" w:right="170"/>
              <w:rPr>
                <w:rFonts w:ascii="Segoe UI" w:eastAsia="Times New Roman" w:hAnsi="Segoe UI" w:cs="Times New Roman"/>
                <w:b/>
                <w:kern w:val="0"/>
                <w:sz w:val="17"/>
                <w:szCs w:val="20"/>
                <w:lang w:val="en-GB" w:eastAsia="it-IT"/>
              </w:rPr>
            </w:pPr>
            <w:r w:rsidRPr="00297CA5">
              <w:rPr>
                <w:rFonts w:ascii="Segoe UI" w:eastAsia="Times New Roman" w:hAnsi="Segoe UI" w:cs="Times New Roman"/>
                <w:b/>
                <w:kern w:val="0"/>
                <w:sz w:val="17"/>
                <w:szCs w:val="20"/>
                <w:lang w:val="en-GB" w:eastAsia="it-IT"/>
              </w:rPr>
              <w:t>Internal loss-absorbing capacity arising from regulatory capital</w:t>
            </w:r>
          </w:p>
        </w:tc>
        <w:tc>
          <w:tcPr>
            <w:tcW w:w="1276" w:type="dxa"/>
            <w:tcBorders>
              <w:top w:val="single" w:sz="18" w:space="0" w:color="auto"/>
              <w:left w:val="single" w:sz="18" w:space="0" w:color="auto"/>
              <w:bottom w:val="single" w:sz="18" w:space="0" w:color="auto"/>
              <w:right w:val="single" w:sz="18" w:space="0" w:color="auto"/>
            </w:tcBorders>
            <w:shd w:val="clear" w:color="auto" w:fill="D9D9D9" w:themeFill="background1" w:themeFillShade="D9"/>
          </w:tcPr>
          <w:p w:rsidR="00297CA5" w:rsidRPr="00297CA5" w:rsidRDefault="00297CA5" w:rsidP="00297CA5">
            <w:pPr>
              <w:widowControl/>
              <w:snapToGrid w:val="0"/>
              <w:spacing w:before="40" w:after="40"/>
              <w:jc w:val="center"/>
              <w:rPr>
                <w:rFonts w:ascii="Segoe UI" w:eastAsia="Times New Roman" w:hAnsi="Segoe UI" w:cs="Times New Roman"/>
                <w:kern w:val="0"/>
                <w:sz w:val="17"/>
                <w:szCs w:val="20"/>
                <w:lang w:val="en-GB" w:eastAsia="it-IT"/>
              </w:rPr>
            </w:pPr>
          </w:p>
        </w:tc>
      </w:tr>
      <w:tr w:rsidR="00297CA5" w:rsidRPr="00297CA5" w:rsidTr="00297CA5">
        <w:trPr>
          <w:trHeight w:val="285"/>
        </w:trPr>
        <w:tc>
          <w:tcPr>
            <w:tcW w:w="570" w:type="dxa"/>
            <w:tcBorders>
              <w:top w:val="single" w:sz="6" w:space="0" w:color="auto"/>
              <w:left w:val="nil"/>
              <w:bottom w:val="single" w:sz="4" w:space="0" w:color="auto"/>
              <w:right w:val="single" w:sz="4" w:space="0" w:color="auto"/>
            </w:tcBorders>
            <w:shd w:val="clear" w:color="auto" w:fill="A6A6A6" w:themeFill="background1" w:themeFillShade="A6"/>
          </w:tcPr>
          <w:p w:rsidR="00297CA5" w:rsidRPr="00297CA5" w:rsidRDefault="00297CA5" w:rsidP="00297CA5">
            <w:pPr>
              <w:widowControl/>
              <w:snapToGrid w:val="0"/>
              <w:spacing w:before="40" w:after="40"/>
              <w:ind w:left="417" w:rightChars="71" w:right="170"/>
              <w:rPr>
                <w:rFonts w:ascii="Segoe UI" w:eastAsia="Times New Roman" w:hAnsi="Segoe UI" w:cs="Times New Roman"/>
                <w:b/>
                <w:kern w:val="0"/>
                <w:sz w:val="17"/>
                <w:szCs w:val="17"/>
                <w:lang w:val="en-GB" w:eastAsia="it-IT"/>
              </w:rPr>
            </w:pPr>
          </w:p>
        </w:tc>
        <w:tc>
          <w:tcPr>
            <w:tcW w:w="7368" w:type="dxa"/>
            <w:tcBorders>
              <w:top w:val="single" w:sz="18" w:space="0" w:color="auto"/>
              <w:left w:val="single" w:sz="4" w:space="0" w:color="auto"/>
              <w:bottom w:val="single" w:sz="4" w:space="0" w:color="auto"/>
              <w:right w:val="nil"/>
            </w:tcBorders>
            <w:shd w:val="clear" w:color="auto" w:fill="A6A6A6" w:themeFill="background1" w:themeFillShade="A6"/>
          </w:tcPr>
          <w:p w:rsidR="00297CA5" w:rsidRPr="00297CA5" w:rsidRDefault="00297CA5" w:rsidP="00297CA5">
            <w:pPr>
              <w:widowControl/>
              <w:snapToGrid w:val="0"/>
              <w:spacing w:before="40" w:after="40"/>
              <w:ind w:left="57" w:rightChars="71" w:right="170"/>
              <w:rPr>
                <w:rFonts w:ascii="Segoe UI" w:eastAsia="Times New Roman" w:hAnsi="Segoe UI" w:cs="Times New Roman"/>
                <w:b/>
                <w:kern w:val="0"/>
                <w:sz w:val="17"/>
                <w:szCs w:val="17"/>
                <w:lang w:val="en-GB" w:eastAsia="it-IT"/>
              </w:rPr>
            </w:pPr>
            <w:r w:rsidRPr="00297CA5">
              <w:rPr>
                <w:rFonts w:ascii="Segoe UI" w:eastAsia="Times New Roman" w:hAnsi="Segoe UI" w:cs="Times New Roman"/>
                <w:b/>
                <w:kern w:val="0"/>
                <w:sz w:val="17"/>
                <w:szCs w:val="20"/>
                <w:lang w:val="en-GB" w:eastAsia="it-IT"/>
              </w:rPr>
              <w:t>Non-regulatory capital elements of internal loss-absorbing capacity</w:t>
            </w:r>
          </w:p>
        </w:tc>
        <w:tc>
          <w:tcPr>
            <w:tcW w:w="1276" w:type="dxa"/>
            <w:tcBorders>
              <w:top w:val="single" w:sz="18" w:space="0" w:color="auto"/>
              <w:left w:val="nil"/>
              <w:bottom w:val="single" w:sz="4" w:space="0" w:color="auto"/>
              <w:right w:val="single" w:sz="4" w:space="0" w:color="auto"/>
            </w:tcBorders>
            <w:shd w:val="clear" w:color="auto" w:fill="A6A6A6" w:themeFill="background1" w:themeFillShade="A6"/>
          </w:tcPr>
          <w:p w:rsidR="00297CA5" w:rsidRPr="00297CA5" w:rsidRDefault="00297CA5" w:rsidP="00297CA5">
            <w:pPr>
              <w:widowControl/>
              <w:snapToGrid w:val="0"/>
              <w:spacing w:before="40" w:after="40"/>
              <w:jc w:val="center"/>
              <w:rPr>
                <w:rFonts w:ascii="Segoe UI" w:eastAsia="Times New Roman" w:hAnsi="Segoe UI" w:cs="Times New Roman"/>
                <w:kern w:val="0"/>
                <w:sz w:val="17"/>
                <w:szCs w:val="20"/>
                <w:lang w:val="en-GB" w:eastAsia="it-IT"/>
              </w:rPr>
            </w:pPr>
          </w:p>
        </w:tc>
      </w:tr>
      <w:tr w:rsidR="00297CA5" w:rsidRPr="00297CA5" w:rsidTr="00297CA5">
        <w:trPr>
          <w:trHeight w:val="270"/>
        </w:trPr>
        <w:tc>
          <w:tcPr>
            <w:tcW w:w="570" w:type="dxa"/>
            <w:tcBorders>
              <w:top w:val="single" w:sz="4" w:space="0" w:color="auto"/>
              <w:left w:val="nil"/>
              <w:bottom w:val="single" w:sz="4" w:space="0" w:color="auto"/>
              <w:right w:val="single" w:sz="4" w:space="0" w:color="auto"/>
            </w:tcBorders>
            <w:shd w:val="clear" w:color="auto" w:fill="auto"/>
          </w:tcPr>
          <w:p w:rsidR="00297CA5" w:rsidRPr="00297CA5" w:rsidRDefault="00297CA5" w:rsidP="00297CA5">
            <w:pPr>
              <w:widowControl/>
              <w:snapToGrid w:val="0"/>
              <w:spacing w:before="40" w:after="40"/>
              <w:ind w:left="57"/>
              <w:rPr>
                <w:rFonts w:ascii="Segoe UI" w:eastAsia="Times New Roman" w:hAnsi="Segoe UI" w:cs="Times New Roman"/>
                <w:kern w:val="0"/>
                <w:sz w:val="17"/>
                <w:szCs w:val="17"/>
                <w:lang w:val="en-GB" w:eastAsia="en-GB"/>
              </w:rPr>
            </w:pPr>
            <w:r w:rsidRPr="00297CA5">
              <w:rPr>
                <w:rFonts w:ascii="Segoe UI" w:eastAsia="Times New Roman" w:hAnsi="Segoe UI" w:cs="Times New Roman"/>
                <w:kern w:val="0"/>
                <w:sz w:val="17"/>
                <w:szCs w:val="17"/>
                <w:lang w:val="en-GB" w:eastAsia="en-GB"/>
              </w:rPr>
              <w:t>12</w:t>
            </w:r>
          </w:p>
        </w:tc>
        <w:tc>
          <w:tcPr>
            <w:tcW w:w="7368" w:type="dxa"/>
            <w:tcBorders>
              <w:top w:val="single" w:sz="6" w:space="0" w:color="auto"/>
              <w:left w:val="single" w:sz="4" w:space="0" w:color="auto"/>
              <w:bottom w:val="single" w:sz="6" w:space="0" w:color="auto"/>
              <w:right w:val="single" w:sz="6" w:space="0" w:color="auto"/>
            </w:tcBorders>
            <w:shd w:val="clear" w:color="auto" w:fill="auto"/>
          </w:tcPr>
          <w:p w:rsidR="00297CA5" w:rsidRPr="00297CA5" w:rsidRDefault="00297CA5" w:rsidP="00297CA5">
            <w:pPr>
              <w:widowControl/>
              <w:snapToGrid w:val="0"/>
              <w:spacing w:before="40" w:after="40"/>
              <w:ind w:left="57" w:rightChars="71" w:right="170"/>
              <w:rPr>
                <w:rFonts w:ascii="Segoe UI" w:eastAsia="Times New Roman" w:hAnsi="Segoe UI" w:cs="Times New Roman"/>
                <w:kern w:val="0"/>
                <w:sz w:val="17"/>
                <w:szCs w:val="20"/>
                <w:lang w:val="en-GB" w:eastAsia="it-IT"/>
              </w:rPr>
            </w:pPr>
            <w:r w:rsidRPr="00297CA5">
              <w:rPr>
                <w:rFonts w:ascii="Segoe UI" w:eastAsia="Times New Roman" w:hAnsi="Segoe UI" w:cs="Times New Roman"/>
                <w:kern w:val="0"/>
                <w:sz w:val="17"/>
                <w:szCs w:val="20"/>
                <w:lang w:val="en-GB" w:eastAsia="it-IT"/>
              </w:rPr>
              <w:t>Internal non-capital LAC debt instruments issued directly or indirectly to, and held indirectly or indirectly by, the resolution entity or non-HK resolution entity in the material subsidiary’s resolution group</w:t>
            </w:r>
          </w:p>
        </w:tc>
        <w:tc>
          <w:tcPr>
            <w:tcW w:w="1276" w:type="dxa"/>
            <w:tcBorders>
              <w:top w:val="single" w:sz="4" w:space="0" w:color="auto"/>
              <w:left w:val="single" w:sz="6" w:space="0" w:color="auto"/>
              <w:bottom w:val="single" w:sz="6" w:space="0" w:color="auto"/>
              <w:right w:val="single" w:sz="6" w:space="0" w:color="auto"/>
            </w:tcBorders>
            <w:shd w:val="clear" w:color="auto" w:fill="auto"/>
          </w:tcPr>
          <w:p w:rsidR="00297CA5" w:rsidRPr="00297CA5" w:rsidRDefault="00297CA5" w:rsidP="00297CA5">
            <w:pPr>
              <w:widowControl/>
              <w:snapToGrid w:val="0"/>
              <w:spacing w:before="40" w:after="40"/>
              <w:jc w:val="center"/>
              <w:rPr>
                <w:rFonts w:ascii="Segoe UI" w:eastAsia="Times New Roman" w:hAnsi="Segoe UI" w:cs="Times New Roman"/>
                <w:kern w:val="0"/>
                <w:sz w:val="17"/>
                <w:szCs w:val="20"/>
                <w:lang w:val="en-GB" w:eastAsia="it-IT"/>
              </w:rPr>
            </w:pPr>
          </w:p>
        </w:tc>
      </w:tr>
      <w:tr w:rsidR="00297CA5" w:rsidRPr="00297CA5" w:rsidTr="00297CA5">
        <w:trPr>
          <w:trHeight w:val="124"/>
        </w:trPr>
        <w:tc>
          <w:tcPr>
            <w:tcW w:w="570" w:type="dxa"/>
            <w:tcBorders>
              <w:top w:val="single" w:sz="4" w:space="0" w:color="auto"/>
              <w:left w:val="nil"/>
              <w:bottom w:val="single" w:sz="4" w:space="0" w:color="auto"/>
              <w:right w:val="single" w:sz="18" w:space="0" w:color="auto"/>
            </w:tcBorders>
          </w:tcPr>
          <w:p w:rsidR="00297CA5" w:rsidRPr="00297CA5" w:rsidRDefault="00297CA5" w:rsidP="00297CA5">
            <w:pPr>
              <w:widowControl/>
              <w:snapToGrid w:val="0"/>
              <w:spacing w:before="40" w:after="40"/>
              <w:ind w:left="57"/>
              <w:rPr>
                <w:rFonts w:ascii="Segoe UI" w:eastAsia="Times New Roman" w:hAnsi="Segoe UI" w:cs="Times New Roman"/>
                <w:kern w:val="0"/>
                <w:sz w:val="17"/>
                <w:szCs w:val="17"/>
                <w:lang w:val="en-GB" w:eastAsia="en-GB"/>
              </w:rPr>
            </w:pPr>
            <w:r w:rsidRPr="00297CA5">
              <w:rPr>
                <w:rFonts w:ascii="Segoe UI" w:eastAsia="Times New Roman" w:hAnsi="Segoe UI" w:cs="Times New Roman"/>
                <w:kern w:val="0"/>
                <w:sz w:val="17"/>
                <w:szCs w:val="17"/>
                <w:lang w:val="en-GB" w:eastAsia="en-GB"/>
              </w:rPr>
              <w:lastRenderedPageBreak/>
              <w:t>17</w:t>
            </w:r>
          </w:p>
        </w:tc>
        <w:tc>
          <w:tcPr>
            <w:tcW w:w="7368" w:type="dxa"/>
            <w:tcBorders>
              <w:top w:val="single" w:sz="18" w:space="0" w:color="auto"/>
              <w:left w:val="single" w:sz="18" w:space="0" w:color="auto"/>
              <w:bottom w:val="single" w:sz="18" w:space="0" w:color="auto"/>
              <w:right w:val="single" w:sz="18" w:space="0" w:color="auto"/>
            </w:tcBorders>
            <w:shd w:val="clear" w:color="auto" w:fill="D9D9D9" w:themeFill="background1" w:themeFillShade="D9"/>
          </w:tcPr>
          <w:p w:rsidR="00297CA5" w:rsidRPr="00297CA5" w:rsidRDefault="00297CA5" w:rsidP="00297CA5">
            <w:pPr>
              <w:widowControl/>
              <w:snapToGrid w:val="0"/>
              <w:spacing w:before="40" w:after="40"/>
              <w:ind w:left="57" w:rightChars="71" w:right="170"/>
              <w:rPr>
                <w:rFonts w:ascii="Segoe UI" w:eastAsia="Times New Roman" w:hAnsi="Segoe UI" w:cs="Times New Roman"/>
                <w:b/>
                <w:kern w:val="0"/>
                <w:sz w:val="17"/>
                <w:szCs w:val="20"/>
                <w:lang w:val="en-GB" w:eastAsia="it-IT"/>
              </w:rPr>
            </w:pPr>
            <w:r w:rsidRPr="00297CA5">
              <w:rPr>
                <w:rFonts w:ascii="Segoe UI" w:eastAsia="Times New Roman" w:hAnsi="Segoe UI" w:cs="Times New Roman"/>
                <w:b/>
                <w:kern w:val="0"/>
                <w:sz w:val="17"/>
                <w:szCs w:val="20"/>
                <w:lang w:val="en-GB" w:eastAsia="it-IT"/>
              </w:rPr>
              <w:t>Internal loss-absorbing capacity arising from non-capital LAC debt instruments before adjustments</w:t>
            </w:r>
          </w:p>
        </w:tc>
        <w:tc>
          <w:tcPr>
            <w:tcW w:w="1276" w:type="dxa"/>
            <w:tcBorders>
              <w:top w:val="single" w:sz="18" w:space="0" w:color="auto"/>
              <w:left w:val="single" w:sz="18" w:space="0" w:color="auto"/>
              <w:bottom w:val="single" w:sz="18" w:space="0" w:color="auto"/>
              <w:right w:val="single" w:sz="18" w:space="0" w:color="auto"/>
            </w:tcBorders>
            <w:shd w:val="clear" w:color="auto" w:fill="D9D9D9" w:themeFill="background1" w:themeFillShade="D9"/>
          </w:tcPr>
          <w:p w:rsidR="00297CA5" w:rsidRPr="00297CA5" w:rsidRDefault="00297CA5" w:rsidP="00297CA5">
            <w:pPr>
              <w:widowControl/>
              <w:snapToGrid w:val="0"/>
              <w:spacing w:before="40" w:after="40"/>
              <w:jc w:val="center"/>
              <w:rPr>
                <w:rFonts w:ascii="Segoe UI" w:eastAsia="Times New Roman" w:hAnsi="Segoe UI" w:cs="Times New Roman"/>
                <w:kern w:val="0"/>
                <w:sz w:val="17"/>
                <w:szCs w:val="20"/>
                <w:lang w:val="en-GB" w:eastAsia="it-IT"/>
              </w:rPr>
            </w:pPr>
          </w:p>
        </w:tc>
      </w:tr>
      <w:tr w:rsidR="00297CA5" w:rsidRPr="00297CA5" w:rsidTr="00297CA5">
        <w:trPr>
          <w:trHeight w:val="270"/>
        </w:trPr>
        <w:tc>
          <w:tcPr>
            <w:tcW w:w="570" w:type="dxa"/>
            <w:tcBorders>
              <w:top w:val="single" w:sz="4" w:space="0" w:color="auto"/>
              <w:left w:val="nil"/>
              <w:bottom w:val="single" w:sz="4" w:space="0" w:color="auto"/>
              <w:right w:val="single" w:sz="4" w:space="0" w:color="auto"/>
            </w:tcBorders>
            <w:shd w:val="clear" w:color="auto" w:fill="A6A6A6" w:themeFill="background1" w:themeFillShade="A6"/>
          </w:tcPr>
          <w:p w:rsidR="00297CA5" w:rsidRPr="00297CA5" w:rsidRDefault="00297CA5" w:rsidP="00297CA5">
            <w:pPr>
              <w:widowControl/>
              <w:snapToGrid w:val="0"/>
              <w:spacing w:before="40" w:after="40"/>
              <w:ind w:left="57"/>
              <w:rPr>
                <w:rFonts w:ascii="Segoe UI" w:eastAsia="Times New Roman" w:hAnsi="Segoe UI" w:cs="Times New Roman"/>
                <w:kern w:val="0"/>
                <w:sz w:val="17"/>
                <w:szCs w:val="17"/>
                <w:lang w:val="en-GB" w:eastAsia="en-GB"/>
              </w:rPr>
            </w:pPr>
          </w:p>
        </w:tc>
        <w:tc>
          <w:tcPr>
            <w:tcW w:w="7368" w:type="dxa"/>
            <w:tcBorders>
              <w:top w:val="single" w:sz="18" w:space="0" w:color="auto"/>
              <w:left w:val="single" w:sz="4" w:space="0" w:color="auto"/>
              <w:bottom w:val="single" w:sz="18" w:space="0" w:color="auto"/>
              <w:right w:val="nil"/>
            </w:tcBorders>
            <w:shd w:val="clear" w:color="auto" w:fill="A6A6A6" w:themeFill="background1" w:themeFillShade="A6"/>
          </w:tcPr>
          <w:p w:rsidR="00297CA5" w:rsidRPr="00297CA5" w:rsidRDefault="00297CA5" w:rsidP="00297CA5">
            <w:pPr>
              <w:widowControl/>
              <w:snapToGrid w:val="0"/>
              <w:spacing w:before="40" w:after="40"/>
              <w:ind w:left="57" w:rightChars="71" w:right="170"/>
              <w:rPr>
                <w:rFonts w:ascii="Segoe UI" w:eastAsia="Times New Roman" w:hAnsi="Segoe UI" w:cs="Times New Roman"/>
                <w:b/>
                <w:kern w:val="0"/>
                <w:sz w:val="17"/>
                <w:szCs w:val="20"/>
                <w:lang w:val="en-GB" w:eastAsia="it-IT"/>
              </w:rPr>
            </w:pPr>
            <w:r w:rsidRPr="00297CA5">
              <w:rPr>
                <w:rFonts w:ascii="Segoe UI" w:eastAsia="Times New Roman" w:hAnsi="Segoe UI" w:cs="Times New Roman"/>
                <w:b/>
                <w:kern w:val="0"/>
                <w:sz w:val="17"/>
                <w:szCs w:val="20"/>
                <w:lang w:val="en-GB" w:eastAsia="it-IT"/>
              </w:rPr>
              <w:t>Non-regulatory capital elements of internal loss-absorbing capacity: adjustments</w:t>
            </w:r>
          </w:p>
        </w:tc>
        <w:tc>
          <w:tcPr>
            <w:tcW w:w="1276" w:type="dxa"/>
            <w:tcBorders>
              <w:top w:val="single" w:sz="18" w:space="0" w:color="auto"/>
              <w:left w:val="nil"/>
              <w:bottom w:val="single" w:sz="18" w:space="0" w:color="auto"/>
              <w:right w:val="single" w:sz="4" w:space="0" w:color="auto"/>
            </w:tcBorders>
            <w:shd w:val="clear" w:color="auto" w:fill="A6A6A6" w:themeFill="background1" w:themeFillShade="A6"/>
          </w:tcPr>
          <w:p w:rsidR="00297CA5" w:rsidRPr="00297CA5" w:rsidRDefault="00297CA5" w:rsidP="00297CA5">
            <w:pPr>
              <w:widowControl/>
              <w:snapToGrid w:val="0"/>
              <w:spacing w:before="40" w:after="40"/>
              <w:jc w:val="center"/>
              <w:rPr>
                <w:rFonts w:ascii="Segoe UI" w:eastAsia="Times New Roman" w:hAnsi="Segoe UI" w:cs="Times New Roman"/>
                <w:kern w:val="0"/>
                <w:sz w:val="17"/>
                <w:szCs w:val="20"/>
                <w:lang w:val="en-GB" w:eastAsia="it-IT"/>
              </w:rPr>
            </w:pPr>
          </w:p>
        </w:tc>
      </w:tr>
      <w:tr w:rsidR="00297CA5" w:rsidRPr="00297CA5" w:rsidTr="00297CA5">
        <w:trPr>
          <w:trHeight w:val="270"/>
        </w:trPr>
        <w:tc>
          <w:tcPr>
            <w:tcW w:w="570" w:type="dxa"/>
            <w:tcBorders>
              <w:top w:val="single" w:sz="4" w:space="0" w:color="auto"/>
              <w:left w:val="nil"/>
              <w:bottom w:val="single" w:sz="4" w:space="0" w:color="auto"/>
              <w:right w:val="single" w:sz="18" w:space="0" w:color="auto"/>
            </w:tcBorders>
            <w:shd w:val="clear" w:color="auto" w:fill="auto"/>
          </w:tcPr>
          <w:p w:rsidR="00297CA5" w:rsidRPr="00297CA5" w:rsidRDefault="00297CA5" w:rsidP="00297CA5">
            <w:pPr>
              <w:widowControl/>
              <w:snapToGrid w:val="0"/>
              <w:spacing w:before="40" w:after="40"/>
              <w:ind w:left="57"/>
              <w:rPr>
                <w:rFonts w:ascii="Segoe UI" w:eastAsia="Times New Roman" w:hAnsi="Segoe UI" w:cs="Times New Roman"/>
                <w:kern w:val="0"/>
                <w:sz w:val="17"/>
                <w:szCs w:val="17"/>
                <w:lang w:val="en-GB" w:eastAsia="en-GB"/>
              </w:rPr>
            </w:pPr>
            <w:r w:rsidRPr="00297CA5">
              <w:rPr>
                <w:rFonts w:ascii="Segoe UI" w:eastAsia="Times New Roman" w:hAnsi="Segoe UI" w:cs="Times New Roman"/>
                <w:kern w:val="0"/>
                <w:sz w:val="17"/>
                <w:szCs w:val="17"/>
                <w:lang w:val="en-GB" w:eastAsia="en-GB"/>
              </w:rPr>
              <w:t>18</w:t>
            </w:r>
          </w:p>
        </w:tc>
        <w:tc>
          <w:tcPr>
            <w:tcW w:w="7368" w:type="dxa"/>
            <w:tcBorders>
              <w:top w:val="single" w:sz="18" w:space="0" w:color="auto"/>
              <w:left w:val="single" w:sz="18" w:space="0" w:color="auto"/>
              <w:bottom w:val="single" w:sz="4" w:space="0" w:color="auto"/>
              <w:right w:val="single" w:sz="18" w:space="0" w:color="auto"/>
            </w:tcBorders>
            <w:shd w:val="clear" w:color="auto" w:fill="D9D9D9" w:themeFill="background1" w:themeFillShade="D9"/>
          </w:tcPr>
          <w:p w:rsidR="00297CA5" w:rsidRPr="00297CA5" w:rsidRDefault="00297CA5" w:rsidP="00297CA5">
            <w:pPr>
              <w:widowControl/>
              <w:snapToGrid w:val="0"/>
              <w:spacing w:before="40" w:after="40"/>
              <w:ind w:left="57" w:rightChars="71" w:right="170"/>
              <w:rPr>
                <w:rFonts w:ascii="Segoe UI" w:eastAsia="Times New Roman" w:hAnsi="Segoe UI" w:cs="Times New Roman"/>
                <w:b/>
                <w:kern w:val="0"/>
                <w:sz w:val="17"/>
                <w:szCs w:val="20"/>
                <w:lang w:val="en-GB" w:eastAsia="it-IT"/>
              </w:rPr>
            </w:pPr>
            <w:r w:rsidRPr="00297CA5">
              <w:rPr>
                <w:rFonts w:ascii="Segoe UI" w:eastAsia="Times New Roman" w:hAnsi="Segoe UI" w:cs="Times New Roman"/>
                <w:b/>
                <w:kern w:val="0"/>
                <w:sz w:val="17"/>
                <w:szCs w:val="20"/>
                <w:lang w:val="en-GB" w:eastAsia="it-IT"/>
              </w:rPr>
              <w:t>Internal loss-absorbing capacity before deductions</w:t>
            </w:r>
          </w:p>
        </w:tc>
        <w:tc>
          <w:tcPr>
            <w:tcW w:w="1276" w:type="dxa"/>
            <w:tcBorders>
              <w:top w:val="single" w:sz="18" w:space="0" w:color="auto"/>
              <w:left w:val="single" w:sz="18" w:space="0" w:color="auto"/>
              <w:bottom w:val="single" w:sz="4" w:space="0" w:color="auto"/>
              <w:right w:val="single" w:sz="18" w:space="0" w:color="auto"/>
            </w:tcBorders>
            <w:shd w:val="clear" w:color="auto" w:fill="D9D9D9" w:themeFill="background1" w:themeFillShade="D9"/>
          </w:tcPr>
          <w:p w:rsidR="00297CA5" w:rsidRPr="00297CA5" w:rsidRDefault="00297CA5" w:rsidP="00297CA5">
            <w:pPr>
              <w:widowControl/>
              <w:snapToGrid w:val="0"/>
              <w:spacing w:before="40" w:after="40"/>
              <w:jc w:val="center"/>
              <w:rPr>
                <w:rFonts w:ascii="Segoe UI" w:eastAsia="Times New Roman" w:hAnsi="Segoe UI" w:cs="Times New Roman"/>
                <w:kern w:val="0"/>
                <w:sz w:val="17"/>
                <w:szCs w:val="20"/>
                <w:lang w:val="en-GB" w:eastAsia="it-IT"/>
              </w:rPr>
            </w:pPr>
          </w:p>
        </w:tc>
      </w:tr>
      <w:tr w:rsidR="00297CA5" w:rsidRPr="00297CA5" w:rsidTr="00297CA5">
        <w:trPr>
          <w:trHeight w:val="270"/>
        </w:trPr>
        <w:tc>
          <w:tcPr>
            <w:tcW w:w="570" w:type="dxa"/>
            <w:tcBorders>
              <w:top w:val="single" w:sz="4" w:space="0" w:color="auto"/>
              <w:left w:val="nil"/>
              <w:bottom w:val="single" w:sz="4" w:space="0" w:color="auto"/>
              <w:right w:val="single" w:sz="4" w:space="0" w:color="auto"/>
            </w:tcBorders>
            <w:shd w:val="clear" w:color="auto" w:fill="auto"/>
          </w:tcPr>
          <w:p w:rsidR="00297CA5" w:rsidRPr="00297CA5" w:rsidRDefault="00297CA5" w:rsidP="00297CA5">
            <w:pPr>
              <w:widowControl/>
              <w:snapToGrid w:val="0"/>
              <w:spacing w:before="40" w:after="40"/>
              <w:ind w:left="57"/>
              <w:rPr>
                <w:rFonts w:ascii="Segoe UI" w:eastAsia="Times New Roman" w:hAnsi="Segoe UI" w:cs="Times New Roman"/>
                <w:kern w:val="0"/>
                <w:sz w:val="17"/>
                <w:szCs w:val="17"/>
                <w:lang w:val="en-GB" w:eastAsia="en-GB"/>
              </w:rPr>
            </w:pPr>
            <w:r w:rsidRPr="00297CA5">
              <w:rPr>
                <w:rFonts w:ascii="Segoe UI" w:eastAsia="Times New Roman" w:hAnsi="Segoe UI" w:cs="Times New Roman"/>
                <w:kern w:val="0"/>
                <w:sz w:val="17"/>
                <w:szCs w:val="17"/>
                <w:lang w:val="en-GB" w:eastAsia="en-GB"/>
              </w:rPr>
              <w:t>19</w:t>
            </w:r>
          </w:p>
        </w:tc>
        <w:tc>
          <w:tcPr>
            <w:tcW w:w="7368" w:type="dxa"/>
            <w:tcBorders>
              <w:top w:val="single" w:sz="18" w:space="0" w:color="auto"/>
              <w:left w:val="single" w:sz="4" w:space="0" w:color="auto"/>
              <w:bottom w:val="single" w:sz="4" w:space="0" w:color="auto"/>
              <w:right w:val="single" w:sz="4" w:space="0" w:color="auto"/>
            </w:tcBorders>
            <w:shd w:val="clear" w:color="auto" w:fill="auto"/>
          </w:tcPr>
          <w:p w:rsidR="00297CA5" w:rsidRPr="00297CA5" w:rsidRDefault="00297CA5" w:rsidP="00297CA5">
            <w:pPr>
              <w:widowControl/>
              <w:snapToGrid w:val="0"/>
              <w:spacing w:before="40" w:after="40"/>
              <w:ind w:left="57" w:rightChars="71" w:right="170"/>
              <w:rPr>
                <w:rFonts w:ascii="Segoe UI" w:eastAsia="Times New Roman" w:hAnsi="Segoe UI" w:cs="Times New Roman"/>
                <w:kern w:val="0"/>
                <w:sz w:val="17"/>
                <w:szCs w:val="20"/>
                <w:lang w:val="en-GB" w:eastAsia="it-IT"/>
              </w:rPr>
            </w:pPr>
            <w:r w:rsidRPr="00297CA5">
              <w:rPr>
                <w:rFonts w:ascii="Segoe UI" w:eastAsia="Times New Roman" w:hAnsi="Segoe UI" w:cs="Times New Roman"/>
                <w:kern w:val="0"/>
                <w:sz w:val="17"/>
                <w:szCs w:val="20"/>
                <w:lang w:val="en-GB" w:eastAsia="it-IT"/>
              </w:rPr>
              <w:t xml:space="preserve">Deductions of exposures between the material subsidiary’s LAC consolidation group and group companies outside that group that correspond to non-capital items eligible for internal loss-absorbing capacity </w:t>
            </w:r>
          </w:p>
        </w:tc>
        <w:tc>
          <w:tcPr>
            <w:tcW w:w="1276" w:type="dxa"/>
            <w:tcBorders>
              <w:top w:val="single" w:sz="18" w:space="0" w:color="auto"/>
              <w:left w:val="single" w:sz="4" w:space="0" w:color="auto"/>
              <w:bottom w:val="single" w:sz="4" w:space="0" w:color="auto"/>
              <w:right w:val="single" w:sz="4" w:space="0" w:color="auto"/>
            </w:tcBorders>
            <w:shd w:val="clear" w:color="auto" w:fill="FFFFFF" w:themeFill="background1"/>
          </w:tcPr>
          <w:p w:rsidR="00297CA5" w:rsidRPr="00297CA5" w:rsidRDefault="00297CA5" w:rsidP="00297CA5">
            <w:pPr>
              <w:widowControl/>
              <w:snapToGrid w:val="0"/>
              <w:spacing w:before="40" w:after="40"/>
              <w:jc w:val="center"/>
              <w:rPr>
                <w:rFonts w:ascii="Segoe UI" w:eastAsia="Times New Roman" w:hAnsi="Segoe UI" w:cs="Times New Roman"/>
                <w:kern w:val="0"/>
                <w:sz w:val="17"/>
                <w:szCs w:val="20"/>
                <w:lang w:val="en-GB" w:eastAsia="it-IT"/>
              </w:rPr>
            </w:pPr>
          </w:p>
        </w:tc>
      </w:tr>
      <w:tr w:rsidR="00297CA5" w:rsidRPr="00297CA5" w:rsidTr="00297CA5">
        <w:trPr>
          <w:trHeight w:val="270"/>
        </w:trPr>
        <w:tc>
          <w:tcPr>
            <w:tcW w:w="570" w:type="dxa"/>
            <w:tcBorders>
              <w:top w:val="single" w:sz="4" w:space="0" w:color="auto"/>
              <w:left w:val="nil"/>
              <w:bottom w:val="single" w:sz="4" w:space="0" w:color="auto"/>
              <w:right w:val="single" w:sz="4" w:space="0" w:color="auto"/>
            </w:tcBorders>
            <w:shd w:val="clear" w:color="auto" w:fill="auto"/>
          </w:tcPr>
          <w:p w:rsidR="00297CA5" w:rsidRPr="00297CA5" w:rsidRDefault="00297CA5" w:rsidP="00297CA5">
            <w:pPr>
              <w:widowControl/>
              <w:snapToGrid w:val="0"/>
              <w:spacing w:before="40" w:after="40"/>
              <w:ind w:left="57"/>
              <w:rPr>
                <w:rFonts w:ascii="Segoe UI" w:eastAsia="Times New Roman" w:hAnsi="Segoe UI" w:cs="Times New Roman"/>
                <w:kern w:val="0"/>
                <w:sz w:val="17"/>
                <w:szCs w:val="17"/>
                <w:lang w:val="en-GB" w:eastAsia="en-GB"/>
              </w:rPr>
            </w:pPr>
            <w:r w:rsidRPr="00297CA5">
              <w:rPr>
                <w:rFonts w:ascii="Segoe UI" w:eastAsia="Times New Roman" w:hAnsi="Segoe UI" w:cs="Times New Roman"/>
                <w:kern w:val="0"/>
                <w:sz w:val="17"/>
                <w:szCs w:val="17"/>
                <w:lang w:val="en-GB" w:eastAsia="en-GB"/>
              </w:rPr>
              <w:t>20</w:t>
            </w:r>
          </w:p>
        </w:tc>
        <w:tc>
          <w:tcPr>
            <w:tcW w:w="7368" w:type="dxa"/>
            <w:tcBorders>
              <w:top w:val="single" w:sz="4" w:space="0" w:color="auto"/>
              <w:left w:val="single" w:sz="4" w:space="0" w:color="auto"/>
              <w:bottom w:val="single" w:sz="4" w:space="0" w:color="auto"/>
              <w:right w:val="single" w:sz="4" w:space="0" w:color="auto"/>
            </w:tcBorders>
            <w:shd w:val="clear" w:color="auto" w:fill="auto"/>
          </w:tcPr>
          <w:p w:rsidR="00297CA5" w:rsidRPr="00297CA5" w:rsidRDefault="00297CA5" w:rsidP="00297CA5">
            <w:pPr>
              <w:widowControl/>
              <w:snapToGrid w:val="0"/>
              <w:spacing w:before="40" w:after="40"/>
              <w:ind w:left="57" w:rightChars="71" w:right="170"/>
              <w:rPr>
                <w:rFonts w:ascii="Segoe UI" w:eastAsia="Times New Roman" w:hAnsi="Segoe UI" w:cs="Times New Roman"/>
                <w:kern w:val="0"/>
                <w:sz w:val="17"/>
                <w:szCs w:val="20"/>
                <w:lang w:val="en-GB" w:eastAsia="it-IT"/>
              </w:rPr>
            </w:pPr>
            <w:r w:rsidRPr="00297CA5">
              <w:rPr>
                <w:rFonts w:ascii="Segoe UI" w:eastAsia="Times New Roman" w:hAnsi="Segoe UI" w:cs="Times New Roman"/>
                <w:kern w:val="0"/>
                <w:sz w:val="17"/>
                <w:szCs w:val="20"/>
                <w:lang w:val="en-GB" w:eastAsia="it-IT"/>
              </w:rPr>
              <w:t>Deduction of holdings of its own non-capital LAC liabilities</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tcPr>
          <w:p w:rsidR="00297CA5" w:rsidRPr="00297CA5" w:rsidRDefault="00297CA5" w:rsidP="00297CA5">
            <w:pPr>
              <w:widowControl/>
              <w:snapToGrid w:val="0"/>
              <w:spacing w:before="40" w:after="40"/>
              <w:jc w:val="center"/>
              <w:rPr>
                <w:rFonts w:ascii="Segoe UI" w:eastAsia="Times New Roman" w:hAnsi="Segoe UI" w:cs="Times New Roman"/>
                <w:kern w:val="0"/>
                <w:sz w:val="17"/>
                <w:szCs w:val="20"/>
                <w:lang w:val="en-GB" w:eastAsia="it-IT"/>
              </w:rPr>
            </w:pPr>
          </w:p>
        </w:tc>
      </w:tr>
      <w:tr w:rsidR="00297CA5" w:rsidRPr="00297CA5" w:rsidTr="00297CA5">
        <w:trPr>
          <w:trHeight w:val="270"/>
        </w:trPr>
        <w:tc>
          <w:tcPr>
            <w:tcW w:w="570" w:type="dxa"/>
            <w:tcBorders>
              <w:top w:val="single" w:sz="4" w:space="0" w:color="auto"/>
              <w:left w:val="nil"/>
              <w:bottom w:val="single" w:sz="4" w:space="0" w:color="auto"/>
              <w:right w:val="single" w:sz="4" w:space="0" w:color="auto"/>
            </w:tcBorders>
            <w:shd w:val="clear" w:color="auto" w:fill="auto"/>
          </w:tcPr>
          <w:p w:rsidR="00297CA5" w:rsidRPr="00297CA5" w:rsidRDefault="00297CA5" w:rsidP="00297CA5">
            <w:pPr>
              <w:widowControl/>
              <w:snapToGrid w:val="0"/>
              <w:spacing w:before="40" w:after="40"/>
              <w:ind w:left="57"/>
              <w:rPr>
                <w:rFonts w:ascii="Segoe UI" w:eastAsia="Times New Roman" w:hAnsi="Segoe UI" w:cs="Times New Roman"/>
                <w:kern w:val="0"/>
                <w:sz w:val="17"/>
                <w:szCs w:val="17"/>
                <w:lang w:val="en-GB" w:eastAsia="en-GB"/>
              </w:rPr>
            </w:pPr>
            <w:r w:rsidRPr="00297CA5">
              <w:rPr>
                <w:rFonts w:ascii="Segoe UI" w:eastAsia="Times New Roman" w:hAnsi="Segoe UI" w:cs="Times New Roman"/>
                <w:kern w:val="0"/>
                <w:sz w:val="17"/>
                <w:szCs w:val="17"/>
                <w:lang w:val="en-GB" w:eastAsia="en-GB"/>
              </w:rPr>
              <w:t>21</w:t>
            </w:r>
          </w:p>
        </w:tc>
        <w:tc>
          <w:tcPr>
            <w:tcW w:w="7368" w:type="dxa"/>
            <w:tcBorders>
              <w:top w:val="single" w:sz="4" w:space="0" w:color="auto"/>
              <w:left w:val="single" w:sz="4" w:space="0" w:color="auto"/>
              <w:bottom w:val="single" w:sz="18" w:space="0" w:color="auto"/>
              <w:right w:val="single" w:sz="4" w:space="0" w:color="auto"/>
            </w:tcBorders>
            <w:shd w:val="clear" w:color="auto" w:fill="auto"/>
          </w:tcPr>
          <w:p w:rsidR="00297CA5" w:rsidRPr="00297CA5" w:rsidRDefault="00297CA5" w:rsidP="00297CA5">
            <w:pPr>
              <w:widowControl/>
              <w:snapToGrid w:val="0"/>
              <w:spacing w:before="40" w:after="40"/>
              <w:ind w:left="57" w:rightChars="71" w:right="170"/>
              <w:rPr>
                <w:rFonts w:ascii="Segoe UI" w:eastAsia="Times New Roman" w:hAnsi="Segoe UI" w:cs="Times New Roman"/>
                <w:kern w:val="0"/>
                <w:sz w:val="17"/>
                <w:szCs w:val="20"/>
                <w:lang w:val="en-GB" w:eastAsia="it-IT"/>
              </w:rPr>
            </w:pPr>
            <w:r w:rsidRPr="00297CA5">
              <w:rPr>
                <w:rFonts w:ascii="Segoe UI" w:eastAsia="Times New Roman" w:hAnsi="Segoe UI" w:cs="Times New Roman"/>
                <w:kern w:val="0"/>
                <w:sz w:val="17"/>
                <w:szCs w:val="20"/>
                <w:lang w:val="en-GB" w:eastAsia="it-IT"/>
              </w:rPr>
              <w:t>Other adjustments to internal loss-absorbing capacity</w:t>
            </w:r>
          </w:p>
        </w:tc>
        <w:tc>
          <w:tcPr>
            <w:tcW w:w="1276" w:type="dxa"/>
            <w:tcBorders>
              <w:top w:val="single" w:sz="4" w:space="0" w:color="auto"/>
              <w:left w:val="single" w:sz="4" w:space="0" w:color="auto"/>
              <w:bottom w:val="single" w:sz="18" w:space="0" w:color="auto"/>
              <w:right w:val="single" w:sz="4" w:space="0" w:color="auto"/>
            </w:tcBorders>
            <w:shd w:val="clear" w:color="auto" w:fill="FFFFFF" w:themeFill="background1"/>
          </w:tcPr>
          <w:p w:rsidR="00297CA5" w:rsidRPr="00297CA5" w:rsidRDefault="00297CA5" w:rsidP="00297CA5">
            <w:pPr>
              <w:widowControl/>
              <w:snapToGrid w:val="0"/>
              <w:spacing w:before="40" w:after="40"/>
              <w:jc w:val="center"/>
              <w:rPr>
                <w:rFonts w:ascii="Segoe UI" w:eastAsia="Times New Roman" w:hAnsi="Segoe UI" w:cs="Times New Roman"/>
                <w:kern w:val="0"/>
                <w:sz w:val="17"/>
                <w:szCs w:val="20"/>
                <w:lang w:val="en-GB" w:eastAsia="it-IT"/>
              </w:rPr>
            </w:pPr>
          </w:p>
        </w:tc>
      </w:tr>
      <w:tr w:rsidR="00297CA5" w:rsidRPr="00297CA5" w:rsidTr="00297CA5">
        <w:trPr>
          <w:trHeight w:val="270"/>
        </w:trPr>
        <w:tc>
          <w:tcPr>
            <w:tcW w:w="570" w:type="dxa"/>
            <w:tcBorders>
              <w:top w:val="single" w:sz="4" w:space="0" w:color="auto"/>
              <w:left w:val="nil"/>
              <w:bottom w:val="single" w:sz="4" w:space="0" w:color="auto"/>
              <w:right w:val="single" w:sz="18" w:space="0" w:color="auto"/>
            </w:tcBorders>
            <w:shd w:val="clear" w:color="auto" w:fill="auto"/>
          </w:tcPr>
          <w:p w:rsidR="00297CA5" w:rsidRPr="00297CA5" w:rsidRDefault="00297CA5" w:rsidP="00297CA5">
            <w:pPr>
              <w:widowControl/>
              <w:snapToGrid w:val="0"/>
              <w:spacing w:before="40" w:after="40"/>
              <w:ind w:left="57"/>
              <w:rPr>
                <w:rFonts w:ascii="Segoe UI" w:eastAsia="Times New Roman" w:hAnsi="Segoe UI" w:cs="Times New Roman"/>
                <w:kern w:val="0"/>
                <w:sz w:val="17"/>
                <w:szCs w:val="17"/>
                <w:lang w:val="en-GB" w:eastAsia="en-GB"/>
              </w:rPr>
            </w:pPr>
            <w:r w:rsidRPr="00297CA5">
              <w:rPr>
                <w:rFonts w:ascii="Segoe UI" w:eastAsia="Times New Roman" w:hAnsi="Segoe UI" w:cs="Times New Roman"/>
                <w:kern w:val="0"/>
                <w:sz w:val="17"/>
                <w:szCs w:val="17"/>
                <w:lang w:val="en-GB" w:eastAsia="en-GB"/>
              </w:rPr>
              <w:t>22</w:t>
            </w:r>
          </w:p>
        </w:tc>
        <w:tc>
          <w:tcPr>
            <w:tcW w:w="7368" w:type="dxa"/>
            <w:tcBorders>
              <w:top w:val="single" w:sz="18" w:space="0" w:color="auto"/>
              <w:left w:val="single" w:sz="18" w:space="0" w:color="auto"/>
              <w:bottom w:val="single" w:sz="18" w:space="0" w:color="auto"/>
              <w:right w:val="single" w:sz="18" w:space="0" w:color="auto"/>
            </w:tcBorders>
            <w:shd w:val="clear" w:color="auto" w:fill="D9D9D9" w:themeFill="background1" w:themeFillShade="D9"/>
          </w:tcPr>
          <w:p w:rsidR="00297CA5" w:rsidRPr="00297CA5" w:rsidRDefault="00297CA5" w:rsidP="00297CA5">
            <w:pPr>
              <w:widowControl/>
              <w:snapToGrid w:val="0"/>
              <w:spacing w:before="40" w:after="40"/>
              <w:ind w:left="57" w:rightChars="71" w:right="170"/>
              <w:rPr>
                <w:rFonts w:ascii="Segoe UI" w:eastAsia="Times New Roman" w:hAnsi="Segoe UI" w:cs="Times New Roman"/>
                <w:b/>
                <w:kern w:val="0"/>
                <w:sz w:val="17"/>
                <w:szCs w:val="20"/>
                <w:lang w:val="en-GB" w:eastAsia="it-IT"/>
              </w:rPr>
            </w:pPr>
            <w:r w:rsidRPr="00297CA5">
              <w:rPr>
                <w:rFonts w:ascii="Segoe UI" w:eastAsia="Times New Roman" w:hAnsi="Segoe UI" w:cs="Times New Roman"/>
                <w:b/>
                <w:kern w:val="0"/>
                <w:sz w:val="17"/>
                <w:szCs w:val="20"/>
                <w:lang w:val="en-GB" w:eastAsia="it-IT"/>
              </w:rPr>
              <w:t>Internal loss-absorbing capacity after deductions</w:t>
            </w:r>
          </w:p>
        </w:tc>
        <w:tc>
          <w:tcPr>
            <w:tcW w:w="1276" w:type="dxa"/>
            <w:tcBorders>
              <w:top w:val="single" w:sz="18" w:space="0" w:color="auto"/>
              <w:left w:val="single" w:sz="18" w:space="0" w:color="auto"/>
              <w:bottom w:val="single" w:sz="18" w:space="0" w:color="auto"/>
              <w:right w:val="single" w:sz="18" w:space="0" w:color="auto"/>
            </w:tcBorders>
            <w:shd w:val="clear" w:color="auto" w:fill="D9D9D9" w:themeFill="background1" w:themeFillShade="D9"/>
          </w:tcPr>
          <w:p w:rsidR="00297CA5" w:rsidRPr="00297CA5" w:rsidRDefault="00297CA5" w:rsidP="00297CA5">
            <w:pPr>
              <w:widowControl/>
              <w:snapToGrid w:val="0"/>
              <w:spacing w:before="40" w:after="40"/>
              <w:jc w:val="center"/>
              <w:rPr>
                <w:rFonts w:ascii="Segoe UI" w:eastAsia="Times New Roman" w:hAnsi="Segoe UI" w:cs="Times New Roman"/>
                <w:kern w:val="0"/>
                <w:sz w:val="17"/>
                <w:szCs w:val="20"/>
                <w:lang w:val="en-GB" w:eastAsia="it-IT"/>
              </w:rPr>
            </w:pPr>
          </w:p>
        </w:tc>
      </w:tr>
      <w:tr w:rsidR="00297CA5" w:rsidRPr="00297CA5" w:rsidTr="00297CA5">
        <w:trPr>
          <w:trHeight w:val="270"/>
        </w:trPr>
        <w:tc>
          <w:tcPr>
            <w:tcW w:w="570" w:type="dxa"/>
            <w:tcBorders>
              <w:top w:val="single" w:sz="6" w:space="0" w:color="auto"/>
              <w:left w:val="nil"/>
              <w:bottom w:val="single" w:sz="6" w:space="0" w:color="auto"/>
              <w:right w:val="single" w:sz="4" w:space="0" w:color="auto"/>
            </w:tcBorders>
            <w:shd w:val="clear" w:color="auto" w:fill="A6A6A6" w:themeFill="background1" w:themeFillShade="A6"/>
          </w:tcPr>
          <w:p w:rsidR="00297CA5" w:rsidRPr="00297CA5" w:rsidRDefault="00297CA5" w:rsidP="00297CA5">
            <w:pPr>
              <w:widowControl/>
              <w:snapToGrid w:val="0"/>
              <w:spacing w:before="40" w:after="40"/>
              <w:ind w:left="417" w:rightChars="71" w:right="170"/>
              <w:rPr>
                <w:rFonts w:ascii="Segoe UI" w:eastAsia="Times New Roman" w:hAnsi="Segoe UI" w:cs="Times New Roman"/>
                <w:b/>
                <w:kern w:val="0"/>
                <w:sz w:val="17"/>
                <w:szCs w:val="17"/>
                <w:lang w:val="en-GB" w:eastAsia="it-IT"/>
              </w:rPr>
            </w:pPr>
          </w:p>
        </w:tc>
        <w:tc>
          <w:tcPr>
            <w:tcW w:w="7368" w:type="dxa"/>
            <w:tcBorders>
              <w:top w:val="single" w:sz="18" w:space="0" w:color="auto"/>
              <w:left w:val="single" w:sz="4" w:space="0" w:color="auto"/>
              <w:bottom w:val="single" w:sz="4" w:space="0" w:color="auto"/>
              <w:right w:val="nil"/>
            </w:tcBorders>
            <w:shd w:val="clear" w:color="auto" w:fill="A6A6A6" w:themeFill="background1" w:themeFillShade="A6"/>
          </w:tcPr>
          <w:p w:rsidR="00297CA5" w:rsidRPr="00297CA5" w:rsidRDefault="00297CA5" w:rsidP="00297CA5">
            <w:pPr>
              <w:widowControl/>
              <w:snapToGrid w:val="0"/>
              <w:spacing w:before="40" w:after="40"/>
              <w:ind w:left="57" w:rightChars="71" w:right="170"/>
              <w:rPr>
                <w:rFonts w:ascii="Segoe UI" w:eastAsia="Times New Roman" w:hAnsi="Segoe UI" w:cs="Times New Roman"/>
                <w:b/>
                <w:kern w:val="0"/>
                <w:sz w:val="17"/>
                <w:szCs w:val="17"/>
                <w:lang w:val="en-GB" w:eastAsia="it-IT"/>
              </w:rPr>
            </w:pPr>
            <w:r w:rsidRPr="00297CA5">
              <w:rPr>
                <w:rFonts w:ascii="Segoe UI" w:eastAsia="Times New Roman" w:hAnsi="Segoe UI" w:cs="Times New Roman"/>
                <w:b/>
                <w:kern w:val="0"/>
                <w:sz w:val="17"/>
                <w:szCs w:val="17"/>
                <w:lang w:val="en-GB" w:eastAsia="it-IT"/>
              </w:rPr>
              <w:t>Risk-weighted amount and exposure measure under the LAC Rules for internal loss-absorbing capacity purposes</w:t>
            </w:r>
          </w:p>
        </w:tc>
        <w:tc>
          <w:tcPr>
            <w:tcW w:w="1276" w:type="dxa"/>
            <w:tcBorders>
              <w:top w:val="single" w:sz="18" w:space="0" w:color="auto"/>
              <w:left w:val="nil"/>
              <w:bottom w:val="single" w:sz="4" w:space="0" w:color="auto"/>
              <w:right w:val="single" w:sz="6" w:space="0" w:color="auto"/>
            </w:tcBorders>
            <w:shd w:val="clear" w:color="auto" w:fill="A6A6A6" w:themeFill="background1" w:themeFillShade="A6"/>
          </w:tcPr>
          <w:p w:rsidR="00297CA5" w:rsidRPr="00297CA5" w:rsidRDefault="00297CA5" w:rsidP="00297CA5">
            <w:pPr>
              <w:widowControl/>
              <w:snapToGrid w:val="0"/>
              <w:spacing w:before="40" w:after="40"/>
              <w:ind w:left="57"/>
              <w:jc w:val="center"/>
              <w:rPr>
                <w:rFonts w:ascii="Segoe UI" w:eastAsia="Times New Roman" w:hAnsi="Segoe UI" w:cs="Times New Roman"/>
                <w:kern w:val="0"/>
                <w:sz w:val="17"/>
                <w:szCs w:val="20"/>
                <w:lang w:val="en-GB" w:eastAsia="it-IT"/>
              </w:rPr>
            </w:pPr>
          </w:p>
        </w:tc>
      </w:tr>
      <w:tr w:rsidR="00297CA5" w:rsidRPr="00297CA5" w:rsidTr="00297CA5">
        <w:trPr>
          <w:trHeight w:val="270"/>
        </w:trPr>
        <w:tc>
          <w:tcPr>
            <w:tcW w:w="570" w:type="dxa"/>
            <w:tcBorders>
              <w:top w:val="single" w:sz="6" w:space="0" w:color="auto"/>
              <w:left w:val="nil"/>
              <w:bottom w:val="single" w:sz="6" w:space="0" w:color="auto"/>
              <w:right w:val="single" w:sz="4" w:space="0" w:color="auto"/>
            </w:tcBorders>
            <w:shd w:val="clear" w:color="auto" w:fill="auto"/>
          </w:tcPr>
          <w:p w:rsidR="00297CA5" w:rsidRPr="00297CA5" w:rsidRDefault="00297CA5" w:rsidP="00297CA5">
            <w:pPr>
              <w:widowControl/>
              <w:snapToGrid w:val="0"/>
              <w:spacing w:before="40" w:after="40"/>
              <w:ind w:left="57"/>
              <w:rPr>
                <w:rFonts w:ascii="Segoe UI" w:eastAsia="Times New Roman" w:hAnsi="Segoe UI" w:cs="Times New Roman"/>
                <w:kern w:val="0"/>
                <w:sz w:val="17"/>
                <w:szCs w:val="17"/>
                <w:lang w:val="en-GB" w:eastAsia="en-GB"/>
              </w:rPr>
            </w:pPr>
            <w:r w:rsidRPr="00297CA5">
              <w:rPr>
                <w:rFonts w:ascii="Segoe UI" w:eastAsia="Times New Roman" w:hAnsi="Segoe UI" w:cs="Times New Roman"/>
                <w:kern w:val="0"/>
                <w:sz w:val="17"/>
                <w:szCs w:val="17"/>
                <w:lang w:val="en-GB" w:eastAsia="en-GB"/>
              </w:rPr>
              <w:t>23</w:t>
            </w:r>
          </w:p>
        </w:tc>
        <w:tc>
          <w:tcPr>
            <w:tcW w:w="7368" w:type="dxa"/>
            <w:tcBorders>
              <w:top w:val="single" w:sz="4" w:space="0" w:color="auto"/>
              <w:left w:val="single" w:sz="4" w:space="0" w:color="auto"/>
              <w:bottom w:val="single" w:sz="4" w:space="0" w:color="auto"/>
              <w:right w:val="single" w:sz="4" w:space="0" w:color="auto"/>
            </w:tcBorders>
            <w:shd w:val="clear" w:color="auto" w:fill="auto"/>
          </w:tcPr>
          <w:p w:rsidR="00297CA5" w:rsidRPr="00297CA5" w:rsidRDefault="00297CA5" w:rsidP="00297CA5">
            <w:pPr>
              <w:widowControl/>
              <w:snapToGrid w:val="0"/>
              <w:spacing w:before="40" w:after="40"/>
              <w:ind w:left="57" w:rightChars="71" w:right="170"/>
              <w:rPr>
                <w:rFonts w:ascii="Segoe UI" w:eastAsia="Times New Roman" w:hAnsi="Segoe UI" w:cs="Times New Roman"/>
                <w:kern w:val="0"/>
                <w:sz w:val="17"/>
                <w:szCs w:val="17"/>
                <w:lang w:val="en-GB" w:eastAsia="it-IT"/>
              </w:rPr>
            </w:pPr>
            <w:r w:rsidRPr="00297CA5">
              <w:rPr>
                <w:rFonts w:ascii="Segoe UI" w:eastAsia="Times New Roman" w:hAnsi="Segoe UI" w:cs="Times New Roman"/>
                <w:kern w:val="0"/>
                <w:sz w:val="17"/>
                <w:szCs w:val="17"/>
                <w:lang w:val="en-GB" w:eastAsia="it-IT"/>
              </w:rPr>
              <w:t xml:space="preserve">Risk-weighted amount under the LAC Rules </w:t>
            </w:r>
          </w:p>
        </w:tc>
        <w:tc>
          <w:tcPr>
            <w:tcW w:w="1276" w:type="dxa"/>
            <w:tcBorders>
              <w:top w:val="single" w:sz="4" w:space="0" w:color="auto"/>
              <w:left w:val="single" w:sz="4" w:space="0" w:color="auto"/>
              <w:bottom w:val="single" w:sz="4" w:space="0" w:color="auto"/>
              <w:right w:val="single" w:sz="4" w:space="0" w:color="auto"/>
            </w:tcBorders>
            <w:shd w:val="clear" w:color="auto" w:fill="auto"/>
          </w:tcPr>
          <w:p w:rsidR="00297CA5" w:rsidRPr="00297CA5" w:rsidRDefault="00297CA5" w:rsidP="00297CA5">
            <w:pPr>
              <w:widowControl/>
              <w:snapToGrid w:val="0"/>
              <w:spacing w:before="40" w:after="40"/>
              <w:ind w:left="57"/>
              <w:jc w:val="center"/>
              <w:rPr>
                <w:rFonts w:ascii="Segoe UI" w:eastAsia="Times New Roman" w:hAnsi="Segoe UI" w:cs="Times New Roman"/>
                <w:kern w:val="0"/>
                <w:sz w:val="17"/>
                <w:szCs w:val="20"/>
                <w:lang w:val="en-GB" w:eastAsia="it-IT"/>
              </w:rPr>
            </w:pPr>
          </w:p>
        </w:tc>
      </w:tr>
      <w:tr w:rsidR="00297CA5" w:rsidRPr="00297CA5" w:rsidTr="00297CA5">
        <w:trPr>
          <w:trHeight w:val="270"/>
        </w:trPr>
        <w:tc>
          <w:tcPr>
            <w:tcW w:w="570" w:type="dxa"/>
            <w:tcBorders>
              <w:top w:val="single" w:sz="6" w:space="0" w:color="auto"/>
              <w:left w:val="nil"/>
              <w:bottom w:val="single" w:sz="6" w:space="0" w:color="auto"/>
              <w:right w:val="single" w:sz="4" w:space="0" w:color="auto"/>
            </w:tcBorders>
            <w:shd w:val="clear" w:color="auto" w:fill="auto"/>
          </w:tcPr>
          <w:p w:rsidR="00297CA5" w:rsidRPr="00297CA5" w:rsidRDefault="00297CA5" w:rsidP="00297CA5">
            <w:pPr>
              <w:widowControl/>
              <w:snapToGrid w:val="0"/>
              <w:spacing w:before="40" w:after="40"/>
              <w:ind w:left="57"/>
              <w:rPr>
                <w:rFonts w:ascii="Segoe UI" w:eastAsia="Times New Roman" w:hAnsi="Segoe UI" w:cs="Times New Roman"/>
                <w:kern w:val="0"/>
                <w:sz w:val="17"/>
                <w:szCs w:val="17"/>
                <w:lang w:val="en-GB" w:eastAsia="en-GB"/>
              </w:rPr>
            </w:pPr>
            <w:r w:rsidRPr="00297CA5">
              <w:rPr>
                <w:rFonts w:ascii="Segoe UI" w:eastAsia="Times New Roman" w:hAnsi="Segoe UI" w:cs="Times New Roman"/>
                <w:kern w:val="0"/>
                <w:sz w:val="17"/>
                <w:szCs w:val="17"/>
                <w:lang w:val="en-GB" w:eastAsia="en-GB"/>
              </w:rPr>
              <w:t>24</w:t>
            </w:r>
          </w:p>
        </w:tc>
        <w:tc>
          <w:tcPr>
            <w:tcW w:w="7368" w:type="dxa"/>
            <w:tcBorders>
              <w:top w:val="single" w:sz="4" w:space="0" w:color="auto"/>
              <w:left w:val="single" w:sz="4" w:space="0" w:color="auto"/>
              <w:bottom w:val="single" w:sz="4" w:space="0" w:color="auto"/>
              <w:right w:val="single" w:sz="4" w:space="0" w:color="auto"/>
            </w:tcBorders>
            <w:shd w:val="clear" w:color="auto" w:fill="auto"/>
          </w:tcPr>
          <w:p w:rsidR="00297CA5" w:rsidRPr="00297CA5" w:rsidRDefault="00297CA5" w:rsidP="00297CA5">
            <w:pPr>
              <w:widowControl/>
              <w:snapToGrid w:val="0"/>
              <w:spacing w:before="40" w:after="40"/>
              <w:ind w:left="57" w:rightChars="71" w:right="170"/>
              <w:rPr>
                <w:rFonts w:ascii="Segoe UI" w:eastAsia="Times New Roman" w:hAnsi="Segoe UI" w:cs="Times New Roman"/>
                <w:kern w:val="0"/>
                <w:sz w:val="17"/>
                <w:szCs w:val="17"/>
                <w:lang w:val="en-GB" w:eastAsia="it-IT"/>
              </w:rPr>
            </w:pPr>
            <w:r w:rsidRPr="00297CA5">
              <w:rPr>
                <w:rFonts w:ascii="Segoe UI" w:eastAsia="Times New Roman" w:hAnsi="Segoe UI" w:cs="Times New Roman"/>
                <w:kern w:val="0"/>
                <w:sz w:val="17"/>
                <w:szCs w:val="17"/>
                <w:lang w:val="en-GB" w:eastAsia="it-IT"/>
              </w:rPr>
              <w:t xml:space="preserve">Exposure measure under the LAC Rules </w:t>
            </w:r>
          </w:p>
        </w:tc>
        <w:tc>
          <w:tcPr>
            <w:tcW w:w="1276" w:type="dxa"/>
            <w:tcBorders>
              <w:top w:val="single" w:sz="4" w:space="0" w:color="auto"/>
              <w:left w:val="single" w:sz="4" w:space="0" w:color="auto"/>
              <w:bottom w:val="single" w:sz="4" w:space="0" w:color="auto"/>
              <w:right w:val="single" w:sz="4" w:space="0" w:color="auto"/>
            </w:tcBorders>
            <w:shd w:val="clear" w:color="auto" w:fill="auto"/>
          </w:tcPr>
          <w:p w:rsidR="00297CA5" w:rsidRPr="00297CA5" w:rsidRDefault="00297CA5" w:rsidP="00297CA5">
            <w:pPr>
              <w:widowControl/>
              <w:snapToGrid w:val="0"/>
              <w:spacing w:before="40" w:after="40"/>
              <w:ind w:left="57"/>
              <w:jc w:val="center"/>
              <w:rPr>
                <w:rFonts w:ascii="Segoe UI" w:eastAsia="Times New Roman" w:hAnsi="Segoe UI" w:cs="Times New Roman"/>
                <w:kern w:val="0"/>
                <w:sz w:val="17"/>
                <w:szCs w:val="20"/>
                <w:lang w:val="en-GB" w:eastAsia="it-IT"/>
              </w:rPr>
            </w:pPr>
          </w:p>
        </w:tc>
      </w:tr>
      <w:tr w:rsidR="00297CA5" w:rsidRPr="00297CA5" w:rsidTr="00297CA5">
        <w:trPr>
          <w:trHeight w:val="270"/>
        </w:trPr>
        <w:tc>
          <w:tcPr>
            <w:tcW w:w="570" w:type="dxa"/>
            <w:tcBorders>
              <w:top w:val="single" w:sz="6" w:space="0" w:color="auto"/>
              <w:left w:val="nil"/>
              <w:bottom w:val="single" w:sz="6" w:space="0" w:color="auto"/>
              <w:right w:val="single" w:sz="4" w:space="0" w:color="auto"/>
            </w:tcBorders>
            <w:shd w:val="clear" w:color="auto" w:fill="A6A6A6" w:themeFill="background1" w:themeFillShade="A6"/>
          </w:tcPr>
          <w:p w:rsidR="00297CA5" w:rsidRPr="00297CA5" w:rsidRDefault="00297CA5" w:rsidP="00297CA5">
            <w:pPr>
              <w:widowControl/>
              <w:snapToGrid w:val="0"/>
              <w:spacing w:before="40" w:after="40"/>
              <w:ind w:left="57"/>
              <w:rPr>
                <w:rFonts w:ascii="Segoe UI" w:eastAsia="Times New Roman" w:hAnsi="Segoe UI" w:cs="Times New Roman"/>
                <w:kern w:val="0"/>
                <w:sz w:val="17"/>
                <w:szCs w:val="17"/>
                <w:lang w:val="en-GB" w:eastAsia="en-GB"/>
              </w:rPr>
            </w:pPr>
          </w:p>
        </w:tc>
        <w:tc>
          <w:tcPr>
            <w:tcW w:w="7368" w:type="dxa"/>
            <w:tcBorders>
              <w:top w:val="single" w:sz="4" w:space="0" w:color="auto"/>
              <w:left w:val="single" w:sz="4" w:space="0" w:color="auto"/>
              <w:bottom w:val="single" w:sz="18" w:space="0" w:color="auto"/>
              <w:right w:val="nil"/>
            </w:tcBorders>
            <w:shd w:val="clear" w:color="auto" w:fill="A6A6A6" w:themeFill="background1" w:themeFillShade="A6"/>
          </w:tcPr>
          <w:p w:rsidR="00297CA5" w:rsidRPr="00297CA5" w:rsidRDefault="00297CA5" w:rsidP="00297CA5">
            <w:pPr>
              <w:widowControl/>
              <w:snapToGrid w:val="0"/>
              <w:spacing w:before="40" w:after="40"/>
              <w:ind w:left="57" w:rightChars="71" w:right="170"/>
              <w:rPr>
                <w:rFonts w:ascii="Segoe UI" w:eastAsia="Times New Roman" w:hAnsi="Segoe UI" w:cs="Times New Roman"/>
                <w:b/>
                <w:kern w:val="0"/>
                <w:sz w:val="17"/>
                <w:szCs w:val="17"/>
                <w:lang w:val="en-GB" w:eastAsia="it-IT"/>
              </w:rPr>
            </w:pPr>
            <w:r w:rsidRPr="00297CA5">
              <w:rPr>
                <w:rFonts w:ascii="Segoe UI" w:eastAsia="Times New Roman" w:hAnsi="Segoe UI" w:cs="Times New Roman"/>
                <w:b/>
                <w:kern w:val="0"/>
                <w:sz w:val="17"/>
                <w:szCs w:val="17"/>
                <w:lang w:val="en-GB" w:eastAsia="it-IT"/>
              </w:rPr>
              <w:t>Internal LAC ratios and buffers</w:t>
            </w:r>
          </w:p>
        </w:tc>
        <w:tc>
          <w:tcPr>
            <w:tcW w:w="1276" w:type="dxa"/>
            <w:tcBorders>
              <w:top w:val="single" w:sz="4" w:space="0" w:color="auto"/>
              <w:left w:val="nil"/>
              <w:bottom w:val="single" w:sz="18" w:space="0" w:color="auto"/>
              <w:right w:val="single" w:sz="4" w:space="0" w:color="auto"/>
            </w:tcBorders>
            <w:shd w:val="clear" w:color="auto" w:fill="A6A6A6" w:themeFill="background1" w:themeFillShade="A6"/>
          </w:tcPr>
          <w:p w:rsidR="00297CA5" w:rsidRPr="00297CA5" w:rsidRDefault="00297CA5" w:rsidP="00297CA5">
            <w:pPr>
              <w:widowControl/>
              <w:snapToGrid w:val="0"/>
              <w:spacing w:before="40" w:after="40"/>
              <w:ind w:left="57"/>
              <w:jc w:val="center"/>
              <w:rPr>
                <w:rFonts w:ascii="Segoe UI" w:eastAsia="Times New Roman" w:hAnsi="Segoe UI" w:cs="Times New Roman"/>
                <w:kern w:val="0"/>
                <w:sz w:val="17"/>
                <w:szCs w:val="20"/>
                <w:lang w:val="en-GB" w:eastAsia="it-IT"/>
              </w:rPr>
            </w:pPr>
          </w:p>
        </w:tc>
      </w:tr>
      <w:tr w:rsidR="00297CA5" w:rsidRPr="00297CA5" w:rsidTr="00297CA5">
        <w:trPr>
          <w:trHeight w:val="270"/>
        </w:trPr>
        <w:tc>
          <w:tcPr>
            <w:tcW w:w="570" w:type="dxa"/>
            <w:tcBorders>
              <w:top w:val="single" w:sz="6" w:space="0" w:color="auto"/>
              <w:left w:val="nil"/>
              <w:bottom w:val="single" w:sz="6" w:space="0" w:color="auto"/>
              <w:right w:val="single" w:sz="18" w:space="0" w:color="auto"/>
            </w:tcBorders>
            <w:shd w:val="clear" w:color="auto" w:fill="auto"/>
          </w:tcPr>
          <w:p w:rsidR="00297CA5" w:rsidRPr="00297CA5" w:rsidRDefault="00297CA5" w:rsidP="00297CA5">
            <w:pPr>
              <w:widowControl/>
              <w:snapToGrid w:val="0"/>
              <w:spacing w:before="40" w:after="40"/>
              <w:ind w:left="57"/>
              <w:rPr>
                <w:rFonts w:ascii="Segoe UI" w:eastAsia="Times New Roman" w:hAnsi="Segoe UI" w:cs="Times New Roman"/>
                <w:kern w:val="0"/>
                <w:sz w:val="17"/>
                <w:szCs w:val="17"/>
                <w:lang w:val="en-GB" w:eastAsia="en-GB"/>
              </w:rPr>
            </w:pPr>
            <w:r w:rsidRPr="00297CA5">
              <w:rPr>
                <w:rFonts w:ascii="Segoe UI" w:eastAsia="Times New Roman" w:hAnsi="Segoe UI" w:cs="Times New Roman"/>
                <w:kern w:val="0"/>
                <w:sz w:val="17"/>
                <w:szCs w:val="17"/>
                <w:lang w:val="en-GB" w:eastAsia="en-GB"/>
              </w:rPr>
              <w:t>25</w:t>
            </w:r>
          </w:p>
        </w:tc>
        <w:tc>
          <w:tcPr>
            <w:tcW w:w="7368" w:type="dxa"/>
            <w:tcBorders>
              <w:top w:val="single" w:sz="18" w:space="0" w:color="auto"/>
              <w:left w:val="single" w:sz="18" w:space="0" w:color="auto"/>
              <w:bottom w:val="single" w:sz="18" w:space="0" w:color="auto"/>
              <w:right w:val="single" w:sz="18" w:space="0" w:color="auto"/>
            </w:tcBorders>
            <w:shd w:val="clear" w:color="auto" w:fill="D9D9D9" w:themeFill="background1" w:themeFillShade="D9"/>
          </w:tcPr>
          <w:p w:rsidR="00297CA5" w:rsidRPr="00297CA5" w:rsidRDefault="00297CA5" w:rsidP="00297CA5">
            <w:pPr>
              <w:widowControl/>
              <w:snapToGrid w:val="0"/>
              <w:spacing w:before="40" w:after="40"/>
              <w:ind w:left="57" w:rightChars="71" w:right="170"/>
              <w:rPr>
                <w:rFonts w:ascii="Segoe UI" w:eastAsia="Times New Roman" w:hAnsi="Segoe UI" w:cs="Times New Roman"/>
                <w:b/>
                <w:kern w:val="0"/>
                <w:sz w:val="17"/>
                <w:szCs w:val="17"/>
                <w:lang w:val="en-GB" w:eastAsia="it-IT"/>
              </w:rPr>
            </w:pPr>
            <w:r w:rsidRPr="00297CA5">
              <w:rPr>
                <w:rFonts w:ascii="Segoe UI" w:eastAsia="Times New Roman" w:hAnsi="Segoe UI" w:cs="Times New Roman"/>
                <w:b/>
                <w:kern w:val="0"/>
                <w:sz w:val="17"/>
                <w:szCs w:val="17"/>
                <w:lang w:val="en-GB" w:eastAsia="it-IT"/>
              </w:rPr>
              <w:t xml:space="preserve">Internal LAC risk-weighted ratio </w:t>
            </w:r>
          </w:p>
        </w:tc>
        <w:tc>
          <w:tcPr>
            <w:tcW w:w="1276" w:type="dxa"/>
            <w:tcBorders>
              <w:top w:val="single" w:sz="18" w:space="0" w:color="auto"/>
              <w:left w:val="single" w:sz="18" w:space="0" w:color="auto"/>
              <w:bottom w:val="single" w:sz="18" w:space="0" w:color="auto"/>
              <w:right w:val="single" w:sz="18" w:space="0" w:color="auto"/>
            </w:tcBorders>
            <w:shd w:val="clear" w:color="auto" w:fill="D9D9D9" w:themeFill="background1" w:themeFillShade="D9"/>
          </w:tcPr>
          <w:p w:rsidR="00297CA5" w:rsidRPr="00297CA5" w:rsidRDefault="00297CA5" w:rsidP="00297CA5">
            <w:pPr>
              <w:widowControl/>
              <w:snapToGrid w:val="0"/>
              <w:spacing w:before="40" w:after="40"/>
              <w:ind w:left="57"/>
              <w:jc w:val="center"/>
              <w:rPr>
                <w:rFonts w:ascii="Segoe UI" w:eastAsia="Times New Roman" w:hAnsi="Segoe UI" w:cs="Times New Roman"/>
                <w:kern w:val="0"/>
                <w:sz w:val="17"/>
                <w:szCs w:val="20"/>
                <w:lang w:val="en-GB" w:eastAsia="it-IT"/>
              </w:rPr>
            </w:pPr>
          </w:p>
        </w:tc>
      </w:tr>
      <w:tr w:rsidR="00297CA5" w:rsidRPr="00297CA5" w:rsidTr="00297CA5">
        <w:trPr>
          <w:trHeight w:val="270"/>
        </w:trPr>
        <w:tc>
          <w:tcPr>
            <w:tcW w:w="570" w:type="dxa"/>
            <w:tcBorders>
              <w:top w:val="single" w:sz="6" w:space="0" w:color="auto"/>
              <w:left w:val="nil"/>
              <w:bottom w:val="single" w:sz="6" w:space="0" w:color="auto"/>
              <w:right w:val="single" w:sz="18" w:space="0" w:color="auto"/>
            </w:tcBorders>
            <w:shd w:val="clear" w:color="auto" w:fill="auto"/>
          </w:tcPr>
          <w:p w:rsidR="00297CA5" w:rsidRPr="00297CA5" w:rsidRDefault="00297CA5" w:rsidP="00297CA5">
            <w:pPr>
              <w:widowControl/>
              <w:snapToGrid w:val="0"/>
              <w:spacing w:before="40" w:after="40"/>
              <w:ind w:left="57"/>
              <w:rPr>
                <w:rFonts w:ascii="Segoe UI" w:eastAsia="Times New Roman" w:hAnsi="Segoe UI" w:cs="Times New Roman"/>
                <w:kern w:val="0"/>
                <w:sz w:val="17"/>
                <w:szCs w:val="17"/>
                <w:lang w:val="en-GB" w:eastAsia="en-GB"/>
              </w:rPr>
            </w:pPr>
            <w:r w:rsidRPr="00297CA5">
              <w:rPr>
                <w:rFonts w:ascii="Segoe UI" w:eastAsia="Times New Roman" w:hAnsi="Segoe UI" w:cs="Times New Roman"/>
                <w:kern w:val="0"/>
                <w:sz w:val="17"/>
                <w:szCs w:val="17"/>
                <w:lang w:val="en-GB" w:eastAsia="en-GB"/>
              </w:rPr>
              <w:t>26</w:t>
            </w:r>
          </w:p>
        </w:tc>
        <w:tc>
          <w:tcPr>
            <w:tcW w:w="7368" w:type="dxa"/>
            <w:tcBorders>
              <w:top w:val="single" w:sz="18" w:space="0" w:color="auto"/>
              <w:left w:val="single" w:sz="18" w:space="0" w:color="auto"/>
              <w:bottom w:val="single" w:sz="18" w:space="0" w:color="auto"/>
              <w:right w:val="single" w:sz="18" w:space="0" w:color="auto"/>
            </w:tcBorders>
            <w:shd w:val="clear" w:color="auto" w:fill="D9D9D9" w:themeFill="background1" w:themeFillShade="D9"/>
          </w:tcPr>
          <w:p w:rsidR="00297CA5" w:rsidRPr="00297CA5" w:rsidRDefault="00297CA5" w:rsidP="00297CA5">
            <w:pPr>
              <w:widowControl/>
              <w:snapToGrid w:val="0"/>
              <w:spacing w:before="40" w:after="40"/>
              <w:ind w:left="57" w:rightChars="71" w:right="170"/>
              <w:rPr>
                <w:rFonts w:ascii="Segoe UI" w:eastAsia="Times New Roman" w:hAnsi="Segoe UI" w:cs="Times New Roman"/>
                <w:b/>
                <w:kern w:val="0"/>
                <w:sz w:val="17"/>
                <w:szCs w:val="17"/>
                <w:lang w:val="en-GB" w:eastAsia="it-IT"/>
              </w:rPr>
            </w:pPr>
            <w:r w:rsidRPr="00297CA5">
              <w:rPr>
                <w:rFonts w:ascii="Segoe UI" w:eastAsia="Times New Roman" w:hAnsi="Segoe UI" w:cs="Times New Roman"/>
                <w:b/>
                <w:kern w:val="0"/>
                <w:sz w:val="17"/>
                <w:szCs w:val="17"/>
                <w:lang w:val="en-GB" w:eastAsia="it-IT"/>
              </w:rPr>
              <w:t>Internal LAC leverage ratio</w:t>
            </w:r>
          </w:p>
        </w:tc>
        <w:tc>
          <w:tcPr>
            <w:tcW w:w="1276" w:type="dxa"/>
            <w:tcBorders>
              <w:top w:val="single" w:sz="18" w:space="0" w:color="auto"/>
              <w:left w:val="single" w:sz="18" w:space="0" w:color="auto"/>
              <w:bottom w:val="single" w:sz="18" w:space="0" w:color="auto"/>
              <w:right w:val="single" w:sz="18" w:space="0" w:color="auto"/>
            </w:tcBorders>
            <w:shd w:val="clear" w:color="auto" w:fill="D9D9D9" w:themeFill="background1" w:themeFillShade="D9"/>
          </w:tcPr>
          <w:p w:rsidR="00297CA5" w:rsidRPr="00297CA5" w:rsidRDefault="00297CA5" w:rsidP="00297CA5">
            <w:pPr>
              <w:widowControl/>
              <w:snapToGrid w:val="0"/>
              <w:spacing w:before="40" w:after="40"/>
              <w:ind w:left="57"/>
              <w:jc w:val="center"/>
              <w:rPr>
                <w:rFonts w:ascii="Segoe UI" w:eastAsia="Times New Roman" w:hAnsi="Segoe UI" w:cs="Times New Roman"/>
                <w:kern w:val="0"/>
                <w:sz w:val="17"/>
                <w:szCs w:val="20"/>
                <w:lang w:val="en-GB" w:eastAsia="it-IT"/>
              </w:rPr>
            </w:pPr>
          </w:p>
        </w:tc>
      </w:tr>
      <w:tr w:rsidR="00297CA5" w:rsidRPr="00297CA5" w:rsidTr="00297CA5">
        <w:trPr>
          <w:trHeight w:val="270"/>
        </w:trPr>
        <w:tc>
          <w:tcPr>
            <w:tcW w:w="570" w:type="dxa"/>
            <w:tcBorders>
              <w:top w:val="single" w:sz="6" w:space="0" w:color="auto"/>
              <w:left w:val="nil"/>
              <w:bottom w:val="single" w:sz="6" w:space="0" w:color="auto"/>
              <w:right w:val="single" w:sz="18" w:space="0" w:color="auto"/>
            </w:tcBorders>
            <w:shd w:val="clear" w:color="auto" w:fill="auto"/>
          </w:tcPr>
          <w:p w:rsidR="00297CA5" w:rsidRPr="00297CA5" w:rsidRDefault="00297CA5" w:rsidP="00297CA5">
            <w:pPr>
              <w:widowControl/>
              <w:snapToGrid w:val="0"/>
              <w:spacing w:before="40" w:after="40"/>
              <w:ind w:left="57"/>
              <w:rPr>
                <w:rFonts w:ascii="Segoe UI" w:eastAsia="Times New Roman" w:hAnsi="Segoe UI" w:cs="Times New Roman"/>
                <w:kern w:val="0"/>
                <w:sz w:val="17"/>
                <w:szCs w:val="17"/>
                <w:lang w:val="en-GB" w:eastAsia="en-GB"/>
              </w:rPr>
            </w:pPr>
            <w:r w:rsidRPr="00297CA5">
              <w:rPr>
                <w:rFonts w:ascii="Segoe UI" w:eastAsia="Times New Roman" w:hAnsi="Segoe UI" w:cs="Times New Roman"/>
                <w:kern w:val="0"/>
                <w:sz w:val="17"/>
                <w:szCs w:val="17"/>
                <w:lang w:val="en-GB" w:eastAsia="en-GB"/>
              </w:rPr>
              <w:t>27</w:t>
            </w:r>
          </w:p>
        </w:tc>
        <w:tc>
          <w:tcPr>
            <w:tcW w:w="7368" w:type="dxa"/>
            <w:tcBorders>
              <w:top w:val="single" w:sz="18" w:space="0" w:color="auto"/>
              <w:left w:val="single" w:sz="18" w:space="0" w:color="auto"/>
              <w:bottom w:val="single" w:sz="18" w:space="0" w:color="auto"/>
              <w:right w:val="single" w:sz="18" w:space="0" w:color="auto"/>
            </w:tcBorders>
            <w:shd w:val="clear" w:color="auto" w:fill="D9D9D9" w:themeFill="background1" w:themeFillShade="D9"/>
          </w:tcPr>
          <w:p w:rsidR="00297CA5" w:rsidRPr="00297CA5" w:rsidRDefault="00297CA5" w:rsidP="00297CA5">
            <w:pPr>
              <w:widowControl/>
              <w:snapToGrid w:val="0"/>
              <w:spacing w:before="40" w:after="40"/>
              <w:ind w:left="57" w:rightChars="71" w:right="170"/>
              <w:rPr>
                <w:rFonts w:ascii="Segoe UI" w:eastAsia="Times New Roman" w:hAnsi="Segoe UI" w:cs="Times New Roman"/>
                <w:b/>
                <w:kern w:val="0"/>
                <w:sz w:val="17"/>
                <w:szCs w:val="17"/>
                <w:lang w:val="en-GB" w:eastAsia="it-IT"/>
              </w:rPr>
            </w:pPr>
            <w:r w:rsidRPr="00297CA5">
              <w:rPr>
                <w:rFonts w:ascii="Segoe UI" w:eastAsia="Times New Roman" w:hAnsi="Segoe UI" w:cs="Times New Roman"/>
                <w:b/>
                <w:kern w:val="0"/>
                <w:sz w:val="17"/>
                <w:szCs w:val="17"/>
                <w:lang w:val="en-GB" w:eastAsia="it-IT"/>
              </w:rPr>
              <w:t>CET1 capital (as a percentage of RWA under the Banking (Capital) Rules (“BCR”)) available after meeting the LAC consolidation group’s minimum capital and LAC requirements</w:t>
            </w:r>
          </w:p>
        </w:tc>
        <w:tc>
          <w:tcPr>
            <w:tcW w:w="1276" w:type="dxa"/>
            <w:tcBorders>
              <w:top w:val="single" w:sz="18" w:space="0" w:color="auto"/>
              <w:left w:val="single" w:sz="18" w:space="0" w:color="auto"/>
              <w:bottom w:val="single" w:sz="18" w:space="0" w:color="auto"/>
              <w:right w:val="single" w:sz="18" w:space="0" w:color="auto"/>
            </w:tcBorders>
            <w:shd w:val="clear" w:color="auto" w:fill="D9D9D9" w:themeFill="background1" w:themeFillShade="D9"/>
          </w:tcPr>
          <w:p w:rsidR="00297CA5" w:rsidRPr="00297CA5" w:rsidRDefault="00297CA5" w:rsidP="00297CA5">
            <w:pPr>
              <w:widowControl/>
              <w:snapToGrid w:val="0"/>
              <w:spacing w:before="40" w:after="40"/>
              <w:ind w:left="57"/>
              <w:jc w:val="center"/>
              <w:rPr>
                <w:rFonts w:ascii="Segoe UI" w:eastAsia="Times New Roman" w:hAnsi="Segoe UI" w:cs="Times New Roman"/>
                <w:kern w:val="0"/>
                <w:sz w:val="17"/>
                <w:szCs w:val="20"/>
                <w:lang w:val="en-GB" w:eastAsia="it-IT"/>
              </w:rPr>
            </w:pPr>
          </w:p>
        </w:tc>
      </w:tr>
      <w:tr w:rsidR="00297CA5" w:rsidRPr="00297CA5" w:rsidTr="00297CA5">
        <w:trPr>
          <w:trHeight w:val="270"/>
        </w:trPr>
        <w:tc>
          <w:tcPr>
            <w:tcW w:w="570" w:type="dxa"/>
            <w:tcBorders>
              <w:top w:val="single" w:sz="6" w:space="0" w:color="auto"/>
              <w:left w:val="nil"/>
              <w:bottom w:val="single" w:sz="6" w:space="0" w:color="auto"/>
              <w:right w:val="single" w:sz="4" w:space="0" w:color="auto"/>
            </w:tcBorders>
            <w:shd w:val="clear" w:color="auto" w:fill="auto"/>
          </w:tcPr>
          <w:p w:rsidR="00297CA5" w:rsidRPr="00297CA5" w:rsidRDefault="00297CA5" w:rsidP="00297CA5">
            <w:pPr>
              <w:widowControl/>
              <w:snapToGrid w:val="0"/>
              <w:spacing w:before="40" w:after="40"/>
              <w:ind w:left="57"/>
              <w:rPr>
                <w:rFonts w:ascii="Segoe UI" w:eastAsia="Times New Roman" w:hAnsi="Segoe UI" w:cs="Times New Roman"/>
                <w:kern w:val="0"/>
                <w:sz w:val="17"/>
                <w:szCs w:val="17"/>
                <w:lang w:val="en-GB" w:eastAsia="en-GB"/>
              </w:rPr>
            </w:pPr>
            <w:r w:rsidRPr="00297CA5">
              <w:rPr>
                <w:rFonts w:ascii="Segoe UI" w:eastAsia="Times New Roman" w:hAnsi="Segoe UI" w:cs="Times New Roman"/>
                <w:kern w:val="0"/>
                <w:sz w:val="17"/>
                <w:szCs w:val="17"/>
                <w:lang w:val="en-GB" w:eastAsia="en-GB"/>
              </w:rPr>
              <w:t>28</w:t>
            </w:r>
          </w:p>
        </w:tc>
        <w:tc>
          <w:tcPr>
            <w:tcW w:w="7368" w:type="dxa"/>
            <w:tcBorders>
              <w:top w:val="single" w:sz="18" w:space="0" w:color="auto"/>
              <w:left w:val="single" w:sz="4" w:space="0" w:color="auto"/>
              <w:bottom w:val="single" w:sz="4" w:space="0" w:color="auto"/>
              <w:right w:val="single" w:sz="4" w:space="0" w:color="auto"/>
            </w:tcBorders>
            <w:shd w:val="clear" w:color="auto" w:fill="auto"/>
          </w:tcPr>
          <w:p w:rsidR="00297CA5" w:rsidRPr="00297CA5" w:rsidRDefault="00297CA5" w:rsidP="00297CA5">
            <w:pPr>
              <w:widowControl/>
              <w:snapToGrid w:val="0"/>
              <w:spacing w:before="40" w:after="40"/>
              <w:ind w:left="57" w:rightChars="71" w:right="170"/>
              <w:rPr>
                <w:rFonts w:ascii="Segoe UI" w:eastAsia="Times New Roman" w:hAnsi="Segoe UI" w:cs="Times New Roman"/>
                <w:kern w:val="0"/>
                <w:sz w:val="17"/>
                <w:szCs w:val="17"/>
                <w:lang w:val="en-GB" w:eastAsia="it-IT"/>
              </w:rPr>
            </w:pPr>
            <w:r w:rsidRPr="00297CA5">
              <w:rPr>
                <w:rFonts w:ascii="Segoe UI" w:eastAsia="Times New Roman" w:hAnsi="Segoe UI" w:cs="Times New Roman"/>
                <w:kern w:val="0"/>
                <w:sz w:val="17"/>
                <w:szCs w:val="17"/>
                <w:lang w:val="en-GB" w:eastAsia="it-IT"/>
              </w:rPr>
              <w:t>Institution-specific buffer requirement (capital conservation buffer plus countercyclical capital buffer requirements plus higher loss absorbency requirement, expressed as a percentage of RWA under the BCR)</w:t>
            </w:r>
          </w:p>
        </w:tc>
        <w:tc>
          <w:tcPr>
            <w:tcW w:w="1276" w:type="dxa"/>
            <w:tcBorders>
              <w:top w:val="single" w:sz="18" w:space="0" w:color="auto"/>
              <w:left w:val="single" w:sz="4" w:space="0" w:color="auto"/>
              <w:bottom w:val="single" w:sz="4" w:space="0" w:color="auto"/>
              <w:right w:val="single" w:sz="4" w:space="0" w:color="auto"/>
            </w:tcBorders>
            <w:shd w:val="clear" w:color="auto" w:fill="auto"/>
          </w:tcPr>
          <w:p w:rsidR="00297CA5" w:rsidRPr="00297CA5" w:rsidRDefault="00297CA5" w:rsidP="00297CA5">
            <w:pPr>
              <w:widowControl/>
              <w:snapToGrid w:val="0"/>
              <w:spacing w:before="40" w:after="40"/>
              <w:ind w:left="57"/>
              <w:jc w:val="center"/>
              <w:rPr>
                <w:rFonts w:ascii="Segoe UI" w:eastAsia="Times New Roman" w:hAnsi="Segoe UI" w:cs="Times New Roman"/>
                <w:kern w:val="0"/>
                <w:sz w:val="17"/>
                <w:szCs w:val="20"/>
                <w:lang w:val="en-GB" w:eastAsia="it-IT"/>
              </w:rPr>
            </w:pPr>
          </w:p>
        </w:tc>
      </w:tr>
      <w:tr w:rsidR="00297CA5" w:rsidRPr="00297CA5" w:rsidTr="00297CA5">
        <w:trPr>
          <w:trHeight w:val="270"/>
        </w:trPr>
        <w:tc>
          <w:tcPr>
            <w:tcW w:w="570" w:type="dxa"/>
            <w:tcBorders>
              <w:top w:val="single" w:sz="6" w:space="0" w:color="auto"/>
              <w:left w:val="nil"/>
              <w:bottom w:val="single" w:sz="6" w:space="0" w:color="auto"/>
              <w:right w:val="single" w:sz="4" w:space="0" w:color="auto"/>
            </w:tcBorders>
            <w:shd w:val="clear" w:color="auto" w:fill="auto"/>
          </w:tcPr>
          <w:p w:rsidR="00297CA5" w:rsidRPr="00297CA5" w:rsidRDefault="00297CA5" w:rsidP="00297CA5">
            <w:pPr>
              <w:widowControl/>
              <w:snapToGrid w:val="0"/>
              <w:spacing w:before="40" w:after="40"/>
              <w:ind w:left="57"/>
              <w:rPr>
                <w:rFonts w:ascii="Segoe UI" w:eastAsia="Times New Roman" w:hAnsi="Segoe UI" w:cs="Times New Roman"/>
                <w:kern w:val="0"/>
                <w:sz w:val="17"/>
                <w:szCs w:val="17"/>
                <w:lang w:val="en-GB" w:eastAsia="en-GB"/>
              </w:rPr>
            </w:pPr>
            <w:r w:rsidRPr="00297CA5">
              <w:rPr>
                <w:rFonts w:ascii="Segoe UI" w:eastAsia="Times New Roman" w:hAnsi="Segoe UI" w:cs="Times New Roman"/>
                <w:kern w:val="0"/>
                <w:sz w:val="17"/>
                <w:szCs w:val="17"/>
                <w:lang w:val="en-GB" w:eastAsia="en-GB"/>
              </w:rPr>
              <w:t>29</w:t>
            </w:r>
          </w:p>
        </w:tc>
        <w:tc>
          <w:tcPr>
            <w:tcW w:w="7368" w:type="dxa"/>
            <w:tcBorders>
              <w:top w:val="single" w:sz="4" w:space="0" w:color="auto"/>
              <w:left w:val="single" w:sz="4" w:space="0" w:color="auto"/>
              <w:bottom w:val="single" w:sz="4" w:space="0" w:color="auto"/>
              <w:right w:val="single" w:sz="4" w:space="0" w:color="auto"/>
            </w:tcBorders>
            <w:shd w:val="clear" w:color="auto" w:fill="auto"/>
          </w:tcPr>
          <w:p w:rsidR="00297CA5" w:rsidRPr="00297CA5" w:rsidRDefault="00297CA5" w:rsidP="00297CA5">
            <w:pPr>
              <w:widowControl/>
              <w:tabs>
                <w:tab w:val="left" w:pos="423"/>
              </w:tabs>
              <w:snapToGrid w:val="0"/>
              <w:spacing w:before="40" w:after="40"/>
              <w:ind w:leftChars="211" w:left="506" w:rightChars="71" w:right="170"/>
              <w:rPr>
                <w:rFonts w:ascii="Segoe UI" w:eastAsia="Times New Roman" w:hAnsi="Segoe UI" w:cs="Times New Roman"/>
                <w:kern w:val="0"/>
                <w:sz w:val="17"/>
                <w:szCs w:val="20"/>
                <w:lang w:val="en-GB" w:eastAsia="it-IT"/>
              </w:rPr>
            </w:pPr>
            <w:r w:rsidRPr="00297CA5">
              <w:rPr>
                <w:rFonts w:ascii="Segoe UI" w:eastAsia="Times New Roman" w:hAnsi="Segoe UI" w:cs="Times New Roman"/>
                <w:kern w:val="0"/>
                <w:sz w:val="17"/>
                <w:szCs w:val="20"/>
                <w:lang w:val="en-GB" w:eastAsia="it-IT"/>
              </w:rPr>
              <w:tab/>
              <w:t>Of which: capital conservation buffer requirement</w:t>
            </w:r>
          </w:p>
        </w:tc>
        <w:tc>
          <w:tcPr>
            <w:tcW w:w="1276" w:type="dxa"/>
            <w:tcBorders>
              <w:top w:val="single" w:sz="4" w:space="0" w:color="auto"/>
              <w:left w:val="single" w:sz="4" w:space="0" w:color="auto"/>
              <w:bottom w:val="single" w:sz="4" w:space="0" w:color="auto"/>
              <w:right w:val="single" w:sz="4" w:space="0" w:color="auto"/>
            </w:tcBorders>
            <w:shd w:val="clear" w:color="auto" w:fill="auto"/>
          </w:tcPr>
          <w:p w:rsidR="00297CA5" w:rsidRPr="00297CA5" w:rsidRDefault="00297CA5" w:rsidP="00297CA5">
            <w:pPr>
              <w:widowControl/>
              <w:snapToGrid w:val="0"/>
              <w:spacing w:before="40" w:after="40"/>
              <w:ind w:left="57"/>
              <w:jc w:val="center"/>
              <w:rPr>
                <w:rFonts w:ascii="Segoe UI" w:eastAsia="Times New Roman" w:hAnsi="Segoe UI" w:cs="Times New Roman"/>
                <w:kern w:val="0"/>
                <w:sz w:val="17"/>
                <w:szCs w:val="20"/>
                <w:lang w:val="en-GB" w:eastAsia="it-IT"/>
              </w:rPr>
            </w:pPr>
          </w:p>
        </w:tc>
      </w:tr>
      <w:tr w:rsidR="00297CA5" w:rsidRPr="00297CA5" w:rsidTr="00297CA5">
        <w:trPr>
          <w:trHeight w:val="270"/>
        </w:trPr>
        <w:tc>
          <w:tcPr>
            <w:tcW w:w="570" w:type="dxa"/>
            <w:tcBorders>
              <w:top w:val="single" w:sz="6" w:space="0" w:color="auto"/>
              <w:left w:val="nil"/>
              <w:bottom w:val="single" w:sz="6" w:space="0" w:color="auto"/>
              <w:right w:val="single" w:sz="4" w:space="0" w:color="auto"/>
            </w:tcBorders>
            <w:shd w:val="clear" w:color="auto" w:fill="auto"/>
          </w:tcPr>
          <w:p w:rsidR="00297CA5" w:rsidRPr="00297CA5" w:rsidRDefault="00297CA5" w:rsidP="00297CA5">
            <w:pPr>
              <w:widowControl/>
              <w:snapToGrid w:val="0"/>
              <w:spacing w:before="40" w:after="40"/>
              <w:ind w:left="57"/>
              <w:rPr>
                <w:rFonts w:ascii="Segoe UI" w:eastAsia="Times New Roman" w:hAnsi="Segoe UI" w:cs="Times New Roman"/>
                <w:kern w:val="0"/>
                <w:sz w:val="17"/>
                <w:szCs w:val="17"/>
                <w:lang w:val="en-GB" w:eastAsia="en-GB"/>
              </w:rPr>
            </w:pPr>
            <w:r w:rsidRPr="00297CA5">
              <w:rPr>
                <w:rFonts w:ascii="Segoe UI" w:eastAsia="Times New Roman" w:hAnsi="Segoe UI" w:cs="Times New Roman"/>
                <w:kern w:val="0"/>
                <w:sz w:val="17"/>
                <w:szCs w:val="17"/>
                <w:lang w:val="en-GB" w:eastAsia="en-GB"/>
              </w:rPr>
              <w:t>30</w:t>
            </w:r>
          </w:p>
        </w:tc>
        <w:tc>
          <w:tcPr>
            <w:tcW w:w="7368" w:type="dxa"/>
            <w:tcBorders>
              <w:top w:val="single" w:sz="4" w:space="0" w:color="auto"/>
              <w:left w:val="single" w:sz="4" w:space="0" w:color="auto"/>
              <w:bottom w:val="single" w:sz="4" w:space="0" w:color="auto"/>
              <w:right w:val="single" w:sz="4" w:space="0" w:color="auto"/>
            </w:tcBorders>
            <w:shd w:val="clear" w:color="auto" w:fill="auto"/>
          </w:tcPr>
          <w:p w:rsidR="00297CA5" w:rsidRPr="00297CA5" w:rsidRDefault="00297CA5" w:rsidP="00297CA5">
            <w:pPr>
              <w:widowControl/>
              <w:tabs>
                <w:tab w:val="left" w:pos="423"/>
              </w:tabs>
              <w:snapToGrid w:val="0"/>
              <w:spacing w:before="40" w:after="40"/>
              <w:ind w:leftChars="211" w:left="506" w:rightChars="71" w:right="170"/>
              <w:rPr>
                <w:rFonts w:ascii="Segoe UI" w:eastAsia="Times New Roman" w:hAnsi="Segoe UI" w:cs="Times New Roman"/>
                <w:kern w:val="0"/>
                <w:sz w:val="17"/>
                <w:szCs w:val="20"/>
                <w:lang w:val="en-GB" w:eastAsia="it-IT"/>
              </w:rPr>
            </w:pPr>
            <w:r w:rsidRPr="00297CA5">
              <w:rPr>
                <w:rFonts w:ascii="Segoe UI" w:eastAsia="Times New Roman" w:hAnsi="Segoe UI" w:cs="Times New Roman"/>
                <w:kern w:val="0"/>
                <w:sz w:val="17"/>
                <w:szCs w:val="20"/>
                <w:lang w:val="en-GB" w:eastAsia="it-IT"/>
              </w:rPr>
              <w:tab/>
              <w:t>Of which: institution-specific countercyclical capital buffer requirement</w:t>
            </w:r>
          </w:p>
        </w:tc>
        <w:tc>
          <w:tcPr>
            <w:tcW w:w="1276" w:type="dxa"/>
            <w:tcBorders>
              <w:top w:val="single" w:sz="4" w:space="0" w:color="auto"/>
              <w:left w:val="single" w:sz="4" w:space="0" w:color="auto"/>
              <w:bottom w:val="single" w:sz="4" w:space="0" w:color="auto"/>
              <w:right w:val="single" w:sz="4" w:space="0" w:color="auto"/>
            </w:tcBorders>
            <w:shd w:val="clear" w:color="auto" w:fill="auto"/>
          </w:tcPr>
          <w:p w:rsidR="00297CA5" w:rsidRPr="00297CA5" w:rsidRDefault="00297CA5" w:rsidP="00297CA5">
            <w:pPr>
              <w:widowControl/>
              <w:snapToGrid w:val="0"/>
              <w:spacing w:before="40" w:after="40"/>
              <w:ind w:left="57"/>
              <w:jc w:val="center"/>
              <w:rPr>
                <w:rFonts w:ascii="Segoe UI" w:eastAsia="Times New Roman" w:hAnsi="Segoe UI" w:cs="Times New Roman"/>
                <w:kern w:val="0"/>
                <w:sz w:val="17"/>
                <w:szCs w:val="20"/>
                <w:lang w:val="en-GB" w:eastAsia="it-IT"/>
              </w:rPr>
            </w:pPr>
          </w:p>
        </w:tc>
      </w:tr>
      <w:tr w:rsidR="00297CA5" w:rsidRPr="00297CA5" w:rsidTr="00297CA5">
        <w:trPr>
          <w:trHeight w:val="270"/>
        </w:trPr>
        <w:tc>
          <w:tcPr>
            <w:tcW w:w="570" w:type="dxa"/>
            <w:tcBorders>
              <w:top w:val="single" w:sz="6" w:space="0" w:color="auto"/>
              <w:left w:val="nil"/>
              <w:bottom w:val="single" w:sz="6" w:space="0" w:color="auto"/>
              <w:right w:val="single" w:sz="4" w:space="0" w:color="auto"/>
            </w:tcBorders>
            <w:shd w:val="clear" w:color="auto" w:fill="auto"/>
          </w:tcPr>
          <w:p w:rsidR="00297CA5" w:rsidRPr="00297CA5" w:rsidRDefault="00297CA5" w:rsidP="00297CA5">
            <w:pPr>
              <w:widowControl/>
              <w:snapToGrid w:val="0"/>
              <w:spacing w:before="40" w:after="40"/>
              <w:ind w:left="57"/>
              <w:rPr>
                <w:rFonts w:ascii="Segoe UI" w:eastAsia="Times New Roman" w:hAnsi="Segoe UI" w:cs="Times New Roman"/>
                <w:kern w:val="0"/>
                <w:sz w:val="17"/>
                <w:szCs w:val="17"/>
                <w:lang w:val="en-GB" w:eastAsia="en-GB"/>
              </w:rPr>
            </w:pPr>
            <w:r w:rsidRPr="00297CA5">
              <w:rPr>
                <w:rFonts w:ascii="Segoe UI" w:eastAsia="Times New Roman" w:hAnsi="Segoe UI" w:cs="Times New Roman"/>
                <w:kern w:val="0"/>
                <w:sz w:val="17"/>
                <w:szCs w:val="17"/>
                <w:lang w:val="en-GB" w:eastAsia="en-GB"/>
              </w:rPr>
              <w:t>31</w:t>
            </w:r>
          </w:p>
        </w:tc>
        <w:tc>
          <w:tcPr>
            <w:tcW w:w="7368" w:type="dxa"/>
            <w:tcBorders>
              <w:top w:val="single" w:sz="4" w:space="0" w:color="auto"/>
              <w:left w:val="single" w:sz="4" w:space="0" w:color="auto"/>
              <w:bottom w:val="single" w:sz="4" w:space="0" w:color="auto"/>
              <w:right w:val="single" w:sz="4" w:space="0" w:color="auto"/>
            </w:tcBorders>
            <w:shd w:val="clear" w:color="auto" w:fill="auto"/>
          </w:tcPr>
          <w:p w:rsidR="00297CA5" w:rsidRPr="00297CA5" w:rsidRDefault="00297CA5" w:rsidP="00297CA5">
            <w:pPr>
              <w:widowControl/>
              <w:tabs>
                <w:tab w:val="left" w:pos="423"/>
              </w:tabs>
              <w:snapToGrid w:val="0"/>
              <w:spacing w:before="40" w:after="40"/>
              <w:ind w:leftChars="211" w:left="506" w:rightChars="71" w:right="170"/>
              <w:rPr>
                <w:rFonts w:ascii="Segoe UI" w:eastAsia="Times New Roman" w:hAnsi="Segoe UI" w:cs="Times New Roman"/>
                <w:kern w:val="0"/>
                <w:sz w:val="17"/>
                <w:szCs w:val="20"/>
                <w:lang w:val="en-GB" w:eastAsia="it-IT"/>
              </w:rPr>
            </w:pPr>
            <w:r w:rsidRPr="00297CA5">
              <w:rPr>
                <w:rFonts w:ascii="Segoe UI" w:eastAsia="Times New Roman" w:hAnsi="Segoe UI" w:cs="Times New Roman"/>
                <w:kern w:val="0"/>
                <w:sz w:val="17"/>
                <w:szCs w:val="20"/>
                <w:lang w:val="en-GB" w:eastAsia="it-IT"/>
              </w:rPr>
              <w:tab/>
              <w:t>Of which: higher loss absorbency requirement</w:t>
            </w:r>
          </w:p>
        </w:tc>
        <w:tc>
          <w:tcPr>
            <w:tcW w:w="1276" w:type="dxa"/>
            <w:tcBorders>
              <w:top w:val="single" w:sz="4" w:space="0" w:color="auto"/>
              <w:left w:val="single" w:sz="4" w:space="0" w:color="auto"/>
              <w:bottom w:val="single" w:sz="4" w:space="0" w:color="auto"/>
              <w:right w:val="single" w:sz="4" w:space="0" w:color="auto"/>
            </w:tcBorders>
            <w:shd w:val="clear" w:color="auto" w:fill="auto"/>
          </w:tcPr>
          <w:p w:rsidR="00297CA5" w:rsidRPr="00297CA5" w:rsidRDefault="00297CA5" w:rsidP="00297CA5">
            <w:pPr>
              <w:widowControl/>
              <w:snapToGrid w:val="0"/>
              <w:spacing w:before="40" w:after="40"/>
              <w:ind w:left="57"/>
              <w:jc w:val="center"/>
              <w:rPr>
                <w:rFonts w:ascii="Segoe UI" w:eastAsia="Times New Roman" w:hAnsi="Segoe UI" w:cs="Times New Roman"/>
                <w:kern w:val="0"/>
                <w:sz w:val="17"/>
                <w:szCs w:val="20"/>
                <w:lang w:val="en-GB" w:eastAsia="it-IT"/>
              </w:rPr>
            </w:pPr>
          </w:p>
        </w:tc>
      </w:tr>
      <w:tr w:rsidR="00297CA5" w:rsidRPr="00297CA5" w:rsidTr="00297CA5">
        <w:trPr>
          <w:trHeight w:val="270"/>
        </w:trPr>
        <w:tc>
          <w:tcPr>
            <w:tcW w:w="9214" w:type="dxa"/>
            <w:gridSpan w:val="3"/>
            <w:tcBorders>
              <w:top w:val="single" w:sz="6" w:space="0" w:color="auto"/>
              <w:left w:val="nil"/>
              <w:bottom w:val="single" w:sz="6" w:space="0" w:color="auto"/>
              <w:right w:val="single" w:sz="4" w:space="0" w:color="auto"/>
            </w:tcBorders>
            <w:shd w:val="clear" w:color="auto" w:fill="auto"/>
          </w:tcPr>
          <w:p w:rsidR="00297CA5" w:rsidRPr="00297CA5" w:rsidRDefault="00297CA5" w:rsidP="00297CA5">
            <w:pPr>
              <w:widowControl/>
              <w:snapToGrid w:val="0"/>
              <w:spacing w:before="40" w:after="40" w:line="240" w:lineRule="exact"/>
              <w:ind w:rightChars="71" w:right="170"/>
              <w:jc w:val="both"/>
              <w:rPr>
                <w:rFonts w:ascii="Segoe UI" w:eastAsia="Times New Roman" w:hAnsi="Segoe UI" w:cs="Times New Roman"/>
                <w:i/>
                <w:kern w:val="0"/>
                <w:sz w:val="17"/>
                <w:szCs w:val="20"/>
                <w:lang w:val="en-GB" w:eastAsia="it-IT"/>
              </w:rPr>
            </w:pPr>
            <w:r w:rsidRPr="00297CA5">
              <w:rPr>
                <w:rFonts w:ascii="Segoe UI" w:eastAsia="Times New Roman" w:hAnsi="Segoe UI" w:cs="Times New Roman"/>
                <w:i/>
                <w:kern w:val="0"/>
                <w:sz w:val="17"/>
                <w:szCs w:val="20"/>
                <w:lang w:val="en-GB" w:eastAsia="it-IT"/>
              </w:rPr>
              <w:t>Points to note:</w:t>
            </w:r>
          </w:p>
          <w:p w:rsidR="00297CA5" w:rsidRPr="00297CA5" w:rsidRDefault="00297CA5" w:rsidP="006E5C79">
            <w:pPr>
              <w:widowControl/>
              <w:numPr>
                <w:ilvl w:val="0"/>
                <w:numId w:val="6"/>
              </w:numPr>
              <w:snapToGrid w:val="0"/>
              <w:spacing w:before="40" w:after="40" w:line="240" w:lineRule="exact"/>
              <w:ind w:rightChars="71" w:right="170"/>
              <w:jc w:val="both"/>
              <w:rPr>
                <w:rFonts w:ascii="Segoe UI" w:eastAsia="Times New Roman" w:hAnsi="Segoe UI" w:cs="Times New Roman"/>
                <w:i/>
                <w:kern w:val="0"/>
                <w:sz w:val="17"/>
                <w:szCs w:val="20"/>
                <w:lang w:val="en-GB" w:eastAsia="it-IT"/>
              </w:rPr>
            </w:pPr>
            <w:r w:rsidRPr="00297CA5">
              <w:rPr>
                <w:rFonts w:ascii="Segoe UI" w:eastAsia="Times New Roman" w:hAnsi="Segoe UI" w:cs="Times New Roman"/>
                <w:i/>
                <w:kern w:val="0"/>
                <w:sz w:val="17"/>
                <w:szCs w:val="20"/>
                <w:lang w:val="en-GB" w:eastAsia="it-IT"/>
              </w:rPr>
              <w:t>Under the BCBS’s standards on Pillar 3 disclosure requirements – consolidated and enhanced framework (March 2017), template TLAC1 applies to the disclosure of loss-absorbing capacity composition at the resolution group level.  The disclosure requirements under the LAC Rules apply to a disclosure entity, including a material subsidiary.  In designing template TLAC1(A) for Hong Kong by modelling template TLAC1, the HKMA has made necessary adjustments so that template TLAC1(A) applies to the disclosure of internal loss-absorbing capacity composition at the LAC consolidation group level to reflect that a requirement of a material subsidiary to maintain, on a consolidated basis, its internal LAC risk-weighted ratio or its internal LAC leverage ratio at or above a specified minimum under the LAC Rules is imposed with respect to its LAC consolidation group.</w:t>
            </w:r>
          </w:p>
          <w:p w:rsidR="00297CA5" w:rsidRPr="00297CA5" w:rsidRDefault="00297CA5" w:rsidP="006E5C79">
            <w:pPr>
              <w:widowControl/>
              <w:numPr>
                <w:ilvl w:val="0"/>
                <w:numId w:val="6"/>
              </w:numPr>
              <w:snapToGrid w:val="0"/>
              <w:spacing w:before="40" w:after="40" w:line="240" w:lineRule="exact"/>
              <w:ind w:rightChars="71" w:right="170"/>
              <w:jc w:val="both"/>
              <w:rPr>
                <w:rFonts w:ascii="Segoe UI" w:eastAsia="Times New Roman" w:hAnsi="Segoe UI" w:cs="Times New Roman"/>
                <w:i/>
                <w:kern w:val="0"/>
                <w:sz w:val="17"/>
                <w:szCs w:val="17"/>
                <w:lang w:val="en-GB" w:eastAsia="it-IT"/>
              </w:rPr>
            </w:pPr>
            <w:r w:rsidRPr="00297CA5">
              <w:rPr>
                <w:rFonts w:ascii="Segoe UI" w:eastAsia="Times New Roman" w:hAnsi="Segoe UI" w:cs="Times New Roman"/>
                <w:i/>
                <w:kern w:val="0"/>
                <w:sz w:val="17"/>
                <w:szCs w:val="20"/>
                <w:lang w:val="en-GB" w:eastAsia="it-IT"/>
              </w:rPr>
              <w:t xml:space="preserve">The regulatory capital elements of internal loss-absorbing capacity of a LAC consolidation group shall include only capital instruments issued by entities belonging to the LAC consolidation group.  The internal loss-absorbing capacity position is based on the risk-weighted amount under the LAC Rules (as set out in paragraph (a)(ii) or paragraph (b) (as the case requires) of the definition of “risk-weighted amount” under rule 2 of the LAC Rules) and exposure measure under the LAC Rules (as set out in paragraph (a)(ii) or paragraph (b) (as the case requires) of the definition of “exposure measure” under rule 2 of the LAC Rules) calculated at the level of the LAC consolidation group.  </w:t>
            </w:r>
          </w:p>
          <w:p w:rsidR="00297CA5" w:rsidRPr="00297CA5" w:rsidRDefault="00297CA5" w:rsidP="006E5C79">
            <w:pPr>
              <w:widowControl/>
              <w:numPr>
                <w:ilvl w:val="0"/>
                <w:numId w:val="6"/>
              </w:numPr>
              <w:snapToGrid w:val="0"/>
              <w:spacing w:before="40" w:after="40" w:line="240" w:lineRule="exact"/>
              <w:ind w:rightChars="71" w:right="170"/>
              <w:jc w:val="both"/>
              <w:rPr>
                <w:rFonts w:ascii="Segoe UI" w:eastAsia="Times New Roman" w:hAnsi="Segoe UI" w:cs="Times New Roman"/>
                <w:i/>
                <w:kern w:val="0"/>
                <w:sz w:val="17"/>
                <w:szCs w:val="20"/>
                <w:lang w:val="en-GB" w:eastAsia="it-IT"/>
              </w:rPr>
            </w:pPr>
            <w:r w:rsidRPr="00297CA5">
              <w:rPr>
                <w:rFonts w:ascii="Segoe UI" w:eastAsia="Times New Roman" w:hAnsi="Segoe UI" w:cs="Times New Roman"/>
                <w:i/>
                <w:kern w:val="0"/>
                <w:sz w:val="17"/>
                <w:szCs w:val="20"/>
                <w:lang w:val="en-GB" w:eastAsia="it-IT"/>
              </w:rPr>
              <w:t xml:space="preserve">Unless otherwise specified, </w:t>
            </w:r>
            <w:r w:rsidRPr="00297CA5">
              <w:rPr>
                <w:rFonts w:ascii="Segoe UI" w:eastAsia="Times New Roman" w:hAnsi="Segoe UI" w:cs="Times New Roman"/>
                <w:i/>
                <w:kern w:val="0"/>
                <w:sz w:val="17"/>
                <w:szCs w:val="17"/>
                <w:lang w:val="en-GB" w:eastAsia="en-US"/>
              </w:rPr>
              <w:t xml:space="preserve">any holdings of non-capital LAC liabilities issued by financial sector entities that are group companies that are not members of the material subsidiary’s LAC consolidation group which </w:t>
            </w:r>
            <w:r w:rsidRPr="00297CA5">
              <w:rPr>
                <w:rFonts w:ascii="Segoe UI" w:eastAsia="Times New Roman" w:hAnsi="Segoe UI" w:cs="Times New Roman"/>
                <w:i/>
                <w:kern w:val="0"/>
                <w:sz w:val="17"/>
                <w:szCs w:val="20"/>
                <w:lang w:val="en-GB" w:eastAsia="it-IT"/>
              </w:rPr>
              <w:t>should be deducted from internal loss-absorbing capacity under the LAC Rules are to be reported in row 19.</w:t>
            </w:r>
            <w:r w:rsidRPr="00297CA5">
              <w:rPr>
                <w:rFonts w:ascii="Segoe UI" w:eastAsia="Times New Roman" w:hAnsi="Segoe UI" w:cs="Times New Roman"/>
                <w:i/>
                <w:kern w:val="0"/>
                <w:sz w:val="17"/>
                <w:szCs w:val="17"/>
                <w:lang w:val="en-GB" w:eastAsia="en-US"/>
              </w:rPr>
              <w:t xml:space="preserve">  If applicable, any holdings of non-capital LAC liabilities issued by such financial sector entities which should be deducted pursuant to the BCR (or, for a material subsidiary that is not an AI, which should be deducted as if the BCR </w:t>
            </w:r>
            <w:r w:rsidRPr="00297CA5">
              <w:rPr>
                <w:rFonts w:ascii="Segoe UI" w:eastAsia="Times New Roman" w:hAnsi="Segoe UI" w:cs="Times New Roman"/>
                <w:i/>
                <w:kern w:val="0"/>
                <w:sz w:val="17"/>
                <w:szCs w:val="17"/>
                <w:lang w:val="en-GB" w:eastAsia="en-US"/>
              </w:rPr>
              <w:lastRenderedPageBreak/>
              <w:t xml:space="preserve">applied to it) should have been reflected in the figures reported for rows 1, 2 and 6 (i.e. the figures reported for rows 1, 2 and 6 should be net of such holdings), following BCR provisions governing the mechanism for deduction of the holdings, i.e. only the amount of such holdings which exceeds the sum of the non-capital LAC debt instruments issued by the material subsidiary are deducted from its T2 capital, AT1 capital or CET1 capital, as applicable.  </w:t>
            </w:r>
          </w:p>
          <w:p w:rsidR="00297CA5" w:rsidRPr="00297CA5" w:rsidRDefault="00297CA5" w:rsidP="006E5C79">
            <w:pPr>
              <w:widowControl/>
              <w:numPr>
                <w:ilvl w:val="0"/>
                <w:numId w:val="6"/>
              </w:numPr>
              <w:snapToGrid w:val="0"/>
              <w:spacing w:before="40" w:after="40" w:line="240" w:lineRule="exact"/>
              <w:ind w:rightChars="71" w:right="170"/>
              <w:jc w:val="both"/>
              <w:rPr>
                <w:rFonts w:ascii="Segoe UI" w:eastAsia="Times New Roman" w:hAnsi="Segoe UI" w:cs="Times New Roman"/>
                <w:i/>
                <w:kern w:val="0"/>
                <w:sz w:val="17"/>
                <w:szCs w:val="20"/>
                <w:lang w:val="en-GB" w:eastAsia="it-IT"/>
              </w:rPr>
            </w:pPr>
            <w:r w:rsidRPr="00297CA5">
              <w:rPr>
                <w:rFonts w:ascii="Segoe UI" w:eastAsia="Times New Roman" w:hAnsi="Segoe UI" w:cs="Times New Roman"/>
                <w:i/>
                <w:kern w:val="0"/>
                <w:sz w:val="17"/>
                <w:szCs w:val="20"/>
                <w:lang w:val="en-GB" w:eastAsia="it-IT"/>
              </w:rPr>
              <w:t>In the case of a material subsidiary that is an AI and whose LAC consolidation group is the same as its capital consolidation group, the material subsidiary may, pursuant to rule 52(2) of the LAC Rules and subject to the specified conditions being met, set out figures for rows 28 to 31 in a separate document (e.g. a document for reporting under template KM1) that is signposted in this template, instead of reporting the figures in these rows in this template.</w:t>
            </w:r>
          </w:p>
          <w:p w:rsidR="00297CA5" w:rsidRPr="00297CA5" w:rsidRDefault="00297CA5" w:rsidP="006E5C79">
            <w:pPr>
              <w:widowControl/>
              <w:numPr>
                <w:ilvl w:val="0"/>
                <w:numId w:val="6"/>
              </w:numPr>
              <w:snapToGrid w:val="0"/>
              <w:spacing w:before="40" w:after="40" w:line="240" w:lineRule="exact"/>
              <w:ind w:rightChars="71" w:right="170"/>
              <w:jc w:val="both"/>
              <w:rPr>
                <w:rFonts w:ascii="Segoe UI" w:eastAsia="Times New Roman" w:hAnsi="Segoe UI" w:cs="Times New Roman"/>
                <w:i/>
                <w:kern w:val="0"/>
                <w:sz w:val="17"/>
                <w:szCs w:val="20"/>
                <w:lang w:val="en-GB" w:eastAsia="it-IT"/>
              </w:rPr>
            </w:pPr>
            <w:r w:rsidRPr="00297CA5">
              <w:rPr>
                <w:rFonts w:ascii="Segoe UI" w:eastAsia="新細明體" w:hAnsi="Segoe UI" w:cs="Segoe UI"/>
                <w:i/>
                <w:color w:val="000000"/>
                <w:kern w:val="0"/>
                <w:sz w:val="17"/>
                <w:szCs w:val="17"/>
                <w:lang w:val="en-GB" w:eastAsia="en-US"/>
              </w:rPr>
              <w:t xml:space="preserve">All figures should be reported in absolute amount regardless of whether the amount is to be added to or deducted from the total.  </w:t>
            </w:r>
          </w:p>
          <w:p w:rsidR="00297CA5" w:rsidRPr="00297CA5" w:rsidRDefault="00297CA5" w:rsidP="006E5C79">
            <w:pPr>
              <w:widowControl/>
              <w:numPr>
                <w:ilvl w:val="0"/>
                <w:numId w:val="6"/>
              </w:numPr>
              <w:snapToGrid w:val="0"/>
              <w:spacing w:before="40" w:after="40" w:line="240" w:lineRule="exact"/>
              <w:ind w:rightChars="71" w:right="170"/>
              <w:jc w:val="both"/>
              <w:rPr>
                <w:rFonts w:ascii="Segoe UI" w:eastAsia="Times New Roman" w:hAnsi="Segoe UI" w:cs="Times New Roman"/>
                <w:i/>
                <w:kern w:val="0"/>
                <w:sz w:val="17"/>
                <w:szCs w:val="20"/>
                <w:lang w:val="en-GB" w:eastAsia="it-IT"/>
              </w:rPr>
            </w:pPr>
            <w:r w:rsidRPr="00297CA5">
              <w:rPr>
                <w:rFonts w:ascii="Segoe UI" w:eastAsia="新細明體" w:hAnsi="Segoe UI" w:cs="Segoe UI"/>
                <w:i/>
                <w:color w:val="000000"/>
                <w:kern w:val="0"/>
                <w:sz w:val="17"/>
                <w:szCs w:val="17"/>
                <w:lang w:val="en-GB" w:eastAsia="en-US"/>
              </w:rPr>
              <w:t>Where the functional currency of a material subsidiary is a currency other than Hong Kong dollars and the material subsidiary reports amounts in this template in Hong Kong dollars, the closing middle market T/T rates prevailing at the end of the current reporting period should be used for conversion purposes.</w:t>
            </w:r>
          </w:p>
          <w:p w:rsidR="00297CA5" w:rsidRPr="00297CA5" w:rsidRDefault="00297CA5" w:rsidP="006E5C79">
            <w:pPr>
              <w:widowControl/>
              <w:numPr>
                <w:ilvl w:val="0"/>
                <w:numId w:val="6"/>
              </w:numPr>
              <w:snapToGrid w:val="0"/>
              <w:spacing w:before="40" w:after="40" w:line="240" w:lineRule="exact"/>
              <w:ind w:rightChars="71" w:right="170"/>
              <w:jc w:val="both"/>
              <w:rPr>
                <w:rFonts w:ascii="Segoe UI" w:eastAsia="Times New Roman" w:hAnsi="Segoe UI" w:cs="Times New Roman"/>
                <w:i/>
                <w:kern w:val="0"/>
                <w:sz w:val="17"/>
                <w:szCs w:val="20"/>
                <w:lang w:val="en-GB" w:eastAsia="it-IT"/>
              </w:rPr>
            </w:pPr>
            <w:r w:rsidRPr="00297CA5">
              <w:rPr>
                <w:rFonts w:ascii="Segoe UI" w:eastAsia="Times New Roman" w:hAnsi="Segoe UI" w:cs="Times New Roman"/>
                <w:i/>
                <w:kern w:val="0"/>
                <w:sz w:val="17"/>
                <w:szCs w:val="20"/>
                <w:lang w:val="en-GB" w:eastAsia="it-IT"/>
              </w:rPr>
              <w:t>Regarding the shading:</w:t>
            </w:r>
          </w:p>
          <w:p w:rsidR="00297CA5" w:rsidRPr="00297CA5" w:rsidRDefault="00297CA5" w:rsidP="006E5C79">
            <w:pPr>
              <w:widowControl/>
              <w:numPr>
                <w:ilvl w:val="1"/>
                <w:numId w:val="6"/>
              </w:numPr>
              <w:autoSpaceDE w:val="0"/>
              <w:autoSpaceDN w:val="0"/>
              <w:adjustRightInd w:val="0"/>
              <w:spacing w:after="60" w:line="240" w:lineRule="exact"/>
              <w:ind w:rightChars="71" w:right="170"/>
              <w:jc w:val="both"/>
              <w:rPr>
                <w:rFonts w:ascii="Segoe UI" w:eastAsia="Times New Roman" w:hAnsi="Segoe UI" w:cs="Times New Roman"/>
                <w:i/>
                <w:kern w:val="0"/>
                <w:sz w:val="17"/>
                <w:szCs w:val="17"/>
                <w:lang w:val="en-GB" w:eastAsia="it-IT"/>
              </w:rPr>
            </w:pPr>
            <w:r w:rsidRPr="00297CA5">
              <w:rPr>
                <w:rFonts w:ascii="Segoe UI" w:eastAsia="Times New Roman" w:hAnsi="Segoe UI" w:cs="Times New Roman"/>
                <w:i/>
                <w:kern w:val="0"/>
                <w:sz w:val="17"/>
                <w:szCs w:val="17"/>
                <w:lang w:val="en-GB" w:eastAsia="it-IT"/>
              </w:rPr>
              <w:t>A row shaded dark grey introduces a new section detailing one of the main components of internal loss-absorbing capacity.</w:t>
            </w:r>
          </w:p>
          <w:p w:rsidR="00297CA5" w:rsidRPr="00297CA5" w:rsidRDefault="00297CA5" w:rsidP="006E5C79">
            <w:pPr>
              <w:widowControl/>
              <w:numPr>
                <w:ilvl w:val="1"/>
                <w:numId w:val="6"/>
              </w:numPr>
              <w:autoSpaceDE w:val="0"/>
              <w:autoSpaceDN w:val="0"/>
              <w:adjustRightInd w:val="0"/>
              <w:spacing w:after="60" w:line="240" w:lineRule="exact"/>
              <w:ind w:rightChars="71" w:right="170"/>
              <w:jc w:val="both"/>
              <w:rPr>
                <w:rFonts w:ascii="Segoe UI" w:eastAsia="Times New Roman" w:hAnsi="Segoe UI" w:cs="Times New Roman"/>
                <w:i/>
                <w:kern w:val="0"/>
                <w:sz w:val="17"/>
                <w:szCs w:val="17"/>
                <w:lang w:val="en-GB" w:eastAsia="it-IT"/>
              </w:rPr>
            </w:pPr>
            <w:r w:rsidRPr="00297CA5">
              <w:rPr>
                <w:rFonts w:ascii="Segoe UI" w:eastAsia="Times New Roman" w:hAnsi="Segoe UI" w:cs="Times New Roman"/>
                <w:i/>
                <w:kern w:val="0"/>
                <w:sz w:val="17"/>
                <w:szCs w:val="17"/>
                <w:lang w:val="en-GB" w:eastAsia="it-IT"/>
              </w:rPr>
              <w:t>A row shaded light grey with no thick border reports the sum of the rows in the relevant section.</w:t>
            </w:r>
          </w:p>
          <w:p w:rsidR="00297CA5" w:rsidRPr="00297CA5" w:rsidRDefault="00297CA5" w:rsidP="006E5C79">
            <w:pPr>
              <w:widowControl/>
              <w:numPr>
                <w:ilvl w:val="1"/>
                <w:numId w:val="6"/>
              </w:numPr>
              <w:autoSpaceDE w:val="0"/>
              <w:autoSpaceDN w:val="0"/>
              <w:adjustRightInd w:val="0"/>
              <w:spacing w:after="60" w:line="240" w:lineRule="exact"/>
              <w:ind w:rightChars="71" w:right="170"/>
              <w:jc w:val="both"/>
              <w:rPr>
                <w:rFonts w:ascii="Segoe UI" w:eastAsia="Times New Roman" w:hAnsi="Segoe UI" w:cs="Times New Roman"/>
                <w:i/>
                <w:kern w:val="0"/>
                <w:sz w:val="20"/>
                <w:szCs w:val="17"/>
                <w:lang w:val="en-GB" w:eastAsia="it-IT"/>
              </w:rPr>
            </w:pPr>
            <w:r w:rsidRPr="00297CA5">
              <w:rPr>
                <w:rFonts w:ascii="Segoe UI" w:eastAsia="Times New Roman" w:hAnsi="Segoe UI" w:cs="Times New Roman"/>
                <w:i/>
                <w:kern w:val="0"/>
                <w:sz w:val="17"/>
                <w:szCs w:val="17"/>
                <w:lang w:val="en-GB" w:eastAsia="it-IT"/>
              </w:rPr>
              <w:t>A row shaded light grey with a thick border reports one of the main components of internal loss-absorbing capacity</w:t>
            </w:r>
          </w:p>
          <w:p w:rsidR="00297CA5" w:rsidRPr="00297CA5" w:rsidRDefault="00297CA5" w:rsidP="006E5C79">
            <w:pPr>
              <w:widowControl/>
              <w:numPr>
                <w:ilvl w:val="0"/>
                <w:numId w:val="6"/>
              </w:numPr>
              <w:snapToGrid w:val="0"/>
              <w:spacing w:before="40" w:after="40" w:line="240" w:lineRule="exact"/>
              <w:ind w:rightChars="71" w:right="170"/>
              <w:jc w:val="both"/>
              <w:rPr>
                <w:rFonts w:ascii="Segoe UI" w:eastAsia="Times New Roman" w:hAnsi="Segoe UI" w:cs="Times New Roman"/>
                <w:i/>
                <w:kern w:val="0"/>
                <w:sz w:val="17"/>
                <w:szCs w:val="17"/>
                <w:lang w:val="en-GB" w:eastAsia="it-IT"/>
              </w:rPr>
            </w:pPr>
            <w:r w:rsidRPr="00297CA5">
              <w:rPr>
                <w:rFonts w:ascii="Segoe UI" w:eastAsia="Times New Roman" w:hAnsi="Segoe UI" w:cs="Times New Roman"/>
                <w:i/>
                <w:kern w:val="0"/>
                <w:sz w:val="17"/>
                <w:szCs w:val="20"/>
                <w:lang w:val="en-GB" w:eastAsia="it-IT"/>
              </w:rPr>
              <w:t xml:space="preserve">The following table provides guidance in relation to each row of the above template.  </w:t>
            </w:r>
          </w:p>
        </w:tc>
      </w:tr>
    </w:tbl>
    <w:p w:rsidR="00297CA5" w:rsidRPr="00297CA5" w:rsidRDefault="00297CA5" w:rsidP="00297CA5">
      <w:pPr>
        <w:widowControl/>
        <w:spacing w:before="120" w:after="120"/>
        <w:rPr>
          <w:rFonts w:ascii="Segoe UI" w:eastAsia="Times New Roman" w:hAnsi="Segoe UI" w:cs="Times New Roman"/>
          <w:kern w:val="0"/>
          <w:sz w:val="17"/>
          <w:szCs w:val="17"/>
          <w:u w:val="single"/>
          <w:lang w:val="en-GB" w:eastAsia="en-US"/>
        </w:rPr>
      </w:pPr>
    </w:p>
    <w:tbl>
      <w:tblPr>
        <w:tblStyle w:val="TableGrid2"/>
        <w:tblW w:w="9214" w:type="dxa"/>
        <w:tblInd w:w="-459" w:type="dxa"/>
        <w:tblLook w:val="04A0" w:firstRow="1" w:lastRow="0" w:firstColumn="1" w:lastColumn="0" w:noHBand="0" w:noVBand="1"/>
      </w:tblPr>
      <w:tblGrid>
        <w:gridCol w:w="651"/>
        <w:gridCol w:w="8563"/>
      </w:tblGrid>
      <w:tr w:rsidR="00297CA5" w:rsidRPr="00297CA5" w:rsidTr="00297CA5">
        <w:trPr>
          <w:tblHeader/>
        </w:trPr>
        <w:tc>
          <w:tcPr>
            <w:tcW w:w="9214" w:type="dxa"/>
            <w:gridSpan w:val="2"/>
            <w:shd w:val="clear" w:color="auto" w:fill="BFBFBF" w:themeFill="background1" w:themeFillShade="BF"/>
          </w:tcPr>
          <w:p w:rsidR="00297CA5" w:rsidRPr="00297CA5" w:rsidRDefault="00297CA5" w:rsidP="00297CA5">
            <w:pPr>
              <w:widowControl/>
              <w:spacing w:before="40" w:after="40"/>
              <w:jc w:val="both"/>
              <w:rPr>
                <w:rFonts w:ascii="Segoe UI" w:hAnsi="Segoe UI" w:cs="Times New Roman"/>
                <w:b/>
                <w:kern w:val="0"/>
                <w:sz w:val="17"/>
                <w:szCs w:val="17"/>
                <w:lang w:val="en-GB" w:eastAsia="en-GB"/>
              </w:rPr>
            </w:pPr>
            <w:r w:rsidRPr="00297CA5">
              <w:rPr>
                <w:rFonts w:ascii="Segoe UI" w:hAnsi="Segoe UI" w:cs="Times New Roman"/>
                <w:b/>
                <w:kern w:val="0"/>
                <w:sz w:val="17"/>
                <w:szCs w:val="17"/>
                <w:lang w:val="en-GB" w:eastAsia="en-GB"/>
              </w:rPr>
              <w:t>Explanatory Note</w:t>
            </w:r>
          </w:p>
        </w:tc>
      </w:tr>
      <w:tr w:rsidR="00297CA5" w:rsidRPr="00297CA5" w:rsidTr="00297CA5">
        <w:trPr>
          <w:trHeight w:val="373"/>
        </w:trPr>
        <w:tc>
          <w:tcPr>
            <w:tcW w:w="9214" w:type="dxa"/>
            <w:gridSpan w:val="2"/>
            <w:shd w:val="clear" w:color="auto" w:fill="F2F2F2" w:themeFill="background1" w:themeFillShade="F2"/>
          </w:tcPr>
          <w:p w:rsidR="00297CA5" w:rsidRPr="00297CA5" w:rsidRDefault="00297CA5" w:rsidP="00297CA5">
            <w:pPr>
              <w:widowControl/>
              <w:spacing w:before="40" w:after="40"/>
              <w:jc w:val="both"/>
              <w:rPr>
                <w:rFonts w:ascii="Segoe UI" w:eastAsia="Times New Roman" w:hAnsi="Segoe UI" w:cs="Times New Roman"/>
                <w:i/>
                <w:kern w:val="0"/>
                <w:sz w:val="17"/>
                <w:szCs w:val="17"/>
                <w:lang w:val="en-GB" w:eastAsia="en-US"/>
              </w:rPr>
            </w:pPr>
            <w:r w:rsidRPr="00297CA5">
              <w:rPr>
                <w:rFonts w:ascii="Segoe UI" w:hAnsi="Segoe UI" w:cs="Times New Roman"/>
                <w:b/>
                <w:kern w:val="0"/>
                <w:sz w:val="17"/>
                <w:szCs w:val="17"/>
                <w:lang w:val="en-GB" w:eastAsia="en-GB"/>
              </w:rPr>
              <w:t>Rows</w:t>
            </w:r>
          </w:p>
        </w:tc>
      </w:tr>
      <w:tr w:rsidR="00297CA5" w:rsidRPr="00297CA5" w:rsidTr="00297CA5">
        <w:trPr>
          <w:trHeight w:val="373"/>
        </w:trPr>
        <w:tc>
          <w:tcPr>
            <w:tcW w:w="651" w:type="dxa"/>
          </w:tcPr>
          <w:p w:rsidR="00297CA5" w:rsidRPr="00297CA5" w:rsidRDefault="00297CA5" w:rsidP="00297CA5">
            <w:pPr>
              <w:keepLines/>
              <w:tabs>
                <w:tab w:val="left" w:pos="150"/>
                <w:tab w:val="left" w:pos="397"/>
                <w:tab w:val="left" w:pos="794"/>
                <w:tab w:val="left" w:pos="1191"/>
              </w:tabs>
              <w:spacing w:before="40" w:after="40"/>
              <w:rPr>
                <w:rFonts w:ascii="Segoe UI" w:eastAsia="Times New Roman" w:hAnsi="Segoe UI" w:cs="Segoe UI"/>
                <w:kern w:val="0"/>
                <w:sz w:val="17"/>
                <w:szCs w:val="17"/>
                <w:lang w:val="en-GB" w:eastAsia="en-GB"/>
              </w:rPr>
            </w:pPr>
            <w:r w:rsidRPr="00297CA5">
              <w:rPr>
                <w:rFonts w:ascii="Segoe UI" w:eastAsia="Times New Roman" w:hAnsi="Segoe UI" w:cs="Segoe UI"/>
                <w:kern w:val="0"/>
                <w:sz w:val="17"/>
                <w:szCs w:val="17"/>
                <w:lang w:val="en-GB" w:eastAsia="en-GB"/>
              </w:rPr>
              <w:t>1</w:t>
            </w:r>
          </w:p>
        </w:tc>
        <w:tc>
          <w:tcPr>
            <w:tcW w:w="8563" w:type="dxa"/>
          </w:tcPr>
          <w:p w:rsidR="00297CA5" w:rsidRPr="00297CA5" w:rsidRDefault="00297CA5" w:rsidP="00297CA5">
            <w:pPr>
              <w:widowControl/>
              <w:spacing w:before="40" w:after="40"/>
              <w:jc w:val="both"/>
              <w:rPr>
                <w:rFonts w:ascii="Segoe UI" w:eastAsia="Times New Roman" w:hAnsi="Segoe UI" w:cs="Times New Roman"/>
                <w:kern w:val="0"/>
                <w:sz w:val="17"/>
                <w:szCs w:val="17"/>
                <w:lang w:val="en-GB" w:eastAsia="en-US"/>
              </w:rPr>
            </w:pPr>
            <w:r w:rsidRPr="00297CA5">
              <w:rPr>
                <w:rFonts w:ascii="Segoe UI" w:eastAsia="Times New Roman" w:hAnsi="Segoe UI" w:cs="Times New Roman"/>
                <w:kern w:val="0"/>
                <w:sz w:val="17"/>
                <w:szCs w:val="17"/>
                <w:lang w:val="en-GB" w:eastAsia="en-US"/>
              </w:rPr>
              <w:t xml:space="preserve">CET1 capital of the material subsidiary, calculated as if the BCR applied to the entity with respect to its LAC consolidation group as defined in the LAC Rules.  </w:t>
            </w:r>
          </w:p>
        </w:tc>
      </w:tr>
      <w:tr w:rsidR="00297CA5" w:rsidRPr="00297CA5" w:rsidTr="00297CA5">
        <w:trPr>
          <w:trHeight w:val="373"/>
        </w:trPr>
        <w:tc>
          <w:tcPr>
            <w:tcW w:w="651" w:type="dxa"/>
          </w:tcPr>
          <w:p w:rsidR="00297CA5" w:rsidRPr="00297CA5" w:rsidRDefault="00297CA5" w:rsidP="00297CA5">
            <w:pPr>
              <w:keepLines/>
              <w:tabs>
                <w:tab w:val="left" w:pos="150"/>
                <w:tab w:val="left" w:pos="397"/>
                <w:tab w:val="left" w:pos="794"/>
                <w:tab w:val="left" w:pos="1191"/>
              </w:tabs>
              <w:spacing w:before="40" w:after="40"/>
              <w:rPr>
                <w:rFonts w:ascii="Segoe UI" w:eastAsia="Times New Roman" w:hAnsi="Segoe UI" w:cs="Segoe UI"/>
                <w:kern w:val="0"/>
                <w:sz w:val="17"/>
                <w:szCs w:val="17"/>
                <w:lang w:val="en-GB" w:eastAsia="en-GB"/>
              </w:rPr>
            </w:pPr>
            <w:r w:rsidRPr="00297CA5">
              <w:rPr>
                <w:rFonts w:ascii="Segoe UI" w:eastAsia="Times New Roman" w:hAnsi="Segoe UI" w:cs="Segoe UI"/>
                <w:kern w:val="0"/>
                <w:sz w:val="17"/>
                <w:szCs w:val="17"/>
                <w:lang w:val="en-GB" w:eastAsia="en-GB"/>
              </w:rPr>
              <w:t>2</w:t>
            </w:r>
          </w:p>
        </w:tc>
        <w:tc>
          <w:tcPr>
            <w:tcW w:w="8563" w:type="dxa"/>
          </w:tcPr>
          <w:p w:rsidR="00297CA5" w:rsidRPr="00297CA5" w:rsidRDefault="00297CA5" w:rsidP="00297CA5">
            <w:pPr>
              <w:widowControl/>
              <w:spacing w:before="40" w:after="40"/>
              <w:jc w:val="both"/>
              <w:rPr>
                <w:rFonts w:ascii="Segoe UI" w:eastAsia="Times New Roman" w:hAnsi="Segoe UI" w:cs="Times New Roman"/>
                <w:kern w:val="0"/>
                <w:sz w:val="15"/>
                <w:szCs w:val="17"/>
                <w:lang w:val="en-GB" w:eastAsia="en-US"/>
              </w:rPr>
            </w:pPr>
            <w:r w:rsidRPr="00297CA5">
              <w:rPr>
                <w:rFonts w:ascii="Segoe UI" w:eastAsia="Times New Roman" w:hAnsi="Segoe UI" w:cs="Times New Roman"/>
                <w:kern w:val="0"/>
                <w:sz w:val="17"/>
                <w:szCs w:val="17"/>
                <w:lang w:val="en-GB" w:eastAsia="en-US"/>
              </w:rPr>
              <w:t>AT1 capital before LAC adjustments of the material subsidiary, calculated as if the BCR applied to the entity with respect to its LAC consolidation group as defined in the LAC Rules.</w:t>
            </w:r>
          </w:p>
        </w:tc>
      </w:tr>
      <w:tr w:rsidR="00297CA5" w:rsidRPr="00297CA5" w:rsidTr="00297CA5">
        <w:trPr>
          <w:trHeight w:val="373"/>
        </w:trPr>
        <w:tc>
          <w:tcPr>
            <w:tcW w:w="651" w:type="dxa"/>
          </w:tcPr>
          <w:p w:rsidR="00297CA5" w:rsidRPr="00297CA5" w:rsidRDefault="00297CA5" w:rsidP="00297CA5">
            <w:pPr>
              <w:keepLines/>
              <w:tabs>
                <w:tab w:val="left" w:pos="150"/>
                <w:tab w:val="left" w:pos="397"/>
                <w:tab w:val="left" w:pos="794"/>
                <w:tab w:val="left" w:pos="1191"/>
              </w:tabs>
              <w:spacing w:before="40" w:after="40"/>
              <w:rPr>
                <w:rFonts w:ascii="Segoe UI" w:eastAsia="Times New Roman" w:hAnsi="Segoe UI" w:cs="Segoe UI"/>
                <w:kern w:val="0"/>
                <w:sz w:val="17"/>
                <w:szCs w:val="17"/>
                <w:lang w:val="en-GB" w:eastAsia="en-GB"/>
              </w:rPr>
            </w:pPr>
            <w:r w:rsidRPr="00297CA5">
              <w:rPr>
                <w:rFonts w:ascii="Segoe UI" w:eastAsia="Times New Roman" w:hAnsi="Segoe UI" w:cs="Segoe UI"/>
                <w:kern w:val="0"/>
                <w:sz w:val="17"/>
                <w:szCs w:val="17"/>
                <w:lang w:val="en-GB" w:eastAsia="en-GB"/>
              </w:rPr>
              <w:t>3</w:t>
            </w:r>
          </w:p>
        </w:tc>
        <w:tc>
          <w:tcPr>
            <w:tcW w:w="8563" w:type="dxa"/>
            <w:shd w:val="clear" w:color="auto" w:fill="auto"/>
          </w:tcPr>
          <w:p w:rsidR="00297CA5" w:rsidRPr="00297CA5" w:rsidRDefault="00297CA5" w:rsidP="00297CA5">
            <w:pPr>
              <w:widowControl/>
              <w:spacing w:before="40" w:after="40"/>
              <w:jc w:val="both"/>
              <w:rPr>
                <w:rFonts w:ascii="Segoe UI" w:eastAsia="Times New Roman" w:hAnsi="Segoe UI" w:cs="Times New Roman"/>
                <w:kern w:val="0"/>
                <w:sz w:val="17"/>
                <w:szCs w:val="17"/>
                <w:lang w:val="en-GB" w:eastAsia="en-US"/>
              </w:rPr>
            </w:pPr>
            <w:r w:rsidRPr="00297CA5">
              <w:rPr>
                <w:rFonts w:ascii="Segoe UI" w:eastAsia="Times New Roman" w:hAnsi="Segoe UI" w:cs="Times New Roman"/>
                <w:kern w:val="0"/>
                <w:sz w:val="17"/>
                <w:szCs w:val="17"/>
                <w:lang w:val="en-GB" w:eastAsia="en-US"/>
              </w:rPr>
              <w:t xml:space="preserve">AT1 capital instruments not issued directly to or indirectly to, and held directly or indirectly by, the resolution entity or non-HK resolution entity in the material subsidiary’s resolution group that do not count towards internal loss-absorbing capacity pursuant to rule 39(a)(ii) of the LAC Rules, but otherwise fulfil all the qualifying criteria set out in Schedule 2 to the LAC Rules.  </w:t>
            </w:r>
          </w:p>
        </w:tc>
      </w:tr>
      <w:tr w:rsidR="00297CA5" w:rsidRPr="00297CA5" w:rsidTr="00297CA5">
        <w:trPr>
          <w:trHeight w:val="373"/>
        </w:trPr>
        <w:tc>
          <w:tcPr>
            <w:tcW w:w="651" w:type="dxa"/>
          </w:tcPr>
          <w:p w:rsidR="00297CA5" w:rsidRPr="00297CA5" w:rsidRDefault="00297CA5" w:rsidP="00297CA5">
            <w:pPr>
              <w:keepLines/>
              <w:tabs>
                <w:tab w:val="left" w:pos="150"/>
                <w:tab w:val="left" w:pos="397"/>
                <w:tab w:val="left" w:pos="794"/>
                <w:tab w:val="left" w:pos="1191"/>
              </w:tabs>
              <w:spacing w:before="40" w:after="40"/>
              <w:rPr>
                <w:rFonts w:ascii="Segoe UI" w:eastAsia="Times New Roman" w:hAnsi="Segoe UI" w:cs="Segoe UI"/>
                <w:kern w:val="0"/>
                <w:sz w:val="17"/>
                <w:szCs w:val="17"/>
                <w:lang w:val="en-GB" w:eastAsia="en-GB"/>
              </w:rPr>
            </w:pPr>
            <w:r w:rsidRPr="00297CA5">
              <w:rPr>
                <w:rFonts w:ascii="Segoe UI" w:eastAsia="Times New Roman" w:hAnsi="Segoe UI" w:cs="Segoe UI"/>
                <w:kern w:val="0"/>
                <w:sz w:val="17"/>
                <w:szCs w:val="17"/>
                <w:lang w:val="en-GB" w:eastAsia="en-GB"/>
              </w:rPr>
              <w:t>4</w:t>
            </w:r>
          </w:p>
        </w:tc>
        <w:tc>
          <w:tcPr>
            <w:tcW w:w="8563" w:type="dxa"/>
            <w:shd w:val="clear" w:color="auto" w:fill="auto"/>
          </w:tcPr>
          <w:p w:rsidR="00297CA5" w:rsidRPr="00297CA5" w:rsidRDefault="00297CA5" w:rsidP="00297CA5">
            <w:pPr>
              <w:widowControl/>
              <w:spacing w:before="40" w:after="40"/>
              <w:jc w:val="both"/>
              <w:rPr>
                <w:rFonts w:ascii="Segoe UI" w:eastAsia="Times New Roman" w:hAnsi="Segoe UI" w:cs="Times New Roman"/>
                <w:kern w:val="0"/>
                <w:sz w:val="17"/>
                <w:szCs w:val="17"/>
                <w:lang w:val="en-GB" w:eastAsia="en-US"/>
              </w:rPr>
            </w:pPr>
            <w:r w:rsidRPr="00297CA5">
              <w:rPr>
                <w:rFonts w:ascii="Segoe UI" w:eastAsia="Times New Roman" w:hAnsi="Segoe UI" w:cs="Times New Roman"/>
                <w:kern w:val="0"/>
                <w:sz w:val="17"/>
                <w:szCs w:val="17"/>
                <w:lang w:val="en-GB" w:eastAsia="en-US"/>
              </w:rPr>
              <w:t xml:space="preserve">Other elements of AT1 capital that are ineligible as internal loss-absorbing capacity (excluding those already incorporated in row 3).  For example, any AT1 capital instrument that is not an internal LAC debt instrument (i.e. it does not meet all the qualifying criteria set out in Schedule 2 to the LAC Rules) under rule 39(a)(i) of the LAC Rules or any item of AT1 capital instrument that a material subsidiary is required by the resolution authority to exclude from, or to discontinue inclusion in, the calculation of its internal loss-absorbing capacity under rule 42 of the LAC Rules.  </w:t>
            </w:r>
          </w:p>
        </w:tc>
      </w:tr>
      <w:tr w:rsidR="00297CA5" w:rsidRPr="00297CA5" w:rsidTr="00297CA5">
        <w:trPr>
          <w:trHeight w:val="373"/>
        </w:trPr>
        <w:tc>
          <w:tcPr>
            <w:tcW w:w="651" w:type="dxa"/>
          </w:tcPr>
          <w:p w:rsidR="00297CA5" w:rsidRPr="00297CA5" w:rsidRDefault="00297CA5" w:rsidP="00297CA5">
            <w:pPr>
              <w:keepLines/>
              <w:tabs>
                <w:tab w:val="left" w:pos="150"/>
                <w:tab w:val="left" w:pos="397"/>
                <w:tab w:val="left" w:pos="794"/>
                <w:tab w:val="left" w:pos="1191"/>
              </w:tabs>
              <w:spacing w:before="40" w:after="40"/>
              <w:rPr>
                <w:rFonts w:ascii="Segoe UI" w:eastAsia="Times New Roman" w:hAnsi="Segoe UI" w:cs="Segoe UI"/>
                <w:kern w:val="0"/>
                <w:sz w:val="17"/>
                <w:szCs w:val="17"/>
                <w:lang w:val="en-GB" w:eastAsia="en-GB"/>
              </w:rPr>
            </w:pPr>
            <w:r w:rsidRPr="00297CA5">
              <w:rPr>
                <w:rFonts w:ascii="Segoe UI" w:eastAsia="Times New Roman" w:hAnsi="Segoe UI" w:cs="Segoe UI"/>
                <w:kern w:val="0"/>
                <w:sz w:val="17"/>
                <w:szCs w:val="17"/>
                <w:lang w:val="en-GB" w:eastAsia="en-GB"/>
              </w:rPr>
              <w:t>5</w:t>
            </w:r>
          </w:p>
        </w:tc>
        <w:tc>
          <w:tcPr>
            <w:tcW w:w="8563" w:type="dxa"/>
            <w:shd w:val="clear" w:color="auto" w:fill="auto"/>
          </w:tcPr>
          <w:p w:rsidR="00297CA5" w:rsidRPr="00297CA5" w:rsidRDefault="00297CA5" w:rsidP="00297CA5">
            <w:pPr>
              <w:widowControl/>
              <w:spacing w:before="40" w:after="40"/>
              <w:jc w:val="both"/>
              <w:rPr>
                <w:rFonts w:ascii="Segoe UI" w:eastAsia="Times New Roman" w:hAnsi="Segoe UI" w:cs="Times New Roman"/>
                <w:kern w:val="0"/>
                <w:sz w:val="17"/>
                <w:szCs w:val="17"/>
                <w:lang w:val="en-GB" w:eastAsia="en-US"/>
              </w:rPr>
            </w:pPr>
            <w:r w:rsidRPr="00297CA5">
              <w:rPr>
                <w:rFonts w:ascii="Segoe UI" w:eastAsia="Times New Roman" w:hAnsi="Segoe UI" w:cs="Times New Roman"/>
                <w:kern w:val="0"/>
                <w:sz w:val="17"/>
                <w:szCs w:val="17"/>
                <w:lang w:val="en-GB" w:eastAsia="en-US"/>
              </w:rPr>
              <w:t xml:space="preserve">AT1 capital eligible to be included under the LAC Rules, calculated as the value in row 2 minus the values in </w:t>
            </w:r>
            <w:r w:rsidRPr="00297CA5">
              <w:rPr>
                <w:rFonts w:ascii="Segoe UI" w:eastAsia="Times New Roman" w:hAnsi="Segoe UI" w:cs="Times New Roman"/>
                <w:kern w:val="0"/>
                <w:sz w:val="17"/>
                <w:szCs w:val="17"/>
                <w:lang w:val="en-GB" w:eastAsia="en-US"/>
              </w:rPr>
              <w:lastRenderedPageBreak/>
              <w:t>rows 3 and 4.</w:t>
            </w:r>
          </w:p>
        </w:tc>
      </w:tr>
      <w:tr w:rsidR="00297CA5" w:rsidRPr="00297CA5" w:rsidTr="00297CA5">
        <w:trPr>
          <w:trHeight w:val="373"/>
        </w:trPr>
        <w:tc>
          <w:tcPr>
            <w:tcW w:w="651" w:type="dxa"/>
          </w:tcPr>
          <w:p w:rsidR="00297CA5" w:rsidRPr="00297CA5" w:rsidRDefault="00297CA5" w:rsidP="00297CA5">
            <w:pPr>
              <w:keepLines/>
              <w:tabs>
                <w:tab w:val="left" w:pos="150"/>
                <w:tab w:val="left" w:pos="397"/>
                <w:tab w:val="left" w:pos="794"/>
                <w:tab w:val="left" w:pos="1191"/>
              </w:tabs>
              <w:spacing w:before="40" w:after="40"/>
              <w:rPr>
                <w:rFonts w:ascii="Segoe UI" w:eastAsia="Times New Roman" w:hAnsi="Segoe UI" w:cs="Segoe UI"/>
                <w:kern w:val="0"/>
                <w:sz w:val="17"/>
                <w:szCs w:val="17"/>
                <w:lang w:val="en-GB" w:eastAsia="en-GB"/>
              </w:rPr>
            </w:pPr>
            <w:r w:rsidRPr="00297CA5">
              <w:rPr>
                <w:rFonts w:ascii="Segoe UI" w:eastAsia="Times New Roman" w:hAnsi="Segoe UI" w:cs="Segoe UI"/>
                <w:kern w:val="0"/>
                <w:sz w:val="17"/>
                <w:szCs w:val="17"/>
                <w:lang w:val="en-GB" w:eastAsia="en-GB"/>
              </w:rPr>
              <w:lastRenderedPageBreak/>
              <w:t>6</w:t>
            </w:r>
          </w:p>
        </w:tc>
        <w:tc>
          <w:tcPr>
            <w:tcW w:w="8563" w:type="dxa"/>
          </w:tcPr>
          <w:p w:rsidR="00297CA5" w:rsidRPr="00297CA5" w:rsidRDefault="00297CA5" w:rsidP="00297CA5">
            <w:pPr>
              <w:widowControl/>
              <w:spacing w:before="40" w:after="40"/>
              <w:jc w:val="both"/>
              <w:rPr>
                <w:rFonts w:ascii="Segoe UI" w:eastAsia="Times New Roman" w:hAnsi="Segoe UI" w:cs="Times New Roman"/>
                <w:kern w:val="0"/>
                <w:sz w:val="17"/>
                <w:szCs w:val="17"/>
                <w:lang w:val="en-GB" w:eastAsia="en-US"/>
              </w:rPr>
            </w:pPr>
            <w:r w:rsidRPr="00297CA5">
              <w:rPr>
                <w:rFonts w:ascii="Segoe UI" w:eastAsia="Times New Roman" w:hAnsi="Segoe UI" w:cs="Times New Roman"/>
                <w:kern w:val="0"/>
                <w:sz w:val="17"/>
                <w:szCs w:val="17"/>
                <w:lang w:val="en-GB" w:eastAsia="en-US"/>
              </w:rPr>
              <w:t>Tier 2 capital before LAC adjustments of the material subsidiary, calculated as if the BCR applied to the entity with respect to its LAC consolidation group as defined in the LAC Rules.</w:t>
            </w:r>
          </w:p>
        </w:tc>
      </w:tr>
      <w:tr w:rsidR="00297CA5" w:rsidRPr="00297CA5" w:rsidTr="00297CA5">
        <w:trPr>
          <w:trHeight w:val="373"/>
        </w:trPr>
        <w:tc>
          <w:tcPr>
            <w:tcW w:w="651" w:type="dxa"/>
          </w:tcPr>
          <w:p w:rsidR="00297CA5" w:rsidRPr="00297CA5" w:rsidRDefault="00297CA5" w:rsidP="00297CA5">
            <w:pPr>
              <w:keepLines/>
              <w:tabs>
                <w:tab w:val="left" w:pos="150"/>
                <w:tab w:val="left" w:pos="397"/>
                <w:tab w:val="left" w:pos="794"/>
                <w:tab w:val="left" w:pos="1191"/>
              </w:tabs>
              <w:spacing w:before="40" w:after="40"/>
              <w:rPr>
                <w:rFonts w:ascii="Segoe UI" w:eastAsia="Times New Roman" w:hAnsi="Segoe UI" w:cs="Segoe UI"/>
                <w:kern w:val="0"/>
                <w:sz w:val="17"/>
                <w:szCs w:val="17"/>
                <w:lang w:val="en-GB" w:eastAsia="en-GB"/>
              </w:rPr>
            </w:pPr>
            <w:r w:rsidRPr="00297CA5">
              <w:rPr>
                <w:rFonts w:ascii="Segoe UI" w:eastAsia="Times New Roman" w:hAnsi="Segoe UI" w:cs="Segoe UI"/>
                <w:kern w:val="0"/>
                <w:sz w:val="17"/>
                <w:szCs w:val="17"/>
                <w:lang w:val="en-GB" w:eastAsia="en-GB"/>
              </w:rPr>
              <w:t>7</w:t>
            </w:r>
          </w:p>
        </w:tc>
        <w:tc>
          <w:tcPr>
            <w:tcW w:w="8563" w:type="dxa"/>
          </w:tcPr>
          <w:p w:rsidR="00297CA5" w:rsidRPr="00297CA5" w:rsidRDefault="00297CA5" w:rsidP="00297CA5">
            <w:pPr>
              <w:widowControl/>
              <w:spacing w:before="40" w:after="40"/>
              <w:jc w:val="both"/>
              <w:rPr>
                <w:rFonts w:ascii="Segoe UI" w:eastAsia="Times New Roman" w:hAnsi="Segoe UI" w:cs="Times New Roman"/>
                <w:kern w:val="0"/>
                <w:sz w:val="17"/>
                <w:szCs w:val="17"/>
                <w:lang w:val="en-GB" w:eastAsia="en-US"/>
              </w:rPr>
            </w:pPr>
            <w:r w:rsidRPr="00297CA5">
              <w:rPr>
                <w:rFonts w:ascii="Segoe UI" w:eastAsia="Times New Roman" w:hAnsi="Segoe UI" w:cs="Times New Roman"/>
                <w:kern w:val="0"/>
                <w:sz w:val="17"/>
                <w:szCs w:val="17"/>
                <w:lang w:val="en-GB" w:eastAsia="en-US"/>
              </w:rPr>
              <w:t>Amortized portion of T2 capital instruments that are internal LAC debt instruments issued directly or indirectly to, and held directly or indirectly by, the resolution entity or non-HK resolution entity in the material subsidiary’s resolution group.  This row recognises that as long as a T2 capital instrument has more than one year of residual maturity as required under section 1(1)(d) of Schedule 2 to the LAC Rules, the full amount may be included in internal loss-absorbing capacity, even if the instrument is partially derecognised from regulatory capital under the BCR due to the requirement to amortise the instrument in the five years before maturity.  Only the amount not recognised in regulatory capital aforementioned but meeting all internal loss-absorbing capacity eligibility criteria should be reported in this row.</w:t>
            </w:r>
          </w:p>
        </w:tc>
      </w:tr>
      <w:tr w:rsidR="00297CA5" w:rsidRPr="00297CA5" w:rsidTr="00297CA5">
        <w:trPr>
          <w:trHeight w:val="373"/>
        </w:trPr>
        <w:tc>
          <w:tcPr>
            <w:tcW w:w="651" w:type="dxa"/>
          </w:tcPr>
          <w:p w:rsidR="00297CA5" w:rsidRPr="00297CA5" w:rsidRDefault="00297CA5" w:rsidP="00297CA5">
            <w:pPr>
              <w:keepLines/>
              <w:tabs>
                <w:tab w:val="left" w:pos="150"/>
                <w:tab w:val="left" w:pos="397"/>
                <w:tab w:val="left" w:pos="794"/>
                <w:tab w:val="left" w:pos="1191"/>
              </w:tabs>
              <w:spacing w:before="40" w:after="40"/>
              <w:rPr>
                <w:rFonts w:ascii="Segoe UI" w:eastAsia="Times New Roman" w:hAnsi="Segoe UI" w:cs="Segoe UI"/>
                <w:kern w:val="0"/>
                <w:sz w:val="17"/>
                <w:szCs w:val="17"/>
                <w:lang w:val="en-GB" w:eastAsia="en-GB"/>
              </w:rPr>
            </w:pPr>
            <w:r w:rsidRPr="00297CA5">
              <w:rPr>
                <w:rFonts w:ascii="Segoe UI" w:eastAsia="Times New Roman" w:hAnsi="Segoe UI" w:cs="Segoe UI"/>
                <w:kern w:val="0"/>
                <w:sz w:val="17"/>
                <w:szCs w:val="17"/>
                <w:lang w:val="en-GB" w:eastAsia="en-GB"/>
              </w:rPr>
              <w:t>8</w:t>
            </w:r>
          </w:p>
        </w:tc>
        <w:tc>
          <w:tcPr>
            <w:tcW w:w="8563" w:type="dxa"/>
          </w:tcPr>
          <w:p w:rsidR="00297CA5" w:rsidRPr="00297CA5" w:rsidRDefault="00297CA5" w:rsidP="00297CA5">
            <w:pPr>
              <w:widowControl/>
              <w:spacing w:before="40" w:after="40"/>
              <w:jc w:val="both"/>
              <w:rPr>
                <w:rFonts w:ascii="Segoe UI" w:eastAsia="Times New Roman" w:hAnsi="Segoe UI" w:cs="Times New Roman"/>
                <w:kern w:val="0"/>
                <w:sz w:val="17"/>
                <w:szCs w:val="17"/>
                <w:lang w:val="en-GB" w:eastAsia="en-US"/>
              </w:rPr>
            </w:pPr>
            <w:r w:rsidRPr="00297CA5">
              <w:rPr>
                <w:rFonts w:ascii="Segoe UI" w:eastAsia="Times New Roman" w:hAnsi="Segoe UI" w:cs="Times New Roman"/>
                <w:kern w:val="0"/>
                <w:sz w:val="17"/>
                <w:szCs w:val="17"/>
                <w:lang w:val="en-GB" w:eastAsia="en-US"/>
              </w:rPr>
              <w:t xml:space="preserve">T2 capital instruments not issued directly or indirectly to, and held directly or indirectly by, the resolution entity or non-HK resolution entity in the material subsidiary’s resolution group that do not count towards internal loss-absorbing capacity under rule 39(a)(ii) of the LAC Rules, but otherwise fulfil all the qualifying criteria set out in Schedule 2 to the LAC Rules. </w:t>
            </w:r>
          </w:p>
        </w:tc>
      </w:tr>
      <w:tr w:rsidR="00297CA5" w:rsidRPr="00297CA5" w:rsidTr="00297CA5">
        <w:trPr>
          <w:trHeight w:val="373"/>
        </w:trPr>
        <w:tc>
          <w:tcPr>
            <w:tcW w:w="651" w:type="dxa"/>
          </w:tcPr>
          <w:p w:rsidR="00297CA5" w:rsidRPr="00297CA5" w:rsidRDefault="00297CA5" w:rsidP="00297CA5">
            <w:pPr>
              <w:keepLines/>
              <w:tabs>
                <w:tab w:val="left" w:pos="150"/>
                <w:tab w:val="left" w:pos="397"/>
                <w:tab w:val="left" w:pos="794"/>
                <w:tab w:val="left" w:pos="1191"/>
              </w:tabs>
              <w:spacing w:before="40" w:after="40"/>
              <w:rPr>
                <w:rFonts w:ascii="Segoe UI" w:eastAsia="Times New Roman" w:hAnsi="Segoe UI" w:cs="Segoe UI"/>
                <w:kern w:val="0"/>
                <w:sz w:val="17"/>
                <w:szCs w:val="17"/>
                <w:lang w:val="en-GB" w:eastAsia="en-GB"/>
              </w:rPr>
            </w:pPr>
            <w:r w:rsidRPr="00297CA5">
              <w:rPr>
                <w:rFonts w:ascii="Segoe UI" w:eastAsia="Times New Roman" w:hAnsi="Segoe UI" w:cs="Segoe UI"/>
                <w:kern w:val="0"/>
                <w:sz w:val="17"/>
                <w:szCs w:val="17"/>
                <w:lang w:val="en-GB" w:eastAsia="en-GB"/>
              </w:rPr>
              <w:t>9</w:t>
            </w:r>
          </w:p>
        </w:tc>
        <w:tc>
          <w:tcPr>
            <w:tcW w:w="8563" w:type="dxa"/>
          </w:tcPr>
          <w:p w:rsidR="00297CA5" w:rsidRPr="00297CA5" w:rsidRDefault="00297CA5" w:rsidP="00297CA5">
            <w:pPr>
              <w:widowControl/>
              <w:spacing w:before="40" w:after="40"/>
              <w:jc w:val="both"/>
              <w:rPr>
                <w:rFonts w:ascii="Segoe UI" w:eastAsia="Times New Roman" w:hAnsi="Segoe UI" w:cs="Times New Roman"/>
                <w:kern w:val="0"/>
                <w:sz w:val="17"/>
                <w:szCs w:val="17"/>
                <w:lang w:val="en-GB" w:eastAsia="en-US"/>
              </w:rPr>
            </w:pPr>
            <w:r w:rsidRPr="00297CA5">
              <w:rPr>
                <w:rFonts w:ascii="Segoe UI" w:eastAsia="Times New Roman" w:hAnsi="Segoe UI" w:cs="Times New Roman"/>
                <w:kern w:val="0"/>
                <w:sz w:val="17"/>
                <w:szCs w:val="17"/>
                <w:lang w:val="en-GB" w:eastAsia="en-US"/>
              </w:rPr>
              <w:t xml:space="preserve">Other elements of T2 capital that are ineligible as internal loss-absorbing capacity (excluding those already incorporated in row 8).  For example, any T2 capital instrument that is not an internal LAC debt instrument (i.e. it does not meet all the qualifying criteria set out in Schedule 2 to the LAC Rules) under rule 39(a)(i) of the LAC Rules or any item of T2 capital instrument that a material subsidiary is required by the resolution authority to exclude from, or to discontinue inclusion in, the calculation of the internal loss-absorbing capacity of the material subsidiary under rule 42 of the LAC Rules.  </w:t>
            </w:r>
          </w:p>
        </w:tc>
      </w:tr>
      <w:tr w:rsidR="00297CA5" w:rsidRPr="00297CA5" w:rsidTr="00297CA5">
        <w:trPr>
          <w:trHeight w:val="373"/>
        </w:trPr>
        <w:tc>
          <w:tcPr>
            <w:tcW w:w="651" w:type="dxa"/>
          </w:tcPr>
          <w:p w:rsidR="00297CA5" w:rsidRPr="00297CA5" w:rsidRDefault="00297CA5" w:rsidP="00297CA5">
            <w:pPr>
              <w:keepLines/>
              <w:tabs>
                <w:tab w:val="left" w:pos="150"/>
                <w:tab w:val="left" w:pos="397"/>
                <w:tab w:val="left" w:pos="794"/>
                <w:tab w:val="left" w:pos="1191"/>
              </w:tabs>
              <w:spacing w:before="40" w:after="40"/>
              <w:rPr>
                <w:rFonts w:ascii="Segoe UI" w:eastAsia="Times New Roman" w:hAnsi="Segoe UI" w:cs="Segoe UI"/>
                <w:kern w:val="0"/>
                <w:sz w:val="17"/>
                <w:szCs w:val="17"/>
                <w:lang w:val="en-GB" w:eastAsia="en-GB"/>
              </w:rPr>
            </w:pPr>
            <w:r w:rsidRPr="00297CA5">
              <w:rPr>
                <w:rFonts w:ascii="Segoe UI" w:eastAsia="Times New Roman" w:hAnsi="Segoe UI" w:cs="Segoe UI"/>
                <w:kern w:val="0"/>
                <w:sz w:val="17"/>
                <w:szCs w:val="17"/>
                <w:lang w:val="en-GB" w:eastAsia="en-GB"/>
              </w:rPr>
              <w:t>10</w:t>
            </w:r>
          </w:p>
        </w:tc>
        <w:tc>
          <w:tcPr>
            <w:tcW w:w="8563" w:type="dxa"/>
          </w:tcPr>
          <w:p w:rsidR="00297CA5" w:rsidRPr="00297CA5" w:rsidRDefault="00297CA5" w:rsidP="00297CA5">
            <w:pPr>
              <w:widowControl/>
              <w:spacing w:before="40" w:after="40"/>
              <w:jc w:val="both"/>
              <w:rPr>
                <w:rFonts w:ascii="Segoe UI" w:eastAsia="Times New Roman" w:hAnsi="Segoe UI" w:cs="Times New Roman"/>
                <w:kern w:val="0"/>
                <w:sz w:val="17"/>
                <w:szCs w:val="17"/>
                <w:lang w:val="en-GB" w:eastAsia="en-US"/>
              </w:rPr>
            </w:pPr>
            <w:r w:rsidRPr="00297CA5">
              <w:rPr>
                <w:rFonts w:ascii="Segoe UI" w:eastAsia="Times New Roman" w:hAnsi="Segoe UI" w:cs="Times New Roman"/>
                <w:kern w:val="0"/>
                <w:sz w:val="17"/>
                <w:szCs w:val="17"/>
                <w:lang w:val="en-GB" w:eastAsia="en-US"/>
              </w:rPr>
              <w:t>T2 capital eligible to be included under the LAC Rules, calculated as value in row 6, add the value in row 7, and then minus the values in rows 8 and 9.</w:t>
            </w:r>
          </w:p>
        </w:tc>
      </w:tr>
      <w:tr w:rsidR="00297CA5" w:rsidRPr="00297CA5" w:rsidTr="00297CA5">
        <w:trPr>
          <w:trHeight w:val="373"/>
        </w:trPr>
        <w:tc>
          <w:tcPr>
            <w:tcW w:w="651" w:type="dxa"/>
          </w:tcPr>
          <w:p w:rsidR="00297CA5" w:rsidRPr="00297CA5" w:rsidRDefault="00297CA5" w:rsidP="00297CA5">
            <w:pPr>
              <w:keepLines/>
              <w:tabs>
                <w:tab w:val="left" w:pos="150"/>
                <w:tab w:val="left" w:pos="397"/>
                <w:tab w:val="left" w:pos="794"/>
                <w:tab w:val="left" w:pos="1191"/>
              </w:tabs>
              <w:spacing w:before="40" w:after="40"/>
              <w:rPr>
                <w:rFonts w:ascii="Segoe UI" w:eastAsia="Times New Roman" w:hAnsi="Segoe UI" w:cs="Segoe UI"/>
                <w:kern w:val="0"/>
                <w:sz w:val="17"/>
                <w:szCs w:val="17"/>
                <w:lang w:val="en-GB" w:eastAsia="en-GB"/>
              </w:rPr>
            </w:pPr>
            <w:r w:rsidRPr="00297CA5">
              <w:rPr>
                <w:rFonts w:ascii="Segoe UI" w:eastAsia="Times New Roman" w:hAnsi="Segoe UI" w:cs="Segoe UI"/>
                <w:kern w:val="0"/>
                <w:sz w:val="17"/>
                <w:szCs w:val="17"/>
                <w:lang w:val="en-GB" w:eastAsia="en-GB"/>
              </w:rPr>
              <w:t>11</w:t>
            </w:r>
          </w:p>
        </w:tc>
        <w:tc>
          <w:tcPr>
            <w:tcW w:w="8563" w:type="dxa"/>
          </w:tcPr>
          <w:p w:rsidR="00297CA5" w:rsidRPr="00297CA5" w:rsidRDefault="00297CA5" w:rsidP="00297CA5">
            <w:pPr>
              <w:widowControl/>
              <w:spacing w:before="40" w:after="40"/>
              <w:jc w:val="both"/>
              <w:rPr>
                <w:rFonts w:ascii="Segoe UI" w:eastAsia="Times New Roman" w:hAnsi="Segoe UI" w:cs="Times New Roman"/>
                <w:kern w:val="0"/>
                <w:sz w:val="17"/>
                <w:szCs w:val="17"/>
                <w:lang w:val="en-GB" w:eastAsia="en-US"/>
              </w:rPr>
            </w:pPr>
            <w:r w:rsidRPr="00297CA5">
              <w:rPr>
                <w:rFonts w:ascii="Segoe UI" w:eastAsia="Times New Roman" w:hAnsi="Segoe UI" w:cs="Times New Roman"/>
                <w:kern w:val="0"/>
                <w:sz w:val="17"/>
                <w:szCs w:val="17"/>
                <w:lang w:val="en-GB" w:eastAsia="en-US"/>
              </w:rPr>
              <w:t>Internal loss-absorbing capacity arising from regulatory capital, calculated as the sum of values in rows 1, 5 and 10.</w:t>
            </w:r>
          </w:p>
        </w:tc>
      </w:tr>
      <w:tr w:rsidR="00297CA5" w:rsidRPr="00297CA5" w:rsidTr="00297CA5">
        <w:trPr>
          <w:trHeight w:val="373"/>
        </w:trPr>
        <w:tc>
          <w:tcPr>
            <w:tcW w:w="651" w:type="dxa"/>
          </w:tcPr>
          <w:p w:rsidR="00297CA5" w:rsidRPr="00297CA5" w:rsidRDefault="00297CA5" w:rsidP="00297CA5">
            <w:pPr>
              <w:keepLines/>
              <w:tabs>
                <w:tab w:val="left" w:pos="150"/>
                <w:tab w:val="left" w:pos="397"/>
                <w:tab w:val="left" w:pos="794"/>
                <w:tab w:val="left" w:pos="1191"/>
              </w:tabs>
              <w:spacing w:before="40" w:after="40"/>
              <w:rPr>
                <w:rFonts w:ascii="Segoe UI" w:eastAsia="Times New Roman" w:hAnsi="Segoe UI" w:cs="Segoe UI"/>
                <w:kern w:val="0"/>
                <w:sz w:val="17"/>
                <w:szCs w:val="17"/>
                <w:lang w:val="en-GB" w:eastAsia="en-GB"/>
              </w:rPr>
            </w:pPr>
            <w:r w:rsidRPr="00297CA5">
              <w:rPr>
                <w:rFonts w:ascii="Segoe UI" w:eastAsia="Times New Roman" w:hAnsi="Segoe UI" w:cs="Segoe UI"/>
                <w:kern w:val="0"/>
                <w:sz w:val="17"/>
                <w:szCs w:val="17"/>
                <w:lang w:val="en-GB" w:eastAsia="en-GB"/>
              </w:rPr>
              <w:t>12</w:t>
            </w:r>
          </w:p>
        </w:tc>
        <w:tc>
          <w:tcPr>
            <w:tcW w:w="8563" w:type="dxa"/>
          </w:tcPr>
          <w:p w:rsidR="00297CA5" w:rsidRPr="00297CA5" w:rsidRDefault="00297CA5" w:rsidP="00297CA5">
            <w:pPr>
              <w:widowControl/>
              <w:spacing w:before="40" w:after="40"/>
              <w:jc w:val="both"/>
              <w:rPr>
                <w:rFonts w:ascii="Segoe UI" w:eastAsia="Times New Roman" w:hAnsi="Segoe UI" w:cs="Times New Roman"/>
                <w:kern w:val="0"/>
                <w:sz w:val="17"/>
                <w:szCs w:val="17"/>
                <w:lang w:val="en-GB" w:eastAsia="en-US"/>
              </w:rPr>
            </w:pPr>
            <w:r w:rsidRPr="00297CA5">
              <w:rPr>
                <w:rFonts w:ascii="Segoe UI" w:eastAsia="Times New Roman" w:hAnsi="Segoe UI" w:cs="Times New Roman"/>
                <w:kern w:val="0"/>
                <w:sz w:val="17"/>
                <w:szCs w:val="17"/>
                <w:lang w:val="en-GB" w:eastAsia="en-US"/>
              </w:rPr>
              <w:t>Internal non-capital LAC debt instruments issued directly or indirectly to, and held directly or indirectly by, the resolution entity or non-HK resolution entity in the material subsidiary’s resolution group, counting towards internal loss-absorbing capacity under rule 39(c) of the LAC Rules.</w:t>
            </w:r>
          </w:p>
        </w:tc>
      </w:tr>
      <w:tr w:rsidR="00297CA5" w:rsidRPr="00297CA5" w:rsidTr="00297CA5">
        <w:trPr>
          <w:trHeight w:val="373"/>
        </w:trPr>
        <w:tc>
          <w:tcPr>
            <w:tcW w:w="651" w:type="dxa"/>
          </w:tcPr>
          <w:p w:rsidR="00297CA5" w:rsidRPr="00297CA5" w:rsidRDefault="00297CA5" w:rsidP="00297CA5">
            <w:pPr>
              <w:keepLines/>
              <w:tabs>
                <w:tab w:val="left" w:pos="150"/>
                <w:tab w:val="left" w:pos="397"/>
                <w:tab w:val="left" w:pos="794"/>
                <w:tab w:val="left" w:pos="1191"/>
              </w:tabs>
              <w:spacing w:before="40" w:after="40"/>
              <w:rPr>
                <w:rFonts w:ascii="Segoe UI" w:eastAsia="Times New Roman" w:hAnsi="Segoe UI" w:cs="Segoe UI"/>
                <w:kern w:val="0"/>
                <w:sz w:val="17"/>
                <w:szCs w:val="17"/>
                <w:lang w:val="en-GB" w:eastAsia="en-GB"/>
              </w:rPr>
            </w:pPr>
            <w:r w:rsidRPr="00297CA5">
              <w:rPr>
                <w:rFonts w:ascii="Segoe UI" w:eastAsia="Times New Roman" w:hAnsi="Segoe UI" w:cs="Segoe UI"/>
                <w:kern w:val="0"/>
                <w:sz w:val="17"/>
                <w:szCs w:val="17"/>
                <w:lang w:val="en-GB" w:eastAsia="en-GB"/>
              </w:rPr>
              <w:t>17</w:t>
            </w:r>
          </w:p>
        </w:tc>
        <w:tc>
          <w:tcPr>
            <w:tcW w:w="8563" w:type="dxa"/>
          </w:tcPr>
          <w:p w:rsidR="00297CA5" w:rsidRPr="00297CA5" w:rsidRDefault="00297CA5" w:rsidP="00297CA5">
            <w:pPr>
              <w:widowControl/>
              <w:spacing w:before="40" w:after="40"/>
              <w:jc w:val="both"/>
              <w:rPr>
                <w:rFonts w:ascii="Segoe UI" w:eastAsia="Times New Roman" w:hAnsi="Segoe UI" w:cs="Times New Roman"/>
                <w:kern w:val="0"/>
                <w:sz w:val="17"/>
                <w:szCs w:val="17"/>
                <w:lang w:val="en-GB" w:eastAsia="en-US"/>
              </w:rPr>
            </w:pPr>
            <w:r w:rsidRPr="00297CA5">
              <w:rPr>
                <w:rFonts w:ascii="Segoe UI" w:eastAsia="Times New Roman" w:hAnsi="Segoe UI" w:cs="Times New Roman"/>
                <w:kern w:val="0"/>
                <w:sz w:val="17"/>
                <w:szCs w:val="17"/>
                <w:lang w:val="en-GB" w:eastAsia="en-US"/>
              </w:rPr>
              <w:t>Internal loss-absorbing capacity arising from non-capital LAC debt instruments before adjustments.  The value in row 17 will be the same as the value reported in row 12.</w:t>
            </w:r>
          </w:p>
        </w:tc>
      </w:tr>
      <w:tr w:rsidR="00297CA5" w:rsidRPr="00297CA5" w:rsidTr="00297CA5">
        <w:trPr>
          <w:trHeight w:val="373"/>
        </w:trPr>
        <w:tc>
          <w:tcPr>
            <w:tcW w:w="651" w:type="dxa"/>
          </w:tcPr>
          <w:p w:rsidR="00297CA5" w:rsidRPr="00297CA5" w:rsidRDefault="00297CA5" w:rsidP="00297CA5">
            <w:pPr>
              <w:keepLines/>
              <w:tabs>
                <w:tab w:val="left" w:pos="150"/>
                <w:tab w:val="left" w:pos="397"/>
                <w:tab w:val="left" w:pos="794"/>
                <w:tab w:val="left" w:pos="1191"/>
              </w:tabs>
              <w:spacing w:before="40" w:after="40"/>
              <w:rPr>
                <w:rFonts w:ascii="Segoe UI" w:eastAsia="Times New Roman" w:hAnsi="Segoe UI" w:cs="Segoe UI"/>
                <w:kern w:val="0"/>
                <w:sz w:val="17"/>
                <w:szCs w:val="17"/>
                <w:lang w:val="en-GB" w:eastAsia="en-GB"/>
              </w:rPr>
            </w:pPr>
            <w:r w:rsidRPr="00297CA5">
              <w:rPr>
                <w:rFonts w:ascii="Segoe UI" w:eastAsia="Times New Roman" w:hAnsi="Segoe UI" w:cs="Segoe UI"/>
                <w:kern w:val="0"/>
                <w:sz w:val="17"/>
                <w:szCs w:val="17"/>
                <w:lang w:val="en-GB" w:eastAsia="en-GB"/>
              </w:rPr>
              <w:t>18</w:t>
            </w:r>
          </w:p>
        </w:tc>
        <w:tc>
          <w:tcPr>
            <w:tcW w:w="8563" w:type="dxa"/>
          </w:tcPr>
          <w:p w:rsidR="00297CA5" w:rsidRPr="00297CA5" w:rsidRDefault="00297CA5" w:rsidP="00297CA5">
            <w:pPr>
              <w:widowControl/>
              <w:spacing w:before="40" w:after="40"/>
              <w:jc w:val="both"/>
              <w:rPr>
                <w:rFonts w:ascii="Segoe UI" w:eastAsia="Times New Roman" w:hAnsi="Segoe UI" w:cs="Times New Roman"/>
                <w:kern w:val="0"/>
                <w:sz w:val="17"/>
                <w:szCs w:val="17"/>
                <w:lang w:val="en-GB" w:eastAsia="en-US"/>
              </w:rPr>
            </w:pPr>
            <w:r w:rsidRPr="00297CA5">
              <w:rPr>
                <w:rFonts w:ascii="Segoe UI" w:eastAsia="Times New Roman" w:hAnsi="Segoe UI" w:cs="Times New Roman"/>
                <w:kern w:val="0"/>
                <w:sz w:val="17"/>
                <w:szCs w:val="17"/>
                <w:lang w:val="en-GB" w:eastAsia="en-US"/>
              </w:rPr>
              <w:t>Internal loss-absorbing capacity before adjustments, calculated as the sum of values in rows 11 and 17.</w:t>
            </w:r>
          </w:p>
        </w:tc>
      </w:tr>
      <w:tr w:rsidR="00297CA5" w:rsidRPr="00297CA5" w:rsidTr="00297CA5">
        <w:trPr>
          <w:trHeight w:val="373"/>
        </w:trPr>
        <w:tc>
          <w:tcPr>
            <w:tcW w:w="651" w:type="dxa"/>
          </w:tcPr>
          <w:p w:rsidR="00297CA5" w:rsidRPr="00297CA5" w:rsidRDefault="00297CA5" w:rsidP="00297CA5">
            <w:pPr>
              <w:keepLines/>
              <w:tabs>
                <w:tab w:val="left" w:pos="150"/>
                <w:tab w:val="left" w:pos="397"/>
                <w:tab w:val="left" w:pos="794"/>
                <w:tab w:val="left" w:pos="1191"/>
              </w:tabs>
              <w:spacing w:before="40" w:after="40"/>
              <w:rPr>
                <w:rFonts w:ascii="Segoe UI" w:eastAsia="Times New Roman" w:hAnsi="Segoe UI" w:cs="Segoe UI"/>
                <w:kern w:val="0"/>
                <w:sz w:val="17"/>
                <w:szCs w:val="17"/>
                <w:lang w:val="en-GB" w:eastAsia="en-GB"/>
              </w:rPr>
            </w:pPr>
            <w:r w:rsidRPr="00297CA5">
              <w:rPr>
                <w:rFonts w:ascii="Segoe UI" w:eastAsia="Times New Roman" w:hAnsi="Segoe UI" w:cs="Segoe UI"/>
                <w:kern w:val="0"/>
                <w:sz w:val="17"/>
                <w:szCs w:val="17"/>
                <w:lang w:val="en-GB" w:eastAsia="en-GB"/>
              </w:rPr>
              <w:t>19</w:t>
            </w:r>
          </w:p>
        </w:tc>
        <w:tc>
          <w:tcPr>
            <w:tcW w:w="8563" w:type="dxa"/>
          </w:tcPr>
          <w:p w:rsidR="00297CA5" w:rsidRPr="00297CA5" w:rsidRDefault="00297CA5" w:rsidP="00297CA5">
            <w:pPr>
              <w:widowControl/>
              <w:spacing w:before="40" w:after="40"/>
              <w:jc w:val="both"/>
              <w:rPr>
                <w:rFonts w:ascii="Segoe UI" w:eastAsia="Times New Roman" w:hAnsi="Segoe UI" w:cs="Times New Roman"/>
                <w:kern w:val="0"/>
                <w:sz w:val="17"/>
                <w:szCs w:val="17"/>
                <w:lang w:val="en-GB" w:eastAsia="en-US"/>
              </w:rPr>
            </w:pPr>
            <w:r w:rsidRPr="00297CA5">
              <w:rPr>
                <w:rFonts w:ascii="Segoe UI" w:eastAsia="Times New Roman" w:hAnsi="Segoe UI" w:cs="Times New Roman"/>
                <w:kern w:val="0"/>
                <w:sz w:val="17"/>
                <w:szCs w:val="17"/>
                <w:lang w:val="en-GB" w:eastAsia="en-US"/>
              </w:rPr>
              <w:t xml:space="preserve">Deductions of exposures between the material subsidiary’s LAC consolidation group and group companies outside that group that correspond to items eligible for internal loss-absorbing capacity.  This row reports the amount of holdings of non-capital LAC liabilities issued by financial sector entities that are group companies </w:t>
            </w:r>
            <w:r w:rsidRPr="00297CA5">
              <w:rPr>
                <w:rFonts w:ascii="Segoe UI" w:eastAsia="Times New Roman" w:hAnsi="Segoe UI" w:cs="Times New Roman"/>
                <w:kern w:val="0"/>
                <w:sz w:val="17"/>
                <w:szCs w:val="17"/>
                <w:lang w:val="en-GB" w:eastAsia="en-US"/>
              </w:rPr>
              <w:lastRenderedPageBreak/>
              <w:t xml:space="preserve">that are not members of the material subsidiary’s LAC consolidation group, calculated in accordance with rule 40(1)(b) of, and Schedule 4 to, the LAC Rules.  </w:t>
            </w:r>
          </w:p>
        </w:tc>
      </w:tr>
      <w:tr w:rsidR="00297CA5" w:rsidRPr="00297CA5" w:rsidTr="00297CA5">
        <w:trPr>
          <w:trHeight w:val="373"/>
        </w:trPr>
        <w:tc>
          <w:tcPr>
            <w:tcW w:w="651" w:type="dxa"/>
          </w:tcPr>
          <w:p w:rsidR="00297CA5" w:rsidRPr="00297CA5" w:rsidRDefault="00297CA5" w:rsidP="00297CA5">
            <w:pPr>
              <w:keepLines/>
              <w:tabs>
                <w:tab w:val="left" w:pos="150"/>
                <w:tab w:val="left" w:pos="397"/>
                <w:tab w:val="left" w:pos="794"/>
                <w:tab w:val="left" w:pos="1191"/>
              </w:tabs>
              <w:spacing w:before="40" w:after="40"/>
              <w:rPr>
                <w:rFonts w:ascii="Segoe UI" w:eastAsia="Times New Roman" w:hAnsi="Segoe UI" w:cs="Segoe UI"/>
                <w:kern w:val="0"/>
                <w:sz w:val="17"/>
                <w:szCs w:val="17"/>
                <w:lang w:val="en-GB" w:eastAsia="en-GB"/>
              </w:rPr>
            </w:pPr>
            <w:r w:rsidRPr="00297CA5">
              <w:rPr>
                <w:rFonts w:ascii="Segoe UI" w:eastAsia="Times New Roman" w:hAnsi="Segoe UI" w:cs="Segoe UI"/>
                <w:kern w:val="0"/>
                <w:sz w:val="17"/>
                <w:szCs w:val="17"/>
                <w:lang w:val="en-GB" w:eastAsia="en-GB"/>
              </w:rPr>
              <w:lastRenderedPageBreak/>
              <w:t>20</w:t>
            </w:r>
          </w:p>
        </w:tc>
        <w:tc>
          <w:tcPr>
            <w:tcW w:w="8563" w:type="dxa"/>
            <w:shd w:val="clear" w:color="auto" w:fill="auto"/>
          </w:tcPr>
          <w:p w:rsidR="00297CA5" w:rsidRPr="00297CA5" w:rsidRDefault="00297CA5" w:rsidP="00297CA5">
            <w:pPr>
              <w:widowControl/>
              <w:spacing w:before="40" w:after="40"/>
              <w:jc w:val="both"/>
              <w:rPr>
                <w:rFonts w:ascii="Segoe UI" w:eastAsia="Times New Roman" w:hAnsi="Segoe UI" w:cs="Times New Roman"/>
                <w:kern w:val="0"/>
                <w:sz w:val="17"/>
                <w:szCs w:val="17"/>
                <w:lang w:val="en-GB" w:eastAsia="en-US"/>
              </w:rPr>
            </w:pPr>
            <w:r w:rsidRPr="00297CA5">
              <w:rPr>
                <w:rFonts w:ascii="Segoe UI" w:eastAsia="Times New Roman" w:hAnsi="Segoe UI" w:cs="Times New Roman"/>
                <w:kern w:val="0"/>
                <w:sz w:val="17"/>
                <w:szCs w:val="17"/>
                <w:lang w:val="en-GB" w:eastAsia="en-US"/>
              </w:rPr>
              <w:t>Deductions of holdings of its own non-capital LAC liabilities.  This row reports the amount to be deducted from the material subsidiary’s internal loss-absorbing capacity resources in accordance with rule 40(1)(a) of, and Schedule 4 to, the LAC Rules.</w:t>
            </w:r>
          </w:p>
        </w:tc>
      </w:tr>
      <w:tr w:rsidR="00297CA5" w:rsidRPr="00297CA5" w:rsidTr="00297CA5">
        <w:trPr>
          <w:trHeight w:val="373"/>
        </w:trPr>
        <w:tc>
          <w:tcPr>
            <w:tcW w:w="651" w:type="dxa"/>
          </w:tcPr>
          <w:p w:rsidR="00297CA5" w:rsidRPr="00297CA5" w:rsidRDefault="00297CA5" w:rsidP="00297CA5">
            <w:pPr>
              <w:keepLines/>
              <w:tabs>
                <w:tab w:val="left" w:pos="150"/>
                <w:tab w:val="left" w:pos="397"/>
                <w:tab w:val="left" w:pos="794"/>
                <w:tab w:val="left" w:pos="1191"/>
              </w:tabs>
              <w:spacing w:before="40" w:after="40"/>
              <w:rPr>
                <w:rFonts w:ascii="Segoe UI" w:eastAsia="Times New Roman" w:hAnsi="Segoe UI" w:cs="Segoe UI"/>
                <w:kern w:val="0"/>
                <w:sz w:val="17"/>
                <w:szCs w:val="17"/>
                <w:lang w:val="en-GB" w:eastAsia="en-GB"/>
              </w:rPr>
            </w:pPr>
            <w:r w:rsidRPr="00297CA5">
              <w:rPr>
                <w:rFonts w:ascii="Segoe UI" w:eastAsia="Times New Roman" w:hAnsi="Segoe UI" w:cs="Segoe UI"/>
                <w:kern w:val="0"/>
                <w:sz w:val="17"/>
                <w:szCs w:val="17"/>
                <w:lang w:val="en-GB" w:eastAsia="en-GB"/>
              </w:rPr>
              <w:t>21</w:t>
            </w:r>
          </w:p>
        </w:tc>
        <w:tc>
          <w:tcPr>
            <w:tcW w:w="8563" w:type="dxa"/>
            <w:shd w:val="clear" w:color="auto" w:fill="FFFFFF" w:themeFill="background1"/>
          </w:tcPr>
          <w:p w:rsidR="00297CA5" w:rsidRPr="00297CA5" w:rsidRDefault="00297CA5" w:rsidP="00297CA5">
            <w:pPr>
              <w:widowControl/>
              <w:spacing w:before="40" w:after="40"/>
              <w:jc w:val="both"/>
              <w:rPr>
                <w:rFonts w:ascii="Segoe UI" w:eastAsia="Times New Roman" w:hAnsi="Segoe UI" w:cs="Times New Roman"/>
                <w:kern w:val="0"/>
                <w:sz w:val="17"/>
                <w:szCs w:val="17"/>
                <w:lang w:val="en-GB" w:eastAsia="en-US"/>
              </w:rPr>
            </w:pPr>
            <w:r w:rsidRPr="00297CA5">
              <w:rPr>
                <w:rFonts w:ascii="Segoe UI" w:eastAsia="Times New Roman" w:hAnsi="Segoe UI" w:cs="Times New Roman"/>
                <w:kern w:val="0"/>
                <w:sz w:val="17"/>
                <w:szCs w:val="17"/>
                <w:lang w:val="en-GB" w:eastAsia="en-US"/>
              </w:rPr>
              <w:t>Other adjustments to internal loss-absorbing capacity.  For example, any item of non-capital LAC liabilities that the material subsidiary is required by the resolution authority to exclude from, or to discontinue inclusion in, the calculation of its internal loss-absorbing capacity under rule 42 of the LAC Rules.</w:t>
            </w:r>
          </w:p>
        </w:tc>
      </w:tr>
      <w:tr w:rsidR="00297CA5" w:rsidRPr="00297CA5" w:rsidTr="00297CA5">
        <w:trPr>
          <w:trHeight w:val="373"/>
        </w:trPr>
        <w:tc>
          <w:tcPr>
            <w:tcW w:w="651" w:type="dxa"/>
          </w:tcPr>
          <w:p w:rsidR="00297CA5" w:rsidRPr="00297CA5" w:rsidRDefault="00297CA5" w:rsidP="00297CA5">
            <w:pPr>
              <w:keepLines/>
              <w:tabs>
                <w:tab w:val="left" w:pos="150"/>
                <w:tab w:val="left" w:pos="397"/>
                <w:tab w:val="left" w:pos="794"/>
                <w:tab w:val="left" w:pos="1191"/>
              </w:tabs>
              <w:spacing w:before="40" w:after="40"/>
              <w:rPr>
                <w:rFonts w:ascii="Segoe UI" w:eastAsia="Times New Roman" w:hAnsi="Segoe UI" w:cs="Segoe UI"/>
                <w:kern w:val="0"/>
                <w:sz w:val="17"/>
                <w:szCs w:val="17"/>
                <w:lang w:val="en-GB" w:eastAsia="en-GB"/>
              </w:rPr>
            </w:pPr>
            <w:r w:rsidRPr="00297CA5">
              <w:rPr>
                <w:rFonts w:ascii="Segoe UI" w:eastAsia="Times New Roman" w:hAnsi="Segoe UI" w:cs="Segoe UI"/>
                <w:kern w:val="0"/>
                <w:sz w:val="17"/>
                <w:szCs w:val="17"/>
                <w:lang w:val="en-GB" w:eastAsia="en-GB"/>
              </w:rPr>
              <w:t>22</w:t>
            </w:r>
          </w:p>
        </w:tc>
        <w:tc>
          <w:tcPr>
            <w:tcW w:w="8563" w:type="dxa"/>
            <w:shd w:val="clear" w:color="auto" w:fill="FFFFFF" w:themeFill="background1"/>
          </w:tcPr>
          <w:p w:rsidR="00297CA5" w:rsidRPr="00297CA5" w:rsidRDefault="00297CA5" w:rsidP="00297CA5">
            <w:pPr>
              <w:widowControl/>
              <w:spacing w:before="40" w:after="40"/>
              <w:jc w:val="both"/>
              <w:rPr>
                <w:rFonts w:ascii="Segoe UI" w:eastAsia="Times New Roman" w:hAnsi="Segoe UI" w:cs="Times New Roman"/>
                <w:kern w:val="0"/>
                <w:sz w:val="17"/>
                <w:szCs w:val="17"/>
                <w:lang w:val="en-GB" w:eastAsia="en-US"/>
              </w:rPr>
            </w:pPr>
            <w:r w:rsidRPr="00297CA5">
              <w:rPr>
                <w:rFonts w:ascii="Segoe UI" w:eastAsia="Times New Roman" w:hAnsi="Segoe UI" w:cs="Times New Roman"/>
                <w:kern w:val="0"/>
                <w:sz w:val="17"/>
                <w:szCs w:val="17"/>
                <w:lang w:val="en-GB" w:eastAsia="en-US"/>
              </w:rPr>
              <w:t>Internal loss-absorbing capacity of the material subsidiary at the LAC consolidation group level after deductions, calculated as the value in row 18 minus the sum of values in rows 19, 20 and 21.</w:t>
            </w:r>
          </w:p>
        </w:tc>
      </w:tr>
      <w:tr w:rsidR="00297CA5" w:rsidRPr="00297CA5" w:rsidTr="00297CA5">
        <w:trPr>
          <w:trHeight w:val="373"/>
        </w:trPr>
        <w:tc>
          <w:tcPr>
            <w:tcW w:w="651" w:type="dxa"/>
          </w:tcPr>
          <w:p w:rsidR="00297CA5" w:rsidRPr="00297CA5" w:rsidRDefault="00297CA5" w:rsidP="00297CA5">
            <w:pPr>
              <w:keepLines/>
              <w:tabs>
                <w:tab w:val="left" w:pos="150"/>
                <w:tab w:val="left" w:pos="397"/>
                <w:tab w:val="left" w:pos="794"/>
                <w:tab w:val="left" w:pos="1191"/>
              </w:tabs>
              <w:spacing w:before="40" w:after="40"/>
              <w:rPr>
                <w:rFonts w:ascii="Segoe UI" w:eastAsia="Times New Roman" w:hAnsi="Segoe UI" w:cs="Segoe UI"/>
                <w:kern w:val="0"/>
                <w:sz w:val="17"/>
                <w:szCs w:val="17"/>
                <w:lang w:val="en-GB" w:eastAsia="en-GB"/>
              </w:rPr>
            </w:pPr>
            <w:r w:rsidRPr="00297CA5">
              <w:rPr>
                <w:rFonts w:ascii="Segoe UI" w:eastAsia="Times New Roman" w:hAnsi="Segoe UI" w:cs="Segoe UI"/>
                <w:kern w:val="0"/>
                <w:sz w:val="17"/>
                <w:szCs w:val="17"/>
                <w:lang w:val="en-GB" w:eastAsia="en-GB"/>
              </w:rPr>
              <w:t>23</w:t>
            </w:r>
          </w:p>
        </w:tc>
        <w:tc>
          <w:tcPr>
            <w:tcW w:w="8563" w:type="dxa"/>
            <w:shd w:val="clear" w:color="auto" w:fill="FFFFFF" w:themeFill="background1"/>
          </w:tcPr>
          <w:p w:rsidR="00297CA5" w:rsidRPr="00297CA5" w:rsidRDefault="00297CA5" w:rsidP="00297CA5">
            <w:pPr>
              <w:widowControl/>
              <w:spacing w:before="40" w:after="40"/>
              <w:jc w:val="both"/>
              <w:rPr>
                <w:rFonts w:ascii="Segoe UI" w:eastAsia="Times New Roman" w:hAnsi="Segoe UI" w:cs="Times New Roman"/>
                <w:kern w:val="0"/>
                <w:sz w:val="17"/>
                <w:szCs w:val="17"/>
                <w:lang w:val="en-GB" w:eastAsia="en-US"/>
              </w:rPr>
            </w:pPr>
            <w:r w:rsidRPr="00297CA5">
              <w:rPr>
                <w:rFonts w:ascii="Segoe UI" w:eastAsia="Times New Roman" w:hAnsi="Segoe UI" w:cs="Times New Roman"/>
                <w:kern w:val="0"/>
                <w:sz w:val="17"/>
                <w:szCs w:val="17"/>
                <w:lang w:val="en-GB" w:eastAsia="en-US"/>
              </w:rPr>
              <w:t>Risk-weighted amount under the LAC Rules of the material subsidiary at the LAC consolidation group level.  For a material subsidiary whose LAC consolidation group is the same as its capital consolidation group for calculating regulatory capital and which does not have items deducted from its internal loss-absorbing capacity in accordance with rule 40 of the LAC Rules (save in cases that there is a variation in the methodology applied in determining the risk-weighted amount under the LAC Rules further to written approval by the resolution authority under rule 15(4) or rule 16(4) of the LAC Rules), the amount reported in this row will be equal to that in row 60 of template CC1.</w:t>
            </w:r>
          </w:p>
        </w:tc>
      </w:tr>
      <w:tr w:rsidR="00297CA5" w:rsidRPr="00297CA5" w:rsidTr="00297CA5">
        <w:trPr>
          <w:trHeight w:val="373"/>
        </w:trPr>
        <w:tc>
          <w:tcPr>
            <w:tcW w:w="651" w:type="dxa"/>
          </w:tcPr>
          <w:p w:rsidR="00297CA5" w:rsidRPr="00297CA5" w:rsidRDefault="00297CA5" w:rsidP="00297CA5">
            <w:pPr>
              <w:keepLines/>
              <w:tabs>
                <w:tab w:val="left" w:pos="150"/>
                <w:tab w:val="left" w:pos="397"/>
                <w:tab w:val="left" w:pos="794"/>
                <w:tab w:val="left" w:pos="1191"/>
              </w:tabs>
              <w:spacing w:before="40" w:after="40"/>
              <w:rPr>
                <w:rFonts w:ascii="Segoe UI" w:eastAsia="Times New Roman" w:hAnsi="Segoe UI" w:cs="Segoe UI"/>
                <w:kern w:val="0"/>
                <w:sz w:val="17"/>
                <w:szCs w:val="17"/>
                <w:lang w:val="en-GB" w:eastAsia="en-GB"/>
              </w:rPr>
            </w:pPr>
            <w:r w:rsidRPr="00297CA5">
              <w:rPr>
                <w:rFonts w:ascii="Segoe UI" w:eastAsia="Times New Roman" w:hAnsi="Segoe UI" w:cs="Segoe UI"/>
                <w:kern w:val="0"/>
                <w:sz w:val="17"/>
                <w:szCs w:val="17"/>
                <w:lang w:val="en-GB" w:eastAsia="en-GB"/>
              </w:rPr>
              <w:t>24</w:t>
            </w:r>
          </w:p>
        </w:tc>
        <w:tc>
          <w:tcPr>
            <w:tcW w:w="8563" w:type="dxa"/>
            <w:shd w:val="clear" w:color="auto" w:fill="FFFFFF" w:themeFill="background1"/>
          </w:tcPr>
          <w:p w:rsidR="00297CA5" w:rsidRPr="00297CA5" w:rsidRDefault="00297CA5" w:rsidP="00297CA5">
            <w:pPr>
              <w:widowControl/>
              <w:spacing w:before="40" w:after="40"/>
              <w:jc w:val="both"/>
              <w:rPr>
                <w:rFonts w:ascii="Segoe UI" w:eastAsia="Times New Roman" w:hAnsi="Segoe UI" w:cs="Times New Roman"/>
                <w:kern w:val="0"/>
                <w:sz w:val="17"/>
                <w:szCs w:val="17"/>
                <w:lang w:val="en-GB" w:eastAsia="en-US"/>
              </w:rPr>
            </w:pPr>
            <w:r w:rsidRPr="00297CA5">
              <w:rPr>
                <w:rFonts w:ascii="Segoe UI" w:eastAsia="Times New Roman" w:hAnsi="Segoe UI" w:cs="Times New Roman"/>
                <w:kern w:val="0"/>
                <w:sz w:val="17"/>
                <w:szCs w:val="17"/>
                <w:lang w:val="en-GB" w:eastAsia="en-US"/>
              </w:rPr>
              <w:t xml:space="preserve">Exposure measure under the LAC Rules of the material subsidiary at the LAC consolidation group level..  </w:t>
            </w:r>
          </w:p>
        </w:tc>
      </w:tr>
      <w:tr w:rsidR="00297CA5" w:rsidRPr="00297CA5" w:rsidTr="00297CA5">
        <w:trPr>
          <w:trHeight w:val="373"/>
        </w:trPr>
        <w:tc>
          <w:tcPr>
            <w:tcW w:w="651" w:type="dxa"/>
          </w:tcPr>
          <w:p w:rsidR="00297CA5" w:rsidRPr="00297CA5" w:rsidRDefault="00297CA5" w:rsidP="00297CA5">
            <w:pPr>
              <w:keepLines/>
              <w:tabs>
                <w:tab w:val="left" w:pos="150"/>
                <w:tab w:val="left" w:pos="397"/>
                <w:tab w:val="left" w:pos="794"/>
                <w:tab w:val="left" w:pos="1191"/>
              </w:tabs>
              <w:spacing w:before="40" w:after="40"/>
              <w:rPr>
                <w:rFonts w:ascii="Segoe UI" w:eastAsia="Times New Roman" w:hAnsi="Segoe UI" w:cs="Segoe UI"/>
                <w:kern w:val="0"/>
                <w:sz w:val="17"/>
                <w:szCs w:val="17"/>
                <w:lang w:val="en-GB" w:eastAsia="en-GB"/>
              </w:rPr>
            </w:pPr>
            <w:r w:rsidRPr="00297CA5">
              <w:rPr>
                <w:rFonts w:ascii="Segoe UI" w:eastAsia="Times New Roman" w:hAnsi="Segoe UI" w:cs="Segoe UI"/>
                <w:kern w:val="0"/>
                <w:sz w:val="17"/>
                <w:szCs w:val="17"/>
                <w:lang w:val="en-GB" w:eastAsia="en-GB"/>
              </w:rPr>
              <w:t>25</w:t>
            </w:r>
          </w:p>
        </w:tc>
        <w:tc>
          <w:tcPr>
            <w:tcW w:w="8563" w:type="dxa"/>
            <w:shd w:val="clear" w:color="auto" w:fill="FFFFFF" w:themeFill="background1"/>
          </w:tcPr>
          <w:p w:rsidR="00297CA5" w:rsidRPr="00297CA5" w:rsidRDefault="00297CA5" w:rsidP="00297CA5">
            <w:pPr>
              <w:widowControl/>
              <w:spacing w:before="40" w:after="40"/>
              <w:jc w:val="both"/>
              <w:rPr>
                <w:rFonts w:ascii="Segoe UI" w:eastAsia="Times New Roman" w:hAnsi="Segoe UI" w:cs="Times New Roman"/>
                <w:kern w:val="0"/>
                <w:sz w:val="17"/>
                <w:szCs w:val="17"/>
                <w:lang w:val="en-GB" w:eastAsia="en-US"/>
              </w:rPr>
            </w:pPr>
            <w:r w:rsidRPr="00297CA5">
              <w:rPr>
                <w:rFonts w:ascii="Segoe UI" w:eastAsia="Times New Roman" w:hAnsi="Segoe UI" w:cs="Times New Roman"/>
                <w:kern w:val="0"/>
                <w:sz w:val="17"/>
                <w:szCs w:val="17"/>
                <w:lang w:val="en-GB" w:eastAsia="en-US"/>
              </w:rPr>
              <w:t>Internal LAC risk-weighted ratio, calculated as the value in row 22 divided by that in row 23.</w:t>
            </w:r>
          </w:p>
        </w:tc>
      </w:tr>
      <w:tr w:rsidR="00297CA5" w:rsidRPr="00297CA5" w:rsidTr="00297CA5">
        <w:trPr>
          <w:trHeight w:val="373"/>
        </w:trPr>
        <w:tc>
          <w:tcPr>
            <w:tcW w:w="651" w:type="dxa"/>
          </w:tcPr>
          <w:p w:rsidR="00297CA5" w:rsidRPr="00297CA5" w:rsidRDefault="00297CA5" w:rsidP="00297CA5">
            <w:pPr>
              <w:keepLines/>
              <w:tabs>
                <w:tab w:val="left" w:pos="150"/>
                <w:tab w:val="left" w:pos="397"/>
                <w:tab w:val="left" w:pos="794"/>
                <w:tab w:val="left" w:pos="1191"/>
              </w:tabs>
              <w:spacing w:before="40" w:after="40"/>
              <w:rPr>
                <w:rFonts w:ascii="Segoe UI" w:eastAsia="Times New Roman" w:hAnsi="Segoe UI" w:cs="Segoe UI"/>
                <w:kern w:val="0"/>
                <w:sz w:val="17"/>
                <w:szCs w:val="17"/>
                <w:lang w:val="en-GB" w:eastAsia="en-GB"/>
              </w:rPr>
            </w:pPr>
            <w:r w:rsidRPr="00297CA5">
              <w:rPr>
                <w:rFonts w:ascii="Segoe UI" w:eastAsia="Times New Roman" w:hAnsi="Segoe UI" w:cs="Segoe UI"/>
                <w:kern w:val="0"/>
                <w:sz w:val="17"/>
                <w:szCs w:val="17"/>
                <w:lang w:val="en-GB" w:eastAsia="en-GB"/>
              </w:rPr>
              <w:t>26</w:t>
            </w:r>
          </w:p>
        </w:tc>
        <w:tc>
          <w:tcPr>
            <w:tcW w:w="8563" w:type="dxa"/>
            <w:shd w:val="clear" w:color="auto" w:fill="FFFFFF" w:themeFill="background1"/>
          </w:tcPr>
          <w:p w:rsidR="00297CA5" w:rsidRPr="00297CA5" w:rsidRDefault="00297CA5" w:rsidP="00297CA5">
            <w:pPr>
              <w:widowControl/>
              <w:spacing w:before="40" w:after="40"/>
              <w:jc w:val="both"/>
              <w:rPr>
                <w:rFonts w:ascii="Segoe UI" w:eastAsia="Times New Roman" w:hAnsi="Segoe UI" w:cs="Times New Roman"/>
                <w:kern w:val="0"/>
                <w:sz w:val="17"/>
                <w:szCs w:val="17"/>
                <w:lang w:val="en-GB" w:eastAsia="en-US"/>
              </w:rPr>
            </w:pPr>
            <w:r w:rsidRPr="00297CA5">
              <w:rPr>
                <w:rFonts w:ascii="Segoe UI" w:eastAsia="Times New Roman" w:hAnsi="Segoe UI" w:cs="Times New Roman"/>
                <w:kern w:val="0"/>
                <w:sz w:val="17"/>
                <w:szCs w:val="17"/>
                <w:lang w:val="en-GB" w:eastAsia="en-US"/>
              </w:rPr>
              <w:t>Internal LAC leverage ratio, calculated as the value in row 22 divided by that in row 24.</w:t>
            </w:r>
          </w:p>
        </w:tc>
      </w:tr>
      <w:tr w:rsidR="00297CA5" w:rsidRPr="00297CA5" w:rsidTr="00297CA5">
        <w:trPr>
          <w:trHeight w:val="373"/>
        </w:trPr>
        <w:tc>
          <w:tcPr>
            <w:tcW w:w="651" w:type="dxa"/>
          </w:tcPr>
          <w:p w:rsidR="00297CA5" w:rsidRPr="00297CA5" w:rsidRDefault="00297CA5" w:rsidP="00297CA5">
            <w:pPr>
              <w:keepLines/>
              <w:tabs>
                <w:tab w:val="left" w:pos="150"/>
                <w:tab w:val="left" w:pos="397"/>
                <w:tab w:val="left" w:pos="794"/>
                <w:tab w:val="left" w:pos="1191"/>
              </w:tabs>
              <w:spacing w:before="40" w:after="40"/>
              <w:rPr>
                <w:rFonts w:ascii="Segoe UI" w:eastAsia="Times New Roman" w:hAnsi="Segoe UI" w:cs="Segoe UI"/>
                <w:kern w:val="0"/>
                <w:sz w:val="17"/>
                <w:szCs w:val="17"/>
                <w:lang w:val="en-GB" w:eastAsia="en-GB"/>
              </w:rPr>
            </w:pPr>
            <w:r w:rsidRPr="00297CA5">
              <w:rPr>
                <w:rFonts w:ascii="Segoe UI" w:eastAsia="Times New Roman" w:hAnsi="Segoe UI" w:cs="Segoe UI"/>
                <w:kern w:val="0"/>
                <w:sz w:val="17"/>
                <w:szCs w:val="17"/>
                <w:lang w:val="en-GB" w:eastAsia="en-GB"/>
              </w:rPr>
              <w:t>27</w:t>
            </w:r>
          </w:p>
        </w:tc>
        <w:tc>
          <w:tcPr>
            <w:tcW w:w="8563" w:type="dxa"/>
          </w:tcPr>
          <w:p w:rsidR="00297CA5" w:rsidRPr="00297CA5" w:rsidRDefault="00297CA5" w:rsidP="00297CA5">
            <w:pPr>
              <w:widowControl/>
              <w:spacing w:before="40" w:after="40"/>
              <w:jc w:val="both"/>
              <w:rPr>
                <w:rFonts w:ascii="Segoe UI" w:eastAsia="Times New Roman" w:hAnsi="Segoe UI" w:cs="Times New Roman"/>
                <w:kern w:val="0"/>
                <w:sz w:val="17"/>
                <w:szCs w:val="17"/>
                <w:lang w:val="en-GB" w:eastAsia="en-US"/>
              </w:rPr>
            </w:pPr>
            <w:r w:rsidRPr="00297CA5">
              <w:rPr>
                <w:rFonts w:ascii="Segoe UI" w:eastAsia="Times New Roman" w:hAnsi="Segoe UI" w:cs="Times New Roman"/>
                <w:kern w:val="0"/>
                <w:sz w:val="17"/>
                <w:szCs w:val="17"/>
                <w:lang w:val="en-GB" w:eastAsia="en-US"/>
              </w:rPr>
              <w:t xml:space="preserve">(Not applicable for a material subsidiary that is not an AI).  The material subsidiary’s CET1 ratio available after meeting its minimum capital requirements and LAC requirements, calculated as the ratio of (a) its CET1 less any common equity used to meet CET1, Tier 1, total minimum capital and LAC requirements; to (b) its RWA under the BCR.  </w:t>
            </w:r>
          </w:p>
          <w:p w:rsidR="00297CA5" w:rsidRPr="00297CA5" w:rsidRDefault="00297CA5" w:rsidP="00297CA5">
            <w:pPr>
              <w:widowControl/>
              <w:spacing w:before="40" w:after="40"/>
              <w:jc w:val="both"/>
              <w:rPr>
                <w:rFonts w:ascii="Segoe UI" w:eastAsia="Times New Roman" w:hAnsi="Segoe UI" w:cs="Times New Roman"/>
                <w:kern w:val="0"/>
                <w:sz w:val="17"/>
                <w:szCs w:val="17"/>
                <w:lang w:val="en-GB" w:eastAsia="en-US"/>
              </w:rPr>
            </w:pPr>
            <w:r w:rsidRPr="00297CA5">
              <w:rPr>
                <w:rFonts w:ascii="Segoe UI" w:eastAsia="Times New Roman" w:hAnsi="Segoe UI" w:cs="Times New Roman"/>
                <w:kern w:val="0"/>
                <w:sz w:val="17"/>
                <w:szCs w:val="17"/>
                <w:lang w:val="en-GB" w:eastAsia="en-US"/>
              </w:rPr>
              <w:t>For example, suppose the LAC consolidation group of a material subsidiary has 100 risk-weighted amount, 10 CET1 capital and 1.5 AT1 capital (both assumed to be eligible as loss-absorbing capacity), no T2 capital and 5 internal non-capital LAC debt instruments, its pillar 2A requirement is 1%, its internal LAC scalar is 75% as the Monetary Authority does not exercise his powers under rule 26(2) to vary the internal LAC scalar, and the Monetary Authority does not exercise his powers under rule 19(2) of the LAC Rules to vary the resolution component ratio.  The material subsidiary will have to earmark its CET1 capital to meet the 8% minimum capital requirement and 13.5% LAC requirement (i.e. 2 times of minimum capital requirement and pillar 2A requirements, multiplied with an internal LAC scalar of 75%).  The net CET1 capital left to meet other requirements (which could include Pillar 2 or buffers) will be 10 – 4.5 – 2 – 0.5 = 3.</w:t>
            </w:r>
          </w:p>
        </w:tc>
      </w:tr>
      <w:tr w:rsidR="00297CA5" w:rsidRPr="00297CA5" w:rsidTr="00297CA5">
        <w:trPr>
          <w:trHeight w:val="373"/>
        </w:trPr>
        <w:tc>
          <w:tcPr>
            <w:tcW w:w="651" w:type="dxa"/>
          </w:tcPr>
          <w:p w:rsidR="00297CA5" w:rsidRPr="00297CA5" w:rsidRDefault="00297CA5" w:rsidP="00297CA5">
            <w:pPr>
              <w:keepLines/>
              <w:tabs>
                <w:tab w:val="left" w:pos="150"/>
                <w:tab w:val="left" w:pos="397"/>
                <w:tab w:val="left" w:pos="794"/>
                <w:tab w:val="left" w:pos="1191"/>
              </w:tabs>
              <w:spacing w:before="40" w:after="40"/>
              <w:rPr>
                <w:rFonts w:ascii="Segoe UI" w:eastAsia="Times New Roman" w:hAnsi="Segoe UI" w:cs="Segoe UI"/>
                <w:kern w:val="0"/>
                <w:sz w:val="17"/>
                <w:szCs w:val="17"/>
                <w:lang w:val="en-GB" w:eastAsia="en-GB"/>
              </w:rPr>
            </w:pPr>
            <w:r w:rsidRPr="00297CA5">
              <w:rPr>
                <w:rFonts w:ascii="Segoe UI" w:eastAsia="Times New Roman" w:hAnsi="Segoe UI" w:cs="Segoe UI"/>
                <w:kern w:val="0"/>
                <w:sz w:val="17"/>
                <w:szCs w:val="17"/>
                <w:lang w:val="en-GB" w:eastAsia="en-GB"/>
              </w:rPr>
              <w:t>28</w:t>
            </w:r>
          </w:p>
        </w:tc>
        <w:tc>
          <w:tcPr>
            <w:tcW w:w="8563" w:type="dxa"/>
          </w:tcPr>
          <w:p w:rsidR="00297CA5" w:rsidRPr="00297CA5" w:rsidRDefault="00297CA5" w:rsidP="00297CA5">
            <w:pPr>
              <w:widowControl/>
              <w:spacing w:before="40" w:after="40"/>
              <w:jc w:val="both"/>
              <w:rPr>
                <w:rFonts w:ascii="Segoe UI" w:eastAsia="Times New Roman" w:hAnsi="Segoe UI" w:cs="Times New Roman"/>
                <w:kern w:val="0"/>
                <w:sz w:val="17"/>
                <w:szCs w:val="17"/>
                <w:lang w:val="en-GB" w:eastAsia="en-US"/>
              </w:rPr>
            </w:pPr>
            <w:r w:rsidRPr="00297CA5">
              <w:rPr>
                <w:rFonts w:ascii="Segoe UI" w:eastAsia="Times New Roman" w:hAnsi="Segoe UI" w:cs="Times New Roman"/>
                <w:kern w:val="0"/>
                <w:sz w:val="17"/>
                <w:szCs w:val="17"/>
                <w:lang w:val="en-GB" w:eastAsia="en-US"/>
              </w:rPr>
              <w:t xml:space="preserve">(Only applicable to a material subsidiary that is an AI and whose LAC consolidation group is the same as its capital consolidation group).  Institution-specific buffer requirements, calculated as the sum of: (i) the capital </w:t>
            </w:r>
            <w:r w:rsidRPr="00297CA5">
              <w:rPr>
                <w:rFonts w:ascii="Segoe UI" w:eastAsia="Times New Roman" w:hAnsi="Segoe UI" w:cs="Times New Roman"/>
                <w:kern w:val="0"/>
                <w:sz w:val="17"/>
                <w:szCs w:val="17"/>
                <w:lang w:val="en-GB" w:eastAsia="en-US"/>
              </w:rPr>
              <w:lastRenderedPageBreak/>
              <w:t xml:space="preserve">conservation buffer requirement; (ii) the countercyclical capital buffer requirement; and (iii) the higher loss absorbency requirement, in each case calculated as if the BCR applied to the material subsidiary at the LAC consolidation group level.  </w:t>
            </w:r>
          </w:p>
          <w:p w:rsidR="00297CA5" w:rsidRPr="00297CA5" w:rsidRDefault="00297CA5" w:rsidP="00297CA5">
            <w:pPr>
              <w:widowControl/>
              <w:spacing w:before="40" w:after="40"/>
              <w:jc w:val="both"/>
              <w:rPr>
                <w:rFonts w:ascii="Segoe UI" w:eastAsia="Times New Roman" w:hAnsi="Segoe UI" w:cs="Times New Roman"/>
                <w:kern w:val="0"/>
                <w:sz w:val="17"/>
                <w:szCs w:val="17"/>
                <w:lang w:val="en-GB" w:eastAsia="en-US"/>
              </w:rPr>
            </w:pPr>
            <w:r w:rsidRPr="00297CA5">
              <w:rPr>
                <w:rFonts w:ascii="Segoe UI" w:eastAsia="Times New Roman" w:hAnsi="Segoe UI" w:cs="Times New Roman"/>
                <w:kern w:val="0"/>
                <w:sz w:val="17"/>
                <w:szCs w:val="17"/>
                <w:lang w:val="en-GB" w:eastAsia="en-US"/>
              </w:rPr>
              <w:t xml:space="preserve">The value reported in this row should be equal to the sum of values for capital conservation buffer requirement, countercyclical capital buffer requirement and higher loss absorbency requirement reported in row 11 of template KM1.   </w:t>
            </w:r>
          </w:p>
        </w:tc>
      </w:tr>
      <w:tr w:rsidR="00297CA5" w:rsidRPr="00297CA5" w:rsidTr="00297CA5">
        <w:trPr>
          <w:trHeight w:val="373"/>
        </w:trPr>
        <w:tc>
          <w:tcPr>
            <w:tcW w:w="651" w:type="dxa"/>
          </w:tcPr>
          <w:p w:rsidR="00297CA5" w:rsidRPr="00297CA5" w:rsidRDefault="00297CA5" w:rsidP="00297CA5">
            <w:pPr>
              <w:keepLines/>
              <w:tabs>
                <w:tab w:val="left" w:pos="150"/>
                <w:tab w:val="left" w:pos="397"/>
                <w:tab w:val="left" w:pos="794"/>
                <w:tab w:val="left" w:pos="1191"/>
              </w:tabs>
              <w:spacing w:before="40" w:after="40"/>
              <w:rPr>
                <w:rFonts w:ascii="Segoe UI" w:eastAsia="Times New Roman" w:hAnsi="Segoe UI" w:cs="Segoe UI"/>
                <w:kern w:val="0"/>
                <w:sz w:val="17"/>
                <w:szCs w:val="17"/>
                <w:lang w:val="en-GB" w:eastAsia="en-GB"/>
              </w:rPr>
            </w:pPr>
            <w:r w:rsidRPr="00297CA5">
              <w:rPr>
                <w:rFonts w:ascii="Segoe UI" w:eastAsia="Times New Roman" w:hAnsi="Segoe UI" w:cs="Segoe UI"/>
                <w:kern w:val="0"/>
                <w:sz w:val="17"/>
                <w:szCs w:val="17"/>
                <w:lang w:val="en-GB" w:eastAsia="en-GB"/>
              </w:rPr>
              <w:lastRenderedPageBreak/>
              <w:t>29</w:t>
            </w:r>
          </w:p>
        </w:tc>
        <w:tc>
          <w:tcPr>
            <w:tcW w:w="8563" w:type="dxa"/>
          </w:tcPr>
          <w:p w:rsidR="00297CA5" w:rsidRPr="00297CA5" w:rsidRDefault="00297CA5" w:rsidP="00297CA5">
            <w:pPr>
              <w:widowControl/>
              <w:spacing w:before="40" w:after="40"/>
              <w:jc w:val="both"/>
              <w:rPr>
                <w:rFonts w:ascii="Segoe UI" w:eastAsia="Times New Roman" w:hAnsi="Segoe UI" w:cs="Times New Roman"/>
                <w:kern w:val="0"/>
                <w:sz w:val="17"/>
                <w:szCs w:val="17"/>
                <w:lang w:val="en-GB" w:eastAsia="en-US"/>
              </w:rPr>
            </w:pPr>
            <w:r w:rsidRPr="00297CA5">
              <w:rPr>
                <w:rFonts w:ascii="Segoe UI" w:eastAsia="Times New Roman" w:hAnsi="Segoe UI" w:cs="Times New Roman"/>
                <w:kern w:val="0"/>
                <w:sz w:val="17"/>
                <w:szCs w:val="17"/>
                <w:lang w:val="en-GB" w:eastAsia="en-US"/>
              </w:rPr>
              <w:t xml:space="preserve">(Only applicable to a material subsidiary that is an AI and whose LAC consolidation group is the same as its capital consolidation group).  The portion of the amount in row 28 (expressed as a percentage of the RWA under the BCR) that relates to the capital conservation buffer requirement.  </w:t>
            </w:r>
          </w:p>
          <w:p w:rsidR="00297CA5" w:rsidRPr="00297CA5" w:rsidRDefault="00297CA5" w:rsidP="00297CA5">
            <w:pPr>
              <w:widowControl/>
              <w:spacing w:before="40" w:after="40"/>
              <w:jc w:val="both"/>
              <w:rPr>
                <w:rFonts w:ascii="Segoe UI" w:eastAsia="Times New Roman" w:hAnsi="Segoe UI" w:cs="Times New Roman"/>
                <w:kern w:val="0"/>
                <w:sz w:val="17"/>
                <w:szCs w:val="17"/>
                <w:lang w:val="en-GB" w:eastAsia="en-US"/>
              </w:rPr>
            </w:pPr>
            <w:r w:rsidRPr="00297CA5">
              <w:rPr>
                <w:rFonts w:ascii="Segoe UI" w:eastAsia="Times New Roman" w:hAnsi="Segoe UI" w:cs="Times New Roman"/>
                <w:kern w:val="0"/>
                <w:sz w:val="17"/>
                <w:szCs w:val="17"/>
                <w:lang w:val="en-GB" w:eastAsia="en-US"/>
              </w:rPr>
              <w:t xml:space="preserve">The value reported in this row should be equal to the value for capital conservation buffer requirement reported in row 8 of template KM1.   </w:t>
            </w:r>
          </w:p>
        </w:tc>
      </w:tr>
      <w:tr w:rsidR="00297CA5" w:rsidRPr="00297CA5" w:rsidTr="00297CA5">
        <w:trPr>
          <w:trHeight w:val="373"/>
        </w:trPr>
        <w:tc>
          <w:tcPr>
            <w:tcW w:w="651" w:type="dxa"/>
          </w:tcPr>
          <w:p w:rsidR="00297CA5" w:rsidRPr="00297CA5" w:rsidRDefault="00297CA5" w:rsidP="00297CA5">
            <w:pPr>
              <w:keepLines/>
              <w:tabs>
                <w:tab w:val="left" w:pos="150"/>
                <w:tab w:val="left" w:pos="397"/>
                <w:tab w:val="left" w:pos="794"/>
                <w:tab w:val="left" w:pos="1191"/>
              </w:tabs>
              <w:spacing w:before="40" w:after="40"/>
              <w:rPr>
                <w:rFonts w:ascii="Segoe UI" w:eastAsia="Times New Roman" w:hAnsi="Segoe UI" w:cs="Segoe UI"/>
                <w:kern w:val="0"/>
                <w:sz w:val="17"/>
                <w:szCs w:val="17"/>
                <w:lang w:val="en-GB" w:eastAsia="en-GB"/>
              </w:rPr>
            </w:pPr>
            <w:r w:rsidRPr="00297CA5">
              <w:rPr>
                <w:rFonts w:ascii="Segoe UI" w:eastAsia="Times New Roman" w:hAnsi="Segoe UI" w:cs="Segoe UI"/>
                <w:kern w:val="0"/>
                <w:sz w:val="17"/>
                <w:szCs w:val="17"/>
                <w:lang w:val="en-GB" w:eastAsia="en-GB"/>
              </w:rPr>
              <w:t>30</w:t>
            </w:r>
          </w:p>
        </w:tc>
        <w:tc>
          <w:tcPr>
            <w:tcW w:w="8563" w:type="dxa"/>
          </w:tcPr>
          <w:p w:rsidR="00297CA5" w:rsidRPr="00297CA5" w:rsidRDefault="00297CA5" w:rsidP="00297CA5">
            <w:pPr>
              <w:widowControl/>
              <w:spacing w:before="40" w:after="40"/>
              <w:jc w:val="both"/>
              <w:rPr>
                <w:rFonts w:ascii="Segoe UI" w:eastAsia="Times New Roman" w:hAnsi="Segoe UI" w:cs="Times New Roman"/>
                <w:kern w:val="0"/>
                <w:sz w:val="17"/>
                <w:szCs w:val="17"/>
                <w:lang w:val="en-GB" w:eastAsia="en-US"/>
              </w:rPr>
            </w:pPr>
            <w:r w:rsidRPr="00297CA5">
              <w:rPr>
                <w:rFonts w:ascii="Segoe UI" w:eastAsia="Times New Roman" w:hAnsi="Segoe UI" w:cs="Times New Roman"/>
                <w:kern w:val="0"/>
                <w:sz w:val="17"/>
                <w:szCs w:val="17"/>
                <w:lang w:val="en-GB" w:eastAsia="en-US"/>
              </w:rPr>
              <w:t xml:space="preserve">(Only applicable to a material subsidiary that is an AI and whose LAC consolidation group is the same as its capital consolidation group).  The portion of the amount in row 28 (expressed as a percentage of the RWA under the BCR) that relates to the countercyclical capital buffer requirement.  </w:t>
            </w:r>
          </w:p>
          <w:p w:rsidR="00297CA5" w:rsidRPr="00297CA5" w:rsidRDefault="00297CA5" w:rsidP="00297CA5">
            <w:pPr>
              <w:widowControl/>
              <w:spacing w:before="40" w:after="40"/>
              <w:jc w:val="both"/>
              <w:rPr>
                <w:rFonts w:ascii="Segoe UI" w:eastAsia="Times New Roman" w:hAnsi="Segoe UI" w:cs="Times New Roman"/>
                <w:kern w:val="0"/>
                <w:sz w:val="17"/>
                <w:szCs w:val="17"/>
                <w:lang w:val="en-GB" w:eastAsia="en-US"/>
              </w:rPr>
            </w:pPr>
            <w:r w:rsidRPr="00297CA5">
              <w:rPr>
                <w:rFonts w:ascii="Segoe UI" w:eastAsia="Times New Roman" w:hAnsi="Segoe UI" w:cs="Times New Roman"/>
                <w:kern w:val="0"/>
                <w:sz w:val="17"/>
                <w:szCs w:val="17"/>
                <w:lang w:val="en-GB" w:eastAsia="en-US"/>
              </w:rPr>
              <w:t xml:space="preserve">The value reported </w:t>
            </w:r>
            <w:r w:rsidRPr="00297CA5">
              <w:rPr>
                <w:rFonts w:ascii="Segoe UI" w:hAnsi="Segoe UI" w:cs="Times New Roman" w:hint="eastAsia"/>
                <w:kern w:val="0"/>
                <w:sz w:val="17"/>
                <w:szCs w:val="17"/>
                <w:lang w:val="en-GB"/>
              </w:rPr>
              <w:t>in</w:t>
            </w:r>
            <w:r w:rsidRPr="00297CA5">
              <w:rPr>
                <w:rFonts w:ascii="Segoe UI" w:eastAsia="Times New Roman" w:hAnsi="Segoe UI" w:cs="Times New Roman"/>
                <w:kern w:val="0"/>
                <w:sz w:val="17"/>
                <w:szCs w:val="17"/>
                <w:lang w:val="en-GB" w:eastAsia="en-US"/>
              </w:rPr>
              <w:t xml:space="preserve"> this row should be equal to the value for countercyclical capital buffer requirement reported in row 9 of template KM1.   </w:t>
            </w:r>
          </w:p>
        </w:tc>
      </w:tr>
      <w:tr w:rsidR="00297CA5" w:rsidRPr="00297CA5" w:rsidTr="00297CA5">
        <w:trPr>
          <w:trHeight w:val="373"/>
        </w:trPr>
        <w:tc>
          <w:tcPr>
            <w:tcW w:w="651" w:type="dxa"/>
          </w:tcPr>
          <w:p w:rsidR="00297CA5" w:rsidRPr="00297CA5" w:rsidRDefault="00297CA5" w:rsidP="00297CA5">
            <w:pPr>
              <w:keepLines/>
              <w:tabs>
                <w:tab w:val="left" w:pos="150"/>
                <w:tab w:val="left" w:pos="397"/>
                <w:tab w:val="left" w:pos="794"/>
                <w:tab w:val="left" w:pos="1191"/>
              </w:tabs>
              <w:spacing w:before="40" w:after="40"/>
              <w:rPr>
                <w:rFonts w:ascii="Segoe UI" w:eastAsia="Times New Roman" w:hAnsi="Segoe UI" w:cs="Segoe UI"/>
                <w:kern w:val="0"/>
                <w:sz w:val="17"/>
                <w:szCs w:val="17"/>
                <w:lang w:val="en-GB" w:eastAsia="en-GB"/>
              </w:rPr>
            </w:pPr>
            <w:r w:rsidRPr="00297CA5">
              <w:rPr>
                <w:rFonts w:ascii="Segoe UI" w:eastAsia="Times New Roman" w:hAnsi="Segoe UI" w:cs="Segoe UI"/>
                <w:kern w:val="0"/>
                <w:sz w:val="17"/>
                <w:szCs w:val="17"/>
                <w:lang w:val="en-GB" w:eastAsia="en-GB"/>
              </w:rPr>
              <w:t>31</w:t>
            </w:r>
          </w:p>
        </w:tc>
        <w:tc>
          <w:tcPr>
            <w:tcW w:w="8563" w:type="dxa"/>
          </w:tcPr>
          <w:p w:rsidR="00297CA5" w:rsidRPr="00297CA5" w:rsidRDefault="00297CA5" w:rsidP="00297CA5">
            <w:pPr>
              <w:widowControl/>
              <w:spacing w:before="40" w:after="40"/>
              <w:jc w:val="both"/>
              <w:rPr>
                <w:rFonts w:ascii="Segoe UI" w:eastAsia="Times New Roman" w:hAnsi="Segoe UI" w:cs="Times New Roman"/>
                <w:kern w:val="0"/>
                <w:sz w:val="17"/>
                <w:szCs w:val="17"/>
                <w:lang w:val="en-GB" w:eastAsia="en-US"/>
              </w:rPr>
            </w:pPr>
            <w:r w:rsidRPr="00297CA5">
              <w:rPr>
                <w:rFonts w:ascii="Segoe UI" w:eastAsia="Times New Roman" w:hAnsi="Segoe UI" w:cs="Times New Roman"/>
                <w:kern w:val="0"/>
                <w:sz w:val="17"/>
                <w:szCs w:val="17"/>
                <w:lang w:val="en-GB" w:eastAsia="en-US"/>
              </w:rPr>
              <w:t xml:space="preserve">(Only applicable to a material subsidiary that is an AI and whose LAC consolidation group is the same as its capital consolidation group).  The portion of the amount in row 28 (expressed as a percentage of the RWA under the BCR) that relates to the higher loss absorbency requirement.  </w:t>
            </w:r>
          </w:p>
          <w:p w:rsidR="00297CA5" w:rsidRPr="00297CA5" w:rsidRDefault="00297CA5" w:rsidP="00297CA5">
            <w:pPr>
              <w:widowControl/>
              <w:spacing w:before="40" w:after="40"/>
              <w:jc w:val="both"/>
              <w:rPr>
                <w:rFonts w:ascii="Segoe UI" w:eastAsia="Times New Roman" w:hAnsi="Segoe UI" w:cs="Times New Roman"/>
                <w:kern w:val="0"/>
                <w:sz w:val="17"/>
                <w:szCs w:val="17"/>
                <w:lang w:val="en-GB" w:eastAsia="en-US"/>
              </w:rPr>
            </w:pPr>
            <w:r w:rsidRPr="00297CA5">
              <w:rPr>
                <w:rFonts w:ascii="Segoe UI" w:eastAsia="Times New Roman" w:hAnsi="Segoe UI" w:cs="Times New Roman"/>
                <w:kern w:val="0"/>
                <w:sz w:val="17"/>
                <w:szCs w:val="17"/>
                <w:lang w:val="en-GB" w:eastAsia="en-US"/>
              </w:rPr>
              <w:t xml:space="preserve">The value reported in this row should be equal to the value for higher loss absorbency requirement reported in row 10 of template KM1.   </w:t>
            </w:r>
          </w:p>
        </w:tc>
      </w:tr>
    </w:tbl>
    <w:p w:rsidR="00297CA5" w:rsidRPr="00297CA5" w:rsidRDefault="00297CA5" w:rsidP="00297CA5">
      <w:pPr>
        <w:widowControl/>
        <w:rPr>
          <w:rFonts w:ascii="Segoe UI" w:eastAsia="Times New Roman" w:hAnsi="Segoe UI" w:cs="Times New Roman"/>
          <w:kern w:val="0"/>
          <w:sz w:val="20"/>
          <w:szCs w:val="20"/>
          <w:lang w:val="en-GB" w:eastAsia="en-US"/>
        </w:rPr>
      </w:pPr>
    </w:p>
    <w:p w:rsidR="00A21C37" w:rsidRDefault="00A21C37">
      <w:pPr>
        <w:rPr>
          <w:lang w:val="en-GB"/>
        </w:rPr>
        <w:sectPr w:rsidR="00A21C37">
          <w:footerReference w:type="default" r:id="rId15"/>
          <w:pgSz w:w="11906" w:h="16838"/>
          <w:pgMar w:top="1440" w:right="1800" w:bottom="1440" w:left="1800" w:header="851" w:footer="992" w:gutter="0"/>
          <w:cols w:space="425"/>
          <w:docGrid w:type="lines" w:linePitch="360"/>
        </w:sectPr>
      </w:pPr>
    </w:p>
    <w:tbl>
      <w:tblPr>
        <w:tblW w:w="13892" w:type="dxa"/>
        <w:tblInd w:w="108" w:type="dxa"/>
        <w:tblBorders>
          <w:top w:val="single" w:sz="4" w:space="0" w:color="auto"/>
          <w:bottom w:val="single" w:sz="4" w:space="0" w:color="auto"/>
          <w:insideH w:val="single" w:sz="4" w:space="0" w:color="auto"/>
          <w:insideV w:val="single" w:sz="4" w:space="0" w:color="auto"/>
        </w:tblBorders>
        <w:tblLook w:val="00A0" w:firstRow="1" w:lastRow="0" w:firstColumn="1" w:lastColumn="0" w:noHBand="0" w:noVBand="0"/>
      </w:tblPr>
      <w:tblGrid>
        <w:gridCol w:w="2552"/>
        <w:gridCol w:w="11340"/>
      </w:tblGrid>
      <w:tr w:rsidR="00650D67" w:rsidRPr="00650D67" w:rsidTr="003A4070">
        <w:tc>
          <w:tcPr>
            <w:tcW w:w="13892" w:type="dxa"/>
            <w:gridSpan w:val="2"/>
            <w:tcBorders>
              <w:top w:val="nil"/>
            </w:tcBorders>
          </w:tcPr>
          <w:p w:rsidR="00650D67" w:rsidRPr="00650D67" w:rsidRDefault="00650D67" w:rsidP="00650D67">
            <w:pPr>
              <w:widowControl/>
              <w:spacing w:before="40" w:after="40"/>
              <w:rPr>
                <w:rFonts w:ascii="Segoe UI" w:eastAsia="Times New Roman" w:hAnsi="Segoe UI" w:cs="Times New Roman"/>
                <w:noProof/>
                <w:kern w:val="0"/>
                <w:sz w:val="17"/>
                <w:szCs w:val="20"/>
                <w:lang w:val="en-GB" w:eastAsia="en-GB"/>
              </w:rPr>
            </w:pPr>
            <w:r w:rsidRPr="00650D67">
              <w:rPr>
                <w:rFonts w:ascii="Segoe UI" w:eastAsia="Times New Roman" w:hAnsi="Segoe UI" w:cs="Times New Roman"/>
                <w:kern w:val="0"/>
                <w:sz w:val="22"/>
                <w:szCs w:val="20"/>
                <w:lang w:val="en-GB" w:eastAsia="en-US"/>
              </w:rPr>
              <w:lastRenderedPageBreak/>
              <w:t>Template TLAC2: Material subsidiary – creditor ranking at legal entity level</w:t>
            </w:r>
          </w:p>
        </w:tc>
      </w:tr>
      <w:tr w:rsidR="00650D67" w:rsidRPr="00650D67" w:rsidTr="003A4070">
        <w:tc>
          <w:tcPr>
            <w:tcW w:w="2552" w:type="dxa"/>
          </w:tcPr>
          <w:p w:rsidR="00650D67" w:rsidRPr="00650D67" w:rsidRDefault="00650D67" w:rsidP="00650D67">
            <w:pPr>
              <w:widowControl/>
              <w:spacing w:before="40" w:after="40"/>
              <w:rPr>
                <w:rFonts w:ascii="Segoe UI" w:eastAsia="Times New Roman" w:hAnsi="Segoe UI" w:cs="Times New Roman"/>
                <w:noProof/>
                <w:kern w:val="0"/>
                <w:sz w:val="17"/>
                <w:szCs w:val="17"/>
                <w:lang w:val="en-GB" w:eastAsia="en-GB"/>
              </w:rPr>
            </w:pPr>
            <w:r w:rsidRPr="00650D67">
              <w:rPr>
                <w:rFonts w:ascii="Segoe UI" w:eastAsia="Times New Roman" w:hAnsi="Segoe UI" w:cs="Times New Roman"/>
                <w:b/>
                <w:kern w:val="0"/>
                <w:sz w:val="17"/>
                <w:szCs w:val="17"/>
                <w:lang w:val="en-GB" w:eastAsia="en-GB"/>
              </w:rPr>
              <w:t>Purpose:</w:t>
            </w:r>
          </w:p>
        </w:tc>
        <w:tc>
          <w:tcPr>
            <w:tcW w:w="11340" w:type="dxa"/>
          </w:tcPr>
          <w:p w:rsidR="00650D67" w:rsidRPr="00650D67" w:rsidRDefault="00650D67" w:rsidP="00650D67">
            <w:pPr>
              <w:widowControl/>
              <w:spacing w:before="40" w:after="40"/>
              <w:jc w:val="both"/>
              <w:rPr>
                <w:rFonts w:ascii="Segoe UI" w:hAnsi="Segoe UI" w:cs="Times New Roman"/>
                <w:kern w:val="0"/>
                <w:sz w:val="17"/>
                <w:szCs w:val="20"/>
                <w:lang w:val="en-GB" w:eastAsia="en-GB"/>
              </w:rPr>
            </w:pPr>
            <w:r w:rsidRPr="00650D67">
              <w:rPr>
                <w:rFonts w:ascii="Segoe UI" w:hAnsi="Segoe UI" w:cs="Times New Roman"/>
                <w:kern w:val="0"/>
                <w:sz w:val="17"/>
                <w:szCs w:val="20"/>
                <w:lang w:val="en-GB" w:eastAsia="en-GB"/>
              </w:rPr>
              <w:t>To provide creditors with information regarding their ranking in the capital and liabilities structure of a material subsidiary which has issued directly or indirectly internal loss-absorbing capacity to a resolution entity or a non-HK resolution entity.</w:t>
            </w:r>
          </w:p>
        </w:tc>
      </w:tr>
      <w:tr w:rsidR="00650D67" w:rsidRPr="00650D67" w:rsidTr="003A4070">
        <w:tc>
          <w:tcPr>
            <w:tcW w:w="2552" w:type="dxa"/>
          </w:tcPr>
          <w:p w:rsidR="00650D67" w:rsidRPr="00650D67" w:rsidRDefault="00650D67" w:rsidP="00650D67">
            <w:pPr>
              <w:widowControl/>
              <w:spacing w:before="40" w:after="40"/>
              <w:rPr>
                <w:rFonts w:ascii="Segoe UI" w:eastAsia="Times New Roman" w:hAnsi="Segoe UI" w:cs="Times New Roman"/>
                <w:b/>
                <w:kern w:val="0"/>
                <w:sz w:val="17"/>
                <w:szCs w:val="17"/>
                <w:lang w:val="en-GB" w:eastAsia="en-GB"/>
              </w:rPr>
            </w:pPr>
            <w:r w:rsidRPr="00650D67">
              <w:rPr>
                <w:rFonts w:ascii="Segoe UI" w:eastAsia="Times New Roman" w:hAnsi="Segoe UI" w:cs="Times New Roman"/>
                <w:b/>
                <w:kern w:val="0"/>
                <w:sz w:val="17"/>
                <w:szCs w:val="17"/>
                <w:lang w:val="en-GB" w:eastAsia="en-GB"/>
              </w:rPr>
              <w:t>Scope of application:</w:t>
            </w:r>
          </w:p>
        </w:tc>
        <w:tc>
          <w:tcPr>
            <w:tcW w:w="11340" w:type="dxa"/>
          </w:tcPr>
          <w:p w:rsidR="00650D67" w:rsidRPr="00650D67" w:rsidRDefault="00650D67" w:rsidP="00650D67">
            <w:pPr>
              <w:widowControl/>
              <w:spacing w:before="40" w:after="40"/>
              <w:jc w:val="both"/>
              <w:rPr>
                <w:rFonts w:ascii="Segoe UI" w:hAnsi="Segoe UI" w:cs="Times New Roman"/>
                <w:b/>
                <w:kern w:val="0"/>
                <w:sz w:val="17"/>
                <w:szCs w:val="20"/>
                <w:lang w:val="en-GB" w:eastAsia="en-GB"/>
              </w:rPr>
            </w:pPr>
            <w:r w:rsidRPr="00650D67">
              <w:rPr>
                <w:rFonts w:ascii="Segoe UI" w:hAnsi="Segoe UI" w:cs="Times New Roman"/>
                <w:kern w:val="0"/>
                <w:sz w:val="17"/>
                <w:szCs w:val="20"/>
                <w:lang w:val="en-GB" w:eastAsia="en-GB"/>
              </w:rPr>
              <w:t xml:space="preserve">The template is mandatory for all material subsidiaries under the </w:t>
            </w:r>
            <w:r w:rsidRPr="00650D67">
              <w:rPr>
                <w:rFonts w:ascii="Segoe UI" w:eastAsia="新細明體" w:hAnsi="Segoe UI" w:cs="Times New Roman"/>
                <w:kern w:val="0"/>
                <w:sz w:val="17"/>
                <w:szCs w:val="20"/>
                <w:lang w:val="en-GB" w:eastAsia="en-GB"/>
              </w:rPr>
              <w:t>Financial Institutions (Resolution) (Loss-absorbing Capacity Requirements – Banking Sector) Rules (“</w:t>
            </w:r>
            <w:r w:rsidRPr="00650D67">
              <w:rPr>
                <w:rFonts w:ascii="Segoe UI" w:hAnsi="Segoe UI" w:cs="Times New Roman"/>
                <w:kern w:val="0"/>
                <w:sz w:val="17"/>
                <w:szCs w:val="20"/>
                <w:lang w:val="en-GB" w:eastAsia="en-GB"/>
              </w:rPr>
              <w:t xml:space="preserve">LAC Rules”).  It is to be completed in respect of every material subsidiary under the LAC Rules, on a legal entity basis.  </w:t>
            </w:r>
          </w:p>
        </w:tc>
      </w:tr>
      <w:tr w:rsidR="00650D67" w:rsidRPr="00650D67" w:rsidTr="003A4070">
        <w:trPr>
          <w:trHeight w:val="275"/>
        </w:trPr>
        <w:tc>
          <w:tcPr>
            <w:tcW w:w="2552" w:type="dxa"/>
          </w:tcPr>
          <w:p w:rsidR="00650D67" w:rsidRPr="00650D67" w:rsidRDefault="00650D67" w:rsidP="00650D67">
            <w:pPr>
              <w:widowControl/>
              <w:spacing w:before="40" w:after="40"/>
              <w:rPr>
                <w:rFonts w:ascii="Segoe UI" w:eastAsia="Times New Roman" w:hAnsi="Segoe UI" w:cs="Times New Roman"/>
                <w:b/>
                <w:kern w:val="0"/>
                <w:sz w:val="17"/>
                <w:szCs w:val="17"/>
                <w:lang w:val="en-GB" w:eastAsia="en-GB"/>
              </w:rPr>
            </w:pPr>
            <w:r w:rsidRPr="00650D67">
              <w:rPr>
                <w:rFonts w:ascii="Segoe UI" w:eastAsia="Times New Roman" w:hAnsi="Segoe UI" w:cs="Times New Roman"/>
                <w:b/>
                <w:kern w:val="0"/>
                <w:sz w:val="17"/>
                <w:szCs w:val="17"/>
                <w:lang w:val="en-GB" w:eastAsia="en-GB"/>
              </w:rPr>
              <w:t>Content:</w:t>
            </w:r>
          </w:p>
        </w:tc>
        <w:tc>
          <w:tcPr>
            <w:tcW w:w="11340" w:type="dxa"/>
          </w:tcPr>
          <w:p w:rsidR="00650D67" w:rsidRPr="00650D67" w:rsidRDefault="00650D67" w:rsidP="00650D67">
            <w:pPr>
              <w:widowControl/>
              <w:spacing w:before="40" w:after="40"/>
              <w:jc w:val="both"/>
              <w:rPr>
                <w:rFonts w:ascii="Segoe UI" w:hAnsi="Segoe UI" w:cs="Times New Roman"/>
                <w:b/>
                <w:kern w:val="0"/>
                <w:sz w:val="17"/>
                <w:szCs w:val="20"/>
                <w:lang w:val="en-GB" w:eastAsia="en-GB"/>
              </w:rPr>
            </w:pPr>
            <w:r w:rsidRPr="00650D67">
              <w:rPr>
                <w:rFonts w:ascii="Segoe UI" w:hAnsi="Segoe UI" w:cs="Times New Roman"/>
                <w:kern w:val="0"/>
                <w:sz w:val="17"/>
                <w:szCs w:val="20"/>
                <w:lang w:val="en-GB" w:eastAsia="en-GB"/>
              </w:rPr>
              <w:t>Nominal values.</w:t>
            </w:r>
          </w:p>
        </w:tc>
      </w:tr>
      <w:tr w:rsidR="00650D67" w:rsidRPr="00650D67" w:rsidTr="003A4070">
        <w:tc>
          <w:tcPr>
            <w:tcW w:w="2552" w:type="dxa"/>
          </w:tcPr>
          <w:p w:rsidR="00650D67" w:rsidRPr="00650D67" w:rsidRDefault="00650D67" w:rsidP="00650D67">
            <w:pPr>
              <w:widowControl/>
              <w:spacing w:before="40" w:after="40"/>
              <w:rPr>
                <w:rFonts w:ascii="Segoe UI" w:eastAsia="Times New Roman" w:hAnsi="Segoe UI" w:cs="Times New Roman"/>
                <w:kern w:val="0"/>
                <w:sz w:val="17"/>
                <w:szCs w:val="17"/>
                <w:lang w:val="en-GB" w:eastAsia="en-GB"/>
              </w:rPr>
            </w:pPr>
            <w:r w:rsidRPr="00650D67">
              <w:rPr>
                <w:rFonts w:ascii="Segoe UI" w:eastAsia="Times New Roman" w:hAnsi="Segoe UI" w:cs="Times New Roman"/>
                <w:b/>
                <w:kern w:val="0"/>
                <w:sz w:val="17"/>
                <w:szCs w:val="17"/>
                <w:lang w:val="en-GB" w:eastAsia="en-GB"/>
              </w:rPr>
              <w:t>Frequency:</w:t>
            </w:r>
          </w:p>
        </w:tc>
        <w:tc>
          <w:tcPr>
            <w:tcW w:w="11340" w:type="dxa"/>
          </w:tcPr>
          <w:p w:rsidR="00650D67" w:rsidRPr="00650D67" w:rsidRDefault="00650D67" w:rsidP="00650D67">
            <w:pPr>
              <w:widowControl/>
              <w:spacing w:before="40" w:after="40"/>
              <w:jc w:val="both"/>
              <w:rPr>
                <w:rFonts w:ascii="Segoe UI" w:hAnsi="Segoe UI" w:cs="Times New Roman"/>
                <w:kern w:val="0"/>
                <w:sz w:val="17"/>
                <w:szCs w:val="20"/>
                <w:lang w:val="en-GB" w:eastAsia="en-GB"/>
              </w:rPr>
            </w:pPr>
            <w:r w:rsidRPr="00650D67">
              <w:rPr>
                <w:rFonts w:ascii="Segoe UI" w:hAnsi="Segoe UI" w:cs="Times New Roman"/>
                <w:kern w:val="0"/>
                <w:sz w:val="17"/>
                <w:szCs w:val="20"/>
                <w:lang w:val="en-GB" w:eastAsia="en-GB"/>
              </w:rPr>
              <w:t>Semi-annual.</w:t>
            </w:r>
          </w:p>
        </w:tc>
      </w:tr>
      <w:tr w:rsidR="00650D67" w:rsidRPr="00650D67" w:rsidTr="003A4070">
        <w:tc>
          <w:tcPr>
            <w:tcW w:w="2552" w:type="dxa"/>
          </w:tcPr>
          <w:p w:rsidR="00650D67" w:rsidRPr="00650D67" w:rsidRDefault="00650D67" w:rsidP="00650D67">
            <w:pPr>
              <w:widowControl/>
              <w:spacing w:before="40" w:after="40"/>
              <w:rPr>
                <w:rFonts w:ascii="Segoe UI" w:eastAsia="Times New Roman" w:hAnsi="Segoe UI" w:cs="Times New Roman"/>
                <w:kern w:val="0"/>
                <w:sz w:val="17"/>
                <w:szCs w:val="17"/>
                <w:lang w:val="en-GB" w:eastAsia="en-GB"/>
              </w:rPr>
            </w:pPr>
            <w:r w:rsidRPr="00650D67">
              <w:rPr>
                <w:rFonts w:ascii="Segoe UI" w:eastAsia="Times New Roman" w:hAnsi="Segoe UI" w:cs="Times New Roman"/>
                <w:b/>
                <w:kern w:val="0"/>
                <w:sz w:val="17"/>
                <w:szCs w:val="17"/>
                <w:lang w:val="en-GB" w:eastAsia="en-GB"/>
              </w:rPr>
              <w:t>Format:</w:t>
            </w:r>
          </w:p>
        </w:tc>
        <w:tc>
          <w:tcPr>
            <w:tcW w:w="11340" w:type="dxa"/>
          </w:tcPr>
          <w:p w:rsidR="00650D67" w:rsidRPr="00650D67" w:rsidRDefault="00650D67" w:rsidP="00650D67">
            <w:pPr>
              <w:widowControl/>
              <w:spacing w:before="40" w:after="40"/>
              <w:jc w:val="both"/>
              <w:rPr>
                <w:rFonts w:ascii="Segoe UI" w:hAnsi="Segoe UI" w:cs="Times New Roman"/>
                <w:kern w:val="0"/>
                <w:sz w:val="17"/>
                <w:szCs w:val="20"/>
                <w:lang w:val="en-GB" w:eastAsia="en-GB"/>
              </w:rPr>
            </w:pPr>
            <w:r w:rsidRPr="00650D67">
              <w:rPr>
                <w:rFonts w:ascii="Segoe UI" w:hAnsi="Segoe UI" w:cs="Times New Roman"/>
                <w:kern w:val="0"/>
                <w:sz w:val="17"/>
                <w:szCs w:val="20"/>
                <w:lang w:val="en-GB" w:eastAsia="en-GB"/>
              </w:rPr>
              <w:t>Fixed (number and description of each column under “Creditor ranking” depending on the capital and liabilities structure of a material subsidiary).</w:t>
            </w:r>
          </w:p>
        </w:tc>
      </w:tr>
      <w:tr w:rsidR="00650D67" w:rsidRPr="00650D67" w:rsidTr="003A4070">
        <w:tc>
          <w:tcPr>
            <w:tcW w:w="2552" w:type="dxa"/>
          </w:tcPr>
          <w:p w:rsidR="00650D67" w:rsidRPr="00650D67" w:rsidRDefault="00650D67" w:rsidP="00650D67">
            <w:pPr>
              <w:widowControl/>
              <w:spacing w:before="40" w:after="40"/>
              <w:rPr>
                <w:rFonts w:ascii="Segoe UI" w:eastAsia="Times New Roman" w:hAnsi="Segoe UI" w:cs="Times New Roman"/>
                <w:b/>
                <w:kern w:val="0"/>
                <w:sz w:val="17"/>
                <w:szCs w:val="17"/>
                <w:lang w:val="en-GB" w:eastAsia="en-GB"/>
              </w:rPr>
            </w:pPr>
            <w:r w:rsidRPr="00650D67">
              <w:rPr>
                <w:rFonts w:ascii="Segoe UI" w:hAnsi="Segoe UI" w:cs="Times New Roman"/>
                <w:b/>
                <w:kern w:val="0"/>
                <w:sz w:val="17"/>
                <w:szCs w:val="17"/>
                <w:lang w:val="en-GB" w:eastAsia="en-GB"/>
              </w:rPr>
              <w:t>Accompanying narrative</w:t>
            </w:r>
            <w:r w:rsidRPr="00650D67">
              <w:rPr>
                <w:rFonts w:ascii="Segoe UI" w:hAnsi="Segoe UI" w:cs="Times New Roman"/>
                <w:kern w:val="0"/>
                <w:sz w:val="17"/>
                <w:szCs w:val="17"/>
                <w:lang w:val="en-GB" w:eastAsia="en-GB"/>
              </w:rPr>
              <w:t>:</w:t>
            </w:r>
          </w:p>
        </w:tc>
        <w:tc>
          <w:tcPr>
            <w:tcW w:w="11340" w:type="dxa"/>
          </w:tcPr>
          <w:p w:rsidR="00650D67" w:rsidRPr="00650D67" w:rsidRDefault="00650D67" w:rsidP="00650D67">
            <w:pPr>
              <w:widowControl/>
              <w:spacing w:before="40" w:after="40"/>
              <w:jc w:val="both"/>
              <w:rPr>
                <w:rFonts w:ascii="Segoe UI" w:hAnsi="Segoe UI" w:cs="Times New Roman"/>
                <w:noProof/>
                <w:kern w:val="0"/>
                <w:sz w:val="17"/>
                <w:szCs w:val="20"/>
                <w:lang w:val="en-GB" w:eastAsia="en-GB"/>
              </w:rPr>
            </w:pPr>
            <w:r w:rsidRPr="00650D67">
              <w:rPr>
                <w:rFonts w:ascii="Segoe UI" w:eastAsia="Times New Roman" w:hAnsi="Segoe UI" w:cs="Times New Roman"/>
                <w:kern w:val="0"/>
                <w:sz w:val="17"/>
                <w:szCs w:val="17"/>
                <w:lang w:val="en-GB" w:eastAsia="en-GB"/>
              </w:rPr>
              <w:t>Where appropriate, material subsidiaries should provide institution- or jurisdiction-specific information relating to credit hierarchies.</w:t>
            </w:r>
          </w:p>
        </w:tc>
      </w:tr>
      <w:tr w:rsidR="00650D67" w:rsidRPr="00650D67" w:rsidTr="003A4070">
        <w:tc>
          <w:tcPr>
            <w:tcW w:w="2552" w:type="dxa"/>
          </w:tcPr>
          <w:p w:rsidR="00650D67" w:rsidRPr="00650D67" w:rsidRDefault="00650D67" w:rsidP="00650D67">
            <w:pPr>
              <w:widowControl/>
              <w:spacing w:before="40" w:after="40"/>
              <w:rPr>
                <w:rFonts w:ascii="Segoe UI" w:hAnsi="Segoe UI" w:cs="Times New Roman"/>
                <w:b/>
                <w:kern w:val="0"/>
                <w:sz w:val="17"/>
                <w:szCs w:val="17"/>
                <w:lang w:val="en-GB" w:eastAsia="en-GB"/>
              </w:rPr>
            </w:pPr>
            <w:r w:rsidRPr="00650D67">
              <w:rPr>
                <w:rFonts w:ascii="Segoe UI" w:hAnsi="Segoe UI" w:cs="Times New Roman"/>
                <w:b/>
                <w:kern w:val="0"/>
                <w:sz w:val="17"/>
                <w:szCs w:val="17"/>
                <w:lang w:val="en-GB" w:eastAsia="en-GB"/>
              </w:rPr>
              <w:t>Corresponding LAC Rules rule:</w:t>
            </w:r>
          </w:p>
        </w:tc>
        <w:tc>
          <w:tcPr>
            <w:tcW w:w="11340" w:type="dxa"/>
          </w:tcPr>
          <w:p w:rsidR="00650D67" w:rsidRPr="00650D67" w:rsidRDefault="00650D67" w:rsidP="00650D67">
            <w:pPr>
              <w:widowControl/>
              <w:spacing w:before="40" w:after="40"/>
              <w:jc w:val="both"/>
              <w:rPr>
                <w:rFonts w:ascii="Segoe UI" w:eastAsia="Times New Roman" w:hAnsi="Segoe UI" w:cs="Times New Roman"/>
                <w:kern w:val="0"/>
                <w:sz w:val="17"/>
                <w:szCs w:val="17"/>
                <w:lang w:val="en-GB" w:eastAsia="en-GB"/>
              </w:rPr>
            </w:pPr>
            <w:r w:rsidRPr="00650D67">
              <w:rPr>
                <w:rFonts w:ascii="Segoe UI" w:eastAsia="Times New Roman" w:hAnsi="Segoe UI" w:cs="Times New Roman"/>
                <w:kern w:val="0"/>
                <w:sz w:val="17"/>
                <w:szCs w:val="17"/>
                <w:lang w:val="en-GB" w:eastAsia="en-GB"/>
              </w:rPr>
              <w:t>50</w:t>
            </w:r>
          </w:p>
        </w:tc>
      </w:tr>
    </w:tbl>
    <w:p w:rsidR="00650D67" w:rsidRPr="00650D67" w:rsidRDefault="00650D67" w:rsidP="00650D67">
      <w:pPr>
        <w:widowControl/>
        <w:spacing w:before="40" w:after="40"/>
        <w:rPr>
          <w:rFonts w:ascii="Segoe UI" w:eastAsia="Times New Roman" w:hAnsi="Segoe UI" w:cs="Times New Roman"/>
          <w:kern w:val="0"/>
          <w:sz w:val="22"/>
          <w:szCs w:val="20"/>
          <w:lang w:val="en-GB" w:eastAsia="en-US"/>
        </w:rPr>
      </w:pPr>
    </w:p>
    <w:tbl>
      <w:tblPr>
        <w:tblW w:w="13892" w:type="dxa"/>
        <w:tblInd w:w="108" w:type="dxa"/>
        <w:tblBorders>
          <w:top w:val="single" w:sz="4" w:space="0" w:color="BCBDBC"/>
          <w:left w:val="single" w:sz="4" w:space="0" w:color="BCBDBC"/>
          <w:bottom w:val="single" w:sz="4" w:space="0" w:color="BCBDBC"/>
          <w:right w:val="single" w:sz="4" w:space="0" w:color="BCBDBC"/>
          <w:insideH w:val="single" w:sz="4" w:space="0" w:color="BCBDBC"/>
          <w:insideV w:val="single" w:sz="4" w:space="0" w:color="BCBDBC"/>
        </w:tblBorders>
        <w:tblLayout w:type="fixed"/>
        <w:tblLook w:val="00A0" w:firstRow="1" w:lastRow="0" w:firstColumn="1" w:lastColumn="0" w:noHBand="0" w:noVBand="0"/>
      </w:tblPr>
      <w:tblGrid>
        <w:gridCol w:w="567"/>
        <w:gridCol w:w="5103"/>
        <w:gridCol w:w="1134"/>
        <w:gridCol w:w="1134"/>
        <w:gridCol w:w="851"/>
        <w:gridCol w:w="850"/>
        <w:gridCol w:w="851"/>
        <w:gridCol w:w="1134"/>
        <w:gridCol w:w="1134"/>
        <w:gridCol w:w="1134"/>
      </w:tblGrid>
      <w:tr w:rsidR="00650D67" w:rsidRPr="00650D67" w:rsidTr="003A4070">
        <w:trPr>
          <w:cantSplit/>
          <w:trHeight w:val="113"/>
          <w:tblHeader/>
        </w:trPr>
        <w:tc>
          <w:tcPr>
            <w:tcW w:w="567" w:type="dxa"/>
            <w:tcBorders>
              <w:top w:val="nil"/>
              <w:left w:val="nil"/>
              <w:bottom w:val="nil"/>
              <w:right w:val="nil"/>
            </w:tcBorders>
          </w:tcPr>
          <w:p w:rsidR="00650D67" w:rsidRPr="00650D67" w:rsidRDefault="00650D67" w:rsidP="00650D67">
            <w:pPr>
              <w:keepNext/>
              <w:widowControl/>
              <w:snapToGrid w:val="0"/>
              <w:spacing w:before="40" w:after="40"/>
              <w:rPr>
                <w:rFonts w:ascii="Segoe UI" w:hAnsi="Segoe UI" w:cs="Segoe UI"/>
                <w:kern w:val="0"/>
                <w:sz w:val="17"/>
                <w:szCs w:val="17"/>
                <w:lang w:val="en-GB" w:eastAsia="en-GB"/>
              </w:rPr>
            </w:pPr>
          </w:p>
        </w:tc>
        <w:tc>
          <w:tcPr>
            <w:tcW w:w="5103" w:type="dxa"/>
            <w:tcBorders>
              <w:top w:val="nil"/>
              <w:left w:val="nil"/>
              <w:bottom w:val="nil"/>
              <w:right w:val="single" w:sz="4" w:space="0" w:color="auto"/>
            </w:tcBorders>
            <w:vAlign w:val="center"/>
          </w:tcPr>
          <w:p w:rsidR="00650D67" w:rsidRPr="00650D67" w:rsidRDefault="00650D67" w:rsidP="00650D67">
            <w:pPr>
              <w:keepNext/>
              <w:widowControl/>
              <w:snapToGrid w:val="0"/>
              <w:spacing w:before="40" w:after="40"/>
              <w:rPr>
                <w:rFonts w:ascii="Segoe UI" w:hAnsi="Segoe UI" w:cs="Segoe UI"/>
                <w:kern w:val="0"/>
                <w:sz w:val="17"/>
                <w:szCs w:val="17"/>
                <w:lang w:val="en-GB" w:eastAsia="en-GB"/>
              </w:rPr>
            </w:pPr>
          </w:p>
        </w:tc>
        <w:tc>
          <w:tcPr>
            <w:tcW w:w="1134" w:type="dxa"/>
            <w:tcBorders>
              <w:top w:val="single" w:sz="4" w:space="0" w:color="auto"/>
              <w:left w:val="single" w:sz="4" w:space="0" w:color="auto"/>
              <w:bottom w:val="single" w:sz="4" w:space="0" w:color="BFBFBF" w:themeColor="background1" w:themeShade="BF"/>
              <w:right w:val="nil"/>
            </w:tcBorders>
            <w:vAlign w:val="center"/>
          </w:tcPr>
          <w:p w:rsidR="00650D67" w:rsidRPr="00650D67" w:rsidRDefault="00650D67" w:rsidP="00650D67">
            <w:pPr>
              <w:widowControl/>
              <w:snapToGrid w:val="0"/>
              <w:spacing w:before="40" w:after="40"/>
              <w:jc w:val="center"/>
              <w:rPr>
                <w:rFonts w:ascii="Segoe UI" w:hAnsi="Segoe UI" w:cs="Segoe UI"/>
                <w:bCs/>
                <w:kern w:val="0"/>
                <w:sz w:val="17"/>
                <w:szCs w:val="17"/>
                <w:lang w:val="en-GB" w:eastAsia="ja-JP"/>
              </w:rPr>
            </w:pPr>
          </w:p>
        </w:tc>
        <w:tc>
          <w:tcPr>
            <w:tcW w:w="1134" w:type="dxa"/>
            <w:tcBorders>
              <w:top w:val="single" w:sz="4" w:space="0" w:color="auto"/>
              <w:left w:val="nil"/>
              <w:bottom w:val="single" w:sz="4" w:space="0" w:color="BFBFBF" w:themeColor="background1" w:themeShade="BF"/>
              <w:right w:val="nil"/>
            </w:tcBorders>
            <w:vAlign w:val="center"/>
          </w:tcPr>
          <w:p w:rsidR="00650D67" w:rsidRPr="00650D67" w:rsidRDefault="00650D67" w:rsidP="00650D67">
            <w:pPr>
              <w:widowControl/>
              <w:snapToGrid w:val="0"/>
              <w:spacing w:before="40" w:after="40"/>
              <w:jc w:val="center"/>
              <w:rPr>
                <w:rFonts w:ascii="Segoe UI" w:hAnsi="Segoe UI" w:cs="Segoe UI"/>
                <w:bCs/>
                <w:kern w:val="0"/>
                <w:sz w:val="17"/>
                <w:szCs w:val="17"/>
                <w:lang w:val="en-GB" w:eastAsia="ja-JP"/>
              </w:rPr>
            </w:pPr>
          </w:p>
        </w:tc>
        <w:tc>
          <w:tcPr>
            <w:tcW w:w="2552" w:type="dxa"/>
            <w:gridSpan w:val="3"/>
            <w:tcBorders>
              <w:top w:val="single" w:sz="4" w:space="0" w:color="auto"/>
              <w:left w:val="nil"/>
              <w:bottom w:val="single" w:sz="4" w:space="0" w:color="BFBFBF" w:themeColor="background1" w:themeShade="BF"/>
              <w:right w:val="nil"/>
            </w:tcBorders>
            <w:vAlign w:val="center"/>
          </w:tcPr>
          <w:p w:rsidR="00650D67" w:rsidRPr="00650D67" w:rsidRDefault="00650D67" w:rsidP="00650D67">
            <w:pPr>
              <w:widowControl/>
              <w:snapToGrid w:val="0"/>
              <w:spacing w:before="40" w:after="40"/>
              <w:jc w:val="center"/>
              <w:rPr>
                <w:rFonts w:ascii="Segoe UI" w:hAnsi="Segoe UI" w:cs="Segoe UI"/>
                <w:bCs/>
                <w:kern w:val="0"/>
                <w:sz w:val="17"/>
                <w:szCs w:val="17"/>
                <w:lang w:val="en-GB" w:eastAsia="ja-JP"/>
              </w:rPr>
            </w:pPr>
            <w:r w:rsidRPr="00650D67">
              <w:rPr>
                <w:rFonts w:ascii="Segoe UI" w:hAnsi="Segoe UI" w:cs="Segoe UI"/>
                <w:bCs/>
                <w:kern w:val="0"/>
                <w:sz w:val="17"/>
                <w:szCs w:val="17"/>
                <w:lang w:val="en-GB" w:eastAsia="ja-JP"/>
              </w:rPr>
              <w:t>Creditor ranking</w:t>
            </w:r>
          </w:p>
        </w:tc>
        <w:tc>
          <w:tcPr>
            <w:tcW w:w="1134" w:type="dxa"/>
            <w:tcBorders>
              <w:top w:val="single" w:sz="4" w:space="0" w:color="auto"/>
              <w:left w:val="nil"/>
              <w:bottom w:val="single" w:sz="4" w:space="0" w:color="BFBFBF" w:themeColor="background1" w:themeShade="BF"/>
              <w:right w:val="nil"/>
            </w:tcBorders>
            <w:vAlign w:val="center"/>
          </w:tcPr>
          <w:p w:rsidR="00650D67" w:rsidRPr="00650D67" w:rsidRDefault="00650D67" w:rsidP="00650D67">
            <w:pPr>
              <w:widowControl/>
              <w:snapToGrid w:val="0"/>
              <w:spacing w:before="40" w:after="40"/>
              <w:jc w:val="center"/>
              <w:rPr>
                <w:rFonts w:ascii="Segoe UI" w:hAnsi="Segoe UI" w:cs="Segoe UI"/>
                <w:bCs/>
                <w:kern w:val="0"/>
                <w:sz w:val="17"/>
                <w:szCs w:val="17"/>
                <w:lang w:val="en-GB" w:eastAsia="ja-JP"/>
              </w:rPr>
            </w:pPr>
          </w:p>
        </w:tc>
        <w:tc>
          <w:tcPr>
            <w:tcW w:w="1134" w:type="dxa"/>
            <w:tcBorders>
              <w:top w:val="single" w:sz="4" w:space="0" w:color="auto"/>
              <w:left w:val="nil"/>
              <w:bottom w:val="single" w:sz="4" w:space="0" w:color="BFBFBF" w:themeColor="background1" w:themeShade="BF"/>
              <w:right w:val="single" w:sz="4" w:space="0" w:color="auto"/>
            </w:tcBorders>
            <w:vAlign w:val="center"/>
          </w:tcPr>
          <w:p w:rsidR="00650D67" w:rsidRPr="00650D67" w:rsidRDefault="00650D67" w:rsidP="00650D67">
            <w:pPr>
              <w:widowControl/>
              <w:snapToGrid w:val="0"/>
              <w:spacing w:before="40" w:after="40"/>
              <w:jc w:val="center"/>
              <w:rPr>
                <w:rFonts w:ascii="Segoe UI" w:hAnsi="Segoe UI" w:cs="Segoe UI"/>
                <w:bCs/>
                <w:kern w:val="0"/>
                <w:sz w:val="17"/>
                <w:szCs w:val="17"/>
                <w:lang w:val="en-GB" w:eastAsia="ja-JP"/>
              </w:rPr>
            </w:pPr>
          </w:p>
        </w:tc>
        <w:tc>
          <w:tcPr>
            <w:tcW w:w="1134" w:type="dxa"/>
            <w:vMerge w:val="restart"/>
            <w:tcBorders>
              <w:top w:val="single" w:sz="4" w:space="0" w:color="auto"/>
              <w:left w:val="single" w:sz="4" w:space="0" w:color="auto"/>
              <w:right w:val="single" w:sz="4" w:space="0" w:color="auto"/>
            </w:tcBorders>
            <w:vAlign w:val="center"/>
          </w:tcPr>
          <w:p w:rsidR="00650D67" w:rsidRPr="00650D67" w:rsidRDefault="00650D67" w:rsidP="00650D67">
            <w:pPr>
              <w:widowControl/>
              <w:snapToGrid w:val="0"/>
              <w:spacing w:before="40" w:after="40"/>
              <w:jc w:val="center"/>
              <w:rPr>
                <w:rFonts w:ascii="Segoe UI" w:hAnsi="Segoe UI" w:cs="Segoe UI"/>
                <w:bCs/>
                <w:kern w:val="0"/>
                <w:sz w:val="17"/>
                <w:szCs w:val="17"/>
                <w:lang w:val="en-GB" w:eastAsia="ja-JP"/>
              </w:rPr>
            </w:pPr>
            <w:r w:rsidRPr="00650D67">
              <w:rPr>
                <w:rFonts w:ascii="Segoe UI" w:hAnsi="Segoe UI" w:cs="Segoe UI"/>
                <w:bCs/>
                <w:kern w:val="0"/>
                <w:sz w:val="17"/>
                <w:szCs w:val="17"/>
                <w:lang w:val="en-GB" w:eastAsia="ja-JP"/>
              </w:rPr>
              <w:t>Sum of values in columns 1 to n</w:t>
            </w:r>
          </w:p>
        </w:tc>
      </w:tr>
      <w:tr w:rsidR="00650D67" w:rsidRPr="00650D67" w:rsidTr="003A4070">
        <w:trPr>
          <w:cantSplit/>
          <w:trHeight w:val="113"/>
          <w:tblHeader/>
        </w:trPr>
        <w:tc>
          <w:tcPr>
            <w:tcW w:w="567" w:type="dxa"/>
            <w:tcBorders>
              <w:top w:val="nil"/>
              <w:left w:val="nil"/>
              <w:bottom w:val="nil"/>
              <w:right w:val="nil"/>
            </w:tcBorders>
          </w:tcPr>
          <w:p w:rsidR="00650D67" w:rsidRPr="00650D67" w:rsidRDefault="00650D67" w:rsidP="00650D67">
            <w:pPr>
              <w:keepNext/>
              <w:widowControl/>
              <w:snapToGrid w:val="0"/>
              <w:spacing w:before="40" w:after="40"/>
              <w:rPr>
                <w:rFonts w:ascii="Segoe UI" w:hAnsi="Segoe UI" w:cs="Segoe UI"/>
                <w:kern w:val="0"/>
                <w:sz w:val="17"/>
                <w:szCs w:val="17"/>
                <w:lang w:val="en-GB" w:eastAsia="en-GB"/>
              </w:rPr>
            </w:pPr>
          </w:p>
        </w:tc>
        <w:tc>
          <w:tcPr>
            <w:tcW w:w="5103" w:type="dxa"/>
            <w:tcBorders>
              <w:top w:val="nil"/>
              <w:left w:val="nil"/>
              <w:bottom w:val="nil"/>
              <w:right w:val="single" w:sz="4" w:space="0" w:color="auto"/>
            </w:tcBorders>
            <w:vAlign w:val="center"/>
          </w:tcPr>
          <w:p w:rsidR="00650D67" w:rsidRPr="00650D67" w:rsidRDefault="00650D67" w:rsidP="00650D67">
            <w:pPr>
              <w:keepNext/>
              <w:widowControl/>
              <w:snapToGrid w:val="0"/>
              <w:spacing w:before="40" w:after="40"/>
              <w:rPr>
                <w:rFonts w:ascii="Segoe UI" w:hAnsi="Segoe UI" w:cs="Segoe UI"/>
                <w:kern w:val="0"/>
                <w:sz w:val="17"/>
                <w:szCs w:val="17"/>
                <w:lang w:val="en-GB" w:eastAsia="en-GB"/>
              </w:rPr>
            </w:pPr>
          </w:p>
        </w:tc>
        <w:tc>
          <w:tcPr>
            <w:tcW w:w="1134" w:type="dxa"/>
            <w:tcBorders>
              <w:top w:val="single" w:sz="4" w:space="0" w:color="BFBFBF" w:themeColor="background1" w:themeShade="BF"/>
              <w:left w:val="single" w:sz="4" w:space="0" w:color="auto"/>
              <w:bottom w:val="nil"/>
              <w:right w:val="single" w:sz="4" w:space="0" w:color="BFBFBF" w:themeColor="background1" w:themeShade="BF"/>
            </w:tcBorders>
          </w:tcPr>
          <w:p w:rsidR="00650D67" w:rsidRPr="00650D67" w:rsidRDefault="00650D67" w:rsidP="00650D67">
            <w:pPr>
              <w:widowControl/>
              <w:snapToGrid w:val="0"/>
              <w:spacing w:before="40" w:after="40"/>
              <w:jc w:val="center"/>
              <w:rPr>
                <w:rFonts w:ascii="Segoe UI" w:hAnsi="Segoe UI" w:cs="Segoe UI"/>
                <w:bCs/>
                <w:kern w:val="0"/>
                <w:sz w:val="17"/>
                <w:szCs w:val="17"/>
                <w:lang w:val="en-GB" w:eastAsia="ja-JP"/>
              </w:rPr>
            </w:pPr>
            <w:r w:rsidRPr="00650D67">
              <w:rPr>
                <w:rFonts w:ascii="Segoe UI" w:hAnsi="Segoe UI" w:cs="Segoe UI"/>
                <w:bCs/>
                <w:kern w:val="0"/>
                <w:sz w:val="17"/>
                <w:szCs w:val="17"/>
                <w:lang w:val="en-GB" w:eastAsia="ja-JP"/>
              </w:rPr>
              <w:t>1</w:t>
            </w:r>
          </w:p>
        </w:tc>
        <w:tc>
          <w:tcPr>
            <w:tcW w:w="1134" w:type="dxa"/>
            <w:tcBorders>
              <w:top w:val="single" w:sz="4" w:space="0" w:color="BFBFBF" w:themeColor="background1" w:themeShade="BF"/>
              <w:left w:val="single" w:sz="4" w:space="0" w:color="BFBFBF" w:themeColor="background1" w:themeShade="BF"/>
              <w:bottom w:val="nil"/>
              <w:right w:val="single" w:sz="4" w:space="0" w:color="BFBFBF" w:themeColor="background1" w:themeShade="BF"/>
            </w:tcBorders>
          </w:tcPr>
          <w:p w:rsidR="00650D67" w:rsidRPr="00650D67" w:rsidRDefault="00650D67" w:rsidP="00650D67">
            <w:pPr>
              <w:widowControl/>
              <w:snapToGrid w:val="0"/>
              <w:spacing w:before="40" w:after="40"/>
              <w:jc w:val="center"/>
              <w:rPr>
                <w:rFonts w:ascii="Segoe UI" w:hAnsi="Segoe UI" w:cs="Segoe UI"/>
                <w:bCs/>
                <w:kern w:val="0"/>
                <w:sz w:val="17"/>
                <w:szCs w:val="17"/>
                <w:lang w:val="en-GB" w:eastAsia="ja-JP"/>
              </w:rPr>
            </w:pPr>
            <w:r w:rsidRPr="00650D67">
              <w:rPr>
                <w:rFonts w:ascii="Segoe UI" w:hAnsi="Segoe UI" w:cs="Segoe UI"/>
                <w:bCs/>
                <w:kern w:val="0"/>
                <w:sz w:val="17"/>
                <w:szCs w:val="17"/>
                <w:lang w:val="en-GB" w:eastAsia="ja-JP"/>
              </w:rPr>
              <w:t>1</w:t>
            </w:r>
          </w:p>
        </w:tc>
        <w:tc>
          <w:tcPr>
            <w:tcW w:w="851" w:type="dxa"/>
            <w:tcBorders>
              <w:top w:val="single" w:sz="4" w:space="0" w:color="BFBFBF" w:themeColor="background1" w:themeShade="BF"/>
              <w:left w:val="single" w:sz="4" w:space="0" w:color="BFBFBF" w:themeColor="background1" w:themeShade="BF"/>
              <w:bottom w:val="nil"/>
              <w:right w:val="single" w:sz="4" w:space="0" w:color="BFBFBF" w:themeColor="background1" w:themeShade="BF"/>
            </w:tcBorders>
          </w:tcPr>
          <w:p w:rsidR="00650D67" w:rsidRPr="00650D67" w:rsidRDefault="00650D67" w:rsidP="00650D67">
            <w:pPr>
              <w:widowControl/>
              <w:snapToGrid w:val="0"/>
              <w:spacing w:before="40" w:after="40"/>
              <w:jc w:val="center"/>
              <w:rPr>
                <w:rFonts w:ascii="Segoe UI" w:hAnsi="Segoe UI" w:cs="Segoe UI"/>
                <w:bCs/>
                <w:kern w:val="0"/>
                <w:sz w:val="17"/>
                <w:szCs w:val="17"/>
                <w:lang w:val="en-GB" w:eastAsia="ja-JP"/>
              </w:rPr>
            </w:pPr>
            <w:r w:rsidRPr="00650D67">
              <w:rPr>
                <w:rFonts w:ascii="Segoe UI" w:hAnsi="Segoe UI" w:cs="Segoe UI"/>
                <w:bCs/>
                <w:kern w:val="0"/>
                <w:sz w:val="17"/>
                <w:szCs w:val="17"/>
                <w:lang w:val="en-GB" w:eastAsia="ja-JP"/>
              </w:rPr>
              <w:t>2</w:t>
            </w:r>
          </w:p>
        </w:tc>
        <w:tc>
          <w:tcPr>
            <w:tcW w:w="850" w:type="dxa"/>
            <w:tcBorders>
              <w:top w:val="single" w:sz="4" w:space="0" w:color="BFBFBF" w:themeColor="background1" w:themeShade="BF"/>
              <w:left w:val="single" w:sz="4" w:space="0" w:color="BFBFBF" w:themeColor="background1" w:themeShade="BF"/>
              <w:bottom w:val="nil"/>
              <w:right w:val="single" w:sz="4" w:space="0" w:color="BFBFBF" w:themeColor="background1" w:themeShade="BF"/>
            </w:tcBorders>
          </w:tcPr>
          <w:p w:rsidR="00650D67" w:rsidRPr="00650D67" w:rsidRDefault="00650D67" w:rsidP="00650D67">
            <w:pPr>
              <w:widowControl/>
              <w:snapToGrid w:val="0"/>
              <w:spacing w:before="40" w:after="40"/>
              <w:jc w:val="center"/>
              <w:rPr>
                <w:rFonts w:ascii="Segoe UI" w:hAnsi="Segoe UI" w:cs="Segoe UI"/>
                <w:bCs/>
                <w:kern w:val="0"/>
                <w:sz w:val="17"/>
                <w:szCs w:val="17"/>
                <w:lang w:val="en-GB" w:eastAsia="ja-JP"/>
              </w:rPr>
            </w:pPr>
            <w:r w:rsidRPr="00650D67">
              <w:rPr>
                <w:rFonts w:ascii="Segoe UI" w:hAnsi="Segoe UI" w:cs="Segoe UI"/>
                <w:bCs/>
                <w:kern w:val="0"/>
                <w:sz w:val="17"/>
                <w:szCs w:val="17"/>
                <w:lang w:val="en-GB" w:eastAsia="ja-JP"/>
              </w:rPr>
              <w:t>2</w:t>
            </w:r>
          </w:p>
        </w:tc>
        <w:tc>
          <w:tcPr>
            <w:tcW w:w="851" w:type="dxa"/>
            <w:tcBorders>
              <w:top w:val="single" w:sz="4" w:space="0" w:color="BFBFBF" w:themeColor="background1" w:themeShade="BF"/>
              <w:left w:val="single" w:sz="4" w:space="0" w:color="BFBFBF" w:themeColor="background1" w:themeShade="BF"/>
              <w:bottom w:val="nil"/>
              <w:right w:val="single" w:sz="4" w:space="0" w:color="BFBFBF" w:themeColor="background1" w:themeShade="BF"/>
            </w:tcBorders>
          </w:tcPr>
          <w:p w:rsidR="00650D67" w:rsidRPr="00650D67" w:rsidRDefault="00650D67" w:rsidP="00650D67">
            <w:pPr>
              <w:widowControl/>
              <w:snapToGrid w:val="0"/>
              <w:spacing w:before="40" w:after="40"/>
              <w:jc w:val="center"/>
              <w:rPr>
                <w:rFonts w:ascii="Segoe UI" w:hAnsi="Segoe UI" w:cs="Segoe UI"/>
                <w:bCs/>
                <w:kern w:val="0"/>
                <w:sz w:val="17"/>
                <w:szCs w:val="17"/>
                <w:lang w:val="en-GB" w:eastAsia="ja-JP"/>
              </w:rPr>
            </w:pPr>
            <w:r w:rsidRPr="00650D67">
              <w:rPr>
                <w:rFonts w:ascii="Segoe UI" w:hAnsi="Segoe UI" w:cs="Segoe UI"/>
                <w:bCs/>
                <w:kern w:val="0"/>
                <w:sz w:val="17"/>
                <w:szCs w:val="17"/>
                <w:lang w:val="en-GB" w:eastAsia="ja-JP"/>
              </w:rPr>
              <w:t>…</w:t>
            </w:r>
          </w:p>
        </w:tc>
        <w:tc>
          <w:tcPr>
            <w:tcW w:w="1134" w:type="dxa"/>
            <w:tcBorders>
              <w:top w:val="single" w:sz="4" w:space="0" w:color="BFBFBF" w:themeColor="background1" w:themeShade="BF"/>
              <w:left w:val="single" w:sz="4" w:space="0" w:color="BFBFBF" w:themeColor="background1" w:themeShade="BF"/>
              <w:bottom w:val="nil"/>
              <w:right w:val="single" w:sz="4" w:space="0" w:color="BFBFBF" w:themeColor="background1" w:themeShade="BF"/>
            </w:tcBorders>
          </w:tcPr>
          <w:p w:rsidR="00650D67" w:rsidRPr="00650D67" w:rsidRDefault="00650D67" w:rsidP="00650D67">
            <w:pPr>
              <w:widowControl/>
              <w:snapToGrid w:val="0"/>
              <w:spacing w:before="40" w:after="40"/>
              <w:jc w:val="center"/>
              <w:rPr>
                <w:rFonts w:ascii="Segoe UI" w:hAnsi="Segoe UI" w:cs="Segoe UI"/>
                <w:bCs/>
                <w:kern w:val="0"/>
                <w:sz w:val="17"/>
                <w:szCs w:val="17"/>
                <w:lang w:val="en-GB" w:eastAsia="ja-JP"/>
              </w:rPr>
            </w:pPr>
            <w:r w:rsidRPr="00650D67">
              <w:rPr>
                <w:rFonts w:ascii="Segoe UI" w:hAnsi="Segoe UI" w:cs="Segoe UI"/>
                <w:bCs/>
                <w:kern w:val="0"/>
                <w:sz w:val="17"/>
                <w:szCs w:val="17"/>
                <w:lang w:val="en-GB" w:eastAsia="ja-JP"/>
              </w:rPr>
              <w:t>n</w:t>
            </w:r>
          </w:p>
        </w:tc>
        <w:tc>
          <w:tcPr>
            <w:tcW w:w="1134" w:type="dxa"/>
            <w:tcBorders>
              <w:top w:val="single" w:sz="4" w:space="0" w:color="BFBFBF" w:themeColor="background1" w:themeShade="BF"/>
              <w:left w:val="single" w:sz="4" w:space="0" w:color="BFBFBF" w:themeColor="background1" w:themeShade="BF"/>
              <w:bottom w:val="nil"/>
              <w:right w:val="single" w:sz="4" w:space="0" w:color="auto"/>
            </w:tcBorders>
          </w:tcPr>
          <w:p w:rsidR="00650D67" w:rsidRPr="00650D67" w:rsidRDefault="00650D67" w:rsidP="00650D67">
            <w:pPr>
              <w:widowControl/>
              <w:snapToGrid w:val="0"/>
              <w:spacing w:before="40" w:after="40"/>
              <w:jc w:val="center"/>
              <w:rPr>
                <w:rFonts w:ascii="Segoe UI" w:hAnsi="Segoe UI" w:cs="Segoe UI"/>
                <w:bCs/>
                <w:kern w:val="0"/>
                <w:sz w:val="17"/>
                <w:szCs w:val="17"/>
                <w:lang w:val="en-GB" w:eastAsia="ja-JP"/>
              </w:rPr>
            </w:pPr>
            <w:r w:rsidRPr="00650D67">
              <w:rPr>
                <w:rFonts w:ascii="Segoe UI" w:hAnsi="Segoe UI" w:cs="Segoe UI"/>
                <w:bCs/>
                <w:kern w:val="0"/>
                <w:sz w:val="17"/>
                <w:szCs w:val="17"/>
                <w:lang w:val="en-GB" w:eastAsia="ja-JP"/>
              </w:rPr>
              <w:t>n</w:t>
            </w:r>
          </w:p>
        </w:tc>
        <w:tc>
          <w:tcPr>
            <w:tcW w:w="1134" w:type="dxa"/>
            <w:vMerge/>
            <w:tcBorders>
              <w:left w:val="single" w:sz="4" w:space="0" w:color="auto"/>
              <w:right w:val="single" w:sz="4" w:space="0" w:color="auto"/>
            </w:tcBorders>
          </w:tcPr>
          <w:p w:rsidR="00650D67" w:rsidRPr="00650D67" w:rsidRDefault="00650D67" w:rsidP="00650D67">
            <w:pPr>
              <w:widowControl/>
              <w:snapToGrid w:val="0"/>
              <w:spacing w:before="40" w:after="40"/>
              <w:jc w:val="center"/>
              <w:rPr>
                <w:rFonts w:ascii="Segoe UI" w:hAnsi="Segoe UI" w:cs="Segoe UI"/>
                <w:bCs/>
                <w:kern w:val="0"/>
                <w:sz w:val="17"/>
                <w:szCs w:val="17"/>
                <w:lang w:val="en-GB" w:eastAsia="ja-JP"/>
              </w:rPr>
            </w:pPr>
          </w:p>
        </w:tc>
      </w:tr>
      <w:tr w:rsidR="00650D67" w:rsidRPr="00650D67" w:rsidTr="003A4070">
        <w:trPr>
          <w:cantSplit/>
          <w:tblHeader/>
        </w:trPr>
        <w:tc>
          <w:tcPr>
            <w:tcW w:w="567" w:type="dxa"/>
            <w:tcBorders>
              <w:top w:val="nil"/>
              <w:left w:val="nil"/>
              <w:bottom w:val="single" w:sz="4" w:space="0" w:color="auto"/>
              <w:right w:val="nil"/>
            </w:tcBorders>
          </w:tcPr>
          <w:p w:rsidR="00650D67" w:rsidRPr="00650D67" w:rsidRDefault="00650D67" w:rsidP="00650D67">
            <w:pPr>
              <w:keepNext/>
              <w:widowControl/>
              <w:snapToGrid w:val="0"/>
              <w:rPr>
                <w:rFonts w:ascii="Segoe UI" w:hAnsi="Segoe UI" w:cs="Segoe UI"/>
                <w:kern w:val="0"/>
                <w:sz w:val="17"/>
                <w:szCs w:val="17"/>
                <w:lang w:val="en-GB" w:eastAsia="en-GB"/>
              </w:rPr>
            </w:pPr>
          </w:p>
        </w:tc>
        <w:tc>
          <w:tcPr>
            <w:tcW w:w="5103" w:type="dxa"/>
            <w:tcBorders>
              <w:top w:val="nil"/>
              <w:left w:val="nil"/>
              <w:bottom w:val="single" w:sz="4" w:space="0" w:color="auto"/>
              <w:right w:val="single" w:sz="4" w:space="0" w:color="auto"/>
            </w:tcBorders>
            <w:vAlign w:val="center"/>
          </w:tcPr>
          <w:p w:rsidR="00650D67" w:rsidRPr="00650D67" w:rsidRDefault="00650D67" w:rsidP="00650D67">
            <w:pPr>
              <w:keepNext/>
              <w:widowControl/>
              <w:snapToGrid w:val="0"/>
              <w:rPr>
                <w:rFonts w:ascii="Segoe UI" w:hAnsi="Segoe UI" w:cs="Segoe UI"/>
                <w:kern w:val="0"/>
                <w:sz w:val="17"/>
                <w:szCs w:val="17"/>
                <w:lang w:val="en-GB" w:eastAsia="en-GB"/>
              </w:rPr>
            </w:pPr>
          </w:p>
        </w:tc>
        <w:tc>
          <w:tcPr>
            <w:tcW w:w="1134" w:type="dxa"/>
            <w:tcBorders>
              <w:top w:val="nil"/>
              <w:left w:val="single" w:sz="4" w:space="0" w:color="auto"/>
              <w:bottom w:val="single" w:sz="4" w:space="0" w:color="auto"/>
              <w:right w:val="single" w:sz="4" w:space="0" w:color="BFBFBF" w:themeColor="background1" w:themeShade="BF"/>
            </w:tcBorders>
            <w:vAlign w:val="center"/>
          </w:tcPr>
          <w:p w:rsidR="00650D67" w:rsidRPr="00650D67" w:rsidRDefault="00650D67" w:rsidP="00650D67">
            <w:pPr>
              <w:widowControl/>
              <w:snapToGrid w:val="0"/>
              <w:spacing w:before="40" w:after="40"/>
              <w:ind w:leftChars="-54" w:left="-130" w:rightChars="-71" w:right="-170"/>
              <w:jc w:val="center"/>
              <w:rPr>
                <w:rFonts w:ascii="Segoe UI" w:hAnsi="Segoe UI" w:cs="Segoe UI"/>
                <w:bCs/>
                <w:kern w:val="0"/>
                <w:sz w:val="17"/>
                <w:szCs w:val="17"/>
                <w:lang w:val="en-GB" w:eastAsia="it-IT"/>
              </w:rPr>
            </w:pPr>
            <w:r w:rsidRPr="00650D67">
              <w:rPr>
                <w:rFonts w:ascii="Segoe UI" w:hAnsi="Segoe UI" w:cs="Segoe UI"/>
                <w:bCs/>
                <w:kern w:val="0"/>
                <w:sz w:val="17"/>
                <w:szCs w:val="17"/>
                <w:lang w:val="en-GB" w:eastAsia="it-IT"/>
              </w:rPr>
              <w:t>(most junior)</w:t>
            </w:r>
          </w:p>
        </w:tc>
        <w:tc>
          <w:tcPr>
            <w:tcW w:w="1134" w:type="dxa"/>
            <w:tcBorders>
              <w:top w:val="nil"/>
              <w:left w:val="single" w:sz="4" w:space="0" w:color="BFBFBF" w:themeColor="background1" w:themeShade="BF"/>
              <w:bottom w:val="single" w:sz="4" w:space="0" w:color="auto"/>
              <w:right w:val="single" w:sz="4" w:space="0" w:color="BFBFBF" w:themeColor="background1" w:themeShade="BF"/>
            </w:tcBorders>
            <w:vAlign w:val="center"/>
          </w:tcPr>
          <w:p w:rsidR="00650D67" w:rsidRPr="00650D67" w:rsidRDefault="00650D67" w:rsidP="00650D67">
            <w:pPr>
              <w:widowControl/>
              <w:snapToGrid w:val="0"/>
              <w:spacing w:before="40" w:after="40"/>
              <w:ind w:leftChars="-54" w:left="-130" w:rightChars="-71" w:right="-170"/>
              <w:jc w:val="center"/>
              <w:rPr>
                <w:rFonts w:ascii="Segoe UI" w:hAnsi="Segoe UI" w:cs="Segoe UI"/>
                <w:bCs/>
                <w:kern w:val="0"/>
                <w:sz w:val="17"/>
                <w:szCs w:val="17"/>
                <w:lang w:val="en-GB" w:eastAsia="it-IT"/>
              </w:rPr>
            </w:pPr>
            <w:r w:rsidRPr="00650D67">
              <w:rPr>
                <w:rFonts w:ascii="Segoe UI" w:hAnsi="Segoe UI" w:cs="Segoe UI"/>
                <w:bCs/>
                <w:kern w:val="0"/>
                <w:sz w:val="17"/>
                <w:szCs w:val="17"/>
                <w:lang w:val="en-GB" w:eastAsia="it-IT"/>
              </w:rPr>
              <w:t>(</w:t>
            </w:r>
            <w:r w:rsidRPr="00650D67">
              <w:rPr>
                <w:rFonts w:ascii="Segoe UI" w:hAnsi="Segoe UI" w:cs="Segoe UI"/>
                <w:bCs/>
                <w:kern w:val="0"/>
                <w:sz w:val="17"/>
                <w:szCs w:val="17"/>
                <w:lang w:val="en-GB" w:eastAsia="ja-JP"/>
              </w:rPr>
              <w:t>most</w:t>
            </w:r>
            <w:r w:rsidRPr="00650D67">
              <w:rPr>
                <w:rFonts w:ascii="Segoe UI" w:hAnsi="Segoe UI" w:cs="Segoe UI"/>
                <w:bCs/>
                <w:kern w:val="0"/>
                <w:sz w:val="17"/>
                <w:szCs w:val="17"/>
                <w:lang w:val="en-GB" w:eastAsia="it-IT"/>
              </w:rPr>
              <w:t xml:space="preserve"> junior)</w:t>
            </w:r>
          </w:p>
        </w:tc>
        <w:tc>
          <w:tcPr>
            <w:tcW w:w="851" w:type="dxa"/>
            <w:tcBorders>
              <w:top w:val="nil"/>
              <w:left w:val="single" w:sz="4" w:space="0" w:color="BFBFBF" w:themeColor="background1" w:themeShade="BF"/>
              <w:bottom w:val="single" w:sz="4" w:space="0" w:color="auto"/>
              <w:right w:val="single" w:sz="4" w:space="0" w:color="BFBFBF" w:themeColor="background1" w:themeShade="BF"/>
            </w:tcBorders>
            <w:vAlign w:val="center"/>
          </w:tcPr>
          <w:p w:rsidR="00650D67" w:rsidRPr="00650D67" w:rsidRDefault="00650D67" w:rsidP="00650D67">
            <w:pPr>
              <w:widowControl/>
              <w:snapToGrid w:val="0"/>
              <w:jc w:val="center"/>
              <w:rPr>
                <w:rFonts w:ascii="Segoe UI" w:hAnsi="Segoe UI" w:cs="Segoe UI"/>
                <w:kern w:val="0"/>
                <w:sz w:val="17"/>
                <w:szCs w:val="17"/>
                <w:lang w:val="en-GB" w:eastAsia="it-IT"/>
              </w:rPr>
            </w:pPr>
          </w:p>
        </w:tc>
        <w:tc>
          <w:tcPr>
            <w:tcW w:w="850" w:type="dxa"/>
            <w:tcBorders>
              <w:top w:val="nil"/>
              <w:left w:val="single" w:sz="4" w:space="0" w:color="BFBFBF" w:themeColor="background1" w:themeShade="BF"/>
              <w:bottom w:val="single" w:sz="4" w:space="0" w:color="auto"/>
              <w:right w:val="single" w:sz="4" w:space="0" w:color="BFBFBF" w:themeColor="background1" w:themeShade="BF"/>
            </w:tcBorders>
            <w:vAlign w:val="center"/>
          </w:tcPr>
          <w:p w:rsidR="00650D67" w:rsidRPr="00650D67" w:rsidRDefault="00650D67" w:rsidP="00650D67">
            <w:pPr>
              <w:widowControl/>
              <w:snapToGrid w:val="0"/>
              <w:jc w:val="center"/>
              <w:rPr>
                <w:rFonts w:ascii="Segoe UI" w:hAnsi="Segoe UI" w:cs="Segoe UI"/>
                <w:bCs/>
                <w:kern w:val="0"/>
                <w:sz w:val="17"/>
                <w:szCs w:val="17"/>
                <w:lang w:val="en-GB" w:eastAsia="ja-JP"/>
              </w:rPr>
            </w:pPr>
          </w:p>
        </w:tc>
        <w:tc>
          <w:tcPr>
            <w:tcW w:w="851" w:type="dxa"/>
            <w:tcBorders>
              <w:top w:val="nil"/>
              <w:left w:val="single" w:sz="4" w:space="0" w:color="BFBFBF" w:themeColor="background1" w:themeShade="BF"/>
              <w:bottom w:val="single" w:sz="4" w:space="0" w:color="auto"/>
              <w:right w:val="single" w:sz="4" w:space="0" w:color="BFBFBF" w:themeColor="background1" w:themeShade="BF"/>
            </w:tcBorders>
            <w:vAlign w:val="center"/>
          </w:tcPr>
          <w:p w:rsidR="00650D67" w:rsidRPr="00650D67" w:rsidRDefault="00650D67" w:rsidP="00650D67">
            <w:pPr>
              <w:widowControl/>
              <w:snapToGrid w:val="0"/>
              <w:jc w:val="center"/>
              <w:rPr>
                <w:rFonts w:ascii="Segoe UI" w:hAnsi="Segoe UI" w:cs="Segoe UI"/>
                <w:bCs/>
                <w:kern w:val="0"/>
                <w:sz w:val="17"/>
                <w:szCs w:val="17"/>
                <w:lang w:val="en-GB" w:eastAsia="ja-JP"/>
              </w:rPr>
            </w:pPr>
          </w:p>
        </w:tc>
        <w:tc>
          <w:tcPr>
            <w:tcW w:w="1134" w:type="dxa"/>
            <w:tcBorders>
              <w:top w:val="nil"/>
              <w:left w:val="single" w:sz="4" w:space="0" w:color="BFBFBF" w:themeColor="background1" w:themeShade="BF"/>
              <w:bottom w:val="single" w:sz="4" w:space="0" w:color="auto"/>
              <w:right w:val="single" w:sz="4" w:space="0" w:color="BFBFBF" w:themeColor="background1" w:themeShade="BF"/>
            </w:tcBorders>
            <w:vAlign w:val="center"/>
          </w:tcPr>
          <w:p w:rsidR="00650D67" w:rsidRPr="00650D67" w:rsidRDefault="00650D67" w:rsidP="00650D67">
            <w:pPr>
              <w:widowControl/>
              <w:snapToGrid w:val="0"/>
              <w:ind w:leftChars="-54" w:left="-130" w:rightChars="-80" w:right="-192"/>
              <w:jc w:val="center"/>
              <w:rPr>
                <w:rFonts w:ascii="Segoe UI" w:hAnsi="Segoe UI" w:cs="Segoe UI"/>
                <w:bCs/>
                <w:kern w:val="0"/>
                <w:sz w:val="17"/>
                <w:szCs w:val="17"/>
                <w:lang w:val="en-GB" w:eastAsia="it-IT"/>
              </w:rPr>
            </w:pPr>
            <w:r w:rsidRPr="00650D67">
              <w:rPr>
                <w:rFonts w:ascii="Segoe UI" w:hAnsi="Segoe UI" w:cs="Segoe UI"/>
                <w:bCs/>
                <w:kern w:val="0"/>
                <w:sz w:val="17"/>
                <w:szCs w:val="17"/>
                <w:lang w:val="en-GB" w:eastAsia="it-IT"/>
              </w:rPr>
              <w:t>(most senior)</w:t>
            </w:r>
          </w:p>
        </w:tc>
        <w:tc>
          <w:tcPr>
            <w:tcW w:w="1134" w:type="dxa"/>
            <w:tcBorders>
              <w:top w:val="nil"/>
              <w:left w:val="single" w:sz="4" w:space="0" w:color="BFBFBF" w:themeColor="background1" w:themeShade="BF"/>
              <w:bottom w:val="single" w:sz="4" w:space="0" w:color="auto"/>
              <w:right w:val="single" w:sz="4" w:space="0" w:color="auto"/>
            </w:tcBorders>
            <w:vAlign w:val="center"/>
          </w:tcPr>
          <w:p w:rsidR="00650D67" w:rsidRPr="00650D67" w:rsidRDefault="00650D67" w:rsidP="00650D67">
            <w:pPr>
              <w:widowControl/>
              <w:snapToGrid w:val="0"/>
              <w:ind w:leftChars="-54" w:left="-130" w:rightChars="-80" w:right="-192"/>
              <w:jc w:val="center"/>
              <w:rPr>
                <w:rFonts w:ascii="Segoe UI" w:hAnsi="Segoe UI" w:cs="Segoe UI"/>
                <w:bCs/>
                <w:kern w:val="0"/>
                <w:sz w:val="17"/>
                <w:szCs w:val="17"/>
                <w:lang w:val="en-GB" w:eastAsia="it-IT"/>
              </w:rPr>
            </w:pPr>
            <w:r w:rsidRPr="00650D67">
              <w:rPr>
                <w:rFonts w:ascii="Segoe UI" w:hAnsi="Segoe UI" w:cs="Segoe UI"/>
                <w:bCs/>
                <w:kern w:val="0"/>
                <w:sz w:val="17"/>
                <w:szCs w:val="17"/>
                <w:lang w:val="en-GB" w:eastAsia="it-IT"/>
              </w:rPr>
              <w:t>(most senior)</w:t>
            </w:r>
          </w:p>
        </w:tc>
        <w:tc>
          <w:tcPr>
            <w:tcW w:w="1134" w:type="dxa"/>
            <w:vMerge/>
            <w:tcBorders>
              <w:left w:val="single" w:sz="4" w:space="0" w:color="auto"/>
              <w:bottom w:val="single" w:sz="4" w:space="0" w:color="auto"/>
              <w:right w:val="single" w:sz="4" w:space="0" w:color="auto"/>
            </w:tcBorders>
            <w:vAlign w:val="center"/>
          </w:tcPr>
          <w:p w:rsidR="00650D67" w:rsidRPr="00650D67" w:rsidRDefault="00650D67" w:rsidP="00650D67">
            <w:pPr>
              <w:widowControl/>
              <w:snapToGrid w:val="0"/>
              <w:jc w:val="center"/>
              <w:rPr>
                <w:rFonts w:ascii="Segoe UI" w:hAnsi="Segoe UI" w:cs="Segoe UI"/>
                <w:bCs/>
                <w:kern w:val="0"/>
                <w:sz w:val="17"/>
                <w:szCs w:val="17"/>
                <w:lang w:val="en-GB" w:eastAsia="ja-JP"/>
              </w:rPr>
            </w:pPr>
          </w:p>
        </w:tc>
      </w:tr>
      <w:tr w:rsidR="00650D67" w:rsidRPr="00650D67" w:rsidTr="003A4070">
        <w:trPr>
          <w:cantSplit/>
        </w:trPr>
        <w:tc>
          <w:tcPr>
            <w:tcW w:w="567" w:type="dxa"/>
            <w:tcBorders>
              <w:top w:val="single" w:sz="4" w:space="0" w:color="auto"/>
              <w:left w:val="nil"/>
              <w:bottom w:val="single" w:sz="4" w:space="0" w:color="BFBFBF" w:themeColor="background1" w:themeShade="BF"/>
              <w:right w:val="single" w:sz="4" w:space="0" w:color="auto"/>
            </w:tcBorders>
            <w:vAlign w:val="center"/>
          </w:tcPr>
          <w:p w:rsidR="00650D67" w:rsidRPr="00650D67" w:rsidRDefault="00650D67" w:rsidP="00650D67">
            <w:pPr>
              <w:widowControl/>
              <w:snapToGrid w:val="0"/>
              <w:spacing w:before="40" w:after="40"/>
              <w:rPr>
                <w:rFonts w:ascii="Segoe UI" w:eastAsia="Times New Roman" w:hAnsi="Segoe UI" w:cs="Times New Roman"/>
                <w:kern w:val="0"/>
                <w:sz w:val="17"/>
                <w:szCs w:val="20"/>
                <w:lang w:val="en-GB" w:eastAsia="en-CA"/>
              </w:rPr>
            </w:pPr>
            <w:r w:rsidRPr="00650D67">
              <w:rPr>
                <w:rFonts w:ascii="Segoe UI" w:eastAsia="Times New Roman" w:hAnsi="Segoe UI" w:cs="Times New Roman"/>
                <w:kern w:val="0"/>
                <w:sz w:val="17"/>
                <w:szCs w:val="20"/>
                <w:lang w:val="en-GB" w:eastAsia="en-CA"/>
              </w:rPr>
              <w:t>1</w:t>
            </w:r>
          </w:p>
        </w:tc>
        <w:tc>
          <w:tcPr>
            <w:tcW w:w="5103" w:type="dxa"/>
            <w:tcBorders>
              <w:top w:val="single" w:sz="4" w:space="0" w:color="auto"/>
              <w:left w:val="nil"/>
              <w:bottom w:val="single" w:sz="4" w:space="0" w:color="BFBFBF" w:themeColor="background1" w:themeShade="BF"/>
              <w:right w:val="single" w:sz="4" w:space="0" w:color="auto"/>
            </w:tcBorders>
            <w:vAlign w:val="center"/>
          </w:tcPr>
          <w:p w:rsidR="00650D67" w:rsidRPr="00650D67" w:rsidRDefault="00650D67" w:rsidP="00650D67">
            <w:pPr>
              <w:keepNext/>
              <w:widowControl/>
              <w:tabs>
                <w:tab w:val="left" w:pos="39"/>
              </w:tabs>
              <w:snapToGrid w:val="0"/>
              <w:spacing w:before="20" w:after="20"/>
              <w:ind w:left="39"/>
              <w:rPr>
                <w:rFonts w:ascii="Segoe UI" w:hAnsi="Segoe UI" w:cs="Segoe UI"/>
                <w:kern w:val="0"/>
                <w:sz w:val="17"/>
                <w:szCs w:val="17"/>
                <w:lang w:val="en-GB" w:eastAsia="en-GB"/>
              </w:rPr>
            </w:pPr>
            <w:r w:rsidRPr="00650D67">
              <w:rPr>
                <w:rFonts w:ascii="Segoe UI" w:hAnsi="Segoe UI" w:cs="Segoe UI"/>
                <w:kern w:val="0"/>
                <w:sz w:val="17"/>
                <w:szCs w:val="17"/>
                <w:lang w:val="en-GB" w:eastAsia="en-GB"/>
              </w:rPr>
              <w:t>Is a resolution entity or a non-HK resolution entity the creditor/investor? (yes or no)</w:t>
            </w:r>
          </w:p>
        </w:tc>
        <w:tc>
          <w:tcPr>
            <w:tcW w:w="1134" w:type="dxa"/>
            <w:tcBorders>
              <w:top w:val="single" w:sz="4" w:space="0" w:color="auto"/>
              <w:left w:val="single" w:sz="4" w:space="0" w:color="auto"/>
              <w:bottom w:val="single" w:sz="4" w:space="0" w:color="BFBFBF" w:themeColor="background1" w:themeShade="BF"/>
              <w:right w:val="single" w:sz="4" w:space="0" w:color="BFBFBF" w:themeColor="background1" w:themeShade="BF"/>
            </w:tcBorders>
          </w:tcPr>
          <w:p w:rsidR="00650D67" w:rsidRPr="00650D67" w:rsidRDefault="00650D67" w:rsidP="00650D67">
            <w:pPr>
              <w:widowControl/>
              <w:tabs>
                <w:tab w:val="decimal" w:pos="31"/>
              </w:tabs>
              <w:snapToGrid w:val="0"/>
              <w:spacing w:before="20" w:after="20"/>
              <w:jc w:val="center"/>
              <w:rPr>
                <w:rFonts w:ascii="Segoe UI" w:hAnsi="Segoe UI" w:cs="Segoe UI"/>
                <w:kern w:val="0"/>
                <w:sz w:val="17"/>
                <w:szCs w:val="17"/>
                <w:lang w:val="en-GB" w:eastAsia="en-GB"/>
              </w:rPr>
            </w:pPr>
          </w:p>
        </w:tc>
        <w:tc>
          <w:tcPr>
            <w:tcW w:w="1134" w:type="dxa"/>
            <w:tcBorders>
              <w:top w:val="single" w:sz="4" w:space="0" w:color="auto"/>
              <w:left w:val="single" w:sz="4" w:space="0" w:color="BFBFBF" w:themeColor="background1" w:themeShade="BF"/>
              <w:bottom w:val="single" w:sz="4" w:space="0" w:color="BFBFBF" w:themeColor="background1" w:themeShade="BF"/>
              <w:right w:val="single" w:sz="4" w:space="0" w:color="BFBFBF" w:themeColor="background1" w:themeShade="BF"/>
            </w:tcBorders>
          </w:tcPr>
          <w:p w:rsidR="00650D67" w:rsidRPr="00650D67" w:rsidRDefault="00650D67" w:rsidP="00650D67">
            <w:pPr>
              <w:widowControl/>
              <w:tabs>
                <w:tab w:val="decimal" w:pos="31"/>
              </w:tabs>
              <w:snapToGrid w:val="0"/>
              <w:spacing w:before="20" w:after="20"/>
              <w:jc w:val="center"/>
              <w:rPr>
                <w:rFonts w:ascii="Segoe UI" w:hAnsi="Segoe UI" w:cs="Segoe UI"/>
                <w:kern w:val="0"/>
                <w:sz w:val="17"/>
                <w:szCs w:val="17"/>
                <w:lang w:val="en-GB" w:eastAsia="en-GB"/>
              </w:rPr>
            </w:pPr>
          </w:p>
        </w:tc>
        <w:tc>
          <w:tcPr>
            <w:tcW w:w="851" w:type="dxa"/>
            <w:tcBorders>
              <w:top w:val="single" w:sz="4" w:space="0" w:color="auto"/>
              <w:left w:val="single" w:sz="4" w:space="0" w:color="BFBFBF" w:themeColor="background1" w:themeShade="BF"/>
              <w:bottom w:val="single" w:sz="4" w:space="0" w:color="BFBFBF" w:themeColor="background1" w:themeShade="BF"/>
              <w:right w:val="single" w:sz="4" w:space="0" w:color="BFBFBF" w:themeColor="background1" w:themeShade="BF"/>
            </w:tcBorders>
          </w:tcPr>
          <w:p w:rsidR="00650D67" w:rsidRPr="00650D67" w:rsidRDefault="00650D67" w:rsidP="00650D67">
            <w:pPr>
              <w:widowControl/>
              <w:tabs>
                <w:tab w:val="decimal" w:pos="31"/>
              </w:tabs>
              <w:snapToGrid w:val="0"/>
              <w:spacing w:before="20" w:after="20"/>
              <w:jc w:val="center"/>
              <w:rPr>
                <w:rFonts w:ascii="Segoe UI" w:hAnsi="Segoe UI" w:cs="Segoe UI"/>
                <w:kern w:val="0"/>
                <w:sz w:val="17"/>
                <w:szCs w:val="17"/>
                <w:lang w:val="en-GB" w:eastAsia="en-GB"/>
              </w:rPr>
            </w:pPr>
          </w:p>
        </w:tc>
        <w:tc>
          <w:tcPr>
            <w:tcW w:w="850" w:type="dxa"/>
            <w:tcBorders>
              <w:top w:val="single" w:sz="4" w:space="0" w:color="auto"/>
              <w:left w:val="single" w:sz="4" w:space="0" w:color="BFBFBF" w:themeColor="background1" w:themeShade="BF"/>
              <w:bottom w:val="single" w:sz="4" w:space="0" w:color="BFBFBF" w:themeColor="background1" w:themeShade="BF"/>
              <w:right w:val="single" w:sz="4" w:space="0" w:color="BFBFBF" w:themeColor="background1" w:themeShade="BF"/>
            </w:tcBorders>
          </w:tcPr>
          <w:p w:rsidR="00650D67" w:rsidRPr="00650D67" w:rsidRDefault="00650D67" w:rsidP="00650D67">
            <w:pPr>
              <w:widowControl/>
              <w:tabs>
                <w:tab w:val="decimal" w:pos="31"/>
              </w:tabs>
              <w:snapToGrid w:val="0"/>
              <w:spacing w:before="20" w:after="20"/>
              <w:jc w:val="center"/>
              <w:rPr>
                <w:rFonts w:ascii="Segoe UI" w:hAnsi="Segoe UI" w:cs="Segoe UI"/>
                <w:kern w:val="0"/>
                <w:sz w:val="17"/>
                <w:szCs w:val="17"/>
                <w:lang w:val="en-GB" w:eastAsia="en-GB"/>
              </w:rPr>
            </w:pPr>
          </w:p>
        </w:tc>
        <w:tc>
          <w:tcPr>
            <w:tcW w:w="851" w:type="dxa"/>
            <w:tcBorders>
              <w:top w:val="single" w:sz="4" w:space="0" w:color="auto"/>
              <w:left w:val="single" w:sz="4" w:space="0" w:color="BFBFBF" w:themeColor="background1" w:themeShade="BF"/>
              <w:bottom w:val="single" w:sz="4" w:space="0" w:color="BFBFBF" w:themeColor="background1" w:themeShade="BF"/>
              <w:right w:val="single" w:sz="4" w:space="0" w:color="BFBFBF" w:themeColor="background1" w:themeShade="BF"/>
            </w:tcBorders>
          </w:tcPr>
          <w:p w:rsidR="00650D67" w:rsidRPr="00650D67" w:rsidRDefault="00650D67" w:rsidP="00650D67">
            <w:pPr>
              <w:widowControl/>
              <w:tabs>
                <w:tab w:val="decimal" w:pos="31"/>
              </w:tabs>
              <w:snapToGrid w:val="0"/>
              <w:spacing w:before="20" w:after="20"/>
              <w:jc w:val="center"/>
              <w:rPr>
                <w:rFonts w:ascii="Segoe UI" w:hAnsi="Segoe UI" w:cs="Segoe UI"/>
                <w:kern w:val="0"/>
                <w:sz w:val="17"/>
                <w:szCs w:val="17"/>
                <w:lang w:val="en-GB" w:eastAsia="en-GB"/>
              </w:rPr>
            </w:pPr>
            <w:r w:rsidRPr="00650D67">
              <w:rPr>
                <w:rFonts w:ascii="Segoe UI" w:hAnsi="Segoe UI" w:cs="Segoe UI"/>
                <w:bCs/>
                <w:kern w:val="0"/>
                <w:sz w:val="17"/>
                <w:szCs w:val="17"/>
                <w:lang w:val="en-GB" w:eastAsia="ja-JP"/>
              </w:rPr>
              <w:t>…</w:t>
            </w:r>
          </w:p>
        </w:tc>
        <w:tc>
          <w:tcPr>
            <w:tcW w:w="1134" w:type="dxa"/>
            <w:tcBorders>
              <w:top w:val="single" w:sz="4" w:space="0" w:color="auto"/>
              <w:left w:val="single" w:sz="4" w:space="0" w:color="BFBFBF" w:themeColor="background1" w:themeShade="BF"/>
              <w:bottom w:val="single" w:sz="4" w:space="0" w:color="BFBFBF" w:themeColor="background1" w:themeShade="BF"/>
              <w:right w:val="single" w:sz="4" w:space="0" w:color="BFBFBF" w:themeColor="background1" w:themeShade="BF"/>
            </w:tcBorders>
          </w:tcPr>
          <w:p w:rsidR="00650D67" w:rsidRPr="00650D67" w:rsidRDefault="00650D67" w:rsidP="00650D67">
            <w:pPr>
              <w:widowControl/>
              <w:tabs>
                <w:tab w:val="decimal" w:pos="31"/>
              </w:tabs>
              <w:snapToGrid w:val="0"/>
              <w:spacing w:before="20" w:after="20"/>
              <w:jc w:val="center"/>
              <w:rPr>
                <w:rFonts w:ascii="Segoe UI" w:hAnsi="Segoe UI" w:cs="Segoe UI"/>
                <w:kern w:val="0"/>
                <w:sz w:val="17"/>
                <w:szCs w:val="17"/>
                <w:lang w:val="en-GB" w:eastAsia="en-GB"/>
              </w:rPr>
            </w:pPr>
          </w:p>
        </w:tc>
        <w:tc>
          <w:tcPr>
            <w:tcW w:w="1134" w:type="dxa"/>
            <w:tcBorders>
              <w:top w:val="single" w:sz="4" w:space="0" w:color="auto"/>
              <w:left w:val="single" w:sz="4" w:space="0" w:color="BFBFBF" w:themeColor="background1" w:themeShade="BF"/>
              <w:bottom w:val="single" w:sz="4" w:space="0" w:color="BFBFBF" w:themeColor="background1" w:themeShade="BF"/>
              <w:right w:val="single" w:sz="4" w:space="0" w:color="auto"/>
            </w:tcBorders>
          </w:tcPr>
          <w:p w:rsidR="00650D67" w:rsidRPr="00650D67" w:rsidRDefault="00650D67" w:rsidP="00650D67">
            <w:pPr>
              <w:widowControl/>
              <w:tabs>
                <w:tab w:val="decimal" w:pos="31"/>
              </w:tabs>
              <w:snapToGrid w:val="0"/>
              <w:spacing w:before="20" w:after="20"/>
              <w:jc w:val="center"/>
              <w:rPr>
                <w:rFonts w:ascii="Segoe UI" w:hAnsi="Segoe UI" w:cs="Segoe UI"/>
                <w:kern w:val="0"/>
                <w:sz w:val="17"/>
                <w:szCs w:val="17"/>
                <w:lang w:val="en-GB" w:eastAsia="en-GB"/>
              </w:rPr>
            </w:pPr>
          </w:p>
        </w:tc>
        <w:tc>
          <w:tcPr>
            <w:tcW w:w="1134" w:type="dxa"/>
            <w:tcBorders>
              <w:top w:val="single" w:sz="4" w:space="0" w:color="auto"/>
              <w:left w:val="single" w:sz="4" w:space="0" w:color="auto"/>
              <w:bottom w:val="single" w:sz="4" w:space="0" w:color="BFBFBF" w:themeColor="background1" w:themeShade="BF"/>
              <w:right w:val="single" w:sz="4" w:space="0" w:color="auto"/>
            </w:tcBorders>
          </w:tcPr>
          <w:p w:rsidR="00650D67" w:rsidRPr="00650D67" w:rsidRDefault="00650D67" w:rsidP="00650D67">
            <w:pPr>
              <w:widowControl/>
              <w:tabs>
                <w:tab w:val="decimal" w:pos="31"/>
              </w:tabs>
              <w:snapToGrid w:val="0"/>
              <w:spacing w:before="20" w:after="20"/>
              <w:jc w:val="center"/>
              <w:rPr>
                <w:rFonts w:ascii="Segoe UI" w:hAnsi="Segoe UI" w:cs="Segoe UI"/>
                <w:kern w:val="0"/>
                <w:sz w:val="17"/>
                <w:szCs w:val="17"/>
                <w:lang w:val="en-GB" w:eastAsia="en-GB"/>
              </w:rPr>
            </w:pPr>
          </w:p>
        </w:tc>
      </w:tr>
      <w:tr w:rsidR="00650D67" w:rsidRPr="00650D67" w:rsidTr="003A4070">
        <w:trPr>
          <w:cantSplit/>
        </w:trPr>
        <w:tc>
          <w:tcPr>
            <w:tcW w:w="567" w:type="dxa"/>
            <w:tcBorders>
              <w:top w:val="single" w:sz="4" w:space="0" w:color="BFBFBF" w:themeColor="background1" w:themeShade="BF"/>
              <w:left w:val="nil"/>
              <w:bottom w:val="single" w:sz="4" w:space="0" w:color="BFBFBF" w:themeColor="background1" w:themeShade="BF"/>
              <w:right w:val="single" w:sz="4" w:space="0" w:color="auto"/>
            </w:tcBorders>
            <w:vAlign w:val="center"/>
          </w:tcPr>
          <w:p w:rsidR="00650D67" w:rsidRPr="00650D67" w:rsidDel="00745BDE" w:rsidRDefault="00650D67" w:rsidP="00650D67">
            <w:pPr>
              <w:widowControl/>
              <w:snapToGrid w:val="0"/>
              <w:spacing w:before="40" w:after="40"/>
              <w:rPr>
                <w:rFonts w:ascii="Segoe UI" w:eastAsia="Times New Roman" w:hAnsi="Segoe UI" w:cs="Times New Roman"/>
                <w:kern w:val="0"/>
                <w:sz w:val="17"/>
                <w:szCs w:val="20"/>
                <w:lang w:val="en-GB" w:eastAsia="en-CA"/>
              </w:rPr>
            </w:pPr>
            <w:r w:rsidRPr="00650D67">
              <w:rPr>
                <w:rFonts w:ascii="Segoe UI" w:eastAsia="Times New Roman" w:hAnsi="Segoe UI" w:cs="Times New Roman"/>
                <w:kern w:val="0"/>
                <w:sz w:val="17"/>
                <w:szCs w:val="20"/>
                <w:lang w:val="en-GB" w:eastAsia="en-CA"/>
              </w:rPr>
              <w:t>2</w:t>
            </w:r>
          </w:p>
        </w:tc>
        <w:tc>
          <w:tcPr>
            <w:tcW w:w="5103" w:type="dxa"/>
            <w:tcBorders>
              <w:top w:val="single" w:sz="4" w:space="0" w:color="BFBFBF" w:themeColor="background1" w:themeShade="BF"/>
              <w:left w:val="nil"/>
              <w:bottom w:val="single" w:sz="4" w:space="0" w:color="BFBFBF" w:themeColor="background1" w:themeShade="BF"/>
              <w:right w:val="single" w:sz="4" w:space="0" w:color="auto"/>
            </w:tcBorders>
            <w:vAlign w:val="center"/>
          </w:tcPr>
          <w:p w:rsidR="00650D67" w:rsidRPr="00650D67" w:rsidRDefault="00650D67" w:rsidP="00650D67">
            <w:pPr>
              <w:keepNext/>
              <w:widowControl/>
              <w:tabs>
                <w:tab w:val="left" w:pos="39"/>
              </w:tabs>
              <w:snapToGrid w:val="0"/>
              <w:spacing w:before="20" w:after="20"/>
              <w:ind w:left="39"/>
              <w:rPr>
                <w:rFonts w:ascii="Segoe UI" w:hAnsi="Segoe UI" w:cs="Segoe UI"/>
                <w:kern w:val="0"/>
                <w:sz w:val="17"/>
                <w:szCs w:val="17"/>
                <w:lang w:val="en-GB" w:eastAsia="en-GB"/>
              </w:rPr>
            </w:pPr>
            <w:r w:rsidRPr="00650D67">
              <w:rPr>
                <w:rFonts w:ascii="Segoe UI" w:hAnsi="Segoe UI" w:cs="Segoe UI"/>
                <w:kern w:val="0"/>
                <w:sz w:val="17"/>
                <w:szCs w:val="17"/>
                <w:lang w:val="en-GB" w:eastAsia="en-GB"/>
              </w:rPr>
              <w:t>Description of creditor ranking (free text)</w:t>
            </w:r>
          </w:p>
        </w:tc>
        <w:tc>
          <w:tcPr>
            <w:tcW w:w="2268" w:type="dxa"/>
            <w:gridSpan w:val="2"/>
            <w:tcBorders>
              <w:top w:val="single" w:sz="4" w:space="0" w:color="BFBFBF" w:themeColor="background1" w:themeShade="BF"/>
              <w:left w:val="single" w:sz="4" w:space="0" w:color="auto"/>
              <w:bottom w:val="single" w:sz="4" w:space="0" w:color="BFBFBF" w:themeColor="background1" w:themeShade="BF"/>
              <w:right w:val="single" w:sz="4" w:space="0" w:color="BFBFBF" w:themeColor="background1" w:themeShade="BF"/>
            </w:tcBorders>
          </w:tcPr>
          <w:p w:rsidR="00650D67" w:rsidRPr="00650D67" w:rsidRDefault="00650D67" w:rsidP="00650D67">
            <w:pPr>
              <w:widowControl/>
              <w:tabs>
                <w:tab w:val="decimal" w:pos="31"/>
              </w:tabs>
              <w:snapToGrid w:val="0"/>
              <w:spacing w:before="20" w:after="20"/>
              <w:jc w:val="center"/>
              <w:rPr>
                <w:rFonts w:ascii="Segoe UI" w:hAnsi="Segoe UI" w:cs="Segoe UI"/>
                <w:kern w:val="0"/>
                <w:sz w:val="17"/>
                <w:szCs w:val="17"/>
                <w:lang w:val="en-GB" w:eastAsia="en-GB"/>
              </w:rPr>
            </w:pPr>
          </w:p>
        </w:tc>
        <w:tc>
          <w:tcPr>
            <w:tcW w:w="170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50D67" w:rsidRPr="00650D67" w:rsidRDefault="00650D67" w:rsidP="00650D67">
            <w:pPr>
              <w:widowControl/>
              <w:tabs>
                <w:tab w:val="decimal" w:pos="31"/>
              </w:tabs>
              <w:snapToGrid w:val="0"/>
              <w:spacing w:before="20" w:after="20"/>
              <w:jc w:val="center"/>
              <w:rPr>
                <w:rFonts w:ascii="Segoe UI" w:hAnsi="Segoe UI" w:cs="Segoe UI"/>
                <w:kern w:val="0"/>
                <w:sz w:val="17"/>
                <w:szCs w:val="17"/>
                <w:lang w:val="en-GB" w:eastAsia="en-GB"/>
              </w:rPr>
            </w:pPr>
          </w:p>
        </w:tc>
        <w:tc>
          <w:tcPr>
            <w:tcW w:w="8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50D67" w:rsidRPr="00650D67" w:rsidRDefault="00650D67" w:rsidP="00650D67">
            <w:pPr>
              <w:widowControl/>
              <w:tabs>
                <w:tab w:val="decimal" w:pos="31"/>
              </w:tabs>
              <w:snapToGrid w:val="0"/>
              <w:spacing w:before="20" w:after="20"/>
              <w:jc w:val="center"/>
              <w:rPr>
                <w:rFonts w:ascii="Segoe UI" w:hAnsi="Segoe UI" w:cs="Segoe UI"/>
                <w:kern w:val="0"/>
                <w:sz w:val="17"/>
                <w:szCs w:val="17"/>
                <w:lang w:val="en-GB" w:eastAsia="en-GB"/>
              </w:rPr>
            </w:pPr>
            <w:r w:rsidRPr="00650D67">
              <w:rPr>
                <w:rFonts w:ascii="Segoe UI" w:hAnsi="Segoe UI" w:cs="Segoe UI"/>
                <w:bCs/>
                <w:kern w:val="0"/>
                <w:sz w:val="17"/>
                <w:szCs w:val="17"/>
                <w:lang w:val="en-GB" w:eastAsia="ja-JP"/>
              </w:rPr>
              <w:t>…</w:t>
            </w:r>
          </w:p>
        </w:tc>
        <w:tc>
          <w:tcPr>
            <w:tcW w:w="2268"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auto"/>
            </w:tcBorders>
          </w:tcPr>
          <w:p w:rsidR="00650D67" w:rsidRPr="00650D67" w:rsidRDefault="00650D67" w:rsidP="00650D67">
            <w:pPr>
              <w:widowControl/>
              <w:tabs>
                <w:tab w:val="decimal" w:pos="31"/>
              </w:tabs>
              <w:snapToGrid w:val="0"/>
              <w:spacing w:before="20" w:after="20"/>
              <w:jc w:val="center"/>
              <w:rPr>
                <w:rFonts w:ascii="Segoe UI" w:hAnsi="Segoe UI" w:cs="Segoe UI"/>
                <w:kern w:val="0"/>
                <w:sz w:val="17"/>
                <w:szCs w:val="17"/>
                <w:lang w:val="en-GB" w:eastAsia="en-GB"/>
              </w:rPr>
            </w:pPr>
          </w:p>
        </w:tc>
        <w:tc>
          <w:tcPr>
            <w:tcW w:w="1134" w:type="dxa"/>
            <w:tcBorders>
              <w:top w:val="single" w:sz="4" w:space="0" w:color="BFBFBF" w:themeColor="background1" w:themeShade="BF"/>
              <w:left w:val="single" w:sz="4" w:space="0" w:color="auto"/>
              <w:bottom w:val="single" w:sz="4" w:space="0" w:color="BFBFBF" w:themeColor="background1" w:themeShade="BF"/>
              <w:right w:val="single" w:sz="4" w:space="0" w:color="auto"/>
            </w:tcBorders>
          </w:tcPr>
          <w:p w:rsidR="00650D67" w:rsidRPr="00650D67" w:rsidRDefault="00650D67" w:rsidP="00650D67">
            <w:pPr>
              <w:widowControl/>
              <w:tabs>
                <w:tab w:val="decimal" w:pos="31"/>
              </w:tabs>
              <w:snapToGrid w:val="0"/>
              <w:spacing w:before="20" w:after="20"/>
              <w:jc w:val="center"/>
              <w:rPr>
                <w:rFonts w:ascii="Segoe UI" w:hAnsi="Segoe UI" w:cs="Segoe UI"/>
                <w:kern w:val="0"/>
                <w:sz w:val="17"/>
                <w:szCs w:val="17"/>
                <w:lang w:val="en-GB" w:eastAsia="en-GB"/>
              </w:rPr>
            </w:pPr>
          </w:p>
        </w:tc>
      </w:tr>
      <w:tr w:rsidR="00650D67" w:rsidRPr="00650D67" w:rsidTr="003A4070">
        <w:trPr>
          <w:cantSplit/>
        </w:trPr>
        <w:tc>
          <w:tcPr>
            <w:tcW w:w="567" w:type="dxa"/>
            <w:tcBorders>
              <w:top w:val="single" w:sz="4" w:space="0" w:color="BFBFBF" w:themeColor="background1" w:themeShade="BF"/>
              <w:left w:val="nil"/>
              <w:bottom w:val="single" w:sz="4" w:space="0" w:color="BFBFBF" w:themeColor="background1" w:themeShade="BF"/>
              <w:right w:val="single" w:sz="4" w:space="0" w:color="auto"/>
            </w:tcBorders>
            <w:vAlign w:val="center"/>
          </w:tcPr>
          <w:p w:rsidR="00650D67" w:rsidRPr="00650D67" w:rsidDel="00745BDE" w:rsidRDefault="00650D67" w:rsidP="00650D67">
            <w:pPr>
              <w:widowControl/>
              <w:snapToGrid w:val="0"/>
              <w:spacing w:before="40" w:after="40"/>
              <w:rPr>
                <w:rFonts w:ascii="Segoe UI" w:eastAsia="Times New Roman" w:hAnsi="Segoe UI" w:cs="Times New Roman"/>
                <w:kern w:val="0"/>
                <w:sz w:val="17"/>
                <w:szCs w:val="20"/>
                <w:lang w:val="en-GB" w:eastAsia="en-CA"/>
              </w:rPr>
            </w:pPr>
            <w:r w:rsidRPr="00650D67">
              <w:rPr>
                <w:rFonts w:ascii="Segoe UI" w:eastAsia="Times New Roman" w:hAnsi="Segoe UI" w:cs="Times New Roman"/>
                <w:kern w:val="0"/>
                <w:sz w:val="17"/>
                <w:szCs w:val="20"/>
                <w:lang w:val="en-GB" w:eastAsia="en-CA"/>
              </w:rPr>
              <w:t>3</w:t>
            </w:r>
          </w:p>
        </w:tc>
        <w:tc>
          <w:tcPr>
            <w:tcW w:w="5103" w:type="dxa"/>
            <w:tcBorders>
              <w:top w:val="single" w:sz="4" w:space="0" w:color="BFBFBF" w:themeColor="background1" w:themeShade="BF"/>
              <w:left w:val="nil"/>
              <w:bottom w:val="single" w:sz="4" w:space="0" w:color="BFBFBF" w:themeColor="background1" w:themeShade="BF"/>
              <w:right w:val="single" w:sz="4" w:space="0" w:color="auto"/>
            </w:tcBorders>
            <w:vAlign w:val="center"/>
          </w:tcPr>
          <w:p w:rsidR="00650D67" w:rsidRPr="00650D67" w:rsidRDefault="00650D67" w:rsidP="00650D67">
            <w:pPr>
              <w:keepNext/>
              <w:widowControl/>
              <w:tabs>
                <w:tab w:val="left" w:pos="39"/>
              </w:tabs>
              <w:snapToGrid w:val="0"/>
              <w:spacing w:before="20" w:after="20"/>
              <w:ind w:left="39"/>
              <w:rPr>
                <w:rFonts w:ascii="Segoe UI" w:hAnsi="Segoe UI" w:cs="Segoe UI"/>
                <w:kern w:val="0"/>
                <w:sz w:val="17"/>
                <w:szCs w:val="17"/>
                <w:lang w:val="en-GB" w:eastAsia="en-GB"/>
              </w:rPr>
            </w:pPr>
            <w:r w:rsidRPr="00650D67">
              <w:rPr>
                <w:rFonts w:ascii="Segoe UI" w:hAnsi="Segoe UI" w:cs="Segoe UI"/>
                <w:kern w:val="0"/>
                <w:sz w:val="17"/>
                <w:szCs w:val="17"/>
                <w:lang w:val="en-GB" w:eastAsia="en-GB"/>
              </w:rPr>
              <w:t>Total capital and liabilities net of credit risk mitigation</w:t>
            </w:r>
          </w:p>
        </w:tc>
        <w:tc>
          <w:tcPr>
            <w:tcW w:w="1134" w:type="dxa"/>
            <w:tcBorders>
              <w:top w:val="single" w:sz="4" w:space="0" w:color="BFBFBF" w:themeColor="background1" w:themeShade="BF"/>
              <w:left w:val="single" w:sz="4" w:space="0" w:color="auto"/>
              <w:bottom w:val="single" w:sz="4" w:space="0" w:color="BFBFBF" w:themeColor="background1" w:themeShade="BF"/>
              <w:right w:val="single" w:sz="4" w:space="0" w:color="BFBFBF" w:themeColor="background1" w:themeShade="BF"/>
            </w:tcBorders>
          </w:tcPr>
          <w:p w:rsidR="00650D67" w:rsidRPr="00650D67" w:rsidRDefault="00650D67" w:rsidP="00650D67">
            <w:pPr>
              <w:widowControl/>
              <w:tabs>
                <w:tab w:val="decimal" w:pos="31"/>
              </w:tabs>
              <w:snapToGrid w:val="0"/>
              <w:spacing w:before="20" w:after="20"/>
              <w:jc w:val="center"/>
              <w:rPr>
                <w:rFonts w:ascii="Segoe UI" w:hAnsi="Segoe UI" w:cs="Segoe UI"/>
                <w:kern w:val="0"/>
                <w:sz w:val="17"/>
                <w:szCs w:val="17"/>
                <w:lang w:val="en-GB" w:eastAsia="en-GB"/>
              </w:rPr>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50D67" w:rsidRPr="00650D67" w:rsidRDefault="00650D67" w:rsidP="00650D67">
            <w:pPr>
              <w:widowControl/>
              <w:tabs>
                <w:tab w:val="decimal" w:pos="31"/>
              </w:tabs>
              <w:snapToGrid w:val="0"/>
              <w:spacing w:before="20" w:after="20"/>
              <w:jc w:val="center"/>
              <w:rPr>
                <w:rFonts w:ascii="Segoe UI" w:hAnsi="Segoe UI" w:cs="Segoe UI"/>
                <w:kern w:val="0"/>
                <w:sz w:val="17"/>
                <w:szCs w:val="17"/>
                <w:lang w:val="en-GB" w:eastAsia="en-GB"/>
              </w:rPr>
            </w:pPr>
          </w:p>
        </w:tc>
        <w:tc>
          <w:tcPr>
            <w:tcW w:w="8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50D67" w:rsidRPr="00650D67" w:rsidRDefault="00650D67" w:rsidP="00650D67">
            <w:pPr>
              <w:widowControl/>
              <w:tabs>
                <w:tab w:val="decimal" w:pos="31"/>
              </w:tabs>
              <w:snapToGrid w:val="0"/>
              <w:spacing w:before="20" w:after="20"/>
              <w:jc w:val="center"/>
              <w:rPr>
                <w:rFonts w:ascii="Segoe UI" w:hAnsi="Segoe UI" w:cs="Segoe UI"/>
                <w:kern w:val="0"/>
                <w:sz w:val="17"/>
                <w:szCs w:val="17"/>
                <w:lang w:val="en-GB" w:eastAsia="en-GB"/>
              </w:rPr>
            </w:pPr>
          </w:p>
        </w:tc>
        <w:tc>
          <w:tcPr>
            <w:tcW w:w="8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50D67" w:rsidRPr="00650D67" w:rsidRDefault="00650D67" w:rsidP="00650D67">
            <w:pPr>
              <w:widowControl/>
              <w:tabs>
                <w:tab w:val="decimal" w:pos="31"/>
              </w:tabs>
              <w:snapToGrid w:val="0"/>
              <w:spacing w:before="20" w:after="20"/>
              <w:jc w:val="center"/>
              <w:rPr>
                <w:rFonts w:ascii="Segoe UI" w:hAnsi="Segoe UI" w:cs="Segoe UI"/>
                <w:kern w:val="0"/>
                <w:sz w:val="17"/>
                <w:szCs w:val="17"/>
                <w:lang w:val="en-GB" w:eastAsia="en-GB"/>
              </w:rPr>
            </w:pPr>
          </w:p>
        </w:tc>
        <w:tc>
          <w:tcPr>
            <w:tcW w:w="8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50D67" w:rsidRPr="00650D67" w:rsidRDefault="00650D67" w:rsidP="00650D67">
            <w:pPr>
              <w:widowControl/>
              <w:tabs>
                <w:tab w:val="decimal" w:pos="31"/>
              </w:tabs>
              <w:snapToGrid w:val="0"/>
              <w:spacing w:before="20" w:after="20"/>
              <w:jc w:val="center"/>
              <w:rPr>
                <w:rFonts w:ascii="Segoe UI" w:hAnsi="Segoe UI" w:cs="Segoe UI"/>
                <w:kern w:val="0"/>
                <w:sz w:val="17"/>
                <w:szCs w:val="17"/>
                <w:lang w:val="en-GB" w:eastAsia="en-GB"/>
              </w:rPr>
            </w:pPr>
            <w:r w:rsidRPr="00650D67">
              <w:rPr>
                <w:rFonts w:ascii="Segoe UI" w:hAnsi="Segoe UI" w:cs="Segoe UI"/>
                <w:bCs/>
                <w:kern w:val="0"/>
                <w:sz w:val="17"/>
                <w:szCs w:val="17"/>
                <w:lang w:val="en-GB" w:eastAsia="ja-JP"/>
              </w:rPr>
              <w:t>…</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50D67" w:rsidRPr="00650D67" w:rsidRDefault="00650D67" w:rsidP="00650D67">
            <w:pPr>
              <w:widowControl/>
              <w:tabs>
                <w:tab w:val="decimal" w:pos="31"/>
              </w:tabs>
              <w:snapToGrid w:val="0"/>
              <w:spacing w:before="20" w:after="20"/>
              <w:jc w:val="center"/>
              <w:rPr>
                <w:rFonts w:ascii="Segoe UI" w:hAnsi="Segoe UI" w:cs="Segoe UI"/>
                <w:kern w:val="0"/>
                <w:sz w:val="17"/>
                <w:szCs w:val="17"/>
                <w:lang w:val="en-GB" w:eastAsia="en-GB"/>
              </w:rPr>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auto"/>
            </w:tcBorders>
          </w:tcPr>
          <w:p w:rsidR="00650D67" w:rsidRPr="00650D67" w:rsidRDefault="00650D67" w:rsidP="00650D67">
            <w:pPr>
              <w:widowControl/>
              <w:tabs>
                <w:tab w:val="decimal" w:pos="31"/>
              </w:tabs>
              <w:snapToGrid w:val="0"/>
              <w:spacing w:before="20" w:after="20"/>
              <w:jc w:val="center"/>
              <w:rPr>
                <w:rFonts w:ascii="Segoe UI" w:hAnsi="Segoe UI" w:cs="Segoe UI"/>
                <w:kern w:val="0"/>
                <w:sz w:val="17"/>
                <w:szCs w:val="17"/>
                <w:lang w:val="en-GB" w:eastAsia="en-GB"/>
              </w:rPr>
            </w:pPr>
          </w:p>
        </w:tc>
        <w:tc>
          <w:tcPr>
            <w:tcW w:w="1134" w:type="dxa"/>
            <w:tcBorders>
              <w:top w:val="single" w:sz="4" w:space="0" w:color="BFBFBF" w:themeColor="background1" w:themeShade="BF"/>
              <w:left w:val="single" w:sz="4" w:space="0" w:color="auto"/>
              <w:bottom w:val="single" w:sz="4" w:space="0" w:color="BFBFBF" w:themeColor="background1" w:themeShade="BF"/>
              <w:right w:val="single" w:sz="4" w:space="0" w:color="auto"/>
            </w:tcBorders>
          </w:tcPr>
          <w:p w:rsidR="00650D67" w:rsidRPr="00650D67" w:rsidRDefault="00650D67" w:rsidP="00650D67">
            <w:pPr>
              <w:widowControl/>
              <w:tabs>
                <w:tab w:val="decimal" w:pos="31"/>
              </w:tabs>
              <w:snapToGrid w:val="0"/>
              <w:spacing w:before="20" w:after="20"/>
              <w:jc w:val="center"/>
              <w:rPr>
                <w:rFonts w:ascii="Segoe UI" w:hAnsi="Segoe UI" w:cs="Segoe UI"/>
                <w:kern w:val="0"/>
                <w:sz w:val="17"/>
                <w:szCs w:val="17"/>
                <w:lang w:val="en-GB" w:eastAsia="en-GB"/>
              </w:rPr>
            </w:pPr>
          </w:p>
        </w:tc>
      </w:tr>
      <w:tr w:rsidR="00650D67" w:rsidRPr="00650D67" w:rsidTr="003A4070">
        <w:trPr>
          <w:cantSplit/>
        </w:trPr>
        <w:tc>
          <w:tcPr>
            <w:tcW w:w="567" w:type="dxa"/>
            <w:tcBorders>
              <w:top w:val="single" w:sz="4" w:space="0" w:color="BFBFBF" w:themeColor="background1" w:themeShade="BF"/>
              <w:left w:val="nil"/>
              <w:bottom w:val="single" w:sz="4" w:space="0" w:color="BFBFBF" w:themeColor="background1" w:themeShade="BF"/>
              <w:right w:val="single" w:sz="4" w:space="0" w:color="auto"/>
            </w:tcBorders>
            <w:vAlign w:val="center"/>
          </w:tcPr>
          <w:p w:rsidR="00650D67" w:rsidRPr="00650D67" w:rsidDel="00745BDE" w:rsidRDefault="00650D67" w:rsidP="00650D67">
            <w:pPr>
              <w:widowControl/>
              <w:snapToGrid w:val="0"/>
              <w:spacing w:before="40" w:after="40"/>
              <w:rPr>
                <w:rFonts w:ascii="Segoe UI" w:eastAsia="Times New Roman" w:hAnsi="Segoe UI" w:cs="Times New Roman"/>
                <w:kern w:val="0"/>
                <w:sz w:val="17"/>
                <w:szCs w:val="20"/>
                <w:lang w:val="en-GB" w:eastAsia="en-CA"/>
              </w:rPr>
            </w:pPr>
            <w:r w:rsidRPr="00650D67">
              <w:rPr>
                <w:rFonts w:ascii="Segoe UI" w:eastAsia="Times New Roman" w:hAnsi="Segoe UI" w:cs="Times New Roman"/>
                <w:kern w:val="0"/>
                <w:sz w:val="17"/>
                <w:szCs w:val="20"/>
                <w:lang w:val="en-GB" w:eastAsia="en-CA"/>
              </w:rPr>
              <w:t>4</w:t>
            </w:r>
          </w:p>
        </w:tc>
        <w:tc>
          <w:tcPr>
            <w:tcW w:w="5103" w:type="dxa"/>
            <w:tcBorders>
              <w:top w:val="single" w:sz="4" w:space="0" w:color="BFBFBF" w:themeColor="background1" w:themeShade="BF"/>
              <w:left w:val="nil"/>
              <w:bottom w:val="single" w:sz="4" w:space="0" w:color="BFBFBF" w:themeColor="background1" w:themeShade="BF"/>
              <w:right w:val="single" w:sz="4" w:space="0" w:color="auto"/>
            </w:tcBorders>
            <w:vAlign w:val="center"/>
          </w:tcPr>
          <w:p w:rsidR="00650D67" w:rsidRPr="00650D67" w:rsidRDefault="00650D67" w:rsidP="00650D67">
            <w:pPr>
              <w:keepNext/>
              <w:widowControl/>
              <w:tabs>
                <w:tab w:val="left" w:pos="39"/>
              </w:tabs>
              <w:snapToGrid w:val="0"/>
              <w:spacing w:before="20" w:after="20"/>
              <w:ind w:left="39"/>
              <w:rPr>
                <w:rFonts w:ascii="Segoe UI" w:hAnsi="Segoe UI" w:cs="Segoe UI"/>
                <w:kern w:val="0"/>
                <w:sz w:val="17"/>
                <w:szCs w:val="17"/>
                <w:lang w:val="en-GB" w:eastAsia="en-GB"/>
              </w:rPr>
            </w:pPr>
            <w:r w:rsidRPr="00650D67">
              <w:rPr>
                <w:rFonts w:ascii="Segoe UI" w:hAnsi="Segoe UI" w:cs="Segoe UI"/>
                <w:kern w:val="0"/>
                <w:sz w:val="17"/>
                <w:szCs w:val="17"/>
                <w:lang w:val="en-GB" w:eastAsia="en-GB"/>
              </w:rPr>
              <w:t>Subset of row 3 that are excluded liabilities</w:t>
            </w:r>
          </w:p>
        </w:tc>
        <w:tc>
          <w:tcPr>
            <w:tcW w:w="1134" w:type="dxa"/>
            <w:tcBorders>
              <w:top w:val="single" w:sz="4" w:space="0" w:color="BFBFBF" w:themeColor="background1" w:themeShade="BF"/>
              <w:left w:val="single" w:sz="4" w:space="0" w:color="auto"/>
              <w:bottom w:val="single" w:sz="4" w:space="0" w:color="BFBFBF" w:themeColor="background1" w:themeShade="BF"/>
              <w:right w:val="single" w:sz="4" w:space="0" w:color="BFBFBF" w:themeColor="background1" w:themeShade="BF"/>
            </w:tcBorders>
          </w:tcPr>
          <w:p w:rsidR="00650D67" w:rsidRPr="00650D67" w:rsidRDefault="00650D67" w:rsidP="00650D67">
            <w:pPr>
              <w:widowControl/>
              <w:tabs>
                <w:tab w:val="decimal" w:pos="31"/>
              </w:tabs>
              <w:snapToGrid w:val="0"/>
              <w:spacing w:before="20" w:after="20"/>
              <w:jc w:val="center"/>
              <w:rPr>
                <w:rFonts w:ascii="Segoe UI" w:hAnsi="Segoe UI" w:cs="Segoe UI"/>
                <w:kern w:val="0"/>
                <w:sz w:val="17"/>
                <w:szCs w:val="17"/>
                <w:lang w:val="en-GB" w:eastAsia="en-GB"/>
              </w:rPr>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50D67" w:rsidRPr="00650D67" w:rsidRDefault="00650D67" w:rsidP="00650D67">
            <w:pPr>
              <w:widowControl/>
              <w:tabs>
                <w:tab w:val="decimal" w:pos="31"/>
              </w:tabs>
              <w:snapToGrid w:val="0"/>
              <w:spacing w:before="20" w:after="20"/>
              <w:jc w:val="center"/>
              <w:rPr>
                <w:rFonts w:ascii="Segoe UI" w:hAnsi="Segoe UI" w:cs="Segoe UI"/>
                <w:kern w:val="0"/>
                <w:sz w:val="17"/>
                <w:szCs w:val="17"/>
                <w:lang w:val="en-GB" w:eastAsia="en-GB"/>
              </w:rPr>
            </w:pPr>
          </w:p>
        </w:tc>
        <w:tc>
          <w:tcPr>
            <w:tcW w:w="8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50D67" w:rsidRPr="00650D67" w:rsidRDefault="00650D67" w:rsidP="00650D67">
            <w:pPr>
              <w:widowControl/>
              <w:tabs>
                <w:tab w:val="decimal" w:pos="31"/>
              </w:tabs>
              <w:snapToGrid w:val="0"/>
              <w:spacing w:before="20" w:after="20"/>
              <w:jc w:val="center"/>
              <w:rPr>
                <w:rFonts w:ascii="Segoe UI" w:hAnsi="Segoe UI" w:cs="Segoe UI"/>
                <w:kern w:val="0"/>
                <w:sz w:val="17"/>
                <w:szCs w:val="17"/>
                <w:lang w:val="en-GB" w:eastAsia="en-GB"/>
              </w:rPr>
            </w:pPr>
          </w:p>
        </w:tc>
        <w:tc>
          <w:tcPr>
            <w:tcW w:w="8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50D67" w:rsidRPr="00650D67" w:rsidRDefault="00650D67" w:rsidP="00650D67">
            <w:pPr>
              <w:widowControl/>
              <w:tabs>
                <w:tab w:val="decimal" w:pos="31"/>
              </w:tabs>
              <w:snapToGrid w:val="0"/>
              <w:spacing w:before="20" w:after="20"/>
              <w:jc w:val="center"/>
              <w:rPr>
                <w:rFonts w:ascii="Segoe UI" w:hAnsi="Segoe UI" w:cs="Segoe UI"/>
                <w:kern w:val="0"/>
                <w:sz w:val="17"/>
                <w:szCs w:val="17"/>
                <w:lang w:val="en-GB" w:eastAsia="en-GB"/>
              </w:rPr>
            </w:pPr>
          </w:p>
        </w:tc>
        <w:tc>
          <w:tcPr>
            <w:tcW w:w="8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50D67" w:rsidRPr="00650D67" w:rsidRDefault="00650D67" w:rsidP="00650D67">
            <w:pPr>
              <w:widowControl/>
              <w:tabs>
                <w:tab w:val="decimal" w:pos="31"/>
              </w:tabs>
              <w:snapToGrid w:val="0"/>
              <w:spacing w:before="20" w:after="20"/>
              <w:jc w:val="center"/>
              <w:rPr>
                <w:rFonts w:ascii="Segoe UI" w:hAnsi="Segoe UI" w:cs="Segoe UI"/>
                <w:kern w:val="0"/>
                <w:sz w:val="17"/>
                <w:szCs w:val="17"/>
                <w:lang w:val="en-GB" w:eastAsia="en-GB"/>
              </w:rPr>
            </w:pPr>
            <w:r w:rsidRPr="00650D67">
              <w:rPr>
                <w:rFonts w:ascii="Segoe UI" w:hAnsi="Segoe UI" w:cs="Segoe UI"/>
                <w:bCs/>
                <w:kern w:val="0"/>
                <w:sz w:val="17"/>
                <w:szCs w:val="17"/>
                <w:lang w:val="en-GB" w:eastAsia="ja-JP"/>
              </w:rPr>
              <w:t>…</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50D67" w:rsidRPr="00650D67" w:rsidRDefault="00650D67" w:rsidP="00650D67">
            <w:pPr>
              <w:widowControl/>
              <w:tabs>
                <w:tab w:val="decimal" w:pos="31"/>
              </w:tabs>
              <w:snapToGrid w:val="0"/>
              <w:spacing w:before="20" w:after="20"/>
              <w:jc w:val="center"/>
              <w:rPr>
                <w:rFonts w:ascii="Segoe UI" w:hAnsi="Segoe UI" w:cs="Segoe UI"/>
                <w:kern w:val="0"/>
                <w:sz w:val="17"/>
                <w:szCs w:val="17"/>
                <w:lang w:val="en-GB" w:eastAsia="en-GB"/>
              </w:rPr>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auto"/>
            </w:tcBorders>
          </w:tcPr>
          <w:p w:rsidR="00650D67" w:rsidRPr="00650D67" w:rsidRDefault="00650D67" w:rsidP="00650D67">
            <w:pPr>
              <w:widowControl/>
              <w:tabs>
                <w:tab w:val="decimal" w:pos="31"/>
              </w:tabs>
              <w:snapToGrid w:val="0"/>
              <w:spacing w:before="20" w:after="20"/>
              <w:jc w:val="center"/>
              <w:rPr>
                <w:rFonts w:ascii="Segoe UI" w:hAnsi="Segoe UI" w:cs="Segoe UI"/>
                <w:kern w:val="0"/>
                <w:sz w:val="17"/>
                <w:szCs w:val="17"/>
                <w:lang w:val="en-GB" w:eastAsia="en-GB"/>
              </w:rPr>
            </w:pPr>
          </w:p>
        </w:tc>
        <w:tc>
          <w:tcPr>
            <w:tcW w:w="1134" w:type="dxa"/>
            <w:tcBorders>
              <w:top w:val="single" w:sz="4" w:space="0" w:color="BFBFBF" w:themeColor="background1" w:themeShade="BF"/>
              <w:left w:val="single" w:sz="4" w:space="0" w:color="auto"/>
              <w:bottom w:val="single" w:sz="4" w:space="0" w:color="BFBFBF" w:themeColor="background1" w:themeShade="BF"/>
              <w:right w:val="single" w:sz="4" w:space="0" w:color="auto"/>
            </w:tcBorders>
          </w:tcPr>
          <w:p w:rsidR="00650D67" w:rsidRPr="00650D67" w:rsidRDefault="00650D67" w:rsidP="00650D67">
            <w:pPr>
              <w:widowControl/>
              <w:tabs>
                <w:tab w:val="decimal" w:pos="31"/>
              </w:tabs>
              <w:snapToGrid w:val="0"/>
              <w:spacing w:before="20" w:after="20"/>
              <w:jc w:val="center"/>
              <w:rPr>
                <w:rFonts w:ascii="Segoe UI" w:hAnsi="Segoe UI" w:cs="Segoe UI"/>
                <w:kern w:val="0"/>
                <w:sz w:val="17"/>
                <w:szCs w:val="17"/>
                <w:lang w:val="en-GB" w:eastAsia="en-GB"/>
              </w:rPr>
            </w:pPr>
          </w:p>
        </w:tc>
      </w:tr>
      <w:tr w:rsidR="00650D67" w:rsidRPr="00650D67" w:rsidTr="003A4070">
        <w:trPr>
          <w:cantSplit/>
        </w:trPr>
        <w:tc>
          <w:tcPr>
            <w:tcW w:w="567" w:type="dxa"/>
            <w:tcBorders>
              <w:top w:val="single" w:sz="4" w:space="0" w:color="BFBFBF" w:themeColor="background1" w:themeShade="BF"/>
              <w:left w:val="nil"/>
              <w:bottom w:val="single" w:sz="4" w:space="0" w:color="BFBFBF" w:themeColor="background1" w:themeShade="BF"/>
              <w:right w:val="single" w:sz="4" w:space="0" w:color="auto"/>
            </w:tcBorders>
            <w:vAlign w:val="center"/>
          </w:tcPr>
          <w:p w:rsidR="00650D67" w:rsidRPr="00650D67" w:rsidDel="00745BDE" w:rsidRDefault="00650D67" w:rsidP="00650D67">
            <w:pPr>
              <w:widowControl/>
              <w:snapToGrid w:val="0"/>
              <w:spacing w:before="40" w:after="40"/>
              <w:rPr>
                <w:rFonts w:ascii="Segoe UI" w:eastAsia="Times New Roman" w:hAnsi="Segoe UI" w:cs="Times New Roman"/>
                <w:kern w:val="0"/>
                <w:sz w:val="17"/>
                <w:szCs w:val="20"/>
                <w:lang w:val="en-GB" w:eastAsia="en-CA"/>
              </w:rPr>
            </w:pPr>
            <w:r w:rsidRPr="00650D67">
              <w:rPr>
                <w:rFonts w:ascii="Segoe UI" w:eastAsia="Times New Roman" w:hAnsi="Segoe UI" w:cs="Times New Roman"/>
                <w:kern w:val="0"/>
                <w:sz w:val="17"/>
                <w:szCs w:val="20"/>
                <w:lang w:val="en-GB" w:eastAsia="en-CA"/>
              </w:rPr>
              <w:t>5</w:t>
            </w:r>
          </w:p>
        </w:tc>
        <w:tc>
          <w:tcPr>
            <w:tcW w:w="5103" w:type="dxa"/>
            <w:tcBorders>
              <w:top w:val="single" w:sz="4" w:space="0" w:color="BFBFBF" w:themeColor="background1" w:themeShade="BF"/>
              <w:left w:val="nil"/>
              <w:bottom w:val="single" w:sz="4" w:space="0" w:color="BFBFBF" w:themeColor="background1" w:themeShade="BF"/>
              <w:right w:val="single" w:sz="4" w:space="0" w:color="auto"/>
            </w:tcBorders>
            <w:vAlign w:val="center"/>
          </w:tcPr>
          <w:p w:rsidR="00650D67" w:rsidRPr="00650D67" w:rsidRDefault="00650D67" w:rsidP="00650D67">
            <w:pPr>
              <w:keepNext/>
              <w:widowControl/>
              <w:tabs>
                <w:tab w:val="left" w:pos="39"/>
              </w:tabs>
              <w:snapToGrid w:val="0"/>
              <w:spacing w:before="20" w:after="20"/>
              <w:ind w:left="39"/>
              <w:rPr>
                <w:rFonts w:ascii="Segoe UI" w:hAnsi="Segoe UI" w:cs="Segoe UI"/>
                <w:kern w:val="0"/>
                <w:sz w:val="17"/>
                <w:szCs w:val="17"/>
                <w:lang w:val="en-GB" w:eastAsia="en-GB"/>
              </w:rPr>
            </w:pPr>
            <w:r w:rsidRPr="00650D67">
              <w:rPr>
                <w:rFonts w:ascii="Segoe UI" w:hAnsi="Segoe UI" w:cs="Segoe UI"/>
                <w:kern w:val="0"/>
                <w:sz w:val="17"/>
                <w:szCs w:val="17"/>
                <w:lang w:val="en-GB" w:eastAsia="en-GB"/>
              </w:rPr>
              <w:t>Total capital and liabilities less excluded liabilities</w:t>
            </w:r>
          </w:p>
        </w:tc>
        <w:tc>
          <w:tcPr>
            <w:tcW w:w="1134" w:type="dxa"/>
            <w:tcBorders>
              <w:top w:val="single" w:sz="4" w:space="0" w:color="BFBFBF" w:themeColor="background1" w:themeShade="BF"/>
              <w:left w:val="single" w:sz="4" w:space="0" w:color="auto"/>
              <w:bottom w:val="single" w:sz="4" w:space="0" w:color="BFBFBF" w:themeColor="background1" w:themeShade="BF"/>
              <w:right w:val="single" w:sz="4" w:space="0" w:color="BFBFBF" w:themeColor="background1" w:themeShade="BF"/>
            </w:tcBorders>
          </w:tcPr>
          <w:p w:rsidR="00650D67" w:rsidRPr="00650D67" w:rsidRDefault="00650D67" w:rsidP="00650D67">
            <w:pPr>
              <w:widowControl/>
              <w:tabs>
                <w:tab w:val="decimal" w:pos="31"/>
              </w:tabs>
              <w:snapToGrid w:val="0"/>
              <w:spacing w:before="20" w:after="20"/>
              <w:jc w:val="center"/>
              <w:rPr>
                <w:rFonts w:ascii="Segoe UI" w:hAnsi="Segoe UI" w:cs="Segoe UI"/>
                <w:kern w:val="0"/>
                <w:sz w:val="17"/>
                <w:szCs w:val="17"/>
                <w:lang w:val="en-GB" w:eastAsia="en-GB"/>
              </w:rPr>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50D67" w:rsidRPr="00650D67" w:rsidRDefault="00650D67" w:rsidP="00650D67">
            <w:pPr>
              <w:widowControl/>
              <w:tabs>
                <w:tab w:val="decimal" w:pos="31"/>
              </w:tabs>
              <w:snapToGrid w:val="0"/>
              <w:spacing w:before="20" w:after="20"/>
              <w:jc w:val="center"/>
              <w:rPr>
                <w:rFonts w:ascii="Segoe UI" w:hAnsi="Segoe UI" w:cs="Segoe UI"/>
                <w:kern w:val="0"/>
                <w:sz w:val="17"/>
                <w:szCs w:val="17"/>
                <w:lang w:val="en-GB" w:eastAsia="en-GB"/>
              </w:rPr>
            </w:pPr>
          </w:p>
        </w:tc>
        <w:tc>
          <w:tcPr>
            <w:tcW w:w="8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50D67" w:rsidRPr="00650D67" w:rsidRDefault="00650D67" w:rsidP="00650D67">
            <w:pPr>
              <w:widowControl/>
              <w:tabs>
                <w:tab w:val="decimal" w:pos="31"/>
              </w:tabs>
              <w:snapToGrid w:val="0"/>
              <w:spacing w:before="20" w:after="20"/>
              <w:jc w:val="center"/>
              <w:rPr>
                <w:rFonts w:ascii="Segoe UI" w:hAnsi="Segoe UI" w:cs="Segoe UI"/>
                <w:kern w:val="0"/>
                <w:sz w:val="17"/>
                <w:szCs w:val="17"/>
                <w:lang w:val="en-GB" w:eastAsia="en-GB"/>
              </w:rPr>
            </w:pPr>
          </w:p>
        </w:tc>
        <w:tc>
          <w:tcPr>
            <w:tcW w:w="8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50D67" w:rsidRPr="00650D67" w:rsidRDefault="00650D67" w:rsidP="00650D67">
            <w:pPr>
              <w:widowControl/>
              <w:tabs>
                <w:tab w:val="decimal" w:pos="31"/>
              </w:tabs>
              <w:snapToGrid w:val="0"/>
              <w:spacing w:before="20" w:after="20"/>
              <w:jc w:val="center"/>
              <w:rPr>
                <w:rFonts w:ascii="Segoe UI" w:hAnsi="Segoe UI" w:cs="Segoe UI"/>
                <w:kern w:val="0"/>
                <w:sz w:val="17"/>
                <w:szCs w:val="17"/>
                <w:lang w:val="en-GB" w:eastAsia="en-GB"/>
              </w:rPr>
            </w:pPr>
          </w:p>
        </w:tc>
        <w:tc>
          <w:tcPr>
            <w:tcW w:w="8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50D67" w:rsidRPr="00650D67" w:rsidRDefault="00650D67" w:rsidP="00650D67">
            <w:pPr>
              <w:widowControl/>
              <w:tabs>
                <w:tab w:val="decimal" w:pos="31"/>
              </w:tabs>
              <w:snapToGrid w:val="0"/>
              <w:spacing w:before="20" w:after="20"/>
              <w:jc w:val="center"/>
              <w:rPr>
                <w:rFonts w:ascii="Segoe UI" w:hAnsi="Segoe UI" w:cs="Segoe UI"/>
                <w:kern w:val="0"/>
                <w:sz w:val="17"/>
                <w:szCs w:val="17"/>
                <w:lang w:val="en-GB" w:eastAsia="en-GB"/>
              </w:rPr>
            </w:pPr>
            <w:r w:rsidRPr="00650D67">
              <w:rPr>
                <w:rFonts w:ascii="Segoe UI" w:hAnsi="Segoe UI" w:cs="Segoe UI"/>
                <w:bCs/>
                <w:kern w:val="0"/>
                <w:sz w:val="17"/>
                <w:szCs w:val="17"/>
                <w:lang w:val="en-GB" w:eastAsia="ja-JP"/>
              </w:rPr>
              <w:t>…</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50D67" w:rsidRPr="00650D67" w:rsidRDefault="00650D67" w:rsidP="00650D67">
            <w:pPr>
              <w:widowControl/>
              <w:tabs>
                <w:tab w:val="decimal" w:pos="31"/>
              </w:tabs>
              <w:snapToGrid w:val="0"/>
              <w:spacing w:before="20" w:after="20"/>
              <w:jc w:val="center"/>
              <w:rPr>
                <w:rFonts w:ascii="Segoe UI" w:hAnsi="Segoe UI" w:cs="Segoe UI"/>
                <w:kern w:val="0"/>
                <w:sz w:val="17"/>
                <w:szCs w:val="17"/>
                <w:lang w:val="en-GB" w:eastAsia="en-GB"/>
              </w:rPr>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auto"/>
            </w:tcBorders>
          </w:tcPr>
          <w:p w:rsidR="00650D67" w:rsidRPr="00650D67" w:rsidRDefault="00650D67" w:rsidP="00650D67">
            <w:pPr>
              <w:widowControl/>
              <w:tabs>
                <w:tab w:val="decimal" w:pos="31"/>
              </w:tabs>
              <w:snapToGrid w:val="0"/>
              <w:spacing w:before="20" w:after="20"/>
              <w:jc w:val="center"/>
              <w:rPr>
                <w:rFonts w:ascii="Segoe UI" w:hAnsi="Segoe UI" w:cs="Segoe UI"/>
                <w:kern w:val="0"/>
                <w:sz w:val="17"/>
                <w:szCs w:val="17"/>
                <w:lang w:val="en-GB" w:eastAsia="en-GB"/>
              </w:rPr>
            </w:pPr>
          </w:p>
        </w:tc>
        <w:tc>
          <w:tcPr>
            <w:tcW w:w="1134" w:type="dxa"/>
            <w:tcBorders>
              <w:top w:val="single" w:sz="4" w:space="0" w:color="BFBFBF" w:themeColor="background1" w:themeShade="BF"/>
              <w:left w:val="single" w:sz="4" w:space="0" w:color="auto"/>
              <w:bottom w:val="single" w:sz="4" w:space="0" w:color="BFBFBF" w:themeColor="background1" w:themeShade="BF"/>
              <w:right w:val="single" w:sz="4" w:space="0" w:color="auto"/>
            </w:tcBorders>
          </w:tcPr>
          <w:p w:rsidR="00650D67" w:rsidRPr="00650D67" w:rsidRDefault="00650D67" w:rsidP="00650D67">
            <w:pPr>
              <w:widowControl/>
              <w:tabs>
                <w:tab w:val="decimal" w:pos="31"/>
              </w:tabs>
              <w:snapToGrid w:val="0"/>
              <w:spacing w:before="20" w:after="20"/>
              <w:jc w:val="center"/>
              <w:rPr>
                <w:rFonts w:ascii="Segoe UI" w:hAnsi="Segoe UI" w:cs="Segoe UI"/>
                <w:kern w:val="0"/>
                <w:sz w:val="17"/>
                <w:szCs w:val="17"/>
                <w:lang w:val="en-GB" w:eastAsia="en-GB"/>
              </w:rPr>
            </w:pPr>
          </w:p>
        </w:tc>
      </w:tr>
      <w:tr w:rsidR="00650D67" w:rsidRPr="00650D67" w:rsidTr="003A4070">
        <w:trPr>
          <w:cantSplit/>
        </w:trPr>
        <w:tc>
          <w:tcPr>
            <w:tcW w:w="567" w:type="dxa"/>
            <w:tcBorders>
              <w:top w:val="single" w:sz="4" w:space="0" w:color="BFBFBF" w:themeColor="background1" w:themeShade="BF"/>
              <w:left w:val="nil"/>
              <w:bottom w:val="single" w:sz="4" w:space="0" w:color="BFBFBF" w:themeColor="background1" w:themeShade="BF"/>
              <w:right w:val="single" w:sz="4" w:space="0" w:color="auto"/>
            </w:tcBorders>
            <w:vAlign w:val="center"/>
          </w:tcPr>
          <w:p w:rsidR="00650D67" w:rsidRPr="00650D67" w:rsidRDefault="00650D67" w:rsidP="00650D67">
            <w:pPr>
              <w:widowControl/>
              <w:snapToGrid w:val="0"/>
              <w:spacing w:before="40" w:after="40"/>
              <w:rPr>
                <w:rFonts w:ascii="Segoe UI" w:eastAsia="Times New Roman" w:hAnsi="Segoe UI" w:cs="Times New Roman"/>
                <w:kern w:val="0"/>
                <w:sz w:val="17"/>
                <w:szCs w:val="20"/>
                <w:lang w:val="en-GB" w:eastAsia="en-CA"/>
              </w:rPr>
            </w:pPr>
            <w:r w:rsidRPr="00650D67">
              <w:rPr>
                <w:rFonts w:ascii="Segoe UI" w:eastAsia="Times New Roman" w:hAnsi="Segoe UI" w:cs="Times New Roman"/>
                <w:kern w:val="0"/>
                <w:sz w:val="17"/>
                <w:szCs w:val="20"/>
                <w:lang w:val="en-GB" w:eastAsia="en-CA"/>
              </w:rPr>
              <w:t>6</w:t>
            </w:r>
          </w:p>
        </w:tc>
        <w:tc>
          <w:tcPr>
            <w:tcW w:w="5103" w:type="dxa"/>
            <w:tcBorders>
              <w:top w:val="single" w:sz="4" w:space="0" w:color="BFBFBF" w:themeColor="background1" w:themeShade="BF"/>
              <w:left w:val="nil"/>
              <w:bottom w:val="single" w:sz="4" w:space="0" w:color="BFBFBF" w:themeColor="background1" w:themeShade="BF"/>
              <w:right w:val="single" w:sz="4" w:space="0" w:color="auto"/>
            </w:tcBorders>
            <w:vAlign w:val="center"/>
          </w:tcPr>
          <w:p w:rsidR="00650D67" w:rsidRPr="00650D67" w:rsidRDefault="00650D67" w:rsidP="00650D67">
            <w:pPr>
              <w:keepNext/>
              <w:widowControl/>
              <w:tabs>
                <w:tab w:val="left" w:pos="39"/>
              </w:tabs>
              <w:snapToGrid w:val="0"/>
              <w:spacing w:before="20" w:after="20"/>
              <w:ind w:left="39"/>
              <w:rPr>
                <w:rFonts w:ascii="Segoe UI" w:hAnsi="Segoe UI" w:cs="Segoe UI"/>
                <w:kern w:val="0"/>
                <w:sz w:val="17"/>
                <w:szCs w:val="17"/>
                <w:lang w:val="en-GB" w:eastAsia="en-GB"/>
              </w:rPr>
            </w:pPr>
            <w:r w:rsidRPr="00650D67">
              <w:rPr>
                <w:rFonts w:ascii="Segoe UI" w:hAnsi="Segoe UI" w:cs="Segoe UI"/>
                <w:kern w:val="0"/>
                <w:sz w:val="17"/>
                <w:szCs w:val="17"/>
                <w:lang w:val="en-GB" w:eastAsia="en-GB"/>
              </w:rPr>
              <w:t>Subset of row 5 that are eligible as internal loss-absorbing capacity</w:t>
            </w:r>
          </w:p>
        </w:tc>
        <w:tc>
          <w:tcPr>
            <w:tcW w:w="1134" w:type="dxa"/>
            <w:tcBorders>
              <w:top w:val="single" w:sz="4" w:space="0" w:color="BFBFBF" w:themeColor="background1" w:themeShade="BF"/>
              <w:left w:val="single" w:sz="4" w:space="0" w:color="auto"/>
              <w:bottom w:val="single" w:sz="4" w:space="0" w:color="BFBFBF" w:themeColor="background1" w:themeShade="BF"/>
              <w:right w:val="single" w:sz="4" w:space="0" w:color="BFBFBF" w:themeColor="background1" w:themeShade="BF"/>
            </w:tcBorders>
          </w:tcPr>
          <w:p w:rsidR="00650D67" w:rsidRPr="00650D67" w:rsidRDefault="00650D67" w:rsidP="00650D67">
            <w:pPr>
              <w:widowControl/>
              <w:tabs>
                <w:tab w:val="decimal" w:pos="31"/>
              </w:tabs>
              <w:snapToGrid w:val="0"/>
              <w:spacing w:before="20" w:after="20"/>
              <w:jc w:val="center"/>
              <w:rPr>
                <w:rFonts w:ascii="Segoe UI" w:hAnsi="Segoe UI" w:cs="Segoe UI"/>
                <w:kern w:val="0"/>
                <w:sz w:val="17"/>
                <w:szCs w:val="17"/>
                <w:lang w:val="en-GB" w:eastAsia="en-GB"/>
              </w:rPr>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50D67" w:rsidRPr="00650D67" w:rsidRDefault="00650D67" w:rsidP="00650D67">
            <w:pPr>
              <w:widowControl/>
              <w:tabs>
                <w:tab w:val="decimal" w:pos="31"/>
              </w:tabs>
              <w:snapToGrid w:val="0"/>
              <w:spacing w:before="20" w:after="20"/>
              <w:jc w:val="center"/>
              <w:rPr>
                <w:rFonts w:ascii="Segoe UI" w:hAnsi="Segoe UI" w:cs="Segoe UI"/>
                <w:kern w:val="0"/>
                <w:sz w:val="17"/>
                <w:szCs w:val="17"/>
                <w:lang w:val="en-GB" w:eastAsia="en-GB"/>
              </w:rPr>
            </w:pPr>
          </w:p>
        </w:tc>
        <w:tc>
          <w:tcPr>
            <w:tcW w:w="8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50D67" w:rsidRPr="00650D67" w:rsidRDefault="00650D67" w:rsidP="00650D67">
            <w:pPr>
              <w:widowControl/>
              <w:tabs>
                <w:tab w:val="decimal" w:pos="31"/>
              </w:tabs>
              <w:snapToGrid w:val="0"/>
              <w:spacing w:before="20" w:after="20"/>
              <w:jc w:val="center"/>
              <w:rPr>
                <w:rFonts w:ascii="Segoe UI" w:hAnsi="Segoe UI" w:cs="Segoe UI"/>
                <w:kern w:val="0"/>
                <w:sz w:val="17"/>
                <w:szCs w:val="17"/>
                <w:lang w:val="en-GB" w:eastAsia="en-GB"/>
              </w:rPr>
            </w:pPr>
          </w:p>
        </w:tc>
        <w:tc>
          <w:tcPr>
            <w:tcW w:w="8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50D67" w:rsidRPr="00650D67" w:rsidRDefault="00650D67" w:rsidP="00650D67">
            <w:pPr>
              <w:widowControl/>
              <w:tabs>
                <w:tab w:val="decimal" w:pos="31"/>
              </w:tabs>
              <w:snapToGrid w:val="0"/>
              <w:spacing w:before="20" w:after="20"/>
              <w:jc w:val="center"/>
              <w:rPr>
                <w:rFonts w:ascii="Segoe UI" w:hAnsi="Segoe UI" w:cs="Segoe UI"/>
                <w:kern w:val="0"/>
                <w:sz w:val="17"/>
                <w:szCs w:val="17"/>
                <w:lang w:val="en-GB" w:eastAsia="en-GB"/>
              </w:rPr>
            </w:pPr>
          </w:p>
        </w:tc>
        <w:tc>
          <w:tcPr>
            <w:tcW w:w="8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50D67" w:rsidRPr="00650D67" w:rsidRDefault="00650D67" w:rsidP="00650D67">
            <w:pPr>
              <w:widowControl/>
              <w:tabs>
                <w:tab w:val="decimal" w:pos="31"/>
              </w:tabs>
              <w:snapToGrid w:val="0"/>
              <w:spacing w:before="20" w:after="20"/>
              <w:jc w:val="center"/>
              <w:rPr>
                <w:rFonts w:ascii="Segoe UI" w:hAnsi="Segoe UI" w:cs="Segoe UI"/>
                <w:kern w:val="0"/>
                <w:sz w:val="17"/>
                <w:szCs w:val="17"/>
                <w:lang w:val="en-GB" w:eastAsia="en-GB"/>
              </w:rPr>
            </w:pPr>
            <w:r w:rsidRPr="00650D67">
              <w:rPr>
                <w:rFonts w:ascii="Segoe UI" w:hAnsi="Segoe UI" w:cs="Segoe UI"/>
                <w:bCs/>
                <w:kern w:val="0"/>
                <w:sz w:val="17"/>
                <w:szCs w:val="17"/>
                <w:lang w:val="en-GB" w:eastAsia="ja-JP"/>
              </w:rPr>
              <w:t>…</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50D67" w:rsidRPr="00650D67" w:rsidRDefault="00650D67" w:rsidP="00650D67">
            <w:pPr>
              <w:widowControl/>
              <w:tabs>
                <w:tab w:val="decimal" w:pos="31"/>
              </w:tabs>
              <w:snapToGrid w:val="0"/>
              <w:spacing w:before="20" w:after="20"/>
              <w:jc w:val="center"/>
              <w:rPr>
                <w:rFonts w:ascii="Segoe UI" w:hAnsi="Segoe UI" w:cs="Segoe UI"/>
                <w:kern w:val="0"/>
                <w:sz w:val="17"/>
                <w:szCs w:val="17"/>
                <w:lang w:val="en-GB" w:eastAsia="en-GB"/>
              </w:rPr>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auto"/>
            </w:tcBorders>
          </w:tcPr>
          <w:p w:rsidR="00650D67" w:rsidRPr="00650D67" w:rsidRDefault="00650D67" w:rsidP="00650D67">
            <w:pPr>
              <w:widowControl/>
              <w:tabs>
                <w:tab w:val="decimal" w:pos="31"/>
              </w:tabs>
              <w:snapToGrid w:val="0"/>
              <w:spacing w:before="20" w:after="20"/>
              <w:jc w:val="center"/>
              <w:rPr>
                <w:rFonts w:ascii="Segoe UI" w:hAnsi="Segoe UI" w:cs="Segoe UI"/>
                <w:kern w:val="0"/>
                <w:sz w:val="17"/>
                <w:szCs w:val="17"/>
                <w:lang w:val="en-GB" w:eastAsia="en-GB"/>
              </w:rPr>
            </w:pPr>
          </w:p>
        </w:tc>
        <w:tc>
          <w:tcPr>
            <w:tcW w:w="1134" w:type="dxa"/>
            <w:tcBorders>
              <w:top w:val="single" w:sz="4" w:space="0" w:color="BFBFBF" w:themeColor="background1" w:themeShade="BF"/>
              <w:left w:val="single" w:sz="4" w:space="0" w:color="auto"/>
              <w:bottom w:val="single" w:sz="4" w:space="0" w:color="BFBFBF" w:themeColor="background1" w:themeShade="BF"/>
              <w:right w:val="single" w:sz="4" w:space="0" w:color="auto"/>
            </w:tcBorders>
          </w:tcPr>
          <w:p w:rsidR="00650D67" w:rsidRPr="00650D67" w:rsidRDefault="00650D67" w:rsidP="00650D67">
            <w:pPr>
              <w:widowControl/>
              <w:tabs>
                <w:tab w:val="decimal" w:pos="31"/>
              </w:tabs>
              <w:snapToGrid w:val="0"/>
              <w:spacing w:before="20" w:after="20"/>
              <w:jc w:val="center"/>
              <w:rPr>
                <w:rFonts w:ascii="Segoe UI" w:hAnsi="Segoe UI" w:cs="Segoe UI"/>
                <w:kern w:val="0"/>
                <w:sz w:val="17"/>
                <w:szCs w:val="17"/>
                <w:lang w:val="en-GB" w:eastAsia="en-GB"/>
              </w:rPr>
            </w:pPr>
          </w:p>
        </w:tc>
      </w:tr>
      <w:tr w:rsidR="00650D67" w:rsidRPr="00650D67" w:rsidTr="003A4070">
        <w:trPr>
          <w:cantSplit/>
        </w:trPr>
        <w:tc>
          <w:tcPr>
            <w:tcW w:w="567" w:type="dxa"/>
            <w:tcBorders>
              <w:top w:val="single" w:sz="4" w:space="0" w:color="BFBFBF" w:themeColor="background1" w:themeShade="BF"/>
              <w:left w:val="nil"/>
              <w:bottom w:val="single" w:sz="4" w:space="0" w:color="BFBFBF" w:themeColor="background1" w:themeShade="BF"/>
              <w:right w:val="single" w:sz="4" w:space="0" w:color="auto"/>
            </w:tcBorders>
            <w:vAlign w:val="center"/>
          </w:tcPr>
          <w:p w:rsidR="00650D67" w:rsidRPr="00650D67" w:rsidDel="00745BDE" w:rsidRDefault="00650D67" w:rsidP="00650D67">
            <w:pPr>
              <w:widowControl/>
              <w:snapToGrid w:val="0"/>
              <w:spacing w:before="40" w:after="40"/>
              <w:rPr>
                <w:rFonts w:ascii="Segoe UI" w:eastAsia="Times New Roman" w:hAnsi="Segoe UI" w:cs="Times New Roman"/>
                <w:kern w:val="0"/>
                <w:sz w:val="17"/>
                <w:szCs w:val="20"/>
                <w:lang w:val="en-GB" w:eastAsia="en-CA"/>
              </w:rPr>
            </w:pPr>
            <w:r w:rsidRPr="00650D67">
              <w:rPr>
                <w:rFonts w:ascii="Segoe UI" w:eastAsia="Times New Roman" w:hAnsi="Segoe UI" w:cs="Times New Roman"/>
                <w:kern w:val="0"/>
                <w:sz w:val="17"/>
                <w:szCs w:val="20"/>
                <w:lang w:val="en-GB" w:eastAsia="en-CA"/>
              </w:rPr>
              <w:t>7</w:t>
            </w:r>
          </w:p>
        </w:tc>
        <w:tc>
          <w:tcPr>
            <w:tcW w:w="5103" w:type="dxa"/>
            <w:tcBorders>
              <w:top w:val="single" w:sz="4" w:space="0" w:color="BFBFBF" w:themeColor="background1" w:themeShade="BF"/>
              <w:left w:val="nil"/>
              <w:bottom w:val="single" w:sz="4" w:space="0" w:color="BFBFBF" w:themeColor="background1" w:themeShade="BF"/>
              <w:right w:val="single" w:sz="4" w:space="0" w:color="auto"/>
            </w:tcBorders>
            <w:vAlign w:val="center"/>
          </w:tcPr>
          <w:p w:rsidR="00650D67" w:rsidRPr="00650D67" w:rsidRDefault="00650D67" w:rsidP="00650D67">
            <w:pPr>
              <w:keepNext/>
              <w:widowControl/>
              <w:tabs>
                <w:tab w:val="left" w:pos="39"/>
              </w:tabs>
              <w:snapToGrid w:val="0"/>
              <w:spacing w:before="20" w:after="20"/>
              <w:ind w:left="39"/>
              <w:rPr>
                <w:rFonts w:ascii="Segoe UI" w:hAnsi="Segoe UI" w:cs="Segoe UI"/>
                <w:kern w:val="0"/>
                <w:sz w:val="17"/>
                <w:szCs w:val="17"/>
                <w:lang w:val="en-GB" w:eastAsia="en-GB"/>
              </w:rPr>
            </w:pPr>
            <w:r w:rsidRPr="00650D67">
              <w:rPr>
                <w:rFonts w:ascii="Segoe UI" w:hAnsi="Segoe UI" w:cs="Segoe UI"/>
                <w:kern w:val="0"/>
                <w:sz w:val="17"/>
                <w:szCs w:val="17"/>
                <w:lang w:val="en-GB" w:eastAsia="en-GB"/>
              </w:rPr>
              <w:t>Subset of row 6 with 1 year ≤ residual maturity &lt; 2 years</w:t>
            </w:r>
          </w:p>
        </w:tc>
        <w:tc>
          <w:tcPr>
            <w:tcW w:w="1134" w:type="dxa"/>
            <w:tcBorders>
              <w:top w:val="single" w:sz="4" w:space="0" w:color="BFBFBF" w:themeColor="background1" w:themeShade="BF"/>
              <w:left w:val="single" w:sz="4" w:space="0" w:color="auto"/>
              <w:bottom w:val="single" w:sz="4" w:space="0" w:color="BFBFBF" w:themeColor="background1" w:themeShade="BF"/>
              <w:right w:val="single" w:sz="4" w:space="0" w:color="BFBFBF" w:themeColor="background1" w:themeShade="BF"/>
            </w:tcBorders>
          </w:tcPr>
          <w:p w:rsidR="00650D67" w:rsidRPr="00650D67" w:rsidRDefault="00650D67" w:rsidP="00650D67">
            <w:pPr>
              <w:widowControl/>
              <w:tabs>
                <w:tab w:val="decimal" w:pos="31"/>
              </w:tabs>
              <w:snapToGrid w:val="0"/>
              <w:spacing w:before="20" w:after="20"/>
              <w:jc w:val="center"/>
              <w:rPr>
                <w:rFonts w:ascii="Segoe UI" w:hAnsi="Segoe UI" w:cs="Segoe UI"/>
                <w:kern w:val="0"/>
                <w:sz w:val="17"/>
                <w:szCs w:val="17"/>
                <w:lang w:val="en-GB" w:eastAsia="en-GB"/>
              </w:rPr>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50D67" w:rsidRPr="00650D67" w:rsidRDefault="00650D67" w:rsidP="00650D67">
            <w:pPr>
              <w:widowControl/>
              <w:tabs>
                <w:tab w:val="decimal" w:pos="31"/>
              </w:tabs>
              <w:snapToGrid w:val="0"/>
              <w:spacing w:before="20" w:after="20"/>
              <w:jc w:val="center"/>
              <w:rPr>
                <w:rFonts w:ascii="Segoe UI" w:hAnsi="Segoe UI" w:cs="Segoe UI"/>
                <w:kern w:val="0"/>
                <w:sz w:val="17"/>
                <w:szCs w:val="17"/>
                <w:lang w:val="en-GB" w:eastAsia="en-GB"/>
              </w:rPr>
            </w:pPr>
          </w:p>
        </w:tc>
        <w:tc>
          <w:tcPr>
            <w:tcW w:w="8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50D67" w:rsidRPr="00650D67" w:rsidRDefault="00650D67" w:rsidP="00650D67">
            <w:pPr>
              <w:widowControl/>
              <w:tabs>
                <w:tab w:val="decimal" w:pos="31"/>
              </w:tabs>
              <w:snapToGrid w:val="0"/>
              <w:spacing w:before="20" w:after="20"/>
              <w:jc w:val="center"/>
              <w:rPr>
                <w:rFonts w:ascii="Segoe UI" w:hAnsi="Segoe UI" w:cs="Segoe UI"/>
                <w:kern w:val="0"/>
                <w:sz w:val="17"/>
                <w:szCs w:val="17"/>
                <w:lang w:val="en-GB" w:eastAsia="en-GB"/>
              </w:rPr>
            </w:pPr>
          </w:p>
        </w:tc>
        <w:tc>
          <w:tcPr>
            <w:tcW w:w="8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50D67" w:rsidRPr="00650D67" w:rsidRDefault="00650D67" w:rsidP="00650D67">
            <w:pPr>
              <w:widowControl/>
              <w:tabs>
                <w:tab w:val="decimal" w:pos="31"/>
              </w:tabs>
              <w:snapToGrid w:val="0"/>
              <w:spacing w:before="20" w:after="20"/>
              <w:jc w:val="center"/>
              <w:rPr>
                <w:rFonts w:ascii="Segoe UI" w:hAnsi="Segoe UI" w:cs="Segoe UI"/>
                <w:kern w:val="0"/>
                <w:sz w:val="17"/>
                <w:szCs w:val="17"/>
                <w:lang w:val="en-GB" w:eastAsia="en-GB"/>
              </w:rPr>
            </w:pPr>
          </w:p>
        </w:tc>
        <w:tc>
          <w:tcPr>
            <w:tcW w:w="8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50D67" w:rsidRPr="00650D67" w:rsidRDefault="00650D67" w:rsidP="00650D67">
            <w:pPr>
              <w:widowControl/>
              <w:tabs>
                <w:tab w:val="decimal" w:pos="31"/>
              </w:tabs>
              <w:snapToGrid w:val="0"/>
              <w:spacing w:before="20" w:after="20"/>
              <w:jc w:val="center"/>
              <w:rPr>
                <w:rFonts w:ascii="Segoe UI" w:hAnsi="Segoe UI" w:cs="Segoe UI"/>
                <w:kern w:val="0"/>
                <w:sz w:val="17"/>
                <w:szCs w:val="17"/>
                <w:lang w:val="en-GB" w:eastAsia="en-GB"/>
              </w:rPr>
            </w:pPr>
            <w:r w:rsidRPr="00650D67">
              <w:rPr>
                <w:rFonts w:ascii="Segoe UI" w:hAnsi="Segoe UI" w:cs="Segoe UI"/>
                <w:bCs/>
                <w:kern w:val="0"/>
                <w:sz w:val="17"/>
                <w:szCs w:val="17"/>
                <w:lang w:val="en-GB" w:eastAsia="ja-JP"/>
              </w:rPr>
              <w:t>…</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50D67" w:rsidRPr="00650D67" w:rsidRDefault="00650D67" w:rsidP="00650D67">
            <w:pPr>
              <w:widowControl/>
              <w:tabs>
                <w:tab w:val="decimal" w:pos="31"/>
              </w:tabs>
              <w:snapToGrid w:val="0"/>
              <w:spacing w:before="20" w:after="20"/>
              <w:jc w:val="center"/>
              <w:rPr>
                <w:rFonts w:ascii="Segoe UI" w:hAnsi="Segoe UI" w:cs="Segoe UI"/>
                <w:kern w:val="0"/>
                <w:sz w:val="17"/>
                <w:szCs w:val="17"/>
                <w:lang w:val="en-GB" w:eastAsia="en-GB"/>
              </w:rPr>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auto"/>
            </w:tcBorders>
          </w:tcPr>
          <w:p w:rsidR="00650D67" w:rsidRPr="00650D67" w:rsidRDefault="00650D67" w:rsidP="00650D67">
            <w:pPr>
              <w:widowControl/>
              <w:tabs>
                <w:tab w:val="decimal" w:pos="31"/>
              </w:tabs>
              <w:snapToGrid w:val="0"/>
              <w:spacing w:before="20" w:after="20"/>
              <w:jc w:val="center"/>
              <w:rPr>
                <w:rFonts w:ascii="Segoe UI" w:hAnsi="Segoe UI" w:cs="Segoe UI"/>
                <w:kern w:val="0"/>
                <w:sz w:val="17"/>
                <w:szCs w:val="17"/>
                <w:lang w:val="en-GB" w:eastAsia="en-GB"/>
              </w:rPr>
            </w:pPr>
          </w:p>
        </w:tc>
        <w:tc>
          <w:tcPr>
            <w:tcW w:w="1134" w:type="dxa"/>
            <w:tcBorders>
              <w:top w:val="single" w:sz="4" w:space="0" w:color="BFBFBF" w:themeColor="background1" w:themeShade="BF"/>
              <w:left w:val="single" w:sz="4" w:space="0" w:color="auto"/>
              <w:bottom w:val="single" w:sz="4" w:space="0" w:color="BFBFBF" w:themeColor="background1" w:themeShade="BF"/>
              <w:right w:val="single" w:sz="4" w:space="0" w:color="auto"/>
            </w:tcBorders>
          </w:tcPr>
          <w:p w:rsidR="00650D67" w:rsidRPr="00650D67" w:rsidRDefault="00650D67" w:rsidP="00650D67">
            <w:pPr>
              <w:widowControl/>
              <w:tabs>
                <w:tab w:val="decimal" w:pos="31"/>
              </w:tabs>
              <w:snapToGrid w:val="0"/>
              <w:spacing w:before="20" w:after="20"/>
              <w:jc w:val="center"/>
              <w:rPr>
                <w:rFonts w:ascii="Segoe UI" w:hAnsi="Segoe UI" w:cs="Segoe UI"/>
                <w:kern w:val="0"/>
                <w:sz w:val="17"/>
                <w:szCs w:val="17"/>
                <w:lang w:val="en-GB" w:eastAsia="en-GB"/>
              </w:rPr>
            </w:pPr>
          </w:p>
        </w:tc>
      </w:tr>
      <w:tr w:rsidR="00650D67" w:rsidRPr="00650D67" w:rsidTr="003A4070">
        <w:trPr>
          <w:cantSplit/>
        </w:trPr>
        <w:tc>
          <w:tcPr>
            <w:tcW w:w="567" w:type="dxa"/>
            <w:tcBorders>
              <w:top w:val="single" w:sz="4" w:space="0" w:color="BFBFBF" w:themeColor="background1" w:themeShade="BF"/>
              <w:left w:val="nil"/>
              <w:right w:val="single" w:sz="4" w:space="0" w:color="auto"/>
            </w:tcBorders>
            <w:vAlign w:val="center"/>
          </w:tcPr>
          <w:p w:rsidR="00650D67" w:rsidRPr="00650D67" w:rsidDel="00745BDE" w:rsidRDefault="00650D67" w:rsidP="00650D67">
            <w:pPr>
              <w:widowControl/>
              <w:snapToGrid w:val="0"/>
              <w:spacing w:before="40" w:after="40"/>
              <w:rPr>
                <w:rFonts w:ascii="Segoe UI" w:eastAsia="Times New Roman" w:hAnsi="Segoe UI" w:cs="Times New Roman"/>
                <w:kern w:val="0"/>
                <w:sz w:val="17"/>
                <w:szCs w:val="20"/>
                <w:lang w:val="en-GB" w:eastAsia="en-CA"/>
              </w:rPr>
            </w:pPr>
            <w:r w:rsidRPr="00650D67">
              <w:rPr>
                <w:rFonts w:ascii="Segoe UI" w:eastAsia="Times New Roman" w:hAnsi="Segoe UI" w:cs="Times New Roman"/>
                <w:kern w:val="0"/>
                <w:sz w:val="17"/>
                <w:szCs w:val="20"/>
                <w:lang w:val="en-GB" w:eastAsia="en-CA"/>
              </w:rPr>
              <w:t>8</w:t>
            </w:r>
          </w:p>
        </w:tc>
        <w:tc>
          <w:tcPr>
            <w:tcW w:w="5103" w:type="dxa"/>
            <w:tcBorders>
              <w:top w:val="single" w:sz="4" w:space="0" w:color="BFBFBF" w:themeColor="background1" w:themeShade="BF"/>
              <w:left w:val="nil"/>
              <w:right w:val="single" w:sz="4" w:space="0" w:color="auto"/>
            </w:tcBorders>
            <w:vAlign w:val="center"/>
          </w:tcPr>
          <w:p w:rsidR="00650D67" w:rsidRPr="00650D67" w:rsidRDefault="00650D67" w:rsidP="00650D67">
            <w:pPr>
              <w:keepNext/>
              <w:widowControl/>
              <w:tabs>
                <w:tab w:val="left" w:pos="39"/>
              </w:tabs>
              <w:snapToGrid w:val="0"/>
              <w:spacing w:before="20" w:after="20"/>
              <w:ind w:left="39"/>
              <w:rPr>
                <w:rFonts w:ascii="Segoe UI" w:hAnsi="Segoe UI" w:cs="Segoe UI"/>
                <w:kern w:val="0"/>
                <w:sz w:val="17"/>
                <w:szCs w:val="17"/>
                <w:lang w:val="en-GB" w:eastAsia="en-GB"/>
              </w:rPr>
            </w:pPr>
            <w:r w:rsidRPr="00650D67">
              <w:rPr>
                <w:rFonts w:ascii="Segoe UI" w:hAnsi="Segoe UI" w:cs="Segoe UI"/>
                <w:kern w:val="0"/>
                <w:sz w:val="17"/>
                <w:szCs w:val="17"/>
                <w:lang w:val="en-GB" w:eastAsia="en-GB"/>
              </w:rPr>
              <w:t>Subset of row 6 with 2 years ≤ residual maturity &lt; 5 years</w:t>
            </w:r>
          </w:p>
        </w:tc>
        <w:tc>
          <w:tcPr>
            <w:tcW w:w="1134" w:type="dxa"/>
            <w:tcBorders>
              <w:top w:val="single" w:sz="4" w:space="0" w:color="BFBFBF" w:themeColor="background1" w:themeShade="BF"/>
              <w:left w:val="single" w:sz="4" w:space="0" w:color="auto"/>
              <w:bottom w:val="single" w:sz="4" w:space="0" w:color="BFBFBF" w:themeColor="background1" w:themeShade="BF"/>
              <w:right w:val="single" w:sz="4" w:space="0" w:color="BFBFBF" w:themeColor="background1" w:themeShade="BF"/>
            </w:tcBorders>
          </w:tcPr>
          <w:p w:rsidR="00650D67" w:rsidRPr="00650D67" w:rsidRDefault="00650D67" w:rsidP="00650D67">
            <w:pPr>
              <w:widowControl/>
              <w:tabs>
                <w:tab w:val="decimal" w:pos="31"/>
              </w:tabs>
              <w:snapToGrid w:val="0"/>
              <w:spacing w:before="20" w:after="20"/>
              <w:jc w:val="center"/>
              <w:rPr>
                <w:rFonts w:ascii="Segoe UI" w:hAnsi="Segoe UI" w:cs="Segoe UI"/>
                <w:kern w:val="0"/>
                <w:sz w:val="17"/>
                <w:szCs w:val="17"/>
                <w:lang w:val="en-GB" w:eastAsia="en-GB"/>
              </w:rPr>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50D67" w:rsidRPr="00650D67" w:rsidRDefault="00650D67" w:rsidP="00650D67">
            <w:pPr>
              <w:widowControl/>
              <w:tabs>
                <w:tab w:val="decimal" w:pos="31"/>
              </w:tabs>
              <w:snapToGrid w:val="0"/>
              <w:spacing w:before="20" w:after="20"/>
              <w:jc w:val="center"/>
              <w:rPr>
                <w:rFonts w:ascii="Segoe UI" w:hAnsi="Segoe UI" w:cs="Segoe UI"/>
                <w:kern w:val="0"/>
                <w:sz w:val="17"/>
                <w:szCs w:val="17"/>
                <w:lang w:val="en-GB" w:eastAsia="en-GB"/>
              </w:rPr>
            </w:pPr>
          </w:p>
        </w:tc>
        <w:tc>
          <w:tcPr>
            <w:tcW w:w="851" w:type="dxa"/>
            <w:tcBorders>
              <w:top w:val="single" w:sz="4" w:space="0" w:color="BFBFBF" w:themeColor="background1" w:themeShade="BF"/>
              <w:left w:val="single" w:sz="4" w:space="0" w:color="BFBFBF" w:themeColor="background1" w:themeShade="BF"/>
              <w:right w:val="single" w:sz="4" w:space="0" w:color="BFBFBF" w:themeColor="background1" w:themeShade="BF"/>
            </w:tcBorders>
          </w:tcPr>
          <w:p w:rsidR="00650D67" w:rsidRPr="00650D67" w:rsidRDefault="00650D67" w:rsidP="00650D67">
            <w:pPr>
              <w:widowControl/>
              <w:tabs>
                <w:tab w:val="decimal" w:pos="31"/>
              </w:tabs>
              <w:snapToGrid w:val="0"/>
              <w:spacing w:before="20" w:after="20"/>
              <w:jc w:val="center"/>
              <w:rPr>
                <w:rFonts w:ascii="Segoe UI" w:hAnsi="Segoe UI" w:cs="Segoe UI"/>
                <w:kern w:val="0"/>
                <w:sz w:val="17"/>
                <w:szCs w:val="17"/>
                <w:lang w:val="en-GB" w:eastAsia="en-GB"/>
              </w:rPr>
            </w:pPr>
          </w:p>
        </w:tc>
        <w:tc>
          <w:tcPr>
            <w:tcW w:w="850" w:type="dxa"/>
            <w:tcBorders>
              <w:top w:val="single" w:sz="4" w:space="0" w:color="BFBFBF" w:themeColor="background1" w:themeShade="BF"/>
              <w:left w:val="single" w:sz="4" w:space="0" w:color="BFBFBF" w:themeColor="background1" w:themeShade="BF"/>
              <w:right w:val="single" w:sz="4" w:space="0" w:color="BFBFBF" w:themeColor="background1" w:themeShade="BF"/>
            </w:tcBorders>
          </w:tcPr>
          <w:p w:rsidR="00650D67" w:rsidRPr="00650D67" w:rsidRDefault="00650D67" w:rsidP="00650D67">
            <w:pPr>
              <w:widowControl/>
              <w:tabs>
                <w:tab w:val="decimal" w:pos="31"/>
              </w:tabs>
              <w:snapToGrid w:val="0"/>
              <w:spacing w:before="20" w:after="20"/>
              <w:jc w:val="center"/>
              <w:rPr>
                <w:rFonts w:ascii="Segoe UI" w:hAnsi="Segoe UI" w:cs="Segoe UI"/>
                <w:kern w:val="0"/>
                <w:sz w:val="17"/>
                <w:szCs w:val="17"/>
                <w:lang w:val="en-GB" w:eastAsia="en-GB"/>
              </w:rPr>
            </w:pPr>
          </w:p>
        </w:tc>
        <w:tc>
          <w:tcPr>
            <w:tcW w:w="851" w:type="dxa"/>
            <w:tcBorders>
              <w:top w:val="single" w:sz="4" w:space="0" w:color="BFBFBF" w:themeColor="background1" w:themeShade="BF"/>
              <w:left w:val="single" w:sz="4" w:space="0" w:color="BFBFBF" w:themeColor="background1" w:themeShade="BF"/>
              <w:right w:val="single" w:sz="4" w:space="0" w:color="BFBFBF" w:themeColor="background1" w:themeShade="BF"/>
            </w:tcBorders>
          </w:tcPr>
          <w:p w:rsidR="00650D67" w:rsidRPr="00650D67" w:rsidRDefault="00650D67" w:rsidP="00650D67">
            <w:pPr>
              <w:widowControl/>
              <w:tabs>
                <w:tab w:val="decimal" w:pos="31"/>
              </w:tabs>
              <w:snapToGrid w:val="0"/>
              <w:spacing w:before="20" w:after="20"/>
              <w:jc w:val="center"/>
              <w:rPr>
                <w:rFonts w:ascii="Segoe UI" w:hAnsi="Segoe UI" w:cs="Segoe UI"/>
                <w:kern w:val="0"/>
                <w:sz w:val="17"/>
                <w:szCs w:val="17"/>
                <w:lang w:val="en-GB" w:eastAsia="en-GB"/>
              </w:rPr>
            </w:pPr>
            <w:r w:rsidRPr="00650D67">
              <w:rPr>
                <w:rFonts w:ascii="Segoe UI" w:hAnsi="Segoe UI" w:cs="Segoe UI"/>
                <w:bCs/>
                <w:kern w:val="0"/>
                <w:sz w:val="17"/>
                <w:szCs w:val="17"/>
                <w:lang w:val="en-GB" w:eastAsia="ja-JP"/>
              </w:rPr>
              <w:t>…</w:t>
            </w:r>
          </w:p>
        </w:tc>
        <w:tc>
          <w:tcPr>
            <w:tcW w:w="1134" w:type="dxa"/>
            <w:tcBorders>
              <w:top w:val="single" w:sz="4" w:space="0" w:color="BFBFBF" w:themeColor="background1" w:themeShade="BF"/>
              <w:left w:val="single" w:sz="4" w:space="0" w:color="BFBFBF" w:themeColor="background1" w:themeShade="BF"/>
              <w:right w:val="single" w:sz="4" w:space="0" w:color="BFBFBF" w:themeColor="background1" w:themeShade="BF"/>
            </w:tcBorders>
          </w:tcPr>
          <w:p w:rsidR="00650D67" w:rsidRPr="00650D67" w:rsidRDefault="00650D67" w:rsidP="00650D67">
            <w:pPr>
              <w:widowControl/>
              <w:tabs>
                <w:tab w:val="decimal" w:pos="31"/>
              </w:tabs>
              <w:snapToGrid w:val="0"/>
              <w:spacing w:before="20" w:after="20"/>
              <w:jc w:val="center"/>
              <w:rPr>
                <w:rFonts w:ascii="Segoe UI" w:hAnsi="Segoe UI" w:cs="Segoe UI"/>
                <w:kern w:val="0"/>
                <w:sz w:val="17"/>
                <w:szCs w:val="17"/>
                <w:lang w:val="en-GB" w:eastAsia="en-GB"/>
              </w:rPr>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auto"/>
            </w:tcBorders>
          </w:tcPr>
          <w:p w:rsidR="00650D67" w:rsidRPr="00650D67" w:rsidRDefault="00650D67" w:rsidP="00650D67">
            <w:pPr>
              <w:widowControl/>
              <w:tabs>
                <w:tab w:val="decimal" w:pos="31"/>
              </w:tabs>
              <w:snapToGrid w:val="0"/>
              <w:spacing w:before="20" w:after="20"/>
              <w:jc w:val="center"/>
              <w:rPr>
                <w:rFonts w:ascii="Segoe UI" w:hAnsi="Segoe UI" w:cs="Segoe UI"/>
                <w:kern w:val="0"/>
                <w:sz w:val="17"/>
                <w:szCs w:val="17"/>
                <w:lang w:val="en-GB" w:eastAsia="en-GB"/>
              </w:rPr>
            </w:pPr>
          </w:p>
        </w:tc>
        <w:tc>
          <w:tcPr>
            <w:tcW w:w="1134" w:type="dxa"/>
            <w:tcBorders>
              <w:top w:val="single" w:sz="4" w:space="0" w:color="BFBFBF" w:themeColor="background1" w:themeShade="BF"/>
              <w:left w:val="single" w:sz="4" w:space="0" w:color="auto"/>
              <w:bottom w:val="single" w:sz="4" w:space="0" w:color="BFBFBF" w:themeColor="background1" w:themeShade="BF"/>
              <w:right w:val="single" w:sz="4" w:space="0" w:color="auto"/>
            </w:tcBorders>
          </w:tcPr>
          <w:p w:rsidR="00650D67" w:rsidRPr="00650D67" w:rsidRDefault="00650D67" w:rsidP="00650D67">
            <w:pPr>
              <w:widowControl/>
              <w:tabs>
                <w:tab w:val="decimal" w:pos="31"/>
              </w:tabs>
              <w:snapToGrid w:val="0"/>
              <w:spacing w:before="20" w:after="20"/>
              <w:jc w:val="center"/>
              <w:rPr>
                <w:rFonts w:ascii="Segoe UI" w:hAnsi="Segoe UI" w:cs="Segoe UI"/>
                <w:kern w:val="0"/>
                <w:sz w:val="17"/>
                <w:szCs w:val="17"/>
                <w:lang w:val="en-GB" w:eastAsia="en-GB"/>
              </w:rPr>
            </w:pPr>
          </w:p>
        </w:tc>
      </w:tr>
      <w:tr w:rsidR="00650D67" w:rsidRPr="00650D67" w:rsidTr="003A4070">
        <w:trPr>
          <w:cantSplit/>
        </w:trPr>
        <w:tc>
          <w:tcPr>
            <w:tcW w:w="567" w:type="dxa"/>
            <w:tcBorders>
              <w:top w:val="single" w:sz="4" w:space="0" w:color="BFBFBF" w:themeColor="background1" w:themeShade="BF"/>
              <w:left w:val="nil"/>
              <w:bottom w:val="single" w:sz="4" w:space="0" w:color="BFBFBF" w:themeColor="background1" w:themeShade="BF"/>
              <w:right w:val="single" w:sz="4" w:space="0" w:color="auto"/>
            </w:tcBorders>
            <w:vAlign w:val="center"/>
          </w:tcPr>
          <w:p w:rsidR="00650D67" w:rsidRPr="00650D67" w:rsidDel="00745BDE" w:rsidRDefault="00650D67" w:rsidP="00650D67">
            <w:pPr>
              <w:widowControl/>
              <w:snapToGrid w:val="0"/>
              <w:spacing w:before="40" w:after="40"/>
              <w:rPr>
                <w:rFonts w:ascii="Segoe UI" w:eastAsia="Times New Roman" w:hAnsi="Segoe UI" w:cs="Times New Roman"/>
                <w:kern w:val="0"/>
                <w:sz w:val="17"/>
                <w:szCs w:val="20"/>
                <w:lang w:val="en-GB" w:eastAsia="en-CA"/>
              </w:rPr>
            </w:pPr>
            <w:r w:rsidRPr="00650D67">
              <w:rPr>
                <w:rFonts w:ascii="Segoe UI" w:eastAsia="Times New Roman" w:hAnsi="Segoe UI" w:cs="Times New Roman"/>
                <w:kern w:val="0"/>
                <w:sz w:val="17"/>
                <w:szCs w:val="20"/>
                <w:lang w:val="en-GB" w:eastAsia="en-CA"/>
              </w:rPr>
              <w:lastRenderedPageBreak/>
              <w:t>9</w:t>
            </w:r>
          </w:p>
        </w:tc>
        <w:tc>
          <w:tcPr>
            <w:tcW w:w="5103" w:type="dxa"/>
            <w:tcBorders>
              <w:top w:val="single" w:sz="4" w:space="0" w:color="BFBFBF" w:themeColor="background1" w:themeShade="BF"/>
              <w:left w:val="nil"/>
              <w:bottom w:val="single" w:sz="4" w:space="0" w:color="BFBFBF" w:themeColor="background1" w:themeShade="BF"/>
              <w:right w:val="single" w:sz="4" w:space="0" w:color="auto"/>
            </w:tcBorders>
            <w:vAlign w:val="center"/>
          </w:tcPr>
          <w:p w:rsidR="00650D67" w:rsidRPr="00650D67" w:rsidRDefault="00650D67" w:rsidP="00650D67">
            <w:pPr>
              <w:keepNext/>
              <w:widowControl/>
              <w:tabs>
                <w:tab w:val="left" w:pos="39"/>
              </w:tabs>
              <w:snapToGrid w:val="0"/>
              <w:spacing w:before="20" w:after="20"/>
              <w:ind w:left="39"/>
              <w:rPr>
                <w:rFonts w:ascii="Segoe UI" w:hAnsi="Segoe UI" w:cs="Segoe UI"/>
                <w:kern w:val="0"/>
                <w:sz w:val="17"/>
                <w:szCs w:val="17"/>
                <w:lang w:val="en-GB" w:eastAsia="en-GB"/>
              </w:rPr>
            </w:pPr>
            <w:r w:rsidRPr="00650D67">
              <w:rPr>
                <w:rFonts w:ascii="Segoe UI" w:hAnsi="Segoe UI" w:cs="Segoe UI"/>
                <w:kern w:val="0"/>
                <w:sz w:val="17"/>
                <w:szCs w:val="17"/>
                <w:lang w:val="en-GB" w:eastAsia="en-GB"/>
              </w:rPr>
              <w:t>Subset of row 6 with 5 years ≤ residual maturity &lt; 10 years</w:t>
            </w:r>
          </w:p>
        </w:tc>
        <w:tc>
          <w:tcPr>
            <w:tcW w:w="1134" w:type="dxa"/>
            <w:tcBorders>
              <w:top w:val="single" w:sz="4" w:space="0" w:color="BFBFBF" w:themeColor="background1" w:themeShade="BF"/>
              <w:left w:val="single" w:sz="4" w:space="0" w:color="auto"/>
              <w:bottom w:val="single" w:sz="4" w:space="0" w:color="BFBFBF" w:themeColor="background1" w:themeShade="BF"/>
              <w:right w:val="single" w:sz="4" w:space="0" w:color="BFBFBF" w:themeColor="background1" w:themeShade="BF"/>
            </w:tcBorders>
          </w:tcPr>
          <w:p w:rsidR="00650D67" w:rsidRPr="00650D67" w:rsidRDefault="00650D67" w:rsidP="00650D67">
            <w:pPr>
              <w:widowControl/>
              <w:tabs>
                <w:tab w:val="decimal" w:pos="31"/>
              </w:tabs>
              <w:snapToGrid w:val="0"/>
              <w:spacing w:before="20" w:after="20"/>
              <w:jc w:val="center"/>
              <w:rPr>
                <w:rFonts w:ascii="Segoe UI" w:hAnsi="Segoe UI" w:cs="Segoe UI"/>
                <w:kern w:val="0"/>
                <w:sz w:val="17"/>
                <w:szCs w:val="17"/>
                <w:lang w:val="en-GB" w:eastAsia="en-GB"/>
              </w:rPr>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50D67" w:rsidRPr="00650D67" w:rsidRDefault="00650D67" w:rsidP="00650D67">
            <w:pPr>
              <w:widowControl/>
              <w:tabs>
                <w:tab w:val="decimal" w:pos="31"/>
              </w:tabs>
              <w:snapToGrid w:val="0"/>
              <w:spacing w:before="20" w:after="20"/>
              <w:jc w:val="center"/>
              <w:rPr>
                <w:rFonts w:ascii="Segoe UI" w:hAnsi="Segoe UI" w:cs="Segoe UI"/>
                <w:kern w:val="0"/>
                <w:sz w:val="17"/>
                <w:szCs w:val="17"/>
                <w:lang w:val="en-GB" w:eastAsia="en-GB"/>
              </w:rPr>
            </w:pPr>
          </w:p>
        </w:tc>
        <w:tc>
          <w:tcPr>
            <w:tcW w:w="851" w:type="dxa"/>
            <w:tcBorders>
              <w:top w:val="single" w:sz="4" w:space="0" w:color="BFBFBF" w:themeColor="background1" w:themeShade="BF"/>
              <w:left w:val="single" w:sz="4" w:space="0" w:color="BFBFBF" w:themeColor="background1" w:themeShade="BF"/>
              <w:right w:val="single" w:sz="4" w:space="0" w:color="BFBFBF" w:themeColor="background1" w:themeShade="BF"/>
            </w:tcBorders>
          </w:tcPr>
          <w:p w:rsidR="00650D67" w:rsidRPr="00650D67" w:rsidRDefault="00650D67" w:rsidP="00650D67">
            <w:pPr>
              <w:widowControl/>
              <w:tabs>
                <w:tab w:val="decimal" w:pos="31"/>
              </w:tabs>
              <w:snapToGrid w:val="0"/>
              <w:spacing w:before="20" w:after="20"/>
              <w:jc w:val="center"/>
              <w:rPr>
                <w:rFonts w:ascii="Segoe UI" w:hAnsi="Segoe UI" w:cs="Segoe UI"/>
                <w:kern w:val="0"/>
                <w:sz w:val="17"/>
                <w:szCs w:val="17"/>
                <w:lang w:val="en-GB" w:eastAsia="en-GB"/>
              </w:rPr>
            </w:pPr>
          </w:p>
        </w:tc>
        <w:tc>
          <w:tcPr>
            <w:tcW w:w="850" w:type="dxa"/>
            <w:tcBorders>
              <w:top w:val="single" w:sz="4" w:space="0" w:color="BFBFBF" w:themeColor="background1" w:themeShade="BF"/>
              <w:left w:val="single" w:sz="4" w:space="0" w:color="BFBFBF" w:themeColor="background1" w:themeShade="BF"/>
              <w:right w:val="single" w:sz="4" w:space="0" w:color="BFBFBF" w:themeColor="background1" w:themeShade="BF"/>
            </w:tcBorders>
          </w:tcPr>
          <w:p w:rsidR="00650D67" w:rsidRPr="00650D67" w:rsidRDefault="00650D67" w:rsidP="00650D67">
            <w:pPr>
              <w:widowControl/>
              <w:tabs>
                <w:tab w:val="decimal" w:pos="31"/>
              </w:tabs>
              <w:snapToGrid w:val="0"/>
              <w:spacing w:before="20" w:after="20"/>
              <w:jc w:val="center"/>
              <w:rPr>
                <w:rFonts w:ascii="Segoe UI" w:hAnsi="Segoe UI" w:cs="Segoe UI"/>
                <w:kern w:val="0"/>
                <w:sz w:val="17"/>
                <w:szCs w:val="17"/>
                <w:lang w:val="en-GB" w:eastAsia="en-GB"/>
              </w:rPr>
            </w:pPr>
          </w:p>
        </w:tc>
        <w:tc>
          <w:tcPr>
            <w:tcW w:w="851" w:type="dxa"/>
            <w:tcBorders>
              <w:top w:val="single" w:sz="4" w:space="0" w:color="BFBFBF" w:themeColor="background1" w:themeShade="BF"/>
              <w:left w:val="single" w:sz="4" w:space="0" w:color="BFBFBF" w:themeColor="background1" w:themeShade="BF"/>
              <w:right w:val="single" w:sz="4" w:space="0" w:color="BFBFBF" w:themeColor="background1" w:themeShade="BF"/>
            </w:tcBorders>
          </w:tcPr>
          <w:p w:rsidR="00650D67" w:rsidRPr="00650D67" w:rsidRDefault="00650D67" w:rsidP="00650D67">
            <w:pPr>
              <w:widowControl/>
              <w:tabs>
                <w:tab w:val="decimal" w:pos="31"/>
              </w:tabs>
              <w:snapToGrid w:val="0"/>
              <w:spacing w:before="20" w:after="20"/>
              <w:jc w:val="center"/>
              <w:rPr>
                <w:rFonts w:ascii="Segoe UI" w:hAnsi="Segoe UI" w:cs="Segoe UI"/>
                <w:kern w:val="0"/>
                <w:sz w:val="17"/>
                <w:szCs w:val="17"/>
                <w:lang w:val="en-GB" w:eastAsia="en-GB"/>
              </w:rPr>
            </w:pPr>
            <w:r w:rsidRPr="00650D67">
              <w:rPr>
                <w:rFonts w:ascii="Segoe UI" w:hAnsi="Segoe UI" w:cs="Segoe UI"/>
                <w:bCs/>
                <w:kern w:val="0"/>
                <w:sz w:val="17"/>
                <w:szCs w:val="17"/>
                <w:lang w:val="en-GB" w:eastAsia="ja-JP"/>
              </w:rPr>
              <w:t>…</w:t>
            </w:r>
          </w:p>
        </w:tc>
        <w:tc>
          <w:tcPr>
            <w:tcW w:w="1134" w:type="dxa"/>
            <w:tcBorders>
              <w:top w:val="single" w:sz="4" w:space="0" w:color="BFBFBF" w:themeColor="background1" w:themeShade="BF"/>
              <w:left w:val="single" w:sz="4" w:space="0" w:color="BFBFBF" w:themeColor="background1" w:themeShade="BF"/>
              <w:right w:val="single" w:sz="4" w:space="0" w:color="BFBFBF" w:themeColor="background1" w:themeShade="BF"/>
            </w:tcBorders>
          </w:tcPr>
          <w:p w:rsidR="00650D67" w:rsidRPr="00650D67" w:rsidRDefault="00650D67" w:rsidP="00650D67">
            <w:pPr>
              <w:widowControl/>
              <w:tabs>
                <w:tab w:val="decimal" w:pos="31"/>
              </w:tabs>
              <w:snapToGrid w:val="0"/>
              <w:spacing w:before="20" w:after="20"/>
              <w:jc w:val="center"/>
              <w:rPr>
                <w:rFonts w:ascii="Segoe UI" w:hAnsi="Segoe UI" w:cs="Segoe UI"/>
                <w:kern w:val="0"/>
                <w:sz w:val="17"/>
                <w:szCs w:val="17"/>
                <w:lang w:val="en-GB" w:eastAsia="en-GB"/>
              </w:rPr>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auto"/>
            </w:tcBorders>
          </w:tcPr>
          <w:p w:rsidR="00650D67" w:rsidRPr="00650D67" w:rsidRDefault="00650D67" w:rsidP="00650D67">
            <w:pPr>
              <w:widowControl/>
              <w:tabs>
                <w:tab w:val="decimal" w:pos="31"/>
              </w:tabs>
              <w:snapToGrid w:val="0"/>
              <w:spacing w:before="20" w:after="20"/>
              <w:jc w:val="center"/>
              <w:rPr>
                <w:rFonts w:ascii="Segoe UI" w:hAnsi="Segoe UI" w:cs="Segoe UI"/>
                <w:kern w:val="0"/>
                <w:sz w:val="17"/>
                <w:szCs w:val="17"/>
                <w:lang w:val="en-GB" w:eastAsia="en-GB"/>
              </w:rPr>
            </w:pPr>
          </w:p>
        </w:tc>
        <w:tc>
          <w:tcPr>
            <w:tcW w:w="1134" w:type="dxa"/>
            <w:tcBorders>
              <w:top w:val="single" w:sz="4" w:space="0" w:color="BFBFBF" w:themeColor="background1" w:themeShade="BF"/>
              <w:left w:val="single" w:sz="4" w:space="0" w:color="auto"/>
              <w:bottom w:val="single" w:sz="4" w:space="0" w:color="BFBFBF" w:themeColor="background1" w:themeShade="BF"/>
              <w:right w:val="single" w:sz="4" w:space="0" w:color="auto"/>
            </w:tcBorders>
          </w:tcPr>
          <w:p w:rsidR="00650D67" w:rsidRPr="00650D67" w:rsidRDefault="00650D67" w:rsidP="00650D67">
            <w:pPr>
              <w:widowControl/>
              <w:tabs>
                <w:tab w:val="decimal" w:pos="31"/>
              </w:tabs>
              <w:snapToGrid w:val="0"/>
              <w:spacing w:before="20" w:after="20"/>
              <w:jc w:val="center"/>
              <w:rPr>
                <w:rFonts w:ascii="Segoe UI" w:hAnsi="Segoe UI" w:cs="Segoe UI"/>
                <w:kern w:val="0"/>
                <w:sz w:val="17"/>
                <w:szCs w:val="17"/>
                <w:lang w:val="en-GB" w:eastAsia="en-GB"/>
              </w:rPr>
            </w:pPr>
          </w:p>
        </w:tc>
      </w:tr>
      <w:tr w:rsidR="00650D67" w:rsidRPr="00650D67" w:rsidTr="003A4070">
        <w:trPr>
          <w:cantSplit/>
        </w:trPr>
        <w:tc>
          <w:tcPr>
            <w:tcW w:w="567" w:type="dxa"/>
            <w:tcBorders>
              <w:top w:val="single" w:sz="4" w:space="0" w:color="BFBFBF" w:themeColor="background1" w:themeShade="BF"/>
              <w:left w:val="nil"/>
              <w:bottom w:val="single" w:sz="4" w:space="0" w:color="BFBFBF" w:themeColor="background1" w:themeShade="BF"/>
              <w:right w:val="single" w:sz="4" w:space="0" w:color="auto"/>
            </w:tcBorders>
            <w:vAlign w:val="center"/>
          </w:tcPr>
          <w:p w:rsidR="00650D67" w:rsidRPr="00650D67" w:rsidRDefault="00650D67" w:rsidP="00650D67">
            <w:pPr>
              <w:widowControl/>
              <w:snapToGrid w:val="0"/>
              <w:spacing w:before="40" w:after="40"/>
              <w:rPr>
                <w:rFonts w:ascii="Segoe UI" w:eastAsia="Times New Roman" w:hAnsi="Segoe UI" w:cs="Times New Roman"/>
                <w:kern w:val="0"/>
                <w:sz w:val="17"/>
                <w:szCs w:val="20"/>
                <w:lang w:val="en-GB" w:eastAsia="en-CA"/>
              </w:rPr>
            </w:pPr>
            <w:r w:rsidRPr="00650D67">
              <w:rPr>
                <w:rFonts w:ascii="Segoe UI" w:eastAsia="Times New Roman" w:hAnsi="Segoe UI" w:cs="Times New Roman"/>
                <w:kern w:val="0"/>
                <w:sz w:val="17"/>
                <w:szCs w:val="20"/>
                <w:lang w:val="en-GB" w:eastAsia="en-CA"/>
              </w:rPr>
              <w:t>10</w:t>
            </w:r>
          </w:p>
        </w:tc>
        <w:tc>
          <w:tcPr>
            <w:tcW w:w="5103" w:type="dxa"/>
            <w:tcBorders>
              <w:top w:val="single" w:sz="4" w:space="0" w:color="BFBFBF" w:themeColor="background1" w:themeShade="BF"/>
              <w:left w:val="nil"/>
              <w:bottom w:val="single" w:sz="4" w:space="0" w:color="BFBFBF" w:themeColor="background1" w:themeShade="BF"/>
              <w:right w:val="single" w:sz="4" w:space="0" w:color="auto"/>
            </w:tcBorders>
            <w:vAlign w:val="center"/>
          </w:tcPr>
          <w:p w:rsidR="00650D67" w:rsidRPr="00650D67" w:rsidRDefault="00650D67" w:rsidP="00650D67">
            <w:pPr>
              <w:keepNext/>
              <w:widowControl/>
              <w:tabs>
                <w:tab w:val="left" w:pos="39"/>
              </w:tabs>
              <w:snapToGrid w:val="0"/>
              <w:spacing w:before="20" w:after="20"/>
              <w:ind w:left="39"/>
              <w:rPr>
                <w:rFonts w:ascii="Segoe UI" w:hAnsi="Segoe UI" w:cs="Segoe UI"/>
                <w:kern w:val="0"/>
                <w:sz w:val="17"/>
                <w:szCs w:val="17"/>
                <w:lang w:val="en-GB" w:eastAsia="en-GB"/>
              </w:rPr>
            </w:pPr>
            <w:r w:rsidRPr="00650D67">
              <w:rPr>
                <w:rFonts w:ascii="Segoe UI" w:hAnsi="Segoe UI" w:cs="Segoe UI"/>
                <w:kern w:val="0"/>
                <w:sz w:val="17"/>
                <w:szCs w:val="17"/>
                <w:lang w:val="en-GB" w:eastAsia="en-GB"/>
              </w:rPr>
              <w:t>Subset of row 6 with residual maturity ≥ 10 years, but excluding perpetual securities</w:t>
            </w:r>
          </w:p>
        </w:tc>
        <w:tc>
          <w:tcPr>
            <w:tcW w:w="1134" w:type="dxa"/>
            <w:tcBorders>
              <w:top w:val="single" w:sz="4" w:space="0" w:color="BFBFBF" w:themeColor="background1" w:themeShade="BF"/>
              <w:left w:val="single" w:sz="4" w:space="0" w:color="auto"/>
              <w:bottom w:val="single" w:sz="4" w:space="0" w:color="BFBFBF" w:themeColor="background1" w:themeShade="BF"/>
              <w:right w:val="single" w:sz="4" w:space="0" w:color="BFBFBF" w:themeColor="background1" w:themeShade="BF"/>
            </w:tcBorders>
          </w:tcPr>
          <w:p w:rsidR="00650D67" w:rsidRPr="00650D67" w:rsidRDefault="00650D67" w:rsidP="00650D67">
            <w:pPr>
              <w:widowControl/>
              <w:tabs>
                <w:tab w:val="decimal" w:pos="31"/>
              </w:tabs>
              <w:snapToGrid w:val="0"/>
              <w:spacing w:before="20" w:after="20"/>
              <w:jc w:val="center"/>
              <w:rPr>
                <w:rFonts w:ascii="Segoe UI" w:hAnsi="Segoe UI" w:cs="Segoe UI"/>
                <w:kern w:val="0"/>
                <w:sz w:val="17"/>
                <w:szCs w:val="17"/>
                <w:lang w:val="en-GB" w:eastAsia="en-GB"/>
              </w:rPr>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50D67" w:rsidRPr="00650D67" w:rsidRDefault="00650D67" w:rsidP="00650D67">
            <w:pPr>
              <w:widowControl/>
              <w:tabs>
                <w:tab w:val="decimal" w:pos="31"/>
              </w:tabs>
              <w:snapToGrid w:val="0"/>
              <w:spacing w:before="20" w:after="20"/>
              <w:jc w:val="center"/>
              <w:rPr>
                <w:rFonts w:ascii="Segoe UI" w:hAnsi="Segoe UI" w:cs="Segoe UI"/>
                <w:kern w:val="0"/>
                <w:sz w:val="17"/>
                <w:szCs w:val="17"/>
                <w:lang w:val="en-GB" w:eastAsia="en-GB"/>
              </w:rPr>
            </w:pPr>
          </w:p>
        </w:tc>
        <w:tc>
          <w:tcPr>
            <w:tcW w:w="851" w:type="dxa"/>
            <w:tcBorders>
              <w:top w:val="single" w:sz="4" w:space="0" w:color="BFBFBF" w:themeColor="background1" w:themeShade="BF"/>
              <w:left w:val="single" w:sz="4" w:space="0" w:color="BFBFBF" w:themeColor="background1" w:themeShade="BF"/>
              <w:right w:val="single" w:sz="4" w:space="0" w:color="BFBFBF" w:themeColor="background1" w:themeShade="BF"/>
            </w:tcBorders>
          </w:tcPr>
          <w:p w:rsidR="00650D67" w:rsidRPr="00650D67" w:rsidRDefault="00650D67" w:rsidP="00650D67">
            <w:pPr>
              <w:widowControl/>
              <w:tabs>
                <w:tab w:val="decimal" w:pos="31"/>
              </w:tabs>
              <w:snapToGrid w:val="0"/>
              <w:spacing w:before="20" w:after="20"/>
              <w:jc w:val="center"/>
              <w:rPr>
                <w:rFonts w:ascii="Segoe UI" w:hAnsi="Segoe UI" w:cs="Segoe UI"/>
                <w:kern w:val="0"/>
                <w:sz w:val="17"/>
                <w:szCs w:val="17"/>
                <w:lang w:val="en-GB" w:eastAsia="en-GB"/>
              </w:rPr>
            </w:pPr>
          </w:p>
        </w:tc>
        <w:tc>
          <w:tcPr>
            <w:tcW w:w="850" w:type="dxa"/>
            <w:tcBorders>
              <w:top w:val="single" w:sz="4" w:space="0" w:color="BFBFBF" w:themeColor="background1" w:themeShade="BF"/>
              <w:left w:val="single" w:sz="4" w:space="0" w:color="BFBFBF" w:themeColor="background1" w:themeShade="BF"/>
              <w:right w:val="single" w:sz="4" w:space="0" w:color="BFBFBF" w:themeColor="background1" w:themeShade="BF"/>
            </w:tcBorders>
          </w:tcPr>
          <w:p w:rsidR="00650D67" w:rsidRPr="00650D67" w:rsidRDefault="00650D67" w:rsidP="00650D67">
            <w:pPr>
              <w:widowControl/>
              <w:tabs>
                <w:tab w:val="decimal" w:pos="31"/>
              </w:tabs>
              <w:snapToGrid w:val="0"/>
              <w:spacing w:before="20" w:after="20"/>
              <w:jc w:val="center"/>
              <w:rPr>
                <w:rFonts w:ascii="Segoe UI" w:hAnsi="Segoe UI" w:cs="Segoe UI"/>
                <w:kern w:val="0"/>
                <w:sz w:val="17"/>
                <w:szCs w:val="17"/>
                <w:lang w:val="en-GB" w:eastAsia="en-GB"/>
              </w:rPr>
            </w:pPr>
          </w:p>
        </w:tc>
        <w:tc>
          <w:tcPr>
            <w:tcW w:w="851" w:type="dxa"/>
            <w:tcBorders>
              <w:top w:val="single" w:sz="4" w:space="0" w:color="BFBFBF" w:themeColor="background1" w:themeShade="BF"/>
              <w:left w:val="single" w:sz="4" w:space="0" w:color="BFBFBF" w:themeColor="background1" w:themeShade="BF"/>
              <w:right w:val="single" w:sz="4" w:space="0" w:color="BFBFBF" w:themeColor="background1" w:themeShade="BF"/>
            </w:tcBorders>
          </w:tcPr>
          <w:p w:rsidR="00650D67" w:rsidRPr="00650D67" w:rsidRDefault="00650D67" w:rsidP="00650D67">
            <w:pPr>
              <w:widowControl/>
              <w:tabs>
                <w:tab w:val="decimal" w:pos="31"/>
              </w:tabs>
              <w:snapToGrid w:val="0"/>
              <w:spacing w:before="20" w:after="20"/>
              <w:jc w:val="center"/>
              <w:rPr>
                <w:rFonts w:ascii="Segoe UI" w:hAnsi="Segoe UI" w:cs="Segoe UI"/>
                <w:kern w:val="0"/>
                <w:sz w:val="17"/>
                <w:szCs w:val="17"/>
                <w:lang w:val="en-GB" w:eastAsia="en-GB"/>
              </w:rPr>
            </w:pPr>
            <w:r w:rsidRPr="00650D67">
              <w:rPr>
                <w:rFonts w:ascii="Segoe UI" w:hAnsi="Segoe UI" w:cs="Segoe UI"/>
                <w:bCs/>
                <w:kern w:val="0"/>
                <w:sz w:val="17"/>
                <w:szCs w:val="17"/>
                <w:lang w:val="en-GB" w:eastAsia="ja-JP"/>
              </w:rPr>
              <w:t>…</w:t>
            </w:r>
          </w:p>
        </w:tc>
        <w:tc>
          <w:tcPr>
            <w:tcW w:w="1134" w:type="dxa"/>
            <w:tcBorders>
              <w:top w:val="single" w:sz="4" w:space="0" w:color="BFBFBF" w:themeColor="background1" w:themeShade="BF"/>
              <w:left w:val="single" w:sz="4" w:space="0" w:color="BFBFBF" w:themeColor="background1" w:themeShade="BF"/>
              <w:right w:val="single" w:sz="4" w:space="0" w:color="BFBFBF" w:themeColor="background1" w:themeShade="BF"/>
            </w:tcBorders>
          </w:tcPr>
          <w:p w:rsidR="00650D67" w:rsidRPr="00650D67" w:rsidRDefault="00650D67" w:rsidP="00650D67">
            <w:pPr>
              <w:widowControl/>
              <w:tabs>
                <w:tab w:val="decimal" w:pos="31"/>
              </w:tabs>
              <w:snapToGrid w:val="0"/>
              <w:spacing w:before="20" w:after="20"/>
              <w:jc w:val="center"/>
              <w:rPr>
                <w:rFonts w:ascii="Segoe UI" w:hAnsi="Segoe UI" w:cs="Segoe UI"/>
                <w:kern w:val="0"/>
                <w:sz w:val="17"/>
                <w:szCs w:val="17"/>
                <w:lang w:val="en-GB" w:eastAsia="en-GB"/>
              </w:rPr>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auto"/>
            </w:tcBorders>
          </w:tcPr>
          <w:p w:rsidR="00650D67" w:rsidRPr="00650D67" w:rsidRDefault="00650D67" w:rsidP="00650D67">
            <w:pPr>
              <w:widowControl/>
              <w:tabs>
                <w:tab w:val="decimal" w:pos="31"/>
              </w:tabs>
              <w:snapToGrid w:val="0"/>
              <w:spacing w:before="20" w:after="20"/>
              <w:jc w:val="center"/>
              <w:rPr>
                <w:rFonts w:ascii="Segoe UI" w:hAnsi="Segoe UI" w:cs="Segoe UI"/>
                <w:kern w:val="0"/>
                <w:sz w:val="17"/>
                <w:szCs w:val="17"/>
                <w:lang w:val="en-GB" w:eastAsia="en-GB"/>
              </w:rPr>
            </w:pPr>
          </w:p>
        </w:tc>
        <w:tc>
          <w:tcPr>
            <w:tcW w:w="1134" w:type="dxa"/>
            <w:tcBorders>
              <w:top w:val="single" w:sz="4" w:space="0" w:color="BFBFBF" w:themeColor="background1" w:themeShade="BF"/>
              <w:left w:val="single" w:sz="4" w:space="0" w:color="auto"/>
              <w:bottom w:val="single" w:sz="4" w:space="0" w:color="BFBFBF" w:themeColor="background1" w:themeShade="BF"/>
              <w:right w:val="single" w:sz="4" w:space="0" w:color="auto"/>
            </w:tcBorders>
          </w:tcPr>
          <w:p w:rsidR="00650D67" w:rsidRPr="00650D67" w:rsidRDefault="00650D67" w:rsidP="00650D67">
            <w:pPr>
              <w:widowControl/>
              <w:tabs>
                <w:tab w:val="decimal" w:pos="31"/>
              </w:tabs>
              <w:snapToGrid w:val="0"/>
              <w:spacing w:before="20" w:after="20"/>
              <w:jc w:val="center"/>
              <w:rPr>
                <w:rFonts w:ascii="Segoe UI" w:hAnsi="Segoe UI" w:cs="Segoe UI"/>
                <w:kern w:val="0"/>
                <w:sz w:val="17"/>
                <w:szCs w:val="17"/>
                <w:lang w:val="en-GB" w:eastAsia="en-GB"/>
              </w:rPr>
            </w:pPr>
          </w:p>
        </w:tc>
      </w:tr>
      <w:tr w:rsidR="00650D67" w:rsidRPr="00650D67" w:rsidTr="003A4070">
        <w:trPr>
          <w:cantSplit/>
        </w:trPr>
        <w:tc>
          <w:tcPr>
            <w:tcW w:w="567" w:type="dxa"/>
            <w:tcBorders>
              <w:top w:val="single" w:sz="4" w:space="0" w:color="BFBFBF" w:themeColor="background1" w:themeShade="BF"/>
              <w:left w:val="nil"/>
              <w:bottom w:val="single" w:sz="4" w:space="0" w:color="auto"/>
              <w:right w:val="single" w:sz="4" w:space="0" w:color="auto"/>
            </w:tcBorders>
            <w:vAlign w:val="center"/>
          </w:tcPr>
          <w:p w:rsidR="00650D67" w:rsidRPr="00650D67" w:rsidDel="00745BDE" w:rsidRDefault="00650D67" w:rsidP="00650D67">
            <w:pPr>
              <w:widowControl/>
              <w:snapToGrid w:val="0"/>
              <w:spacing w:before="40" w:after="40"/>
              <w:rPr>
                <w:rFonts w:ascii="Segoe UI" w:eastAsia="Times New Roman" w:hAnsi="Segoe UI" w:cs="Times New Roman"/>
                <w:kern w:val="0"/>
                <w:sz w:val="17"/>
                <w:szCs w:val="20"/>
                <w:lang w:val="en-GB" w:eastAsia="en-CA"/>
              </w:rPr>
            </w:pPr>
            <w:r w:rsidRPr="00650D67">
              <w:rPr>
                <w:rFonts w:ascii="Segoe UI" w:eastAsia="Times New Roman" w:hAnsi="Segoe UI" w:cs="Times New Roman"/>
                <w:kern w:val="0"/>
                <w:sz w:val="17"/>
                <w:szCs w:val="20"/>
                <w:lang w:val="en-GB" w:eastAsia="en-CA"/>
              </w:rPr>
              <w:t>11</w:t>
            </w:r>
          </w:p>
        </w:tc>
        <w:tc>
          <w:tcPr>
            <w:tcW w:w="5103" w:type="dxa"/>
            <w:tcBorders>
              <w:top w:val="single" w:sz="4" w:space="0" w:color="BFBFBF" w:themeColor="background1" w:themeShade="BF"/>
              <w:left w:val="nil"/>
              <w:bottom w:val="single" w:sz="4" w:space="0" w:color="auto"/>
              <w:right w:val="single" w:sz="4" w:space="0" w:color="auto"/>
            </w:tcBorders>
            <w:vAlign w:val="center"/>
          </w:tcPr>
          <w:p w:rsidR="00650D67" w:rsidRPr="00650D67" w:rsidRDefault="00650D67" w:rsidP="00650D67">
            <w:pPr>
              <w:keepNext/>
              <w:widowControl/>
              <w:tabs>
                <w:tab w:val="left" w:pos="39"/>
              </w:tabs>
              <w:snapToGrid w:val="0"/>
              <w:spacing w:before="20" w:after="20"/>
              <w:ind w:left="39"/>
              <w:rPr>
                <w:rFonts w:ascii="Segoe UI" w:hAnsi="Segoe UI" w:cs="Segoe UI"/>
                <w:kern w:val="0"/>
                <w:sz w:val="17"/>
                <w:szCs w:val="17"/>
                <w:lang w:val="en-GB" w:eastAsia="en-GB"/>
              </w:rPr>
            </w:pPr>
            <w:r w:rsidRPr="00650D67">
              <w:rPr>
                <w:rFonts w:ascii="Segoe UI" w:hAnsi="Segoe UI" w:cs="Segoe UI"/>
                <w:kern w:val="0"/>
                <w:sz w:val="17"/>
                <w:szCs w:val="17"/>
                <w:lang w:val="en-GB" w:eastAsia="en-GB"/>
              </w:rPr>
              <w:t>Subset of row 6 that is perpetual securities</w:t>
            </w:r>
          </w:p>
        </w:tc>
        <w:tc>
          <w:tcPr>
            <w:tcW w:w="1134" w:type="dxa"/>
            <w:tcBorders>
              <w:top w:val="single" w:sz="4" w:space="0" w:color="BFBFBF" w:themeColor="background1" w:themeShade="BF"/>
              <w:left w:val="single" w:sz="4" w:space="0" w:color="auto"/>
              <w:bottom w:val="single" w:sz="4" w:space="0" w:color="auto"/>
              <w:right w:val="single" w:sz="4" w:space="0" w:color="BFBFBF" w:themeColor="background1" w:themeShade="BF"/>
            </w:tcBorders>
          </w:tcPr>
          <w:p w:rsidR="00650D67" w:rsidRPr="00650D67" w:rsidRDefault="00650D67" w:rsidP="00650D67">
            <w:pPr>
              <w:widowControl/>
              <w:tabs>
                <w:tab w:val="decimal" w:pos="31"/>
              </w:tabs>
              <w:snapToGrid w:val="0"/>
              <w:spacing w:before="20" w:after="20"/>
              <w:jc w:val="center"/>
              <w:rPr>
                <w:rFonts w:ascii="Segoe UI" w:hAnsi="Segoe UI" w:cs="Segoe UI"/>
                <w:kern w:val="0"/>
                <w:sz w:val="17"/>
                <w:szCs w:val="17"/>
                <w:lang w:val="en-GB" w:eastAsia="en-GB"/>
              </w:rPr>
            </w:pPr>
          </w:p>
        </w:tc>
        <w:tc>
          <w:tcPr>
            <w:tcW w:w="1134" w:type="dxa"/>
            <w:tcBorders>
              <w:top w:val="single" w:sz="4" w:space="0" w:color="BFBFBF" w:themeColor="background1" w:themeShade="BF"/>
              <w:left w:val="single" w:sz="4" w:space="0" w:color="BFBFBF" w:themeColor="background1" w:themeShade="BF"/>
              <w:bottom w:val="single" w:sz="4" w:space="0" w:color="auto"/>
              <w:right w:val="single" w:sz="4" w:space="0" w:color="BFBFBF" w:themeColor="background1" w:themeShade="BF"/>
            </w:tcBorders>
          </w:tcPr>
          <w:p w:rsidR="00650D67" w:rsidRPr="00650D67" w:rsidRDefault="00650D67" w:rsidP="00650D67">
            <w:pPr>
              <w:widowControl/>
              <w:tabs>
                <w:tab w:val="decimal" w:pos="31"/>
              </w:tabs>
              <w:snapToGrid w:val="0"/>
              <w:spacing w:before="20" w:after="20"/>
              <w:jc w:val="center"/>
              <w:rPr>
                <w:rFonts w:ascii="Segoe UI" w:hAnsi="Segoe UI" w:cs="Segoe UI"/>
                <w:kern w:val="0"/>
                <w:sz w:val="17"/>
                <w:szCs w:val="17"/>
                <w:lang w:val="en-GB" w:eastAsia="en-GB"/>
              </w:rPr>
            </w:pPr>
          </w:p>
        </w:tc>
        <w:tc>
          <w:tcPr>
            <w:tcW w:w="851" w:type="dxa"/>
            <w:tcBorders>
              <w:top w:val="single" w:sz="4" w:space="0" w:color="BFBFBF" w:themeColor="background1" w:themeShade="BF"/>
              <w:left w:val="single" w:sz="4" w:space="0" w:color="BFBFBF" w:themeColor="background1" w:themeShade="BF"/>
              <w:bottom w:val="single" w:sz="4" w:space="0" w:color="auto"/>
              <w:right w:val="single" w:sz="4" w:space="0" w:color="BFBFBF" w:themeColor="background1" w:themeShade="BF"/>
            </w:tcBorders>
          </w:tcPr>
          <w:p w:rsidR="00650D67" w:rsidRPr="00650D67" w:rsidRDefault="00650D67" w:rsidP="00650D67">
            <w:pPr>
              <w:widowControl/>
              <w:tabs>
                <w:tab w:val="decimal" w:pos="31"/>
              </w:tabs>
              <w:snapToGrid w:val="0"/>
              <w:spacing w:before="20" w:after="20"/>
              <w:jc w:val="center"/>
              <w:rPr>
                <w:rFonts w:ascii="Segoe UI" w:hAnsi="Segoe UI" w:cs="Segoe UI"/>
                <w:kern w:val="0"/>
                <w:sz w:val="17"/>
                <w:szCs w:val="17"/>
                <w:lang w:val="en-GB" w:eastAsia="en-GB"/>
              </w:rPr>
            </w:pPr>
          </w:p>
        </w:tc>
        <w:tc>
          <w:tcPr>
            <w:tcW w:w="850" w:type="dxa"/>
            <w:tcBorders>
              <w:top w:val="single" w:sz="4" w:space="0" w:color="BFBFBF" w:themeColor="background1" w:themeShade="BF"/>
              <w:left w:val="single" w:sz="4" w:space="0" w:color="BFBFBF" w:themeColor="background1" w:themeShade="BF"/>
              <w:bottom w:val="single" w:sz="4" w:space="0" w:color="auto"/>
              <w:right w:val="single" w:sz="4" w:space="0" w:color="BFBFBF" w:themeColor="background1" w:themeShade="BF"/>
            </w:tcBorders>
          </w:tcPr>
          <w:p w:rsidR="00650D67" w:rsidRPr="00650D67" w:rsidRDefault="00650D67" w:rsidP="00650D67">
            <w:pPr>
              <w:widowControl/>
              <w:tabs>
                <w:tab w:val="decimal" w:pos="31"/>
              </w:tabs>
              <w:snapToGrid w:val="0"/>
              <w:spacing w:before="20" w:after="20"/>
              <w:jc w:val="center"/>
              <w:rPr>
                <w:rFonts w:ascii="Segoe UI" w:hAnsi="Segoe UI" w:cs="Segoe UI"/>
                <w:kern w:val="0"/>
                <w:sz w:val="17"/>
                <w:szCs w:val="17"/>
                <w:lang w:val="en-GB" w:eastAsia="en-GB"/>
              </w:rPr>
            </w:pPr>
          </w:p>
        </w:tc>
        <w:tc>
          <w:tcPr>
            <w:tcW w:w="851" w:type="dxa"/>
            <w:tcBorders>
              <w:top w:val="single" w:sz="4" w:space="0" w:color="BFBFBF" w:themeColor="background1" w:themeShade="BF"/>
              <w:left w:val="single" w:sz="4" w:space="0" w:color="BFBFBF" w:themeColor="background1" w:themeShade="BF"/>
              <w:bottom w:val="single" w:sz="4" w:space="0" w:color="auto"/>
              <w:right w:val="single" w:sz="4" w:space="0" w:color="BFBFBF" w:themeColor="background1" w:themeShade="BF"/>
            </w:tcBorders>
          </w:tcPr>
          <w:p w:rsidR="00650D67" w:rsidRPr="00650D67" w:rsidRDefault="00650D67" w:rsidP="00650D67">
            <w:pPr>
              <w:widowControl/>
              <w:tabs>
                <w:tab w:val="decimal" w:pos="31"/>
              </w:tabs>
              <w:snapToGrid w:val="0"/>
              <w:spacing w:before="20" w:after="20"/>
              <w:jc w:val="center"/>
              <w:rPr>
                <w:rFonts w:ascii="Segoe UI" w:hAnsi="Segoe UI" w:cs="Segoe UI"/>
                <w:kern w:val="0"/>
                <w:sz w:val="17"/>
                <w:szCs w:val="17"/>
                <w:lang w:val="en-GB" w:eastAsia="en-GB"/>
              </w:rPr>
            </w:pPr>
            <w:r w:rsidRPr="00650D67">
              <w:rPr>
                <w:rFonts w:ascii="Segoe UI" w:hAnsi="Segoe UI" w:cs="Segoe UI"/>
                <w:bCs/>
                <w:kern w:val="0"/>
                <w:sz w:val="17"/>
                <w:szCs w:val="17"/>
                <w:lang w:val="en-GB" w:eastAsia="ja-JP"/>
              </w:rPr>
              <w:t>…</w:t>
            </w:r>
          </w:p>
        </w:tc>
        <w:tc>
          <w:tcPr>
            <w:tcW w:w="1134" w:type="dxa"/>
            <w:tcBorders>
              <w:top w:val="single" w:sz="4" w:space="0" w:color="BFBFBF" w:themeColor="background1" w:themeShade="BF"/>
              <w:left w:val="single" w:sz="4" w:space="0" w:color="BFBFBF" w:themeColor="background1" w:themeShade="BF"/>
              <w:bottom w:val="single" w:sz="4" w:space="0" w:color="auto"/>
              <w:right w:val="single" w:sz="4" w:space="0" w:color="BFBFBF" w:themeColor="background1" w:themeShade="BF"/>
            </w:tcBorders>
          </w:tcPr>
          <w:p w:rsidR="00650D67" w:rsidRPr="00650D67" w:rsidRDefault="00650D67" w:rsidP="00650D67">
            <w:pPr>
              <w:widowControl/>
              <w:tabs>
                <w:tab w:val="decimal" w:pos="31"/>
              </w:tabs>
              <w:snapToGrid w:val="0"/>
              <w:spacing w:before="20" w:after="20"/>
              <w:jc w:val="center"/>
              <w:rPr>
                <w:rFonts w:ascii="Segoe UI" w:hAnsi="Segoe UI" w:cs="Segoe UI"/>
                <w:kern w:val="0"/>
                <w:sz w:val="17"/>
                <w:szCs w:val="17"/>
                <w:lang w:val="en-GB" w:eastAsia="en-GB"/>
              </w:rPr>
            </w:pPr>
          </w:p>
        </w:tc>
        <w:tc>
          <w:tcPr>
            <w:tcW w:w="1134" w:type="dxa"/>
            <w:tcBorders>
              <w:top w:val="single" w:sz="4" w:space="0" w:color="BFBFBF" w:themeColor="background1" w:themeShade="BF"/>
              <w:left w:val="single" w:sz="4" w:space="0" w:color="BFBFBF" w:themeColor="background1" w:themeShade="BF"/>
              <w:bottom w:val="single" w:sz="4" w:space="0" w:color="auto"/>
              <w:right w:val="single" w:sz="4" w:space="0" w:color="auto"/>
            </w:tcBorders>
          </w:tcPr>
          <w:p w:rsidR="00650D67" w:rsidRPr="00650D67" w:rsidRDefault="00650D67" w:rsidP="00650D67">
            <w:pPr>
              <w:widowControl/>
              <w:tabs>
                <w:tab w:val="decimal" w:pos="31"/>
              </w:tabs>
              <w:snapToGrid w:val="0"/>
              <w:spacing w:before="20" w:after="20"/>
              <w:jc w:val="center"/>
              <w:rPr>
                <w:rFonts w:ascii="Segoe UI" w:hAnsi="Segoe UI" w:cs="Segoe UI"/>
                <w:kern w:val="0"/>
                <w:sz w:val="17"/>
                <w:szCs w:val="17"/>
                <w:lang w:val="en-GB" w:eastAsia="en-GB"/>
              </w:rPr>
            </w:pPr>
          </w:p>
        </w:tc>
        <w:tc>
          <w:tcPr>
            <w:tcW w:w="1134" w:type="dxa"/>
            <w:tcBorders>
              <w:top w:val="single" w:sz="4" w:space="0" w:color="BFBFBF" w:themeColor="background1" w:themeShade="BF"/>
              <w:left w:val="single" w:sz="4" w:space="0" w:color="auto"/>
              <w:bottom w:val="single" w:sz="4" w:space="0" w:color="auto"/>
              <w:right w:val="single" w:sz="4" w:space="0" w:color="auto"/>
            </w:tcBorders>
          </w:tcPr>
          <w:p w:rsidR="00650D67" w:rsidRPr="00650D67" w:rsidRDefault="00650D67" w:rsidP="00650D67">
            <w:pPr>
              <w:widowControl/>
              <w:tabs>
                <w:tab w:val="decimal" w:pos="31"/>
              </w:tabs>
              <w:snapToGrid w:val="0"/>
              <w:spacing w:before="20" w:after="20"/>
              <w:jc w:val="center"/>
              <w:rPr>
                <w:rFonts w:ascii="Segoe UI" w:hAnsi="Segoe UI" w:cs="Segoe UI"/>
                <w:kern w:val="0"/>
                <w:sz w:val="17"/>
                <w:szCs w:val="17"/>
                <w:lang w:val="en-GB" w:eastAsia="en-GB"/>
              </w:rPr>
            </w:pPr>
          </w:p>
        </w:tc>
      </w:tr>
      <w:tr w:rsidR="00650D67" w:rsidRPr="00650D67" w:rsidTr="003A4070">
        <w:trPr>
          <w:cantSplit/>
        </w:trPr>
        <w:tc>
          <w:tcPr>
            <w:tcW w:w="13892" w:type="dxa"/>
            <w:gridSpan w:val="10"/>
            <w:tcBorders>
              <w:top w:val="single" w:sz="4" w:space="0" w:color="auto"/>
              <w:left w:val="nil"/>
              <w:bottom w:val="nil"/>
              <w:right w:val="single" w:sz="4" w:space="0" w:color="auto"/>
            </w:tcBorders>
            <w:vAlign w:val="center"/>
          </w:tcPr>
          <w:p w:rsidR="00650D67" w:rsidRPr="00650D67" w:rsidRDefault="00650D67" w:rsidP="00650D67">
            <w:pPr>
              <w:widowControl/>
              <w:tabs>
                <w:tab w:val="decimal" w:pos="31"/>
              </w:tabs>
              <w:snapToGrid w:val="0"/>
              <w:spacing w:before="20" w:after="20"/>
              <w:rPr>
                <w:rFonts w:ascii="Segoe UI" w:hAnsi="Segoe UI" w:cs="Segoe UI"/>
                <w:i/>
                <w:kern w:val="0"/>
                <w:sz w:val="17"/>
                <w:szCs w:val="17"/>
                <w:lang w:val="en-GB" w:eastAsia="en-GB"/>
              </w:rPr>
            </w:pPr>
            <w:r w:rsidRPr="00650D67">
              <w:rPr>
                <w:rFonts w:ascii="Segoe UI" w:hAnsi="Segoe UI" w:cs="Segoe UI"/>
                <w:i/>
                <w:kern w:val="0"/>
                <w:sz w:val="17"/>
                <w:szCs w:val="17"/>
                <w:lang w:val="en-GB" w:eastAsia="en-GB"/>
              </w:rPr>
              <w:t>Points to note:</w:t>
            </w:r>
          </w:p>
        </w:tc>
      </w:tr>
      <w:tr w:rsidR="00650D67" w:rsidRPr="00650D67" w:rsidTr="003A4070">
        <w:trPr>
          <w:cantSplit/>
        </w:trPr>
        <w:tc>
          <w:tcPr>
            <w:tcW w:w="13892" w:type="dxa"/>
            <w:gridSpan w:val="10"/>
            <w:tcBorders>
              <w:top w:val="nil"/>
              <w:left w:val="nil"/>
              <w:bottom w:val="single" w:sz="4" w:space="0" w:color="auto"/>
              <w:right w:val="single" w:sz="4" w:space="0" w:color="auto"/>
            </w:tcBorders>
            <w:vAlign w:val="center"/>
          </w:tcPr>
          <w:p w:rsidR="00650D67" w:rsidRPr="00650D67" w:rsidRDefault="00650D67" w:rsidP="006E5C79">
            <w:pPr>
              <w:widowControl/>
              <w:numPr>
                <w:ilvl w:val="0"/>
                <w:numId w:val="7"/>
              </w:numPr>
              <w:snapToGrid w:val="0"/>
              <w:spacing w:before="40" w:after="40" w:line="240" w:lineRule="exact"/>
              <w:ind w:rightChars="71" w:right="170"/>
              <w:jc w:val="both"/>
              <w:rPr>
                <w:rFonts w:ascii="Segoe UI" w:eastAsia="Times New Roman" w:hAnsi="Segoe UI" w:cs="Times New Roman"/>
                <w:i/>
                <w:kern w:val="0"/>
                <w:sz w:val="17"/>
                <w:szCs w:val="20"/>
                <w:lang w:val="en-GB" w:eastAsia="it-IT"/>
              </w:rPr>
            </w:pPr>
            <w:r w:rsidRPr="00650D67">
              <w:rPr>
                <w:rFonts w:ascii="Segoe UI" w:eastAsia="新細明體" w:hAnsi="Segoe UI" w:cs="Segoe UI"/>
                <w:i/>
                <w:color w:val="000000"/>
                <w:kern w:val="0"/>
                <w:sz w:val="17"/>
                <w:szCs w:val="17"/>
                <w:lang w:val="en-GB" w:eastAsia="en-US"/>
              </w:rPr>
              <w:t>Where the functional currency of a material subsidiary is a currency other than Hong Kong dollars and the material subsidiary reports amounts in this template in Hong Kong dollars, the closing middle market T/T rates prevailing at the end of the current reporting period should be used for conversion purposes.</w:t>
            </w:r>
          </w:p>
          <w:p w:rsidR="00650D67" w:rsidRPr="00650D67" w:rsidRDefault="00650D67" w:rsidP="006E5C79">
            <w:pPr>
              <w:widowControl/>
              <w:numPr>
                <w:ilvl w:val="0"/>
                <w:numId w:val="7"/>
              </w:numPr>
              <w:snapToGrid w:val="0"/>
              <w:spacing w:before="40" w:after="40" w:line="240" w:lineRule="exact"/>
              <w:ind w:rightChars="71" w:right="170"/>
              <w:jc w:val="both"/>
              <w:rPr>
                <w:rFonts w:ascii="Segoe UI" w:eastAsia="Times New Roman" w:hAnsi="Segoe UI" w:cs="Times New Roman"/>
                <w:i/>
                <w:kern w:val="0"/>
                <w:sz w:val="17"/>
                <w:szCs w:val="20"/>
                <w:lang w:val="en-GB" w:eastAsia="it-IT"/>
              </w:rPr>
            </w:pPr>
            <w:r w:rsidRPr="00650D67">
              <w:rPr>
                <w:rFonts w:ascii="Segoe UI" w:eastAsia="Times New Roman" w:hAnsi="Segoe UI" w:cs="Times New Roman"/>
                <w:i/>
                <w:kern w:val="0"/>
                <w:sz w:val="17"/>
                <w:szCs w:val="20"/>
                <w:lang w:val="en-GB" w:eastAsia="it-IT"/>
              </w:rPr>
              <w:t>The material subsidiary should complete each row with respect to each creditor ranking presented in the columns.</w:t>
            </w:r>
          </w:p>
        </w:tc>
      </w:tr>
    </w:tbl>
    <w:p w:rsidR="00650D67" w:rsidRPr="00650D67" w:rsidRDefault="00650D67" w:rsidP="00650D67">
      <w:pPr>
        <w:widowControl/>
        <w:spacing w:before="40" w:after="40"/>
        <w:rPr>
          <w:rFonts w:ascii="Segoe UI" w:eastAsia="Times New Roman" w:hAnsi="Segoe UI" w:cs="Times New Roman"/>
          <w:kern w:val="0"/>
          <w:sz w:val="22"/>
          <w:szCs w:val="20"/>
          <w:lang w:val="en-GB" w:eastAsia="en-US"/>
        </w:rPr>
      </w:pPr>
    </w:p>
    <w:tbl>
      <w:tblPr>
        <w:tblStyle w:val="TableGrid3"/>
        <w:tblW w:w="13892" w:type="dxa"/>
        <w:tblInd w:w="108" w:type="dxa"/>
        <w:tblLayout w:type="fixed"/>
        <w:tblLook w:val="04A0" w:firstRow="1" w:lastRow="0" w:firstColumn="1" w:lastColumn="0" w:noHBand="0" w:noVBand="1"/>
      </w:tblPr>
      <w:tblGrid>
        <w:gridCol w:w="567"/>
        <w:gridCol w:w="13325"/>
      </w:tblGrid>
      <w:tr w:rsidR="00650D67" w:rsidRPr="00650D67" w:rsidTr="003A4070">
        <w:trPr>
          <w:tblHeader/>
        </w:trPr>
        <w:tc>
          <w:tcPr>
            <w:tcW w:w="13892" w:type="dxa"/>
            <w:gridSpan w:val="2"/>
            <w:shd w:val="clear" w:color="auto" w:fill="BFBFBF" w:themeFill="background1" w:themeFillShade="BF"/>
          </w:tcPr>
          <w:p w:rsidR="00650D67" w:rsidRPr="00650D67" w:rsidRDefault="00650D67" w:rsidP="00650D67">
            <w:pPr>
              <w:keepNext/>
              <w:widowControl/>
              <w:spacing w:before="40" w:after="40"/>
              <w:jc w:val="both"/>
              <w:rPr>
                <w:rFonts w:ascii="Segoe UI" w:hAnsi="Segoe UI" w:cs="Times New Roman"/>
                <w:b/>
                <w:kern w:val="0"/>
                <w:sz w:val="17"/>
                <w:szCs w:val="20"/>
                <w:lang w:val="en-GB" w:eastAsia="en-GB"/>
              </w:rPr>
            </w:pPr>
            <w:r w:rsidRPr="00650D67">
              <w:rPr>
                <w:rFonts w:ascii="Segoe UI" w:hAnsi="Segoe UI" w:cs="Times New Roman"/>
                <w:b/>
                <w:kern w:val="0"/>
                <w:sz w:val="17"/>
                <w:szCs w:val="20"/>
                <w:lang w:val="en-GB" w:eastAsia="en-GB"/>
              </w:rPr>
              <w:t>Explanatory Note</w:t>
            </w:r>
          </w:p>
        </w:tc>
      </w:tr>
      <w:tr w:rsidR="00650D67" w:rsidRPr="00650D67" w:rsidTr="003A4070">
        <w:tc>
          <w:tcPr>
            <w:tcW w:w="13892" w:type="dxa"/>
            <w:gridSpan w:val="2"/>
            <w:shd w:val="clear" w:color="auto" w:fill="F2F2F2" w:themeFill="background1" w:themeFillShade="F2"/>
          </w:tcPr>
          <w:p w:rsidR="00650D67" w:rsidRPr="00650D67" w:rsidRDefault="00650D67" w:rsidP="00650D67">
            <w:pPr>
              <w:keepNext/>
              <w:widowControl/>
              <w:spacing w:before="40" w:after="40"/>
              <w:jc w:val="both"/>
              <w:rPr>
                <w:rFonts w:ascii="Segoe UI" w:eastAsia="Times New Roman" w:hAnsi="Segoe UI" w:cs="Times New Roman"/>
                <w:i/>
                <w:kern w:val="0"/>
                <w:sz w:val="17"/>
                <w:szCs w:val="17"/>
                <w:lang w:val="en-GB" w:eastAsia="en-US"/>
              </w:rPr>
            </w:pPr>
            <w:r w:rsidRPr="00650D67">
              <w:rPr>
                <w:rFonts w:ascii="Segoe UI" w:hAnsi="Segoe UI" w:cs="Times New Roman"/>
                <w:b/>
                <w:kern w:val="0"/>
                <w:sz w:val="17"/>
                <w:szCs w:val="20"/>
                <w:lang w:val="en-GB" w:eastAsia="en-GB"/>
              </w:rPr>
              <w:t>Column</w:t>
            </w:r>
          </w:p>
        </w:tc>
      </w:tr>
      <w:tr w:rsidR="00650D67" w:rsidRPr="00650D67" w:rsidTr="003A4070">
        <w:tc>
          <w:tcPr>
            <w:tcW w:w="567" w:type="dxa"/>
          </w:tcPr>
          <w:p w:rsidR="00650D67" w:rsidRPr="00650D67" w:rsidRDefault="00650D67" w:rsidP="00650D67">
            <w:pPr>
              <w:keepLines/>
              <w:spacing w:before="20" w:after="20"/>
              <w:ind w:rightChars="-54" w:right="-130"/>
              <w:rPr>
                <w:rFonts w:ascii="Segoe UI" w:eastAsia="Times New Roman" w:hAnsi="Segoe UI" w:cs="Segoe UI"/>
                <w:kern w:val="0"/>
                <w:sz w:val="17"/>
                <w:szCs w:val="17"/>
                <w:lang w:val="en-GB" w:eastAsia="en-GB"/>
              </w:rPr>
            </w:pPr>
            <w:r w:rsidRPr="00650D67">
              <w:rPr>
                <w:rFonts w:ascii="Segoe UI" w:eastAsia="Times New Roman" w:hAnsi="Segoe UI" w:cs="Segoe UI"/>
                <w:kern w:val="0"/>
                <w:sz w:val="17"/>
                <w:szCs w:val="17"/>
                <w:lang w:val="en-GB" w:eastAsia="en-GB"/>
              </w:rPr>
              <w:t>1 to n</w:t>
            </w:r>
          </w:p>
        </w:tc>
        <w:tc>
          <w:tcPr>
            <w:tcW w:w="13325" w:type="dxa"/>
          </w:tcPr>
          <w:p w:rsidR="00650D67" w:rsidRPr="00650D67" w:rsidRDefault="00650D67" w:rsidP="00650D67">
            <w:pPr>
              <w:keepLines/>
              <w:tabs>
                <w:tab w:val="left" w:pos="150"/>
                <w:tab w:val="left" w:pos="397"/>
                <w:tab w:val="left" w:pos="794"/>
                <w:tab w:val="left" w:pos="1191"/>
              </w:tabs>
              <w:spacing w:before="20" w:after="20"/>
              <w:jc w:val="both"/>
              <w:rPr>
                <w:rFonts w:ascii="Segoe UI" w:eastAsia="Times New Roman" w:hAnsi="Segoe UI" w:cs="Times New Roman"/>
                <w:kern w:val="0"/>
                <w:sz w:val="17"/>
                <w:szCs w:val="17"/>
                <w:lang w:val="en-GB" w:eastAsia="en-US"/>
              </w:rPr>
            </w:pPr>
            <w:r w:rsidRPr="00650D67">
              <w:rPr>
                <w:rFonts w:ascii="Segoe UI" w:eastAsia="Times New Roman" w:hAnsi="Segoe UI" w:cs="Times New Roman"/>
                <w:kern w:val="0"/>
                <w:sz w:val="17"/>
                <w:szCs w:val="17"/>
                <w:lang w:val="en-GB" w:eastAsia="en-US"/>
              </w:rPr>
              <w:t>The number of creditor rankings (n) in the creditor hierarchy will depend on the set of liabilities of the entity.  There should be at least one column for each creditor ranking.  In cases where the resolution entity or non-HK resolution entity is a creditor of part of the total amount in one creditor ranking, two columns should be completed (both with the same ordinal ranking): one covering amounts owned by the resolution entity or non-HK resolution entity and the other covering amounts not owned by the resolution entity or non-HK resolution entity.  In these cases, the columns covering amounts owned by the resolution entity or non-HK resolution entity should include, without limitation, amounts with respect to internal loss-absorbing capacity that the material subsidiary has issued directly or indirectly to such entity.</w:t>
            </w:r>
          </w:p>
          <w:p w:rsidR="00650D67" w:rsidRPr="00650D67" w:rsidRDefault="00650D67" w:rsidP="00650D67">
            <w:pPr>
              <w:keepLines/>
              <w:tabs>
                <w:tab w:val="left" w:pos="150"/>
                <w:tab w:val="left" w:pos="397"/>
                <w:tab w:val="left" w:pos="794"/>
                <w:tab w:val="left" w:pos="1191"/>
              </w:tabs>
              <w:spacing w:before="20" w:after="20"/>
              <w:jc w:val="both"/>
              <w:rPr>
                <w:rFonts w:ascii="Segoe UI" w:eastAsia="Times New Roman" w:hAnsi="Segoe UI" w:cs="Times New Roman"/>
                <w:kern w:val="0"/>
                <w:sz w:val="17"/>
                <w:szCs w:val="17"/>
                <w:lang w:val="en-GB" w:eastAsia="en-US"/>
              </w:rPr>
            </w:pPr>
            <w:r w:rsidRPr="00650D67">
              <w:rPr>
                <w:rFonts w:ascii="Segoe UI" w:eastAsia="Times New Roman" w:hAnsi="Segoe UI" w:cs="Times New Roman"/>
                <w:kern w:val="0"/>
                <w:sz w:val="17"/>
                <w:szCs w:val="17"/>
                <w:lang w:val="en-GB" w:eastAsia="en-US"/>
              </w:rPr>
              <w:t>Columns should be added until the most senior-ranking internal loss-absorbing capacity, and all pari passu liabilities, have been reported.  The template should therefore contain all funding that is pari passu or junior to internal loss-absorbing capacity, including CET1 capital instruments, AT1 capital instruments and T2 capital instruments.  The subordination exemption in Section 11 of the FSB TLAC Term Sheet that relate to liabilities ranking pari passu to excluded liabilities does not apply in Hong Kong under the LAC Rules.</w:t>
            </w:r>
          </w:p>
        </w:tc>
      </w:tr>
      <w:tr w:rsidR="00650D67" w:rsidRPr="00650D67" w:rsidTr="003A4070">
        <w:tc>
          <w:tcPr>
            <w:tcW w:w="13892" w:type="dxa"/>
            <w:gridSpan w:val="2"/>
            <w:shd w:val="clear" w:color="auto" w:fill="F2F2F2" w:themeFill="background1" w:themeFillShade="F2"/>
          </w:tcPr>
          <w:p w:rsidR="00650D67" w:rsidRPr="00650D67" w:rsidRDefault="00650D67" w:rsidP="00650D67">
            <w:pPr>
              <w:keepLines/>
              <w:tabs>
                <w:tab w:val="left" w:pos="150"/>
                <w:tab w:val="left" w:pos="397"/>
                <w:tab w:val="left" w:pos="794"/>
                <w:tab w:val="left" w:pos="1191"/>
              </w:tabs>
              <w:spacing w:before="20" w:after="20"/>
              <w:jc w:val="both"/>
              <w:rPr>
                <w:rFonts w:ascii="Segoe UI" w:hAnsi="Segoe UI" w:cs="Segoe UI"/>
                <w:bCs/>
                <w:kern w:val="0"/>
                <w:sz w:val="17"/>
                <w:szCs w:val="17"/>
                <w:lang w:val="en-GB" w:eastAsia="it-IT"/>
              </w:rPr>
            </w:pPr>
            <w:r w:rsidRPr="00650D67">
              <w:rPr>
                <w:rFonts w:ascii="Segoe UI" w:hAnsi="Segoe UI" w:cs="Times New Roman"/>
                <w:b/>
                <w:kern w:val="0"/>
                <w:sz w:val="17"/>
                <w:szCs w:val="20"/>
                <w:lang w:val="en-GB" w:eastAsia="en-GB"/>
              </w:rPr>
              <w:t>Rows</w:t>
            </w:r>
          </w:p>
        </w:tc>
      </w:tr>
      <w:tr w:rsidR="00650D67" w:rsidRPr="00650D67" w:rsidTr="003A4070">
        <w:tc>
          <w:tcPr>
            <w:tcW w:w="567" w:type="dxa"/>
          </w:tcPr>
          <w:p w:rsidR="00650D67" w:rsidRPr="00650D67" w:rsidRDefault="00650D67" w:rsidP="00650D67">
            <w:pPr>
              <w:keepLines/>
              <w:spacing w:before="20" w:after="20"/>
              <w:ind w:rightChars="-54" w:right="-130"/>
              <w:rPr>
                <w:rFonts w:ascii="Segoe UI" w:eastAsia="Times New Roman" w:hAnsi="Segoe UI" w:cs="Segoe UI"/>
                <w:kern w:val="0"/>
                <w:sz w:val="17"/>
                <w:szCs w:val="17"/>
                <w:lang w:val="en-GB" w:eastAsia="en-GB"/>
              </w:rPr>
            </w:pPr>
            <w:r w:rsidRPr="00650D67">
              <w:rPr>
                <w:rFonts w:ascii="Segoe UI" w:eastAsia="Times New Roman" w:hAnsi="Segoe UI" w:cs="Segoe UI"/>
                <w:kern w:val="0"/>
                <w:sz w:val="17"/>
                <w:szCs w:val="17"/>
                <w:lang w:val="en-GB" w:eastAsia="en-GB"/>
              </w:rPr>
              <w:t>1</w:t>
            </w:r>
          </w:p>
        </w:tc>
        <w:tc>
          <w:tcPr>
            <w:tcW w:w="13325" w:type="dxa"/>
          </w:tcPr>
          <w:p w:rsidR="00650D67" w:rsidRPr="00650D67" w:rsidRDefault="00650D67" w:rsidP="00650D67">
            <w:pPr>
              <w:keepLines/>
              <w:tabs>
                <w:tab w:val="left" w:pos="150"/>
                <w:tab w:val="left" w:pos="397"/>
                <w:tab w:val="left" w:pos="794"/>
                <w:tab w:val="left" w:pos="1191"/>
              </w:tabs>
              <w:spacing w:before="20" w:after="20"/>
              <w:jc w:val="both"/>
              <w:rPr>
                <w:rFonts w:ascii="Segoe UI" w:hAnsi="Segoe UI" w:cs="Segoe UI"/>
                <w:bCs/>
                <w:kern w:val="0"/>
                <w:sz w:val="17"/>
                <w:szCs w:val="17"/>
                <w:lang w:val="en-GB" w:eastAsia="it-IT"/>
              </w:rPr>
            </w:pPr>
            <w:r w:rsidRPr="00650D67">
              <w:rPr>
                <w:rFonts w:ascii="Segoe UI" w:hAnsi="Segoe UI" w:cs="Segoe UI"/>
                <w:bCs/>
                <w:kern w:val="0"/>
                <w:sz w:val="17"/>
                <w:szCs w:val="17"/>
                <w:lang w:val="en-GB" w:eastAsia="it-IT"/>
              </w:rPr>
              <w:t xml:space="preserve">Fill in “yes” in the column where the amounts reported in the column concern liabilities to or capital invested by the resolution entity or the non-HK resolution entity (i.e. the </w:t>
            </w:r>
            <w:r w:rsidRPr="00650D67">
              <w:rPr>
                <w:rFonts w:ascii="Segoe UI" w:hAnsi="Segoe UI" w:cs="Segoe UI"/>
                <w:bCs/>
                <w:kern w:val="0"/>
                <w:sz w:val="17"/>
                <w:szCs w:val="17"/>
                <w:lang w:val="en-GB" w:eastAsia="it-IT"/>
              </w:rPr>
              <w:lastRenderedPageBreak/>
              <w:t>resolution entity</w:t>
            </w:r>
            <w:r w:rsidRPr="00650D67">
              <w:rPr>
                <w:rFonts w:ascii="Segoe UI" w:hAnsi="Segoe UI" w:cs="Segoe UI"/>
                <w:kern w:val="0"/>
                <w:sz w:val="17"/>
                <w:szCs w:val="17"/>
                <w:lang w:val="en-GB" w:eastAsia="en-GB"/>
              </w:rPr>
              <w:t xml:space="preserve"> or the non-HK resolution entity is the creditor / investor of the material subsidiary</w:t>
            </w:r>
            <w:r w:rsidRPr="00650D67">
              <w:rPr>
                <w:rFonts w:ascii="Segoe UI" w:hAnsi="Segoe UI" w:cs="Segoe UI"/>
                <w:bCs/>
                <w:kern w:val="0"/>
                <w:sz w:val="17"/>
                <w:szCs w:val="17"/>
                <w:lang w:val="en-GB" w:eastAsia="it-IT"/>
              </w:rPr>
              <w:t>); fill in “no” if otherwise.</w:t>
            </w:r>
          </w:p>
        </w:tc>
      </w:tr>
      <w:tr w:rsidR="00650D67" w:rsidRPr="00650D67" w:rsidTr="003A4070">
        <w:tc>
          <w:tcPr>
            <w:tcW w:w="567" w:type="dxa"/>
          </w:tcPr>
          <w:p w:rsidR="00650D67" w:rsidRPr="00650D67" w:rsidRDefault="00650D67" w:rsidP="00650D67">
            <w:pPr>
              <w:keepLines/>
              <w:spacing w:before="20" w:after="20"/>
              <w:ind w:rightChars="-54" w:right="-130"/>
              <w:rPr>
                <w:rFonts w:ascii="Segoe UI" w:eastAsia="Times New Roman" w:hAnsi="Segoe UI" w:cs="Segoe UI"/>
                <w:kern w:val="0"/>
                <w:sz w:val="17"/>
                <w:szCs w:val="17"/>
                <w:lang w:val="en-GB" w:eastAsia="en-GB"/>
              </w:rPr>
            </w:pPr>
            <w:r w:rsidRPr="00650D67">
              <w:rPr>
                <w:rFonts w:ascii="Segoe UI" w:eastAsia="Times New Roman" w:hAnsi="Segoe UI" w:cs="Segoe UI"/>
                <w:kern w:val="0"/>
                <w:sz w:val="17"/>
                <w:szCs w:val="17"/>
                <w:lang w:val="en-GB" w:eastAsia="en-GB"/>
              </w:rPr>
              <w:lastRenderedPageBreak/>
              <w:t>2</w:t>
            </w:r>
          </w:p>
        </w:tc>
        <w:tc>
          <w:tcPr>
            <w:tcW w:w="13325" w:type="dxa"/>
          </w:tcPr>
          <w:p w:rsidR="00650D67" w:rsidRPr="00650D67" w:rsidRDefault="00650D67" w:rsidP="00650D67">
            <w:pPr>
              <w:keepLines/>
              <w:tabs>
                <w:tab w:val="left" w:pos="150"/>
                <w:tab w:val="left" w:pos="397"/>
                <w:tab w:val="left" w:pos="794"/>
                <w:tab w:val="left" w:pos="1191"/>
              </w:tabs>
              <w:spacing w:before="20" w:after="20"/>
              <w:jc w:val="both"/>
              <w:rPr>
                <w:rFonts w:ascii="Segoe UI" w:hAnsi="Segoe UI" w:cs="Segoe UI"/>
                <w:bCs/>
                <w:kern w:val="0"/>
                <w:sz w:val="17"/>
                <w:szCs w:val="17"/>
                <w:lang w:val="en-GB" w:eastAsia="it-IT"/>
              </w:rPr>
            </w:pPr>
            <w:r w:rsidRPr="00650D67">
              <w:rPr>
                <w:rFonts w:ascii="Segoe UI" w:eastAsia="Times New Roman" w:hAnsi="Segoe UI" w:cs="Times New Roman"/>
                <w:kern w:val="0"/>
                <w:sz w:val="17"/>
                <w:szCs w:val="17"/>
                <w:lang w:val="en-GB" w:eastAsia="en-US"/>
              </w:rPr>
              <w:t>Material subsidiaries should provide a description of each creditor ranking in this row.  This description can be in free form text, and should typically include a specification of at least one type of instrument that is within that creditor ranking (e.g. CET1 capital instruments, T2 capital instruments).  This allows for the disclosure of the creditor hierarchy even if there is a range of different statutory creditor hierarchies in different jurisdictions, tranching that may exist within some jurisdictions’ statutory hierarchies or which material subsidiaries have established contractually with respect to the ranking of claims.</w:t>
            </w:r>
          </w:p>
        </w:tc>
      </w:tr>
      <w:tr w:rsidR="00650D67" w:rsidRPr="00650D67" w:rsidTr="003A4070">
        <w:tc>
          <w:tcPr>
            <w:tcW w:w="567" w:type="dxa"/>
          </w:tcPr>
          <w:p w:rsidR="00650D67" w:rsidRPr="00650D67" w:rsidDel="00F64C30" w:rsidRDefault="00650D67" w:rsidP="00650D67">
            <w:pPr>
              <w:keepLines/>
              <w:spacing w:before="20" w:after="20"/>
              <w:ind w:rightChars="-54" w:right="-130"/>
              <w:rPr>
                <w:rFonts w:ascii="Segoe UI" w:eastAsia="Times New Roman" w:hAnsi="Segoe UI" w:cs="Segoe UI"/>
                <w:kern w:val="0"/>
                <w:sz w:val="17"/>
                <w:szCs w:val="17"/>
                <w:lang w:val="en-GB" w:eastAsia="en-GB"/>
              </w:rPr>
            </w:pPr>
            <w:r w:rsidRPr="00650D67">
              <w:rPr>
                <w:rFonts w:ascii="Segoe UI" w:eastAsia="Times New Roman" w:hAnsi="Segoe UI" w:cs="Segoe UI"/>
                <w:kern w:val="0"/>
                <w:sz w:val="17"/>
                <w:szCs w:val="17"/>
                <w:lang w:val="en-GB" w:eastAsia="en-GB"/>
              </w:rPr>
              <w:t>3</w:t>
            </w:r>
          </w:p>
        </w:tc>
        <w:tc>
          <w:tcPr>
            <w:tcW w:w="13325" w:type="dxa"/>
          </w:tcPr>
          <w:p w:rsidR="00650D67" w:rsidRPr="00650D67" w:rsidRDefault="00650D67" w:rsidP="00650D67">
            <w:pPr>
              <w:keepLines/>
              <w:tabs>
                <w:tab w:val="left" w:pos="150"/>
                <w:tab w:val="left" w:pos="397"/>
                <w:tab w:val="left" w:pos="794"/>
                <w:tab w:val="left" w:pos="1191"/>
              </w:tabs>
              <w:spacing w:before="20" w:after="20"/>
              <w:jc w:val="both"/>
              <w:rPr>
                <w:rFonts w:ascii="Segoe UI" w:hAnsi="Segoe UI" w:cs="Segoe UI"/>
                <w:bCs/>
                <w:kern w:val="0"/>
                <w:sz w:val="17"/>
                <w:szCs w:val="17"/>
                <w:lang w:val="en-GB" w:eastAsia="it-IT"/>
              </w:rPr>
            </w:pPr>
            <w:r w:rsidRPr="00650D67">
              <w:rPr>
                <w:rFonts w:ascii="Segoe UI" w:hAnsi="Segoe UI" w:cs="Segoe UI"/>
                <w:bCs/>
                <w:kern w:val="0"/>
                <w:sz w:val="17"/>
                <w:szCs w:val="17"/>
                <w:lang w:val="en-GB" w:eastAsia="it-IT"/>
              </w:rPr>
              <w:t>Liabilities subject to set-off or netting rights should be included net of the material subsidiary’s claims on the creditor.</w:t>
            </w:r>
          </w:p>
        </w:tc>
      </w:tr>
      <w:tr w:rsidR="00650D67" w:rsidRPr="00650D67" w:rsidTr="003A4070">
        <w:tc>
          <w:tcPr>
            <w:tcW w:w="567" w:type="dxa"/>
          </w:tcPr>
          <w:p w:rsidR="00650D67" w:rsidRPr="00650D67" w:rsidRDefault="00650D67" w:rsidP="00650D67">
            <w:pPr>
              <w:keepLines/>
              <w:spacing w:before="20" w:after="20"/>
              <w:ind w:rightChars="-54" w:right="-130"/>
              <w:rPr>
                <w:rFonts w:ascii="Segoe UI" w:eastAsia="Times New Roman" w:hAnsi="Segoe UI" w:cs="Segoe UI"/>
                <w:kern w:val="0"/>
                <w:sz w:val="17"/>
                <w:szCs w:val="17"/>
                <w:lang w:val="en-GB" w:eastAsia="en-GB"/>
              </w:rPr>
            </w:pPr>
            <w:r w:rsidRPr="00650D67">
              <w:rPr>
                <w:rFonts w:ascii="Segoe UI" w:eastAsia="Times New Roman" w:hAnsi="Segoe UI" w:cs="Segoe UI"/>
                <w:kern w:val="0"/>
                <w:sz w:val="17"/>
                <w:szCs w:val="17"/>
                <w:lang w:val="en-GB" w:eastAsia="en-GB"/>
              </w:rPr>
              <w:t>4</w:t>
            </w:r>
          </w:p>
        </w:tc>
        <w:tc>
          <w:tcPr>
            <w:tcW w:w="13325" w:type="dxa"/>
          </w:tcPr>
          <w:p w:rsidR="00650D67" w:rsidRPr="00650D67" w:rsidRDefault="00650D67" w:rsidP="00650D67">
            <w:pPr>
              <w:keepLines/>
              <w:tabs>
                <w:tab w:val="left" w:pos="150"/>
                <w:tab w:val="left" w:pos="397"/>
                <w:tab w:val="left" w:pos="794"/>
                <w:tab w:val="left" w:pos="1191"/>
              </w:tabs>
              <w:spacing w:before="20" w:after="20"/>
              <w:jc w:val="both"/>
              <w:rPr>
                <w:rFonts w:ascii="Segoe UI" w:hAnsi="Segoe UI" w:cs="Segoe UI"/>
                <w:bCs/>
                <w:kern w:val="0"/>
                <w:sz w:val="17"/>
                <w:szCs w:val="17"/>
                <w:lang w:val="en-GB" w:eastAsia="it-IT"/>
              </w:rPr>
            </w:pPr>
            <w:r w:rsidRPr="00650D67">
              <w:rPr>
                <w:rFonts w:ascii="Segoe UI" w:hAnsi="Segoe UI" w:cs="Segoe UI"/>
                <w:bCs/>
                <w:kern w:val="0"/>
                <w:sz w:val="17"/>
                <w:szCs w:val="17"/>
                <w:lang w:val="en-GB" w:eastAsia="it-IT"/>
              </w:rPr>
              <w:t>This row reports the subset of amounts reported in row 3 that are excluded liabilities.  Such excluded liabilities consist of (i) protected deposits and similar; (ii) sight deposits and other short-term deposits (deposits with original maturity of less than one year); (iii) liabilities which are preferred to senior unsecured creditors under Hong Kong insolvency law; (iv) liabilities arising from derivatives or debt-instruments with derivative-linked features, such as structured notes; (v) liabilities arising other than through a contract, such as tax liabilities; and (vi) any other liabilities that fall within the definition of “excluded liabilities” in the Financial Institutions (Resolution) Ordinance.  Report the amounts of excluded liabilities in row 4 only to the extent that they are reported in row 3 (i.e. liabilities which are not reported in any of the columns of 1 to n and are therefore not reported in row 3 by virtue of the liabilities being more senior to internal loss-absorbing capacity, albeit being excluded liabilities, do not need to be reported in row 4).</w:t>
            </w:r>
          </w:p>
        </w:tc>
      </w:tr>
      <w:tr w:rsidR="00650D67" w:rsidRPr="00650D67" w:rsidTr="003A4070">
        <w:tc>
          <w:tcPr>
            <w:tcW w:w="567" w:type="dxa"/>
          </w:tcPr>
          <w:p w:rsidR="00650D67" w:rsidRPr="00650D67" w:rsidRDefault="00650D67" w:rsidP="00650D67">
            <w:pPr>
              <w:keepLines/>
              <w:spacing w:before="20" w:after="20"/>
              <w:ind w:rightChars="-54" w:right="-130"/>
              <w:rPr>
                <w:rFonts w:ascii="Segoe UI" w:eastAsia="Times New Roman" w:hAnsi="Segoe UI" w:cs="Segoe UI"/>
                <w:kern w:val="0"/>
                <w:sz w:val="17"/>
                <w:szCs w:val="17"/>
                <w:lang w:val="en-GB" w:eastAsia="en-GB"/>
              </w:rPr>
            </w:pPr>
            <w:r w:rsidRPr="00650D67">
              <w:rPr>
                <w:rFonts w:ascii="Segoe UI" w:eastAsia="Times New Roman" w:hAnsi="Segoe UI" w:cs="Segoe UI"/>
                <w:kern w:val="0"/>
                <w:sz w:val="17"/>
                <w:szCs w:val="17"/>
                <w:lang w:val="en-GB" w:eastAsia="en-GB"/>
              </w:rPr>
              <w:t>5</w:t>
            </w:r>
          </w:p>
        </w:tc>
        <w:tc>
          <w:tcPr>
            <w:tcW w:w="13325" w:type="dxa"/>
          </w:tcPr>
          <w:p w:rsidR="00650D67" w:rsidRPr="00650D67" w:rsidRDefault="00650D67" w:rsidP="00650D67">
            <w:pPr>
              <w:keepLines/>
              <w:tabs>
                <w:tab w:val="left" w:pos="150"/>
                <w:tab w:val="left" w:pos="397"/>
                <w:tab w:val="left" w:pos="794"/>
                <w:tab w:val="left" w:pos="1191"/>
              </w:tabs>
              <w:spacing w:before="20" w:after="20"/>
              <w:jc w:val="both"/>
              <w:rPr>
                <w:rFonts w:ascii="Segoe UI" w:hAnsi="Segoe UI" w:cs="Segoe UI"/>
                <w:bCs/>
                <w:kern w:val="0"/>
                <w:sz w:val="17"/>
                <w:szCs w:val="17"/>
                <w:lang w:val="en-GB" w:eastAsia="it-IT"/>
              </w:rPr>
            </w:pPr>
            <w:r w:rsidRPr="00650D67">
              <w:rPr>
                <w:rFonts w:ascii="Segoe UI" w:hAnsi="Segoe UI" w:cs="Segoe UI"/>
                <w:bCs/>
                <w:kern w:val="0"/>
                <w:sz w:val="17"/>
                <w:szCs w:val="17"/>
                <w:lang w:val="en-GB" w:eastAsia="it-IT"/>
              </w:rPr>
              <w:t>The value in row 3 minus the value in row 4.</w:t>
            </w:r>
          </w:p>
        </w:tc>
      </w:tr>
      <w:tr w:rsidR="00650D67" w:rsidRPr="00650D67" w:rsidTr="003A4070">
        <w:tc>
          <w:tcPr>
            <w:tcW w:w="567" w:type="dxa"/>
          </w:tcPr>
          <w:p w:rsidR="00650D67" w:rsidRPr="00650D67" w:rsidRDefault="00650D67" w:rsidP="00650D67">
            <w:pPr>
              <w:keepLines/>
              <w:spacing w:before="20" w:after="20"/>
              <w:ind w:rightChars="-54" w:right="-130"/>
              <w:rPr>
                <w:rFonts w:ascii="Segoe UI" w:eastAsia="Times New Roman" w:hAnsi="Segoe UI" w:cs="Segoe UI"/>
                <w:kern w:val="0"/>
                <w:sz w:val="17"/>
                <w:szCs w:val="17"/>
                <w:lang w:val="en-GB" w:eastAsia="en-GB"/>
              </w:rPr>
            </w:pPr>
            <w:r w:rsidRPr="00650D67">
              <w:rPr>
                <w:rFonts w:ascii="Segoe UI" w:eastAsia="Times New Roman" w:hAnsi="Segoe UI" w:cs="Segoe UI"/>
                <w:kern w:val="0"/>
                <w:sz w:val="17"/>
                <w:szCs w:val="17"/>
                <w:lang w:val="en-GB" w:eastAsia="en-GB"/>
              </w:rPr>
              <w:t>6</w:t>
            </w:r>
          </w:p>
        </w:tc>
        <w:tc>
          <w:tcPr>
            <w:tcW w:w="13325" w:type="dxa"/>
          </w:tcPr>
          <w:p w:rsidR="00650D67" w:rsidRPr="00650D67" w:rsidRDefault="00650D67" w:rsidP="00650D67">
            <w:pPr>
              <w:keepLines/>
              <w:tabs>
                <w:tab w:val="left" w:pos="150"/>
                <w:tab w:val="left" w:pos="397"/>
                <w:tab w:val="left" w:pos="794"/>
                <w:tab w:val="left" w:pos="1191"/>
              </w:tabs>
              <w:spacing w:before="20" w:after="20"/>
              <w:jc w:val="both"/>
              <w:rPr>
                <w:rFonts w:ascii="Segoe UI" w:hAnsi="Segoe UI" w:cs="Segoe UI"/>
                <w:bCs/>
                <w:kern w:val="0"/>
                <w:sz w:val="17"/>
                <w:szCs w:val="17"/>
                <w:lang w:val="en-GB" w:eastAsia="it-IT"/>
              </w:rPr>
            </w:pPr>
            <w:r w:rsidRPr="00650D67">
              <w:rPr>
                <w:rFonts w:ascii="Segoe UI" w:hAnsi="Segoe UI" w:cs="Segoe UI"/>
                <w:bCs/>
                <w:kern w:val="0"/>
                <w:sz w:val="17"/>
                <w:szCs w:val="17"/>
                <w:lang w:val="en-GB" w:eastAsia="it-IT"/>
              </w:rPr>
              <w:t>This row reports the subset of the amounts reported in row 5 that are eligible as internal loss-absorbing capacity according to rule 39 of, and Schedule 2 to, the LAC Rules.  The value in row 6 should be equal to the sum of values in rows 7 to 11.</w:t>
            </w:r>
          </w:p>
        </w:tc>
      </w:tr>
      <w:tr w:rsidR="00650D67" w:rsidRPr="00650D67" w:rsidTr="003A4070">
        <w:tc>
          <w:tcPr>
            <w:tcW w:w="567" w:type="dxa"/>
          </w:tcPr>
          <w:p w:rsidR="00650D67" w:rsidRPr="00650D67" w:rsidRDefault="00650D67" w:rsidP="00650D67">
            <w:pPr>
              <w:keepLines/>
              <w:spacing w:before="20" w:after="20"/>
              <w:ind w:rightChars="-54" w:right="-130"/>
              <w:rPr>
                <w:rFonts w:ascii="Segoe UI" w:eastAsia="Times New Roman" w:hAnsi="Segoe UI" w:cs="Segoe UI"/>
                <w:kern w:val="0"/>
                <w:sz w:val="17"/>
                <w:szCs w:val="17"/>
                <w:lang w:val="en-GB" w:eastAsia="en-GB"/>
              </w:rPr>
            </w:pPr>
            <w:r w:rsidRPr="00650D67">
              <w:rPr>
                <w:rFonts w:ascii="Segoe UI" w:eastAsia="Times New Roman" w:hAnsi="Segoe UI" w:cs="Segoe UI"/>
                <w:kern w:val="0"/>
                <w:sz w:val="17"/>
                <w:szCs w:val="17"/>
                <w:lang w:val="en-GB" w:eastAsia="en-GB"/>
              </w:rPr>
              <w:t>7-11</w:t>
            </w:r>
          </w:p>
        </w:tc>
        <w:tc>
          <w:tcPr>
            <w:tcW w:w="13325" w:type="dxa"/>
          </w:tcPr>
          <w:p w:rsidR="00650D67" w:rsidRPr="00650D67" w:rsidRDefault="00650D67" w:rsidP="00650D67">
            <w:pPr>
              <w:keepLines/>
              <w:tabs>
                <w:tab w:val="left" w:pos="150"/>
                <w:tab w:val="left" w:pos="397"/>
                <w:tab w:val="left" w:pos="794"/>
                <w:tab w:val="left" w:pos="1191"/>
              </w:tabs>
              <w:spacing w:before="20" w:after="20"/>
              <w:jc w:val="both"/>
              <w:rPr>
                <w:rFonts w:ascii="Segoe UI" w:hAnsi="Segoe UI" w:cs="Segoe UI"/>
                <w:bCs/>
                <w:kern w:val="0"/>
                <w:sz w:val="17"/>
                <w:szCs w:val="17"/>
                <w:lang w:val="en-GB" w:eastAsia="it-IT"/>
              </w:rPr>
            </w:pPr>
            <w:r w:rsidRPr="00650D67">
              <w:rPr>
                <w:rFonts w:ascii="Segoe UI" w:hAnsi="Segoe UI" w:cs="Segoe UI"/>
                <w:bCs/>
                <w:kern w:val="0"/>
                <w:sz w:val="17"/>
                <w:szCs w:val="17"/>
                <w:lang w:val="en-GB" w:eastAsia="it-IT"/>
              </w:rPr>
              <w:t>These rows disclose the portions of the amount reported in row 6 according to their respective time to maturity.</w:t>
            </w:r>
          </w:p>
        </w:tc>
      </w:tr>
    </w:tbl>
    <w:p w:rsidR="00650D67" w:rsidRPr="00650D67" w:rsidRDefault="00650D67" w:rsidP="00650D67">
      <w:pPr>
        <w:widowControl/>
        <w:spacing w:before="60" w:after="120"/>
        <w:jc w:val="both"/>
        <w:rPr>
          <w:rFonts w:ascii="Segoe UI" w:eastAsia="Times New Roman" w:hAnsi="Segoe UI" w:cs="Times New Roman"/>
          <w:kern w:val="0"/>
          <w:sz w:val="22"/>
          <w:szCs w:val="20"/>
          <w:lang w:val="en-GB" w:eastAsia="en-US"/>
        </w:rPr>
      </w:pPr>
    </w:p>
    <w:p w:rsidR="00650D67" w:rsidRPr="00650D67" w:rsidRDefault="00650D67" w:rsidP="00650D67">
      <w:pPr>
        <w:widowControl/>
        <w:rPr>
          <w:rFonts w:ascii="Segoe UI" w:eastAsia="Times New Roman" w:hAnsi="Segoe UI" w:cs="Times New Roman"/>
          <w:kern w:val="0"/>
          <w:sz w:val="20"/>
          <w:szCs w:val="20"/>
          <w:lang w:val="en-GB" w:eastAsia="en-US"/>
        </w:rPr>
      </w:pPr>
    </w:p>
    <w:p w:rsidR="005970C2" w:rsidRDefault="005970C2">
      <w:pPr>
        <w:rPr>
          <w:lang w:val="en-GB"/>
        </w:rPr>
        <w:sectPr w:rsidR="005970C2" w:rsidSect="00AA5102">
          <w:footerReference w:type="default" r:id="rId16"/>
          <w:pgSz w:w="16838" w:h="11906" w:orient="landscape"/>
          <w:pgMar w:top="1418" w:right="1440" w:bottom="1418" w:left="1440" w:header="851" w:footer="992" w:gutter="0"/>
          <w:cols w:space="425"/>
          <w:docGrid w:type="lines" w:linePitch="360"/>
        </w:sectPr>
      </w:pPr>
    </w:p>
    <w:tbl>
      <w:tblPr>
        <w:tblW w:w="9640" w:type="dxa"/>
        <w:tblInd w:w="-318" w:type="dxa"/>
        <w:tblBorders>
          <w:top w:val="single" w:sz="4" w:space="0" w:color="auto"/>
          <w:bottom w:val="single" w:sz="4" w:space="0" w:color="auto"/>
          <w:insideH w:val="single" w:sz="4" w:space="0" w:color="auto"/>
          <w:insideV w:val="single" w:sz="4" w:space="0" w:color="auto"/>
        </w:tblBorders>
        <w:tblLook w:val="00A0" w:firstRow="1" w:lastRow="0" w:firstColumn="1" w:lastColumn="0" w:noHBand="0" w:noVBand="0"/>
      </w:tblPr>
      <w:tblGrid>
        <w:gridCol w:w="1985"/>
        <w:gridCol w:w="7655"/>
      </w:tblGrid>
      <w:tr w:rsidR="005970C2" w:rsidRPr="005970C2" w:rsidTr="003A4070">
        <w:tc>
          <w:tcPr>
            <w:tcW w:w="9640" w:type="dxa"/>
            <w:gridSpan w:val="2"/>
            <w:tcBorders>
              <w:top w:val="nil"/>
            </w:tcBorders>
          </w:tcPr>
          <w:p w:rsidR="005970C2" w:rsidRPr="005970C2" w:rsidRDefault="005970C2" w:rsidP="005970C2">
            <w:pPr>
              <w:widowControl/>
              <w:spacing w:before="40" w:after="40"/>
              <w:rPr>
                <w:rFonts w:ascii="Segoe UI" w:eastAsia="Times New Roman" w:hAnsi="Segoe UI" w:cs="Times New Roman"/>
                <w:noProof/>
                <w:kern w:val="0"/>
                <w:sz w:val="17"/>
                <w:szCs w:val="20"/>
                <w:lang w:val="en-GB" w:eastAsia="en-GB"/>
              </w:rPr>
            </w:pPr>
            <w:r w:rsidRPr="005970C2">
              <w:rPr>
                <w:rFonts w:ascii="Segoe UI" w:eastAsia="Times New Roman" w:hAnsi="Segoe UI" w:cs="Times New Roman"/>
                <w:kern w:val="0"/>
                <w:sz w:val="22"/>
                <w:szCs w:val="20"/>
                <w:lang w:val="en-GB" w:eastAsia="en-US"/>
              </w:rPr>
              <w:lastRenderedPageBreak/>
              <w:t>Template TLAC3: Resolution entity – creditor ranking at legal entity level</w:t>
            </w:r>
          </w:p>
        </w:tc>
      </w:tr>
      <w:tr w:rsidR="005970C2" w:rsidRPr="005970C2" w:rsidTr="003A4070">
        <w:tc>
          <w:tcPr>
            <w:tcW w:w="1985" w:type="dxa"/>
          </w:tcPr>
          <w:p w:rsidR="005970C2" w:rsidRPr="005970C2" w:rsidRDefault="005970C2" w:rsidP="005970C2">
            <w:pPr>
              <w:widowControl/>
              <w:spacing w:before="40" w:after="40"/>
              <w:rPr>
                <w:rFonts w:ascii="Segoe UI" w:eastAsia="Times New Roman" w:hAnsi="Segoe UI" w:cs="Times New Roman"/>
                <w:noProof/>
                <w:kern w:val="0"/>
                <w:sz w:val="17"/>
                <w:szCs w:val="17"/>
                <w:lang w:val="en-GB" w:eastAsia="en-GB"/>
              </w:rPr>
            </w:pPr>
            <w:r w:rsidRPr="005970C2">
              <w:rPr>
                <w:rFonts w:ascii="Segoe UI" w:eastAsia="Times New Roman" w:hAnsi="Segoe UI" w:cs="Times New Roman"/>
                <w:b/>
                <w:kern w:val="0"/>
                <w:sz w:val="17"/>
                <w:szCs w:val="17"/>
                <w:lang w:val="en-GB" w:eastAsia="en-GB"/>
              </w:rPr>
              <w:t>Purpose:</w:t>
            </w:r>
          </w:p>
        </w:tc>
        <w:tc>
          <w:tcPr>
            <w:tcW w:w="7655" w:type="dxa"/>
          </w:tcPr>
          <w:p w:rsidR="005970C2" w:rsidRPr="005970C2" w:rsidRDefault="005970C2" w:rsidP="005970C2">
            <w:pPr>
              <w:widowControl/>
              <w:spacing w:before="40" w:after="40"/>
              <w:jc w:val="both"/>
              <w:rPr>
                <w:rFonts w:ascii="Segoe UI" w:hAnsi="Segoe UI" w:cs="Times New Roman"/>
                <w:kern w:val="0"/>
                <w:sz w:val="17"/>
                <w:szCs w:val="20"/>
                <w:lang w:val="en-GB" w:eastAsia="en-GB"/>
              </w:rPr>
            </w:pPr>
            <w:r w:rsidRPr="005970C2">
              <w:rPr>
                <w:rFonts w:ascii="Segoe UI" w:hAnsi="Segoe UI" w:cs="Times New Roman"/>
                <w:kern w:val="0"/>
                <w:sz w:val="17"/>
                <w:szCs w:val="20"/>
                <w:lang w:val="en-GB" w:eastAsia="en-GB"/>
              </w:rPr>
              <w:t>To provide creditors with information regarding their ranking in the capital and liabilities structure of a resolution entity.</w:t>
            </w:r>
          </w:p>
        </w:tc>
      </w:tr>
      <w:tr w:rsidR="005970C2" w:rsidRPr="005970C2" w:rsidTr="003A4070">
        <w:tc>
          <w:tcPr>
            <w:tcW w:w="1985" w:type="dxa"/>
          </w:tcPr>
          <w:p w:rsidR="005970C2" w:rsidRPr="005970C2" w:rsidRDefault="005970C2" w:rsidP="005970C2">
            <w:pPr>
              <w:widowControl/>
              <w:spacing w:before="40" w:after="40"/>
              <w:rPr>
                <w:rFonts w:ascii="Segoe UI" w:eastAsia="Times New Roman" w:hAnsi="Segoe UI" w:cs="Times New Roman"/>
                <w:b/>
                <w:kern w:val="0"/>
                <w:sz w:val="17"/>
                <w:szCs w:val="17"/>
                <w:lang w:val="en-GB" w:eastAsia="en-GB"/>
              </w:rPr>
            </w:pPr>
            <w:r w:rsidRPr="005970C2">
              <w:rPr>
                <w:rFonts w:ascii="Segoe UI" w:eastAsia="Times New Roman" w:hAnsi="Segoe UI" w:cs="Times New Roman"/>
                <w:b/>
                <w:kern w:val="0"/>
                <w:sz w:val="17"/>
                <w:szCs w:val="17"/>
                <w:lang w:val="en-GB" w:eastAsia="en-GB"/>
              </w:rPr>
              <w:t>Scope of application:</w:t>
            </w:r>
          </w:p>
        </w:tc>
        <w:tc>
          <w:tcPr>
            <w:tcW w:w="7655" w:type="dxa"/>
          </w:tcPr>
          <w:p w:rsidR="005970C2" w:rsidRPr="005970C2" w:rsidRDefault="005970C2" w:rsidP="005970C2">
            <w:pPr>
              <w:widowControl/>
              <w:spacing w:before="40" w:after="40"/>
              <w:jc w:val="both"/>
              <w:rPr>
                <w:rFonts w:ascii="Segoe UI" w:hAnsi="Segoe UI" w:cs="Times New Roman"/>
                <w:kern w:val="0"/>
                <w:sz w:val="17"/>
                <w:szCs w:val="20"/>
                <w:lang w:val="en-GB" w:eastAsia="en-GB"/>
              </w:rPr>
            </w:pPr>
            <w:r w:rsidRPr="005970C2">
              <w:rPr>
                <w:rFonts w:ascii="Segoe UI" w:hAnsi="Segoe UI" w:cs="Times New Roman"/>
                <w:kern w:val="0"/>
                <w:sz w:val="17"/>
                <w:szCs w:val="20"/>
                <w:lang w:val="en-GB" w:eastAsia="en-GB"/>
              </w:rPr>
              <w:t xml:space="preserve">This template is mandatory for all resolution entities under the </w:t>
            </w:r>
            <w:r w:rsidRPr="005970C2">
              <w:rPr>
                <w:rFonts w:ascii="Segoe UI" w:eastAsia="新細明體" w:hAnsi="Segoe UI" w:cs="Times New Roman"/>
                <w:kern w:val="0"/>
                <w:sz w:val="17"/>
                <w:szCs w:val="20"/>
                <w:lang w:val="en-GB" w:eastAsia="en-GB"/>
              </w:rPr>
              <w:t>Financial Institutions (Resolution) (Loss-absorbing Capacity Requirements – Banking Sector) Rules (“</w:t>
            </w:r>
            <w:r w:rsidRPr="005970C2">
              <w:rPr>
                <w:rFonts w:ascii="Segoe UI" w:hAnsi="Segoe UI" w:cs="Times New Roman"/>
                <w:kern w:val="0"/>
                <w:sz w:val="17"/>
                <w:szCs w:val="20"/>
                <w:lang w:val="en-GB" w:eastAsia="en-GB"/>
              </w:rPr>
              <w:t>LAC Rules”).  It is to be completed in respect of every resolution entity under the LAC Rules, on a legal entity basis.</w:t>
            </w:r>
          </w:p>
        </w:tc>
      </w:tr>
      <w:tr w:rsidR="005970C2" w:rsidRPr="005970C2" w:rsidTr="003A4070">
        <w:trPr>
          <w:trHeight w:val="275"/>
        </w:trPr>
        <w:tc>
          <w:tcPr>
            <w:tcW w:w="1985" w:type="dxa"/>
          </w:tcPr>
          <w:p w:rsidR="005970C2" w:rsidRPr="005970C2" w:rsidRDefault="005970C2" w:rsidP="005970C2">
            <w:pPr>
              <w:widowControl/>
              <w:spacing w:before="40" w:after="40"/>
              <w:rPr>
                <w:rFonts w:ascii="Segoe UI" w:eastAsia="Times New Roman" w:hAnsi="Segoe UI" w:cs="Times New Roman"/>
                <w:b/>
                <w:kern w:val="0"/>
                <w:sz w:val="17"/>
                <w:szCs w:val="17"/>
                <w:lang w:val="en-GB" w:eastAsia="en-GB"/>
              </w:rPr>
            </w:pPr>
            <w:r w:rsidRPr="005970C2">
              <w:rPr>
                <w:rFonts w:ascii="Segoe UI" w:eastAsia="Times New Roman" w:hAnsi="Segoe UI" w:cs="Times New Roman"/>
                <w:b/>
                <w:kern w:val="0"/>
                <w:sz w:val="17"/>
                <w:szCs w:val="17"/>
                <w:lang w:val="en-GB" w:eastAsia="en-GB"/>
              </w:rPr>
              <w:t>Content:</w:t>
            </w:r>
          </w:p>
        </w:tc>
        <w:tc>
          <w:tcPr>
            <w:tcW w:w="7655" w:type="dxa"/>
          </w:tcPr>
          <w:p w:rsidR="005970C2" w:rsidRPr="005970C2" w:rsidRDefault="005970C2" w:rsidP="005970C2">
            <w:pPr>
              <w:widowControl/>
              <w:spacing w:before="40" w:after="40"/>
              <w:jc w:val="both"/>
              <w:rPr>
                <w:rFonts w:ascii="Segoe UI" w:hAnsi="Segoe UI" w:cs="Times New Roman"/>
                <w:kern w:val="0"/>
                <w:sz w:val="17"/>
                <w:szCs w:val="20"/>
                <w:lang w:val="en-GB" w:eastAsia="en-GB"/>
              </w:rPr>
            </w:pPr>
            <w:r w:rsidRPr="005970C2">
              <w:rPr>
                <w:rFonts w:ascii="Segoe UI" w:hAnsi="Segoe UI" w:cs="Times New Roman"/>
                <w:kern w:val="0"/>
                <w:sz w:val="17"/>
                <w:szCs w:val="20"/>
                <w:lang w:val="en-GB" w:eastAsia="en-GB"/>
              </w:rPr>
              <w:t>Nominal values.</w:t>
            </w:r>
          </w:p>
        </w:tc>
      </w:tr>
      <w:tr w:rsidR="005970C2" w:rsidRPr="005970C2" w:rsidTr="003A4070">
        <w:tc>
          <w:tcPr>
            <w:tcW w:w="1985" w:type="dxa"/>
          </w:tcPr>
          <w:p w:rsidR="005970C2" w:rsidRPr="005970C2" w:rsidRDefault="005970C2" w:rsidP="005970C2">
            <w:pPr>
              <w:widowControl/>
              <w:spacing w:before="40" w:after="40"/>
              <w:rPr>
                <w:rFonts w:ascii="Segoe UI" w:eastAsia="Times New Roman" w:hAnsi="Segoe UI" w:cs="Times New Roman"/>
                <w:kern w:val="0"/>
                <w:sz w:val="17"/>
                <w:szCs w:val="17"/>
                <w:lang w:val="en-GB" w:eastAsia="en-GB"/>
              </w:rPr>
            </w:pPr>
            <w:r w:rsidRPr="005970C2">
              <w:rPr>
                <w:rFonts w:ascii="Segoe UI" w:eastAsia="Times New Roman" w:hAnsi="Segoe UI" w:cs="Times New Roman"/>
                <w:b/>
                <w:kern w:val="0"/>
                <w:sz w:val="17"/>
                <w:szCs w:val="17"/>
                <w:lang w:val="en-GB" w:eastAsia="en-GB"/>
              </w:rPr>
              <w:t>Frequency:</w:t>
            </w:r>
          </w:p>
        </w:tc>
        <w:tc>
          <w:tcPr>
            <w:tcW w:w="7655" w:type="dxa"/>
          </w:tcPr>
          <w:p w:rsidR="005970C2" w:rsidRPr="005970C2" w:rsidRDefault="005970C2" w:rsidP="005970C2">
            <w:pPr>
              <w:widowControl/>
              <w:spacing w:before="40" w:after="40"/>
              <w:jc w:val="both"/>
              <w:rPr>
                <w:rFonts w:ascii="Segoe UI" w:hAnsi="Segoe UI" w:cs="Times New Roman"/>
                <w:kern w:val="0"/>
                <w:sz w:val="17"/>
                <w:szCs w:val="20"/>
                <w:lang w:val="en-GB" w:eastAsia="en-GB"/>
              </w:rPr>
            </w:pPr>
            <w:r w:rsidRPr="005970C2">
              <w:rPr>
                <w:rFonts w:ascii="Segoe UI" w:hAnsi="Segoe UI" w:cs="Times New Roman"/>
                <w:kern w:val="0"/>
                <w:sz w:val="17"/>
                <w:szCs w:val="20"/>
                <w:lang w:val="en-GB" w:eastAsia="en-GB"/>
              </w:rPr>
              <w:t>Semi-annual.</w:t>
            </w:r>
          </w:p>
        </w:tc>
      </w:tr>
      <w:tr w:rsidR="005970C2" w:rsidRPr="005970C2" w:rsidTr="003A4070">
        <w:tc>
          <w:tcPr>
            <w:tcW w:w="1985" w:type="dxa"/>
          </w:tcPr>
          <w:p w:rsidR="005970C2" w:rsidRPr="005970C2" w:rsidRDefault="005970C2" w:rsidP="005970C2">
            <w:pPr>
              <w:widowControl/>
              <w:spacing w:before="40" w:after="40"/>
              <w:rPr>
                <w:rFonts w:ascii="Segoe UI" w:eastAsia="Times New Roman" w:hAnsi="Segoe UI" w:cs="Times New Roman"/>
                <w:kern w:val="0"/>
                <w:sz w:val="17"/>
                <w:szCs w:val="17"/>
                <w:lang w:val="en-GB" w:eastAsia="en-GB"/>
              </w:rPr>
            </w:pPr>
            <w:r w:rsidRPr="005970C2">
              <w:rPr>
                <w:rFonts w:ascii="Segoe UI" w:eastAsia="Times New Roman" w:hAnsi="Segoe UI" w:cs="Times New Roman"/>
                <w:b/>
                <w:kern w:val="0"/>
                <w:sz w:val="17"/>
                <w:szCs w:val="17"/>
                <w:lang w:val="en-GB" w:eastAsia="en-GB"/>
              </w:rPr>
              <w:t>Format:</w:t>
            </w:r>
          </w:p>
        </w:tc>
        <w:tc>
          <w:tcPr>
            <w:tcW w:w="7655" w:type="dxa"/>
          </w:tcPr>
          <w:p w:rsidR="005970C2" w:rsidRPr="005970C2" w:rsidRDefault="005970C2" w:rsidP="005970C2">
            <w:pPr>
              <w:widowControl/>
              <w:spacing w:before="40" w:after="40"/>
              <w:jc w:val="both"/>
              <w:rPr>
                <w:rFonts w:ascii="Segoe UI" w:hAnsi="Segoe UI" w:cs="Times New Roman"/>
                <w:kern w:val="0"/>
                <w:sz w:val="17"/>
                <w:szCs w:val="20"/>
                <w:lang w:val="en-GB" w:eastAsia="en-GB"/>
              </w:rPr>
            </w:pPr>
            <w:r w:rsidRPr="005970C2">
              <w:rPr>
                <w:rFonts w:ascii="Segoe UI" w:hAnsi="Segoe UI" w:cs="Times New Roman"/>
                <w:kern w:val="0"/>
                <w:sz w:val="17"/>
                <w:szCs w:val="20"/>
                <w:lang w:val="en-GB" w:eastAsia="en-GB"/>
              </w:rPr>
              <w:t>Fixed (number and description of each column under “Creditor ranking” depending on the capital and liabilities structure of a resolution entity).</w:t>
            </w:r>
          </w:p>
        </w:tc>
      </w:tr>
      <w:tr w:rsidR="005970C2" w:rsidRPr="005970C2" w:rsidTr="003A4070">
        <w:tc>
          <w:tcPr>
            <w:tcW w:w="1985" w:type="dxa"/>
          </w:tcPr>
          <w:p w:rsidR="005970C2" w:rsidRPr="005970C2" w:rsidRDefault="005970C2" w:rsidP="005970C2">
            <w:pPr>
              <w:widowControl/>
              <w:spacing w:before="40" w:after="40"/>
              <w:rPr>
                <w:rFonts w:ascii="Segoe UI" w:eastAsia="Times New Roman" w:hAnsi="Segoe UI" w:cs="Times New Roman"/>
                <w:b/>
                <w:kern w:val="0"/>
                <w:sz w:val="17"/>
                <w:szCs w:val="17"/>
                <w:lang w:val="en-GB" w:eastAsia="en-GB"/>
              </w:rPr>
            </w:pPr>
            <w:r w:rsidRPr="005970C2">
              <w:rPr>
                <w:rFonts w:ascii="Segoe UI" w:hAnsi="Segoe UI" w:cs="Times New Roman"/>
                <w:b/>
                <w:kern w:val="0"/>
                <w:sz w:val="17"/>
                <w:szCs w:val="17"/>
                <w:lang w:val="en-GB" w:eastAsia="en-GB"/>
              </w:rPr>
              <w:t>Accompanying narrative</w:t>
            </w:r>
            <w:r w:rsidRPr="005970C2">
              <w:rPr>
                <w:rFonts w:ascii="Segoe UI" w:hAnsi="Segoe UI" w:cs="Times New Roman"/>
                <w:kern w:val="0"/>
                <w:sz w:val="17"/>
                <w:szCs w:val="17"/>
                <w:lang w:val="en-GB" w:eastAsia="en-GB"/>
              </w:rPr>
              <w:t>:</w:t>
            </w:r>
          </w:p>
        </w:tc>
        <w:tc>
          <w:tcPr>
            <w:tcW w:w="7655" w:type="dxa"/>
          </w:tcPr>
          <w:p w:rsidR="005970C2" w:rsidRPr="005970C2" w:rsidRDefault="005970C2" w:rsidP="005970C2">
            <w:pPr>
              <w:widowControl/>
              <w:spacing w:before="40" w:after="40"/>
              <w:jc w:val="both"/>
              <w:rPr>
                <w:rFonts w:ascii="Segoe UI" w:hAnsi="Segoe UI" w:cs="Times New Roman"/>
                <w:kern w:val="0"/>
                <w:sz w:val="17"/>
                <w:szCs w:val="20"/>
                <w:lang w:val="en-GB" w:eastAsia="en-GB"/>
              </w:rPr>
            </w:pPr>
            <w:r w:rsidRPr="005970C2">
              <w:rPr>
                <w:rFonts w:ascii="Segoe UI" w:hAnsi="Segoe UI" w:cs="Times New Roman"/>
                <w:kern w:val="0"/>
                <w:sz w:val="17"/>
                <w:szCs w:val="20"/>
                <w:lang w:val="en-GB" w:eastAsia="en-GB"/>
              </w:rPr>
              <w:t>Where appropriate, resolution entities should provide institution- or jurisdiction-specific information relating to credit hierarchies.</w:t>
            </w:r>
          </w:p>
        </w:tc>
      </w:tr>
      <w:tr w:rsidR="005970C2" w:rsidRPr="005970C2" w:rsidTr="003A4070">
        <w:tc>
          <w:tcPr>
            <w:tcW w:w="1985" w:type="dxa"/>
          </w:tcPr>
          <w:p w:rsidR="005970C2" w:rsidRPr="005970C2" w:rsidRDefault="005970C2" w:rsidP="005970C2">
            <w:pPr>
              <w:widowControl/>
              <w:spacing w:before="40" w:after="40"/>
              <w:rPr>
                <w:rFonts w:ascii="Segoe UI" w:hAnsi="Segoe UI" w:cs="Times New Roman"/>
                <w:b/>
                <w:kern w:val="0"/>
                <w:sz w:val="17"/>
                <w:szCs w:val="17"/>
                <w:lang w:val="en-GB" w:eastAsia="en-GB"/>
              </w:rPr>
            </w:pPr>
            <w:r w:rsidRPr="005970C2">
              <w:rPr>
                <w:rFonts w:ascii="Segoe UI" w:hAnsi="Segoe UI" w:cs="Times New Roman"/>
                <w:b/>
                <w:kern w:val="0"/>
                <w:sz w:val="17"/>
                <w:szCs w:val="17"/>
                <w:lang w:val="en-GB" w:eastAsia="en-GB"/>
              </w:rPr>
              <w:t>Corresponding LAC Rules rule</w:t>
            </w:r>
          </w:p>
        </w:tc>
        <w:tc>
          <w:tcPr>
            <w:tcW w:w="7655" w:type="dxa"/>
          </w:tcPr>
          <w:p w:rsidR="005970C2" w:rsidRPr="005970C2" w:rsidRDefault="005970C2" w:rsidP="005970C2">
            <w:pPr>
              <w:widowControl/>
              <w:spacing w:before="40" w:after="40"/>
              <w:jc w:val="both"/>
              <w:rPr>
                <w:rFonts w:ascii="Segoe UI" w:eastAsia="Times New Roman" w:hAnsi="Segoe UI" w:cs="Times New Roman"/>
                <w:kern w:val="0"/>
                <w:sz w:val="17"/>
                <w:szCs w:val="17"/>
                <w:lang w:val="en-GB" w:eastAsia="en-GB"/>
              </w:rPr>
            </w:pPr>
            <w:r w:rsidRPr="005970C2">
              <w:rPr>
                <w:rFonts w:ascii="Segoe UI" w:eastAsia="Times New Roman" w:hAnsi="Segoe UI" w:cs="Times New Roman"/>
                <w:kern w:val="0"/>
                <w:sz w:val="17"/>
                <w:szCs w:val="17"/>
                <w:lang w:val="en-GB" w:eastAsia="en-GB"/>
              </w:rPr>
              <w:t>49</w:t>
            </w:r>
          </w:p>
        </w:tc>
      </w:tr>
    </w:tbl>
    <w:p w:rsidR="005970C2" w:rsidRPr="005970C2" w:rsidRDefault="005970C2" w:rsidP="005970C2">
      <w:pPr>
        <w:widowControl/>
        <w:spacing w:before="40" w:after="40"/>
        <w:rPr>
          <w:rFonts w:ascii="Segoe UI" w:eastAsia="Times New Roman" w:hAnsi="Segoe UI" w:cs="Times New Roman"/>
          <w:kern w:val="0"/>
          <w:sz w:val="22"/>
          <w:szCs w:val="20"/>
          <w:lang w:val="en-GB" w:eastAsia="en-US"/>
        </w:rPr>
      </w:pPr>
    </w:p>
    <w:tbl>
      <w:tblPr>
        <w:tblW w:w="9640" w:type="dxa"/>
        <w:tblInd w:w="-318" w:type="dxa"/>
        <w:tblBorders>
          <w:top w:val="single" w:sz="4" w:space="0" w:color="BCBDBC"/>
          <w:left w:val="single" w:sz="4" w:space="0" w:color="BCBDBC"/>
          <w:bottom w:val="single" w:sz="4" w:space="0" w:color="BCBDBC"/>
          <w:right w:val="single" w:sz="4" w:space="0" w:color="BCBDBC"/>
          <w:insideH w:val="single" w:sz="4" w:space="0" w:color="BCBDBC"/>
          <w:insideV w:val="single" w:sz="4" w:space="0" w:color="BCBDBC"/>
        </w:tblBorders>
        <w:tblLayout w:type="fixed"/>
        <w:tblLook w:val="00A0" w:firstRow="1" w:lastRow="0" w:firstColumn="1" w:lastColumn="0" w:noHBand="0" w:noVBand="0"/>
      </w:tblPr>
      <w:tblGrid>
        <w:gridCol w:w="568"/>
        <w:gridCol w:w="5245"/>
        <w:gridCol w:w="709"/>
        <w:gridCol w:w="708"/>
        <w:gridCol w:w="567"/>
        <w:gridCol w:w="709"/>
        <w:gridCol w:w="1134"/>
      </w:tblGrid>
      <w:tr w:rsidR="005970C2" w:rsidRPr="005970C2" w:rsidTr="003A4070">
        <w:trPr>
          <w:cantSplit/>
          <w:trHeight w:val="113"/>
          <w:tblHeader/>
        </w:trPr>
        <w:tc>
          <w:tcPr>
            <w:tcW w:w="568" w:type="dxa"/>
            <w:tcBorders>
              <w:top w:val="nil"/>
              <w:left w:val="nil"/>
              <w:bottom w:val="nil"/>
              <w:right w:val="nil"/>
            </w:tcBorders>
          </w:tcPr>
          <w:p w:rsidR="005970C2" w:rsidRPr="005970C2" w:rsidRDefault="005970C2" w:rsidP="005970C2">
            <w:pPr>
              <w:keepNext/>
              <w:widowControl/>
              <w:snapToGrid w:val="0"/>
              <w:spacing w:before="40" w:after="40"/>
              <w:rPr>
                <w:rFonts w:ascii="Segoe UI" w:hAnsi="Segoe UI" w:cs="Segoe UI"/>
                <w:kern w:val="0"/>
                <w:sz w:val="17"/>
                <w:szCs w:val="17"/>
                <w:lang w:val="en-GB" w:eastAsia="en-GB"/>
              </w:rPr>
            </w:pPr>
          </w:p>
        </w:tc>
        <w:tc>
          <w:tcPr>
            <w:tcW w:w="5245" w:type="dxa"/>
            <w:tcBorders>
              <w:top w:val="nil"/>
              <w:left w:val="nil"/>
              <w:bottom w:val="nil"/>
              <w:right w:val="single" w:sz="4" w:space="0" w:color="auto"/>
            </w:tcBorders>
            <w:vAlign w:val="center"/>
          </w:tcPr>
          <w:p w:rsidR="005970C2" w:rsidRPr="005970C2" w:rsidRDefault="005970C2" w:rsidP="005970C2">
            <w:pPr>
              <w:keepNext/>
              <w:widowControl/>
              <w:snapToGrid w:val="0"/>
              <w:spacing w:before="40" w:after="40"/>
              <w:rPr>
                <w:rFonts w:ascii="Segoe UI" w:hAnsi="Segoe UI" w:cs="Segoe UI"/>
                <w:kern w:val="0"/>
                <w:sz w:val="17"/>
                <w:szCs w:val="17"/>
                <w:lang w:val="en-GB" w:eastAsia="en-GB"/>
              </w:rPr>
            </w:pPr>
          </w:p>
        </w:tc>
        <w:tc>
          <w:tcPr>
            <w:tcW w:w="2693" w:type="dxa"/>
            <w:gridSpan w:val="4"/>
            <w:tcBorders>
              <w:top w:val="single" w:sz="4" w:space="0" w:color="auto"/>
              <w:left w:val="single" w:sz="4" w:space="0" w:color="auto"/>
              <w:bottom w:val="single" w:sz="4" w:space="0" w:color="BFBFBF" w:themeColor="background1" w:themeShade="BF"/>
              <w:right w:val="single" w:sz="4" w:space="0" w:color="auto"/>
            </w:tcBorders>
            <w:vAlign w:val="center"/>
          </w:tcPr>
          <w:p w:rsidR="005970C2" w:rsidRPr="005970C2" w:rsidRDefault="005970C2" w:rsidP="005970C2">
            <w:pPr>
              <w:widowControl/>
              <w:snapToGrid w:val="0"/>
              <w:spacing w:before="40" w:after="40"/>
              <w:jc w:val="center"/>
              <w:rPr>
                <w:rFonts w:ascii="Segoe UI" w:hAnsi="Segoe UI" w:cs="Segoe UI"/>
                <w:bCs/>
                <w:kern w:val="0"/>
                <w:sz w:val="17"/>
                <w:szCs w:val="17"/>
                <w:lang w:val="en-GB" w:eastAsia="ja-JP"/>
              </w:rPr>
            </w:pPr>
            <w:r w:rsidRPr="005970C2">
              <w:rPr>
                <w:rFonts w:ascii="Segoe UI" w:hAnsi="Segoe UI" w:cs="Segoe UI"/>
                <w:bCs/>
                <w:kern w:val="0"/>
                <w:sz w:val="17"/>
                <w:szCs w:val="17"/>
                <w:lang w:val="en-GB" w:eastAsia="ja-JP"/>
              </w:rPr>
              <w:t>Creditor ranking</w:t>
            </w:r>
          </w:p>
        </w:tc>
        <w:tc>
          <w:tcPr>
            <w:tcW w:w="1134" w:type="dxa"/>
            <w:vMerge w:val="restart"/>
            <w:tcBorders>
              <w:top w:val="single" w:sz="4" w:space="0" w:color="auto"/>
              <w:left w:val="single" w:sz="4" w:space="0" w:color="auto"/>
              <w:right w:val="single" w:sz="4" w:space="0" w:color="auto"/>
            </w:tcBorders>
            <w:vAlign w:val="center"/>
          </w:tcPr>
          <w:p w:rsidR="005970C2" w:rsidRPr="005970C2" w:rsidRDefault="005970C2" w:rsidP="005970C2">
            <w:pPr>
              <w:widowControl/>
              <w:snapToGrid w:val="0"/>
              <w:spacing w:before="40" w:after="40"/>
              <w:jc w:val="center"/>
              <w:rPr>
                <w:rFonts w:ascii="Segoe UI" w:hAnsi="Segoe UI" w:cs="Segoe UI"/>
                <w:bCs/>
                <w:kern w:val="0"/>
                <w:sz w:val="17"/>
                <w:szCs w:val="17"/>
                <w:lang w:val="en-GB" w:eastAsia="ja-JP"/>
              </w:rPr>
            </w:pPr>
            <w:r w:rsidRPr="005970C2">
              <w:rPr>
                <w:rFonts w:ascii="Segoe UI" w:hAnsi="Segoe UI" w:cs="Segoe UI"/>
                <w:bCs/>
                <w:kern w:val="0"/>
                <w:sz w:val="17"/>
                <w:szCs w:val="17"/>
                <w:lang w:val="en-GB" w:eastAsia="ja-JP"/>
              </w:rPr>
              <w:t>Sum of values in columns 1 to n</w:t>
            </w:r>
          </w:p>
        </w:tc>
      </w:tr>
      <w:tr w:rsidR="005970C2" w:rsidRPr="005970C2" w:rsidTr="003A4070">
        <w:trPr>
          <w:cantSplit/>
          <w:trHeight w:val="113"/>
          <w:tblHeader/>
        </w:trPr>
        <w:tc>
          <w:tcPr>
            <w:tcW w:w="568" w:type="dxa"/>
            <w:tcBorders>
              <w:top w:val="nil"/>
              <w:left w:val="nil"/>
              <w:bottom w:val="nil"/>
              <w:right w:val="nil"/>
            </w:tcBorders>
          </w:tcPr>
          <w:p w:rsidR="005970C2" w:rsidRPr="005970C2" w:rsidRDefault="005970C2" w:rsidP="005970C2">
            <w:pPr>
              <w:keepNext/>
              <w:widowControl/>
              <w:snapToGrid w:val="0"/>
              <w:spacing w:before="40" w:after="40"/>
              <w:rPr>
                <w:rFonts w:ascii="Segoe UI" w:hAnsi="Segoe UI" w:cs="Segoe UI"/>
                <w:kern w:val="0"/>
                <w:sz w:val="17"/>
                <w:szCs w:val="17"/>
                <w:lang w:val="en-GB" w:eastAsia="en-GB"/>
              </w:rPr>
            </w:pPr>
          </w:p>
        </w:tc>
        <w:tc>
          <w:tcPr>
            <w:tcW w:w="5245" w:type="dxa"/>
            <w:tcBorders>
              <w:top w:val="nil"/>
              <w:left w:val="nil"/>
              <w:bottom w:val="nil"/>
              <w:right w:val="single" w:sz="4" w:space="0" w:color="auto"/>
            </w:tcBorders>
            <w:vAlign w:val="center"/>
          </w:tcPr>
          <w:p w:rsidR="005970C2" w:rsidRPr="005970C2" w:rsidRDefault="005970C2" w:rsidP="005970C2">
            <w:pPr>
              <w:keepNext/>
              <w:widowControl/>
              <w:snapToGrid w:val="0"/>
              <w:spacing w:before="40" w:after="40"/>
              <w:rPr>
                <w:rFonts w:ascii="Segoe UI" w:hAnsi="Segoe UI" w:cs="Segoe UI"/>
                <w:kern w:val="0"/>
                <w:sz w:val="17"/>
                <w:szCs w:val="17"/>
                <w:lang w:val="en-GB" w:eastAsia="en-GB"/>
              </w:rPr>
            </w:pPr>
          </w:p>
        </w:tc>
        <w:tc>
          <w:tcPr>
            <w:tcW w:w="709" w:type="dxa"/>
            <w:tcBorders>
              <w:top w:val="single" w:sz="4" w:space="0" w:color="BFBFBF" w:themeColor="background1" w:themeShade="BF"/>
              <w:left w:val="single" w:sz="4" w:space="0" w:color="auto"/>
              <w:bottom w:val="nil"/>
              <w:right w:val="single" w:sz="4" w:space="0" w:color="D9D9D9" w:themeColor="background1" w:themeShade="D9"/>
            </w:tcBorders>
          </w:tcPr>
          <w:p w:rsidR="005970C2" w:rsidRPr="005970C2" w:rsidRDefault="005970C2" w:rsidP="005970C2">
            <w:pPr>
              <w:widowControl/>
              <w:snapToGrid w:val="0"/>
              <w:spacing w:before="40" w:after="40"/>
              <w:jc w:val="center"/>
              <w:rPr>
                <w:rFonts w:ascii="Segoe UI" w:hAnsi="Segoe UI" w:cs="Segoe UI"/>
                <w:bCs/>
                <w:kern w:val="0"/>
                <w:sz w:val="17"/>
                <w:szCs w:val="17"/>
                <w:lang w:val="en-GB" w:eastAsia="ja-JP"/>
              </w:rPr>
            </w:pPr>
            <w:r w:rsidRPr="005970C2">
              <w:rPr>
                <w:rFonts w:ascii="Segoe UI" w:hAnsi="Segoe UI" w:cs="Segoe UI"/>
                <w:bCs/>
                <w:kern w:val="0"/>
                <w:sz w:val="17"/>
                <w:szCs w:val="17"/>
                <w:lang w:val="en-GB" w:eastAsia="ja-JP"/>
              </w:rPr>
              <w:t>1</w:t>
            </w:r>
          </w:p>
        </w:tc>
        <w:tc>
          <w:tcPr>
            <w:tcW w:w="708" w:type="dxa"/>
            <w:tcBorders>
              <w:top w:val="single" w:sz="4" w:space="0" w:color="BFBFBF" w:themeColor="background1" w:themeShade="BF"/>
              <w:left w:val="single" w:sz="4" w:space="0" w:color="D9D9D9" w:themeColor="background1" w:themeShade="D9"/>
              <w:bottom w:val="nil"/>
              <w:right w:val="single" w:sz="4" w:space="0" w:color="D9D9D9" w:themeColor="background1" w:themeShade="D9"/>
            </w:tcBorders>
          </w:tcPr>
          <w:p w:rsidR="005970C2" w:rsidRPr="005970C2" w:rsidRDefault="005970C2" w:rsidP="005970C2">
            <w:pPr>
              <w:widowControl/>
              <w:snapToGrid w:val="0"/>
              <w:spacing w:before="40" w:after="40"/>
              <w:jc w:val="center"/>
              <w:rPr>
                <w:rFonts w:ascii="Segoe UI" w:hAnsi="Segoe UI" w:cs="Segoe UI"/>
                <w:bCs/>
                <w:kern w:val="0"/>
                <w:sz w:val="17"/>
                <w:szCs w:val="17"/>
                <w:lang w:val="en-GB" w:eastAsia="ja-JP"/>
              </w:rPr>
            </w:pPr>
            <w:r w:rsidRPr="005970C2">
              <w:rPr>
                <w:rFonts w:ascii="Segoe UI" w:hAnsi="Segoe UI" w:cs="Segoe UI"/>
                <w:bCs/>
                <w:kern w:val="0"/>
                <w:sz w:val="17"/>
                <w:szCs w:val="17"/>
                <w:lang w:val="en-GB" w:eastAsia="ja-JP"/>
              </w:rPr>
              <w:t>2</w:t>
            </w:r>
          </w:p>
        </w:tc>
        <w:tc>
          <w:tcPr>
            <w:tcW w:w="567" w:type="dxa"/>
            <w:tcBorders>
              <w:top w:val="single" w:sz="4" w:space="0" w:color="BFBFBF" w:themeColor="background1" w:themeShade="BF"/>
              <w:left w:val="single" w:sz="4" w:space="0" w:color="D9D9D9" w:themeColor="background1" w:themeShade="D9"/>
              <w:bottom w:val="nil"/>
              <w:right w:val="single" w:sz="4" w:space="0" w:color="D9D9D9" w:themeColor="background1" w:themeShade="D9"/>
            </w:tcBorders>
          </w:tcPr>
          <w:p w:rsidR="005970C2" w:rsidRPr="005970C2" w:rsidRDefault="005970C2" w:rsidP="005970C2">
            <w:pPr>
              <w:widowControl/>
              <w:snapToGrid w:val="0"/>
              <w:spacing w:before="40" w:after="40"/>
              <w:jc w:val="center"/>
              <w:rPr>
                <w:rFonts w:ascii="Segoe UI" w:hAnsi="Segoe UI" w:cs="Segoe UI"/>
                <w:bCs/>
                <w:kern w:val="0"/>
                <w:sz w:val="17"/>
                <w:szCs w:val="17"/>
                <w:lang w:val="en-GB" w:eastAsia="ja-JP"/>
              </w:rPr>
            </w:pPr>
            <w:r w:rsidRPr="005970C2">
              <w:rPr>
                <w:rFonts w:ascii="Segoe UI" w:hAnsi="Segoe UI" w:cs="Segoe UI"/>
                <w:bCs/>
                <w:kern w:val="0"/>
                <w:sz w:val="17"/>
                <w:szCs w:val="17"/>
                <w:lang w:val="en-GB" w:eastAsia="ja-JP"/>
              </w:rPr>
              <w:t>…</w:t>
            </w:r>
          </w:p>
        </w:tc>
        <w:tc>
          <w:tcPr>
            <w:tcW w:w="709" w:type="dxa"/>
            <w:tcBorders>
              <w:top w:val="single" w:sz="4" w:space="0" w:color="BFBFBF" w:themeColor="background1" w:themeShade="BF"/>
              <w:left w:val="single" w:sz="4" w:space="0" w:color="D9D9D9" w:themeColor="background1" w:themeShade="D9"/>
              <w:bottom w:val="nil"/>
              <w:right w:val="single" w:sz="4" w:space="0" w:color="auto"/>
            </w:tcBorders>
          </w:tcPr>
          <w:p w:rsidR="005970C2" w:rsidRPr="005970C2" w:rsidRDefault="005970C2" w:rsidP="005970C2">
            <w:pPr>
              <w:widowControl/>
              <w:snapToGrid w:val="0"/>
              <w:spacing w:before="40" w:after="40"/>
              <w:jc w:val="center"/>
              <w:rPr>
                <w:rFonts w:ascii="Segoe UI" w:hAnsi="Segoe UI" w:cs="Segoe UI"/>
                <w:bCs/>
                <w:kern w:val="0"/>
                <w:sz w:val="17"/>
                <w:szCs w:val="17"/>
                <w:lang w:val="en-GB" w:eastAsia="ja-JP"/>
              </w:rPr>
            </w:pPr>
            <w:r w:rsidRPr="005970C2">
              <w:rPr>
                <w:rFonts w:ascii="Segoe UI" w:hAnsi="Segoe UI" w:cs="Segoe UI"/>
                <w:bCs/>
                <w:kern w:val="0"/>
                <w:sz w:val="17"/>
                <w:szCs w:val="17"/>
                <w:lang w:val="en-GB" w:eastAsia="ja-JP"/>
              </w:rPr>
              <w:t>n</w:t>
            </w:r>
          </w:p>
        </w:tc>
        <w:tc>
          <w:tcPr>
            <w:tcW w:w="1134" w:type="dxa"/>
            <w:vMerge/>
            <w:tcBorders>
              <w:left w:val="single" w:sz="4" w:space="0" w:color="auto"/>
              <w:right w:val="single" w:sz="4" w:space="0" w:color="auto"/>
            </w:tcBorders>
          </w:tcPr>
          <w:p w:rsidR="005970C2" w:rsidRPr="005970C2" w:rsidRDefault="005970C2" w:rsidP="005970C2">
            <w:pPr>
              <w:widowControl/>
              <w:snapToGrid w:val="0"/>
              <w:spacing w:before="40" w:after="40"/>
              <w:jc w:val="center"/>
              <w:rPr>
                <w:rFonts w:ascii="Segoe UI" w:hAnsi="Segoe UI" w:cs="Segoe UI"/>
                <w:bCs/>
                <w:kern w:val="0"/>
                <w:sz w:val="17"/>
                <w:szCs w:val="17"/>
                <w:lang w:val="en-GB" w:eastAsia="ja-JP"/>
              </w:rPr>
            </w:pPr>
          </w:p>
        </w:tc>
      </w:tr>
      <w:tr w:rsidR="005970C2" w:rsidRPr="005970C2" w:rsidTr="003A4070">
        <w:trPr>
          <w:cantSplit/>
          <w:tblHeader/>
        </w:trPr>
        <w:tc>
          <w:tcPr>
            <w:tcW w:w="568" w:type="dxa"/>
            <w:tcBorders>
              <w:top w:val="nil"/>
              <w:left w:val="nil"/>
              <w:bottom w:val="single" w:sz="4" w:space="0" w:color="auto"/>
              <w:right w:val="nil"/>
            </w:tcBorders>
          </w:tcPr>
          <w:p w:rsidR="005970C2" w:rsidRPr="005970C2" w:rsidRDefault="005970C2" w:rsidP="005970C2">
            <w:pPr>
              <w:keepNext/>
              <w:widowControl/>
              <w:snapToGrid w:val="0"/>
              <w:rPr>
                <w:rFonts w:ascii="Segoe UI" w:hAnsi="Segoe UI" w:cs="Segoe UI"/>
                <w:kern w:val="0"/>
                <w:sz w:val="17"/>
                <w:szCs w:val="17"/>
                <w:lang w:val="en-GB" w:eastAsia="en-GB"/>
              </w:rPr>
            </w:pPr>
          </w:p>
        </w:tc>
        <w:tc>
          <w:tcPr>
            <w:tcW w:w="5245" w:type="dxa"/>
            <w:tcBorders>
              <w:top w:val="nil"/>
              <w:left w:val="nil"/>
              <w:bottom w:val="single" w:sz="4" w:space="0" w:color="auto"/>
              <w:right w:val="single" w:sz="4" w:space="0" w:color="auto"/>
            </w:tcBorders>
            <w:vAlign w:val="center"/>
          </w:tcPr>
          <w:p w:rsidR="005970C2" w:rsidRPr="005970C2" w:rsidRDefault="005970C2" w:rsidP="005970C2">
            <w:pPr>
              <w:keepNext/>
              <w:widowControl/>
              <w:snapToGrid w:val="0"/>
              <w:rPr>
                <w:rFonts w:ascii="Segoe UI" w:hAnsi="Segoe UI" w:cs="Segoe UI"/>
                <w:kern w:val="0"/>
                <w:sz w:val="17"/>
                <w:szCs w:val="17"/>
                <w:lang w:val="en-GB" w:eastAsia="en-GB"/>
              </w:rPr>
            </w:pPr>
          </w:p>
        </w:tc>
        <w:tc>
          <w:tcPr>
            <w:tcW w:w="709" w:type="dxa"/>
            <w:tcBorders>
              <w:top w:val="nil"/>
              <w:left w:val="single" w:sz="4" w:space="0" w:color="auto"/>
              <w:bottom w:val="single" w:sz="4" w:space="0" w:color="auto"/>
              <w:right w:val="single" w:sz="4" w:space="0" w:color="D9D9D9" w:themeColor="background1" w:themeShade="D9"/>
            </w:tcBorders>
            <w:vAlign w:val="center"/>
          </w:tcPr>
          <w:p w:rsidR="005970C2" w:rsidRPr="005970C2" w:rsidRDefault="005970C2" w:rsidP="005970C2">
            <w:pPr>
              <w:widowControl/>
              <w:snapToGrid w:val="0"/>
              <w:spacing w:before="40" w:after="40"/>
              <w:ind w:leftChars="-54" w:left="-130" w:rightChars="-71" w:right="-170"/>
              <w:jc w:val="center"/>
              <w:rPr>
                <w:rFonts w:ascii="Segoe UI" w:hAnsi="Segoe UI" w:cs="Segoe UI"/>
                <w:bCs/>
                <w:kern w:val="0"/>
                <w:sz w:val="17"/>
                <w:szCs w:val="17"/>
                <w:lang w:val="en-GB" w:eastAsia="it-IT"/>
              </w:rPr>
            </w:pPr>
            <w:r w:rsidRPr="005970C2">
              <w:rPr>
                <w:rFonts w:ascii="Segoe UI" w:hAnsi="Segoe UI" w:cs="Segoe UI"/>
                <w:bCs/>
                <w:kern w:val="0"/>
                <w:sz w:val="17"/>
                <w:szCs w:val="17"/>
                <w:lang w:val="en-GB" w:eastAsia="it-IT"/>
              </w:rPr>
              <w:t>(most junior)</w:t>
            </w:r>
          </w:p>
        </w:tc>
        <w:tc>
          <w:tcPr>
            <w:tcW w:w="708" w:type="dxa"/>
            <w:tcBorders>
              <w:top w:val="nil"/>
              <w:left w:val="single" w:sz="4" w:space="0" w:color="D9D9D9" w:themeColor="background1" w:themeShade="D9"/>
              <w:bottom w:val="single" w:sz="4" w:space="0" w:color="auto"/>
              <w:right w:val="single" w:sz="4" w:space="0" w:color="D9D9D9" w:themeColor="background1" w:themeShade="D9"/>
            </w:tcBorders>
            <w:vAlign w:val="center"/>
          </w:tcPr>
          <w:p w:rsidR="005970C2" w:rsidRPr="005970C2" w:rsidRDefault="005970C2" w:rsidP="005970C2">
            <w:pPr>
              <w:widowControl/>
              <w:snapToGrid w:val="0"/>
              <w:jc w:val="center"/>
              <w:rPr>
                <w:rFonts w:ascii="Segoe UI" w:hAnsi="Segoe UI" w:cs="Segoe UI"/>
                <w:kern w:val="0"/>
                <w:sz w:val="17"/>
                <w:szCs w:val="17"/>
                <w:lang w:val="en-GB" w:eastAsia="it-IT"/>
              </w:rPr>
            </w:pPr>
          </w:p>
        </w:tc>
        <w:tc>
          <w:tcPr>
            <w:tcW w:w="567" w:type="dxa"/>
            <w:tcBorders>
              <w:top w:val="nil"/>
              <w:left w:val="single" w:sz="4" w:space="0" w:color="D9D9D9" w:themeColor="background1" w:themeShade="D9"/>
              <w:bottom w:val="single" w:sz="4" w:space="0" w:color="auto"/>
              <w:right w:val="single" w:sz="4" w:space="0" w:color="D9D9D9" w:themeColor="background1" w:themeShade="D9"/>
            </w:tcBorders>
            <w:vAlign w:val="center"/>
          </w:tcPr>
          <w:p w:rsidR="005970C2" w:rsidRPr="005970C2" w:rsidRDefault="005970C2" w:rsidP="005970C2">
            <w:pPr>
              <w:widowControl/>
              <w:snapToGrid w:val="0"/>
              <w:jc w:val="center"/>
              <w:rPr>
                <w:rFonts w:ascii="Segoe UI" w:hAnsi="Segoe UI" w:cs="Segoe UI"/>
                <w:bCs/>
                <w:kern w:val="0"/>
                <w:sz w:val="17"/>
                <w:szCs w:val="17"/>
                <w:lang w:val="en-GB" w:eastAsia="ja-JP"/>
              </w:rPr>
            </w:pPr>
          </w:p>
        </w:tc>
        <w:tc>
          <w:tcPr>
            <w:tcW w:w="709" w:type="dxa"/>
            <w:tcBorders>
              <w:top w:val="nil"/>
              <w:left w:val="single" w:sz="4" w:space="0" w:color="D9D9D9" w:themeColor="background1" w:themeShade="D9"/>
              <w:bottom w:val="single" w:sz="4" w:space="0" w:color="auto"/>
              <w:right w:val="single" w:sz="4" w:space="0" w:color="auto"/>
            </w:tcBorders>
            <w:vAlign w:val="center"/>
          </w:tcPr>
          <w:p w:rsidR="005970C2" w:rsidRPr="005970C2" w:rsidRDefault="005970C2" w:rsidP="005970C2">
            <w:pPr>
              <w:widowControl/>
              <w:snapToGrid w:val="0"/>
              <w:ind w:leftChars="-54" w:left="-130" w:rightChars="-80" w:right="-192"/>
              <w:jc w:val="center"/>
              <w:rPr>
                <w:rFonts w:ascii="Segoe UI" w:hAnsi="Segoe UI" w:cs="Segoe UI"/>
                <w:bCs/>
                <w:kern w:val="0"/>
                <w:sz w:val="17"/>
                <w:szCs w:val="17"/>
                <w:lang w:val="en-GB" w:eastAsia="it-IT"/>
              </w:rPr>
            </w:pPr>
            <w:r w:rsidRPr="005970C2">
              <w:rPr>
                <w:rFonts w:ascii="Segoe UI" w:hAnsi="Segoe UI" w:cs="Segoe UI"/>
                <w:bCs/>
                <w:kern w:val="0"/>
                <w:sz w:val="17"/>
                <w:szCs w:val="17"/>
                <w:lang w:val="en-GB" w:eastAsia="it-IT"/>
              </w:rPr>
              <w:t>(most senior)</w:t>
            </w:r>
          </w:p>
        </w:tc>
        <w:tc>
          <w:tcPr>
            <w:tcW w:w="1134" w:type="dxa"/>
            <w:vMerge/>
            <w:tcBorders>
              <w:left w:val="single" w:sz="4" w:space="0" w:color="auto"/>
              <w:bottom w:val="single" w:sz="4" w:space="0" w:color="auto"/>
              <w:right w:val="single" w:sz="4" w:space="0" w:color="auto"/>
            </w:tcBorders>
            <w:vAlign w:val="center"/>
          </w:tcPr>
          <w:p w:rsidR="005970C2" w:rsidRPr="005970C2" w:rsidRDefault="005970C2" w:rsidP="005970C2">
            <w:pPr>
              <w:widowControl/>
              <w:snapToGrid w:val="0"/>
              <w:ind w:leftChars="-54" w:left="-130" w:rightChars="-80" w:right="-192"/>
              <w:jc w:val="center"/>
              <w:rPr>
                <w:rFonts w:ascii="Segoe UI" w:hAnsi="Segoe UI" w:cs="Segoe UI"/>
                <w:bCs/>
                <w:kern w:val="0"/>
                <w:sz w:val="17"/>
                <w:szCs w:val="17"/>
                <w:lang w:val="en-GB" w:eastAsia="it-IT"/>
              </w:rPr>
            </w:pPr>
          </w:p>
        </w:tc>
      </w:tr>
      <w:tr w:rsidR="005970C2" w:rsidRPr="005970C2" w:rsidTr="003A4070">
        <w:trPr>
          <w:cantSplit/>
        </w:trPr>
        <w:tc>
          <w:tcPr>
            <w:tcW w:w="568" w:type="dxa"/>
            <w:tcBorders>
              <w:top w:val="single" w:sz="4" w:space="0" w:color="BFBFBF" w:themeColor="background1" w:themeShade="BF"/>
              <w:left w:val="nil"/>
              <w:bottom w:val="single" w:sz="4" w:space="0" w:color="BFBFBF" w:themeColor="background1" w:themeShade="BF"/>
              <w:right w:val="single" w:sz="4" w:space="0" w:color="auto"/>
            </w:tcBorders>
            <w:vAlign w:val="center"/>
          </w:tcPr>
          <w:p w:rsidR="005970C2" w:rsidRPr="005970C2" w:rsidRDefault="005970C2" w:rsidP="005970C2">
            <w:pPr>
              <w:widowControl/>
              <w:snapToGrid w:val="0"/>
              <w:spacing w:before="40" w:after="40"/>
              <w:rPr>
                <w:rFonts w:ascii="Segoe UI" w:eastAsia="Times New Roman" w:hAnsi="Segoe UI" w:cs="Times New Roman"/>
                <w:kern w:val="0"/>
                <w:sz w:val="17"/>
                <w:szCs w:val="20"/>
                <w:lang w:val="en-GB" w:eastAsia="en-CA"/>
              </w:rPr>
            </w:pPr>
            <w:r w:rsidRPr="005970C2">
              <w:rPr>
                <w:rFonts w:ascii="Segoe UI" w:eastAsia="Times New Roman" w:hAnsi="Segoe UI" w:cs="Times New Roman"/>
                <w:kern w:val="0"/>
                <w:sz w:val="17"/>
                <w:szCs w:val="20"/>
                <w:lang w:val="en-GB" w:eastAsia="en-CA"/>
              </w:rPr>
              <w:t>1</w:t>
            </w:r>
          </w:p>
        </w:tc>
        <w:tc>
          <w:tcPr>
            <w:tcW w:w="5245" w:type="dxa"/>
            <w:tcBorders>
              <w:top w:val="single" w:sz="4" w:space="0" w:color="BFBFBF" w:themeColor="background1" w:themeShade="BF"/>
              <w:left w:val="nil"/>
              <w:bottom w:val="single" w:sz="4" w:space="0" w:color="BFBFBF" w:themeColor="background1" w:themeShade="BF"/>
              <w:right w:val="single" w:sz="4" w:space="0" w:color="auto"/>
            </w:tcBorders>
            <w:vAlign w:val="center"/>
          </w:tcPr>
          <w:p w:rsidR="005970C2" w:rsidRPr="005970C2" w:rsidRDefault="005970C2" w:rsidP="005970C2">
            <w:pPr>
              <w:keepNext/>
              <w:widowControl/>
              <w:tabs>
                <w:tab w:val="left" w:pos="39"/>
              </w:tabs>
              <w:snapToGrid w:val="0"/>
              <w:spacing w:before="20" w:after="20"/>
              <w:ind w:left="39"/>
              <w:rPr>
                <w:rFonts w:ascii="Segoe UI" w:hAnsi="Segoe UI" w:cs="Segoe UI"/>
                <w:kern w:val="0"/>
                <w:sz w:val="17"/>
                <w:szCs w:val="17"/>
                <w:lang w:val="en-GB" w:eastAsia="en-GB"/>
              </w:rPr>
            </w:pPr>
            <w:r w:rsidRPr="005970C2">
              <w:rPr>
                <w:rFonts w:ascii="Segoe UI" w:hAnsi="Segoe UI" w:cs="Segoe UI"/>
                <w:kern w:val="0"/>
                <w:sz w:val="17"/>
                <w:szCs w:val="17"/>
                <w:lang w:val="en-GB" w:eastAsia="en-GB"/>
              </w:rPr>
              <w:t>Description of creditor ranking (free text)</w:t>
            </w:r>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D9D9D9" w:themeColor="background1" w:themeShade="D9"/>
            </w:tcBorders>
          </w:tcPr>
          <w:p w:rsidR="005970C2" w:rsidRPr="005970C2" w:rsidRDefault="005970C2" w:rsidP="005970C2">
            <w:pPr>
              <w:widowControl/>
              <w:tabs>
                <w:tab w:val="decimal" w:pos="31"/>
              </w:tabs>
              <w:snapToGrid w:val="0"/>
              <w:spacing w:before="20" w:after="20"/>
              <w:jc w:val="center"/>
              <w:rPr>
                <w:rFonts w:ascii="Segoe UI" w:hAnsi="Segoe UI" w:cs="Segoe UI"/>
                <w:kern w:val="0"/>
                <w:sz w:val="17"/>
                <w:szCs w:val="17"/>
                <w:lang w:val="en-GB" w:eastAsia="en-GB"/>
              </w:rPr>
            </w:pPr>
          </w:p>
        </w:tc>
        <w:tc>
          <w:tcPr>
            <w:tcW w:w="708"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D9D9D9" w:themeColor="background1" w:themeShade="D9"/>
            </w:tcBorders>
          </w:tcPr>
          <w:p w:rsidR="005970C2" w:rsidRPr="005970C2" w:rsidRDefault="005970C2" w:rsidP="005970C2">
            <w:pPr>
              <w:widowControl/>
              <w:tabs>
                <w:tab w:val="decimal" w:pos="31"/>
              </w:tabs>
              <w:snapToGrid w:val="0"/>
              <w:spacing w:before="20" w:after="20"/>
              <w:jc w:val="center"/>
              <w:rPr>
                <w:rFonts w:ascii="Segoe UI" w:hAnsi="Segoe UI" w:cs="Segoe UI"/>
                <w:kern w:val="0"/>
                <w:sz w:val="17"/>
                <w:szCs w:val="17"/>
                <w:lang w:val="en-GB" w:eastAsia="en-GB"/>
              </w:rPr>
            </w:pPr>
          </w:p>
        </w:tc>
        <w:tc>
          <w:tcPr>
            <w:tcW w:w="567"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D9D9D9" w:themeColor="background1" w:themeShade="D9"/>
            </w:tcBorders>
          </w:tcPr>
          <w:p w:rsidR="005970C2" w:rsidRPr="005970C2" w:rsidRDefault="005970C2" w:rsidP="005970C2">
            <w:pPr>
              <w:widowControl/>
              <w:tabs>
                <w:tab w:val="decimal" w:pos="31"/>
              </w:tabs>
              <w:snapToGrid w:val="0"/>
              <w:spacing w:before="20" w:after="20"/>
              <w:jc w:val="center"/>
              <w:rPr>
                <w:rFonts w:ascii="Segoe UI" w:hAnsi="Segoe UI" w:cs="Segoe UI"/>
                <w:kern w:val="0"/>
                <w:sz w:val="17"/>
                <w:szCs w:val="17"/>
                <w:lang w:val="en-GB" w:eastAsia="en-GB"/>
              </w:rPr>
            </w:pPr>
            <w:r w:rsidRPr="005970C2">
              <w:rPr>
                <w:rFonts w:ascii="Segoe UI" w:hAnsi="Segoe UI" w:cs="Segoe UI"/>
                <w:bCs/>
                <w:kern w:val="0"/>
                <w:sz w:val="17"/>
                <w:szCs w:val="17"/>
                <w:lang w:val="en-GB" w:eastAsia="ja-JP"/>
              </w:rPr>
              <w:t>…</w:t>
            </w:r>
          </w:p>
        </w:tc>
        <w:tc>
          <w:tcPr>
            <w:tcW w:w="709"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auto"/>
            </w:tcBorders>
          </w:tcPr>
          <w:p w:rsidR="005970C2" w:rsidRPr="005970C2" w:rsidRDefault="005970C2" w:rsidP="005970C2">
            <w:pPr>
              <w:widowControl/>
              <w:tabs>
                <w:tab w:val="decimal" w:pos="31"/>
              </w:tabs>
              <w:snapToGrid w:val="0"/>
              <w:spacing w:before="20" w:after="20"/>
              <w:jc w:val="center"/>
              <w:rPr>
                <w:rFonts w:ascii="Segoe UI" w:hAnsi="Segoe UI" w:cs="Segoe UI"/>
                <w:kern w:val="0"/>
                <w:sz w:val="17"/>
                <w:szCs w:val="17"/>
                <w:lang w:val="en-GB" w:eastAsia="en-GB"/>
              </w:rPr>
            </w:pPr>
          </w:p>
        </w:tc>
        <w:tc>
          <w:tcPr>
            <w:tcW w:w="1134" w:type="dxa"/>
            <w:tcBorders>
              <w:top w:val="single" w:sz="4" w:space="0" w:color="BFBFBF" w:themeColor="background1" w:themeShade="BF"/>
              <w:left w:val="single" w:sz="4" w:space="0" w:color="auto"/>
              <w:bottom w:val="single" w:sz="4" w:space="0" w:color="BFBFBF" w:themeColor="background1" w:themeShade="BF"/>
              <w:right w:val="single" w:sz="4" w:space="0" w:color="auto"/>
            </w:tcBorders>
          </w:tcPr>
          <w:p w:rsidR="005970C2" w:rsidRPr="005970C2" w:rsidRDefault="005970C2" w:rsidP="005970C2">
            <w:pPr>
              <w:widowControl/>
              <w:tabs>
                <w:tab w:val="decimal" w:pos="31"/>
              </w:tabs>
              <w:snapToGrid w:val="0"/>
              <w:spacing w:before="20" w:after="20"/>
              <w:jc w:val="center"/>
              <w:rPr>
                <w:rFonts w:ascii="Segoe UI" w:hAnsi="Segoe UI" w:cs="Segoe UI"/>
                <w:kern w:val="0"/>
                <w:sz w:val="17"/>
                <w:szCs w:val="17"/>
                <w:lang w:val="en-GB" w:eastAsia="en-GB"/>
              </w:rPr>
            </w:pPr>
          </w:p>
        </w:tc>
      </w:tr>
      <w:tr w:rsidR="005970C2" w:rsidRPr="005970C2" w:rsidTr="003A4070">
        <w:trPr>
          <w:cantSplit/>
        </w:trPr>
        <w:tc>
          <w:tcPr>
            <w:tcW w:w="568" w:type="dxa"/>
            <w:tcBorders>
              <w:top w:val="single" w:sz="4" w:space="0" w:color="BFBFBF" w:themeColor="background1" w:themeShade="BF"/>
              <w:left w:val="nil"/>
              <w:bottom w:val="single" w:sz="4" w:space="0" w:color="BFBFBF" w:themeColor="background1" w:themeShade="BF"/>
              <w:right w:val="single" w:sz="4" w:space="0" w:color="auto"/>
            </w:tcBorders>
            <w:vAlign w:val="center"/>
          </w:tcPr>
          <w:p w:rsidR="005970C2" w:rsidRPr="005970C2" w:rsidDel="00745BDE" w:rsidRDefault="005970C2" w:rsidP="005970C2">
            <w:pPr>
              <w:widowControl/>
              <w:snapToGrid w:val="0"/>
              <w:spacing w:before="40" w:after="40"/>
              <w:rPr>
                <w:rFonts w:ascii="Segoe UI" w:eastAsia="Times New Roman" w:hAnsi="Segoe UI" w:cs="Times New Roman"/>
                <w:kern w:val="0"/>
                <w:sz w:val="17"/>
                <w:szCs w:val="20"/>
                <w:lang w:val="en-GB" w:eastAsia="en-CA"/>
              </w:rPr>
            </w:pPr>
            <w:r w:rsidRPr="005970C2">
              <w:rPr>
                <w:rFonts w:ascii="Segoe UI" w:eastAsia="Times New Roman" w:hAnsi="Segoe UI" w:cs="Times New Roman"/>
                <w:kern w:val="0"/>
                <w:sz w:val="17"/>
                <w:szCs w:val="20"/>
                <w:lang w:val="en-GB" w:eastAsia="en-CA"/>
              </w:rPr>
              <w:t>2</w:t>
            </w:r>
          </w:p>
        </w:tc>
        <w:tc>
          <w:tcPr>
            <w:tcW w:w="5245" w:type="dxa"/>
            <w:tcBorders>
              <w:top w:val="single" w:sz="4" w:space="0" w:color="BFBFBF" w:themeColor="background1" w:themeShade="BF"/>
              <w:left w:val="nil"/>
              <w:bottom w:val="single" w:sz="4" w:space="0" w:color="BFBFBF" w:themeColor="background1" w:themeShade="BF"/>
              <w:right w:val="single" w:sz="4" w:space="0" w:color="auto"/>
            </w:tcBorders>
            <w:vAlign w:val="center"/>
          </w:tcPr>
          <w:p w:rsidR="005970C2" w:rsidRPr="005970C2" w:rsidRDefault="005970C2" w:rsidP="005970C2">
            <w:pPr>
              <w:keepNext/>
              <w:widowControl/>
              <w:tabs>
                <w:tab w:val="left" w:pos="39"/>
              </w:tabs>
              <w:snapToGrid w:val="0"/>
              <w:spacing w:before="20" w:after="20"/>
              <w:ind w:left="39"/>
              <w:rPr>
                <w:rFonts w:ascii="Segoe UI" w:hAnsi="Segoe UI" w:cs="Segoe UI"/>
                <w:kern w:val="0"/>
                <w:sz w:val="17"/>
                <w:szCs w:val="17"/>
                <w:lang w:val="en-GB" w:eastAsia="en-GB"/>
              </w:rPr>
            </w:pPr>
            <w:r w:rsidRPr="005970C2">
              <w:rPr>
                <w:rFonts w:ascii="Segoe UI" w:hAnsi="Segoe UI" w:cs="Segoe UI"/>
                <w:kern w:val="0"/>
                <w:sz w:val="17"/>
                <w:szCs w:val="17"/>
                <w:lang w:val="en-GB" w:eastAsia="en-GB"/>
              </w:rPr>
              <w:t>Total capital and liabilities net of credit risk mitigation</w:t>
            </w:r>
          </w:p>
        </w:tc>
        <w:tc>
          <w:tcPr>
            <w:tcW w:w="709" w:type="dxa"/>
            <w:tcBorders>
              <w:top w:val="single" w:sz="4" w:space="0" w:color="BFBFBF" w:themeColor="background1" w:themeShade="BF"/>
              <w:left w:val="single" w:sz="4" w:space="0" w:color="auto"/>
              <w:bottom w:val="single" w:sz="4" w:space="0" w:color="BFBFBF" w:themeColor="background1" w:themeShade="BF"/>
              <w:right w:val="single" w:sz="4" w:space="0" w:color="D9D9D9" w:themeColor="background1" w:themeShade="D9"/>
            </w:tcBorders>
          </w:tcPr>
          <w:p w:rsidR="005970C2" w:rsidRPr="005970C2" w:rsidRDefault="005970C2" w:rsidP="005970C2">
            <w:pPr>
              <w:widowControl/>
              <w:tabs>
                <w:tab w:val="decimal" w:pos="31"/>
              </w:tabs>
              <w:snapToGrid w:val="0"/>
              <w:spacing w:before="20" w:after="20"/>
              <w:jc w:val="center"/>
              <w:rPr>
                <w:rFonts w:ascii="Segoe UI" w:hAnsi="Segoe UI" w:cs="Segoe UI"/>
                <w:kern w:val="0"/>
                <w:sz w:val="17"/>
                <w:szCs w:val="17"/>
                <w:lang w:val="en-GB" w:eastAsia="en-GB"/>
              </w:rPr>
            </w:pPr>
          </w:p>
        </w:tc>
        <w:tc>
          <w:tcPr>
            <w:tcW w:w="708"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D9D9D9" w:themeColor="background1" w:themeShade="D9"/>
            </w:tcBorders>
          </w:tcPr>
          <w:p w:rsidR="005970C2" w:rsidRPr="005970C2" w:rsidRDefault="005970C2" w:rsidP="005970C2">
            <w:pPr>
              <w:widowControl/>
              <w:tabs>
                <w:tab w:val="decimal" w:pos="31"/>
              </w:tabs>
              <w:snapToGrid w:val="0"/>
              <w:spacing w:before="20" w:after="20"/>
              <w:jc w:val="center"/>
              <w:rPr>
                <w:rFonts w:ascii="Segoe UI" w:hAnsi="Segoe UI" w:cs="Segoe UI"/>
                <w:kern w:val="0"/>
                <w:sz w:val="17"/>
                <w:szCs w:val="17"/>
                <w:lang w:val="en-GB" w:eastAsia="en-GB"/>
              </w:rPr>
            </w:pPr>
          </w:p>
        </w:tc>
        <w:tc>
          <w:tcPr>
            <w:tcW w:w="567"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D9D9D9" w:themeColor="background1" w:themeShade="D9"/>
            </w:tcBorders>
          </w:tcPr>
          <w:p w:rsidR="005970C2" w:rsidRPr="005970C2" w:rsidRDefault="005970C2" w:rsidP="005970C2">
            <w:pPr>
              <w:widowControl/>
              <w:tabs>
                <w:tab w:val="decimal" w:pos="31"/>
              </w:tabs>
              <w:snapToGrid w:val="0"/>
              <w:spacing w:before="20" w:after="20"/>
              <w:jc w:val="center"/>
              <w:rPr>
                <w:rFonts w:ascii="Segoe UI" w:hAnsi="Segoe UI" w:cs="Segoe UI"/>
                <w:kern w:val="0"/>
                <w:sz w:val="17"/>
                <w:szCs w:val="17"/>
                <w:lang w:val="en-GB" w:eastAsia="en-GB"/>
              </w:rPr>
            </w:pPr>
            <w:r w:rsidRPr="005970C2">
              <w:rPr>
                <w:rFonts w:ascii="Segoe UI" w:hAnsi="Segoe UI" w:cs="Segoe UI"/>
                <w:bCs/>
                <w:kern w:val="0"/>
                <w:sz w:val="17"/>
                <w:szCs w:val="17"/>
                <w:lang w:val="en-GB" w:eastAsia="ja-JP"/>
              </w:rPr>
              <w:t>…</w:t>
            </w:r>
          </w:p>
        </w:tc>
        <w:tc>
          <w:tcPr>
            <w:tcW w:w="709"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auto"/>
            </w:tcBorders>
          </w:tcPr>
          <w:p w:rsidR="005970C2" w:rsidRPr="005970C2" w:rsidRDefault="005970C2" w:rsidP="005970C2">
            <w:pPr>
              <w:widowControl/>
              <w:tabs>
                <w:tab w:val="decimal" w:pos="31"/>
              </w:tabs>
              <w:snapToGrid w:val="0"/>
              <w:spacing w:before="20" w:after="20"/>
              <w:jc w:val="center"/>
              <w:rPr>
                <w:rFonts w:ascii="Segoe UI" w:hAnsi="Segoe UI" w:cs="Segoe UI"/>
                <w:kern w:val="0"/>
                <w:sz w:val="17"/>
                <w:szCs w:val="17"/>
                <w:lang w:val="en-GB" w:eastAsia="en-GB"/>
              </w:rPr>
            </w:pPr>
          </w:p>
        </w:tc>
        <w:tc>
          <w:tcPr>
            <w:tcW w:w="1134" w:type="dxa"/>
            <w:tcBorders>
              <w:top w:val="single" w:sz="4" w:space="0" w:color="BFBFBF" w:themeColor="background1" w:themeShade="BF"/>
              <w:left w:val="single" w:sz="4" w:space="0" w:color="auto"/>
              <w:bottom w:val="single" w:sz="4" w:space="0" w:color="BFBFBF" w:themeColor="background1" w:themeShade="BF"/>
              <w:right w:val="single" w:sz="4" w:space="0" w:color="auto"/>
            </w:tcBorders>
          </w:tcPr>
          <w:p w:rsidR="005970C2" w:rsidRPr="005970C2" w:rsidRDefault="005970C2" w:rsidP="005970C2">
            <w:pPr>
              <w:widowControl/>
              <w:tabs>
                <w:tab w:val="decimal" w:pos="31"/>
              </w:tabs>
              <w:snapToGrid w:val="0"/>
              <w:spacing w:before="20" w:after="20"/>
              <w:jc w:val="center"/>
              <w:rPr>
                <w:rFonts w:ascii="Segoe UI" w:hAnsi="Segoe UI" w:cs="Segoe UI"/>
                <w:kern w:val="0"/>
                <w:sz w:val="17"/>
                <w:szCs w:val="17"/>
                <w:lang w:val="en-GB" w:eastAsia="en-GB"/>
              </w:rPr>
            </w:pPr>
          </w:p>
        </w:tc>
      </w:tr>
      <w:tr w:rsidR="005970C2" w:rsidRPr="005970C2" w:rsidTr="003A4070">
        <w:trPr>
          <w:cantSplit/>
        </w:trPr>
        <w:tc>
          <w:tcPr>
            <w:tcW w:w="568" w:type="dxa"/>
            <w:tcBorders>
              <w:top w:val="single" w:sz="4" w:space="0" w:color="BFBFBF" w:themeColor="background1" w:themeShade="BF"/>
              <w:left w:val="nil"/>
              <w:bottom w:val="single" w:sz="4" w:space="0" w:color="BFBFBF" w:themeColor="background1" w:themeShade="BF"/>
              <w:right w:val="single" w:sz="4" w:space="0" w:color="auto"/>
            </w:tcBorders>
            <w:vAlign w:val="center"/>
          </w:tcPr>
          <w:p w:rsidR="005970C2" w:rsidRPr="005970C2" w:rsidDel="00745BDE" w:rsidRDefault="005970C2" w:rsidP="005970C2">
            <w:pPr>
              <w:widowControl/>
              <w:snapToGrid w:val="0"/>
              <w:spacing w:before="40" w:after="40"/>
              <w:rPr>
                <w:rFonts w:ascii="Segoe UI" w:eastAsia="Times New Roman" w:hAnsi="Segoe UI" w:cs="Times New Roman"/>
                <w:kern w:val="0"/>
                <w:sz w:val="17"/>
                <w:szCs w:val="20"/>
                <w:lang w:val="en-GB" w:eastAsia="en-CA"/>
              </w:rPr>
            </w:pPr>
            <w:r w:rsidRPr="005970C2">
              <w:rPr>
                <w:rFonts w:ascii="Segoe UI" w:eastAsia="Times New Roman" w:hAnsi="Segoe UI" w:cs="Times New Roman"/>
                <w:kern w:val="0"/>
                <w:sz w:val="17"/>
                <w:szCs w:val="20"/>
                <w:lang w:val="en-GB" w:eastAsia="en-CA"/>
              </w:rPr>
              <w:t>3</w:t>
            </w:r>
          </w:p>
        </w:tc>
        <w:tc>
          <w:tcPr>
            <w:tcW w:w="5245" w:type="dxa"/>
            <w:tcBorders>
              <w:top w:val="single" w:sz="4" w:space="0" w:color="BFBFBF" w:themeColor="background1" w:themeShade="BF"/>
              <w:left w:val="nil"/>
              <w:bottom w:val="single" w:sz="4" w:space="0" w:color="BFBFBF" w:themeColor="background1" w:themeShade="BF"/>
              <w:right w:val="single" w:sz="4" w:space="0" w:color="auto"/>
            </w:tcBorders>
            <w:vAlign w:val="center"/>
          </w:tcPr>
          <w:p w:rsidR="005970C2" w:rsidRPr="005970C2" w:rsidRDefault="005970C2" w:rsidP="005970C2">
            <w:pPr>
              <w:keepNext/>
              <w:widowControl/>
              <w:tabs>
                <w:tab w:val="left" w:pos="39"/>
              </w:tabs>
              <w:snapToGrid w:val="0"/>
              <w:spacing w:before="20" w:after="20"/>
              <w:ind w:left="39"/>
              <w:rPr>
                <w:rFonts w:ascii="Segoe UI" w:hAnsi="Segoe UI" w:cs="Segoe UI"/>
                <w:kern w:val="0"/>
                <w:sz w:val="17"/>
                <w:szCs w:val="17"/>
                <w:lang w:val="en-GB" w:eastAsia="en-GB"/>
              </w:rPr>
            </w:pPr>
            <w:r w:rsidRPr="005970C2">
              <w:rPr>
                <w:rFonts w:ascii="Segoe UI" w:hAnsi="Segoe UI" w:cs="Segoe UI"/>
                <w:kern w:val="0"/>
                <w:sz w:val="17"/>
                <w:szCs w:val="17"/>
                <w:lang w:val="en-GB" w:eastAsia="en-GB"/>
              </w:rPr>
              <w:t>Subset of row 2 that are excluded liabilities</w:t>
            </w:r>
          </w:p>
        </w:tc>
        <w:tc>
          <w:tcPr>
            <w:tcW w:w="709" w:type="dxa"/>
            <w:tcBorders>
              <w:top w:val="single" w:sz="4" w:space="0" w:color="BFBFBF" w:themeColor="background1" w:themeShade="BF"/>
              <w:left w:val="single" w:sz="4" w:space="0" w:color="auto"/>
              <w:bottom w:val="single" w:sz="4" w:space="0" w:color="BFBFBF" w:themeColor="background1" w:themeShade="BF"/>
              <w:right w:val="single" w:sz="4" w:space="0" w:color="BFBFBF" w:themeColor="background1" w:themeShade="BF"/>
            </w:tcBorders>
          </w:tcPr>
          <w:p w:rsidR="005970C2" w:rsidRPr="005970C2" w:rsidRDefault="005970C2" w:rsidP="005970C2">
            <w:pPr>
              <w:widowControl/>
              <w:tabs>
                <w:tab w:val="decimal" w:pos="31"/>
              </w:tabs>
              <w:snapToGrid w:val="0"/>
              <w:spacing w:before="20" w:after="20"/>
              <w:jc w:val="center"/>
              <w:rPr>
                <w:rFonts w:ascii="Segoe UI" w:hAnsi="Segoe UI" w:cs="Segoe UI"/>
                <w:kern w:val="0"/>
                <w:sz w:val="17"/>
                <w:szCs w:val="17"/>
                <w:lang w:val="en-GB" w:eastAsia="en-GB"/>
              </w:rPr>
            </w:pPr>
          </w:p>
        </w:tc>
        <w:tc>
          <w:tcPr>
            <w:tcW w:w="7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D9D9D9" w:themeColor="background1" w:themeShade="D9"/>
            </w:tcBorders>
          </w:tcPr>
          <w:p w:rsidR="005970C2" w:rsidRPr="005970C2" w:rsidRDefault="005970C2" w:rsidP="005970C2">
            <w:pPr>
              <w:widowControl/>
              <w:tabs>
                <w:tab w:val="decimal" w:pos="31"/>
              </w:tabs>
              <w:snapToGrid w:val="0"/>
              <w:spacing w:before="20" w:after="20"/>
              <w:jc w:val="center"/>
              <w:rPr>
                <w:rFonts w:ascii="Segoe UI" w:hAnsi="Segoe UI" w:cs="Segoe UI"/>
                <w:kern w:val="0"/>
                <w:sz w:val="17"/>
                <w:szCs w:val="17"/>
                <w:lang w:val="en-GB" w:eastAsia="en-GB"/>
              </w:rPr>
            </w:pPr>
          </w:p>
        </w:tc>
        <w:tc>
          <w:tcPr>
            <w:tcW w:w="567"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BFBFBF" w:themeColor="background1" w:themeShade="BF"/>
            </w:tcBorders>
          </w:tcPr>
          <w:p w:rsidR="005970C2" w:rsidRPr="005970C2" w:rsidRDefault="005970C2" w:rsidP="005970C2">
            <w:pPr>
              <w:widowControl/>
              <w:tabs>
                <w:tab w:val="decimal" w:pos="31"/>
              </w:tabs>
              <w:snapToGrid w:val="0"/>
              <w:spacing w:before="20" w:after="20"/>
              <w:jc w:val="center"/>
              <w:rPr>
                <w:rFonts w:ascii="Segoe UI" w:hAnsi="Segoe UI" w:cs="Segoe UI"/>
                <w:kern w:val="0"/>
                <w:sz w:val="17"/>
                <w:szCs w:val="17"/>
                <w:lang w:val="en-GB" w:eastAsia="en-GB"/>
              </w:rPr>
            </w:pPr>
            <w:r w:rsidRPr="005970C2">
              <w:rPr>
                <w:rFonts w:ascii="Segoe UI" w:hAnsi="Segoe UI" w:cs="Segoe UI"/>
                <w:bCs/>
                <w:kern w:val="0"/>
                <w:sz w:val="17"/>
                <w:szCs w:val="17"/>
                <w:lang w:val="en-GB" w:eastAsia="ja-JP"/>
              </w:rPr>
              <w:t>…</w:t>
            </w:r>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auto"/>
            </w:tcBorders>
          </w:tcPr>
          <w:p w:rsidR="005970C2" w:rsidRPr="005970C2" w:rsidRDefault="005970C2" w:rsidP="005970C2">
            <w:pPr>
              <w:widowControl/>
              <w:tabs>
                <w:tab w:val="decimal" w:pos="31"/>
              </w:tabs>
              <w:snapToGrid w:val="0"/>
              <w:spacing w:before="20" w:after="20"/>
              <w:jc w:val="center"/>
              <w:rPr>
                <w:rFonts w:ascii="Segoe UI" w:hAnsi="Segoe UI" w:cs="Segoe UI"/>
                <w:kern w:val="0"/>
                <w:sz w:val="17"/>
                <w:szCs w:val="17"/>
                <w:lang w:val="en-GB" w:eastAsia="en-GB"/>
              </w:rPr>
            </w:pPr>
          </w:p>
        </w:tc>
        <w:tc>
          <w:tcPr>
            <w:tcW w:w="1134" w:type="dxa"/>
            <w:tcBorders>
              <w:top w:val="single" w:sz="4" w:space="0" w:color="BFBFBF" w:themeColor="background1" w:themeShade="BF"/>
              <w:left w:val="single" w:sz="4" w:space="0" w:color="auto"/>
              <w:bottom w:val="single" w:sz="4" w:space="0" w:color="BFBFBF" w:themeColor="background1" w:themeShade="BF"/>
              <w:right w:val="single" w:sz="4" w:space="0" w:color="auto"/>
            </w:tcBorders>
          </w:tcPr>
          <w:p w:rsidR="005970C2" w:rsidRPr="005970C2" w:rsidRDefault="005970C2" w:rsidP="005970C2">
            <w:pPr>
              <w:widowControl/>
              <w:tabs>
                <w:tab w:val="decimal" w:pos="31"/>
              </w:tabs>
              <w:snapToGrid w:val="0"/>
              <w:spacing w:before="20" w:after="20"/>
              <w:jc w:val="center"/>
              <w:rPr>
                <w:rFonts w:ascii="Segoe UI" w:hAnsi="Segoe UI" w:cs="Segoe UI"/>
                <w:kern w:val="0"/>
                <w:sz w:val="17"/>
                <w:szCs w:val="17"/>
                <w:lang w:val="en-GB" w:eastAsia="en-GB"/>
              </w:rPr>
            </w:pPr>
          </w:p>
        </w:tc>
      </w:tr>
      <w:tr w:rsidR="005970C2" w:rsidRPr="005970C2" w:rsidTr="003A4070">
        <w:trPr>
          <w:cantSplit/>
        </w:trPr>
        <w:tc>
          <w:tcPr>
            <w:tcW w:w="568" w:type="dxa"/>
            <w:tcBorders>
              <w:top w:val="single" w:sz="4" w:space="0" w:color="BFBFBF" w:themeColor="background1" w:themeShade="BF"/>
              <w:left w:val="nil"/>
              <w:bottom w:val="single" w:sz="4" w:space="0" w:color="BFBFBF" w:themeColor="background1" w:themeShade="BF"/>
              <w:right w:val="single" w:sz="4" w:space="0" w:color="auto"/>
            </w:tcBorders>
            <w:vAlign w:val="center"/>
          </w:tcPr>
          <w:p w:rsidR="005970C2" w:rsidRPr="005970C2" w:rsidDel="00745BDE" w:rsidRDefault="005970C2" w:rsidP="005970C2">
            <w:pPr>
              <w:widowControl/>
              <w:snapToGrid w:val="0"/>
              <w:spacing w:before="40" w:after="40"/>
              <w:rPr>
                <w:rFonts w:ascii="Segoe UI" w:eastAsia="Times New Roman" w:hAnsi="Segoe UI" w:cs="Times New Roman"/>
                <w:kern w:val="0"/>
                <w:sz w:val="17"/>
                <w:szCs w:val="20"/>
                <w:lang w:val="en-GB" w:eastAsia="en-CA"/>
              </w:rPr>
            </w:pPr>
            <w:r w:rsidRPr="005970C2">
              <w:rPr>
                <w:rFonts w:ascii="Segoe UI" w:eastAsia="Times New Roman" w:hAnsi="Segoe UI" w:cs="Times New Roman"/>
                <w:kern w:val="0"/>
                <w:sz w:val="17"/>
                <w:szCs w:val="20"/>
                <w:lang w:val="en-GB" w:eastAsia="en-CA"/>
              </w:rPr>
              <w:t>4</w:t>
            </w:r>
          </w:p>
        </w:tc>
        <w:tc>
          <w:tcPr>
            <w:tcW w:w="5245" w:type="dxa"/>
            <w:tcBorders>
              <w:top w:val="single" w:sz="4" w:space="0" w:color="BFBFBF" w:themeColor="background1" w:themeShade="BF"/>
              <w:left w:val="nil"/>
              <w:bottom w:val="single" w:sz="4" w:space="0" w:color="BFBFBF" w:themeColor="background1" w:themeShade="BF"/>
              <w:right w:val="single" w:sz="4" w:space="0" w:color="auto"/>
            </w:tcBorders>
            <w:vAlign w:val="center"/>
          </w:tcPr>
          <w:p w:rsidR="005970C2" w:rsidRPr="005970C2" w:rsidRDefault="005970C2" w:rsidP="005970C2">
            <w:pPr>
              <w:keepNext/>
              <w:widowControl/>
              <w:tabs>
                <w:tab w:val="left" w:pos="39"/>
              </w:tabs>
              <w:snapToGrid w:val="0"/>
              <w:spacing w:before="20" w:after="20"/>
              <w:ind w:left="39"/>
              <w:rPr>
                <w:rFonts w:ascii="Segoe UI" w:hAnsi="Segoe UI" w:cs="Segoe UI"/>
                <w:kern w:val="0"/>
                <w:sz w:val="17"/>
                <w:szCs w:val="17"/>
                <w:lang w:val="en-GB" w:eastAsia="en-GB"/>
              </w:rPr>
            </w:pPr>
            <w:r w:rsidRPr="005970C2">
              <w:rPr>
                <w:rFonts w:ascii="Segoe UI" w:hAnsi="Segoe UI" w:cs="Segoe UI"/>
                <w:kern w:val="0"/>
                <w:sz w:val="17"/>
                <w:szCs w:val="17"/>
                <w:lang w:val="en-GB" w:eastAsia="en-GB"/>
              </w:rPr>
              <w:t>Total capital and liabilities less excluded liabilities</w:t>
            </w:r>
          </w:p>
        </w:tc>
        <w:tc>
          <w:tcPr>
            <w:tcW w:w="709" w:type="dxa"/>
            <w:tcBorders>
              <w:top w:val="single" w:sz="4" w:space="0" w:color="BFBFBF" w:themeColor="background1" w:themeShade="BF"/>
              <w:left w:val="single" w:sz="4" w:space="0" w:color="auto"/>
              <w:bottom w:val="single" w:sz="4" w:space="0" w:color="BFBFBF" w:themeColor="background1" w:themeShade="BF"/>
              <w:right w:val="single" w:sz="4" w:space="0" w:color="BFBFBF" w:themeColor="background1" w:themeShade="BF"/>
            </w:tcBorders>
          </w:tcPr>
          <w:p w:rsidR="005970C2" w:rsidRPr="005970C2" w:rsidRDefault="005970C2" w:rsidP="005970C2">
            <w:pPr>
              <w:widowControl/>
              <w:tabs>
                <w:tab w:val="decimal" w:pos="31"/>
              </w:tabs>
              <w:snapToGrid w:val="0"/>
              <w:spacing w:before="20" w:after="20"/>
              <w:jc w:val="center"/>
              <w:rPr>
                <w:rFonts w:ascii="Segoe UI" w:hAnsi="Segoe UI" w:cs="Segoe UI"/>
                <w:kern w:val="0"/>
                <w:sz w:val="17"/>
                <w:szCs w:val="17"/>
                <w:lang w:val="en-GB" w:eastAsia="en-GB"/>
              </w:rPr>
            </w:pPr>
          </w:p>
        </w:tc>
        <w:tc>
          <w:tcPr>
            <w:tcW w:w="7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5970C2" w:rsidRPr="005970C2" w:rsidRDefault="005970C2" w:rsidP="005970C2">
            <w:pPr>
              <w:widowControl/>
              <w:tabs>
                <w:tab w:val="decimal" w:pos="31"/>
              </w:tabs>
              <w:snapToGrid w:val="0"/>
              <w:spacing w:before="20" w:after="20"/>
              <w:jc w:val="center"/>
              <w:rPr>
                <w:rFonts w:ascii="Segoe UI" w:hAnsi="Segoe UI" w:cs="Segoe UI"/>
                <w:kern w:val="0"/>
                <w:sz w:val="17"/>
                <w:szCs w:val="17"/>
                <w:lang w:val="en-GB" w:eastAsia="en-GB"/>
              </w:rPr>
            </w:pPr>
          </w:p>
        </w:tc>
        <w:tc>
          <w:tcPr>
            <w:tcW w:w="5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5970C2" w:rsidRPr="005970C2" w:rsidRDefault="005970C2" w:rsidP="005970C2">
            <w:pPr>
              <w:widowControl/>
              <w:tabs>
                <w:tab w:val="decimal" w:pos="31"/>
              </w:tabs>
              <w:snapToGrid w:val="0"/>
              <w:spacing w:before="20" w:after="20"/>
              <w:jc w:val="center"/>
              <w:rPr>
                <w:rFonts w:ascii="Segoe UI" w:hAnsi="Segoe UI" w:cs="Segoe UI"/>
                <w:kern w:val="0"/>
                <w:sz w:val="17"/>
                <w:szCs w:val="17"/>
                <w:lang w:val="en-GB" w:eastAsia="en-GB"/>
              </w:rPr>
            </w:pPr>
            <w:r w:rsidRPr="005970C2">
              <w:rPr>
                <w:rFonts w:ascii="Segoe UI" w:hAnsi="Segoe UI" w:cs="Segoe UI"/>
                <w:bCs/>
                <w:kern w:val="0"/>
                <w:sz w:val="17"/>
                <w:szCs w:val="17"/>
                <w:lang w:val="en-GB" w:eastAsia="ja-JP"/>
              </w:rPr>
              <w:t>…</w:t>
            </w:r>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auto"/>
            </w:tcBorders>
          </w:tcPr>
          <w:p w:rsidR="005970C2" w:rsidRPr="005970C2" w:rsidRDefault="005970C2" w:rsidP="005970C2">
            <w:pPr>
              <w:widowControl/>
              <w:tabs>
                <w:tab w:val="decimal" w:pos="31"/>
              </w:tabs>
              <w:snapToGrid w:val="0"/>
              <w:spacing w:before="20" w:after="20"/>
              <w:jc w:val="center"/>
              <w:rPr>
                <w:rFonts w:ascii="Segoe UI" w:hAnsi="Segoe UI" w:cs="Segoe UI"/>
                <w:kern w:val="0"/>
                <w:sz w:val="17"/>
                <w:szCs w:val="17"/>
                <w:lang w:val="en-GB" w:eastAsia="en-GB"/>
              </w:rPr>
            </w:pPr>
          </w:p>
        </w:tc>
        <w:tc>
          <w:tcPr>
            <w:tcW w:w="1134" w:type="dxa"/>
            <w:tcBorders>
              <w:top w:val="single" w:sz="4" w:space="0" w:color="BFBFBF" w:themeColor="background1" w:themeShade="BF"/>
              <w:left w:val="single" w:sz="4" w:space="0" w:color="auto"/>
              <w:bottom w:val="single" w:sz="4" w:space="0" w:color="BFBFBF" w:themeColor="background1" w:themeShade="BF"/>
              <w:right w:val="single" w:sz="4" w:space="0" w:color="auto"/>
            </w:tcBorders>
          </w:tcPr>
          <w:p w:rsidR="005970C2" w:rsidRPr="005970C2" w:rsidRDefault="005970C2" w:rsidP="005970C2">
            <w:pPr>
              <w:widowControl/>
              <w:tabs>
                <w:tab w:val="decimal" w:pos="31"/>
              </w:tabs>
              <w:snapToGrid w:val="0"/>
              <w:spacing w:before="20" w:after="20"/>
              <w:jc w:val="center"/>
              <w:rPr>
                <w:rFonts w:ascii="Segoe UI" w:hAnsi="Segoe UI" w:cs="Segoe UI"/>
                <w:kern w:val="0"/>
                <w:sz w:val="17"/>
                <w:szCs w:val="17"/>
                <w:lang w:val="en-GB" w:eastAsia="en-GB"/>
              </w:rPr>
            </w:pPr>
          </w:p>
        </w:tc>
      </w:tr>
      <w:tr w:rsidR="005970C2" w:rsidRPr="005970C2" w:rsidTr="003A4070">
        <w:trPr>
          <w:cantSplit/>
        </w:trPr>
        <w:tc>
          <w:tcPr>
            <w:tcW w:w="568" w:type="dxa"/>
            <w:tcBorders>
              <w:top w:val="single" w:sz="4" w:space="0" w:color="BFBFBF" w:themeColor="background1" w:themeShade="BF"/>
              <w:left w:val="nil"/>
              <w:bottom w:val="single" w:sz="4" w:space="0" w:color="BFBFBF" w:themeColor="background1" w:themeShade="BF"/>
              <w:right w:val="single" w:sz="4" w:space="0" w:color="auto"/>
            </w:tcBorders>
            <w:vAlign w:val="center"/>
          </w:tcPr>
          <w:p w:rsidR="005970C2" w:rsidRPr="005970C2" w:rsidDel="00745BDE" w:rsidRDefault="005970C2" w:rsidP="005970C2">
            <w:pPr>
              <w:widowControl/>
              <w:snapToGrid w:val="0"/>
              <w:spacing w:before="40" w:after="40"/>
              <w:rPr>
                <w:rFonts w:ascii="Segoe UI" w:eastAsia="Times New Roman" w:hAnsi="Segoe UI" w:cs="Times New Roman"/>
                <w:kern w:val="0"/>
                <w:sz w:val="17"/>
                <w:szCs w:val="20"/>
                <w:lang w:val="en-GB" w:eastAsia="en-CA"/>
              </w:rPr>
            </w:pPr>
            <w:r w:rsidRPr="005970C2">
              <w:rPr>
                <w:rFonts w:ascii="Segoe UI" w:eastAsia="Times New Roman" w:hAnsi="Segoe UI" w:cs="Times New Roman"/>
                <w:kern w:val="0"/>
                <w:sz w:val="17"/>
                <w:szCs w:val="20"/>
                <w:lang w:val="en-GB" w:eastAsia="en-CA"/>
              </w:rPr>
              <w:t>5</w:t>
            </w:r>
          </w:p>
        </w:tc>
        <w:tc>
          <w:tcPr>
            <w:tcW w:w="5245" w:type="dxa"/>
            <w:tcBorders>
              <w:top w:val="single" w:sz="4" w:space="0" w:color="BFBFBF" w:themeColor="background1" w:themeShade="BF"/>
              <w:left w:val="nil"/>
              <w:bottom w:val="single" w:sz="4" w:space="0" w:color="BFBFBF" w:themeColor="background1" w:themeShade="BF"/>
              <w:right w:val="single" w:sz="4" w:space="0" w:color="auto"/>
            </w:tcBorders>
            <w:vAlign w:val="center"/>
          </w:tcPr>
          <w:p w:rsidR="005970C2" w:rsidRPr="005970C2" w:rsidRDefault="005970C2" w:rsidP="005970C2">
            <w:pPr>
              <w:keepNext/>
              <w:widowControl/>
              <w:tabs>
                <w:tab w:val="left" w:pos="39"/>
              </w:tabs>
              <w:snapToGrid w:val="0"/>
              <w:spacing w:before="20" w:after="20"/>
              <w:ind w:left="39"/>
              <w:rPr>
                <w:rFonts w:ascii="Segoe UI" w:hAnsi="Segoe UI" w:cs="Segoe UI"/>
                <w:kern w:val="0"/>
                <w:sz w:val="17"/>
                <w:szCs w:val="17"/>
                <w:lang w:val="en-GB" w:eastAsia="en-GB"/>
              </w:rPr>
            </w:pPr>
            <w:r w:rsidRPr="005970C2">
              <w:rPr>
                <w:rFonts w:ascii="Segoe UI" w:hAnsi="Segoe UI" w:cs="Segoe UI"/>
                <w:kern w:val="0"/>
                <w:sz w:val="17"/>
                <w:szCs w:val="17"/>
                <w:lang w:val="en-GB" w:eastAsia="en-GB"/>
              </w:rPr>
              <w:t>Subset of row 4 that are eligible as external loss-absorbing capacity</w:t>
            </w:r>
          </w:p>
        </w:tc>
        <w:tc>
          <w:tcPr>
            <w:tcW w:w="709" w:type="dxa"/>
            <w:tcBorders>
              <w:top w:val="single" w:sz="4" w:space="0" w:color="BFBFBF" w:themeColor="background1" w:themeShade="BF"/>
              <w:left w:val="single" w:sz="4" w:space="0" w:color="auto"/>
              <w:bottom w:val="single" w:sz="4" w:space="0" w:color="BFBFBF" w:themeColor="background1" w:themeShade="BF"/>
              <w:right w:val="single" w:sz="4" w:space="0" w:color="BFBFBF" w:themeColor="background1" w:themeShade="BF"/>
            </w:tcBorders>
          </w:tcPr>
          <w:p w:rsidR="005970C2" w:rsidRPr="005970C2" w:rsidRDefault="005970C2" w:rsidP="005970C2">
            <w:pPr>
              <w:widowControl/>
              <w:tabs>
                <w:tab w:val="decimal" w:pos="31"/>
              </w:tabs>
              <w:snapToGrid w:val="0"/>
              <w:spacing w:before="20" w:after="20"/>
              <w:jc w:val="center"/>
              <w:rPr>
                <w:rFonts w:ascii="Segoe UI" w:hAnsi="Segoe UI" w:cs="Segoe UI"/>
                <w:kern w:val="0"/>
                <w:sz w:val="17"/>
                <w:szCs w:val="17"/>
                <w:lang w:val="en-GB" w:eastAsia="en-GB"/>
              </w:rPr>
            </w:pPr>
          </w:p>
        </w:tc>
        <w:tc>
          <w:tcPr>
            <w:tcW w:w="7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5970C2" w:rsidRPr="005970C2" w:rsidRDefault="005970C2" w:rsidP="005970C2">
            <w:pPr>
              <w:widowControl/>
              <w:tabs>
                <w:tab w:val="decimal" w:pos="31"/>
              </w:tabs>
              <w:snapToGrid w:val="0"/>
              <w:spacing w:before="20" w:after="20"/>
              <w:jc w:val="center"/>
              <w:rPr>
                <w:rFonts w:ascii="Segoe UI" w:hAnsi="Segoe UI" w:cs="Segoe UI"/>
                <w:kern w:val="0"/>
                <w:sz w:val="17"/>
                <w:szCs w:val="17"/>
                <w:lang w:val="en-GB" w:eastAsia="en-GB"/>
              </w:rPr>
            </w:pPr>
          </w:p>
        </w:tc>
        <w:tc>
          <w:tcPr>
            <w:tcW w:w="5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5970C2" w:rsidRPr="005970C2" w:rsidRDefault="005970C2" w:rsidP="005970C2">
            <w:pPr>
              <w:widowControl/>
              <w:tabs>
                <w:tab w:val="decimal" w:pos="31"/>
              </w:tabs>
              <w:snapToGrid w:val="0"/>
              <w:spacing w:before="20" w:after="20"/>
              <w:jc w:val="center"/>
              <w:rPr>
                <w:rFonts w:ascii="Segoe UI" w:hAnsi="Segoe UI" w:cs="Segoe UI"/>
                <w:kern w:val="0"/>
                <w:sz w:val="17"/>
                <w:szCs w:val="17"/>
                <w:lang w:val="en-GB" w:eastAsia="en-GB"/>
              </w:rPr>
            </w:pPr>
            <w:r w:rsidRPr="005970C2">
              <w:rPr>
                <w:rFonts w:ascii="Segoe UI" w:hAnsi="Segoe UI" w:cs="Segoe UI"/>
                <w:bCs/>
                <w:kern w:val="0"/>
                <w:sz w:val="17"/>
                <w:szCs w:val="17"/>
                <w:lang w:val="en-GB" w:eastAsia="ja-JP"/>
              </w:rPr>
              <w:t>…</w:t>
            </w:r>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auto"/>
            </w:tcBorders>
          </w:tcPr>
          <w:p w:rsidR="005970C2" w:rsidRPr="005970C2" w:rsidRDefault="005970C2" w:rsidP="005970C2">
            <w:pPr>
              <w:widowControl/>
              <w:tabs>
                <w:tab w:val="decimal" w:pos="31"/>
              </w:tabs>
              <w:snapToGrid w:val="0"/>
              <w:spacing w:before="20" w:after="20"/>
              <w:jc w:val="center"/>
              <w:rPr>
                <w:rFonts w:ascii="Segoe UI" w:hAnsi="Segoe UI" w:cs="Segoe UI"/>
                <w:kern w:val="0"/>
                <w:sz w:val="17"/>
                <w:szCs w:val="17"/>
                <w:lang w:val="en-GB" w:eastAsia="en-GB"/>
              </w:rPr>
            </w:pPr>
          </w:p>
        </w:tc>
        <w:tc>
          <w:tcPr>
            <w:tcW w:w="1134" w:type="dxa"/>
            <w:tcBorders>
              <w:top w:val="single" w:sz="4" w:space="0" w:color="BFBFBF" w:themeColor="background1" w:themeShade="BF"/>
              <w:left w:val="single" w:sz="4" w:space="0" w:color="auto"/>
              <w:bottom w:val="single" w:sz="4" w:space="0" w:color="BFBFBF" w:themeColor="background1" w:themeShade="BF"/>
              <w:right w:val="single" w:sz="4" w:space="0" w:color="auto"/>
            </w:tcBorders>
          </w:tcPr>
          <w:p w:rsidR="005970C2" w:rsidRPr="005970C2" w:rsidRDefault="005970C2" w:rsidP="005970C2">
            <w:pPr>
              <w:widowControl/>
              <w:tabs>
                <w:tab w:val="decimal" w:pos="31"/>
              </w:tabs>
              <w:snapToGrid w:val="0"/>
              <w:spacing w:before="20" w:after="20"/>
              <w:jc w:val="center"/>
              <w:rPr>
                <w:rFonts w:ascii="Segoe UI" w:hAnsi="Segoe UI" w:cs="Segoe UI"/>
                <w:kern w:val="0"/>
                <w:sz w:val="17"/>
                <w:szCs w:val="17"/>
                <w:lang w:val="en-GB" w:eastAsia="en-GB"/>
              </w:rPr>
            </w:pPr>
          </w:p>
        </w:tc>
      </w:tr>
      <w:tr w:rsidR="005970C2" w:rsidRPr="005970C2" w:rsidTr="003A4070">
        <w:trPr>
          <w:cantSplit/>
        </w:trPr>
        <w:tc>
          <w:tcPr>
            <w:tcW w:w="568" w:type="dxa"/>
            <w:tcBorders>
              <w:top w:val="single" w:sz="4" w:space="0" w:color="BFBFBF" w:themeColor="background1" w:themeShade="BF"/>
              <w:left w:val="nil"/>
              <w:bottom w:val="single" w:sz="4" w:space="0" w:color="BFBFBF" w:themeColor="background1" w:themeShade="BF"/>
              <w:right w:val="single" w:sz="4" w:space="0" w:color="auto"/>
            </w:tcBorders>
            <w:vAlign w:val="center"/>
          </w:tcPr>
          <w:p w:rsidR="005970C2" w:rsidRPr="005970C2" w:rsidRDefault="005970C2" w:rsidP="005970C2">
            <w:pPr>
              <w:widowControl/>
              <w:snapToGrid w:val="0"/>
              <w:spacing w:before="40" w:after="40"/>
              <w:rPr>
                <w:rFonts w:ascii="Segoe UI" w:eastAsia="Times New Roman" w:hAnsi="Segoe UI" w:cs="Times New Roman"/>
                <w:kern w:val="0"/>
                <w:sz w:val="17"/>
                <w:szCs w:val="20"/>
                <w:lang w:val="en-GB" w:eastAsia="en-CA"/>
              </w:rPr>
            </w:pPr>
            <w:r w:rsidRPr="005970C2">
              <w:rPr>
                <w:rFonts w:ascii="Segoe UI" w:eastAsia="Times New Roman" w:hAnsi="Segoe UI" w:cs="Times New Roman"/>
                <w:kern w:val="0"/>
                <w:sz w:val="17"/>
                <w:szCs w:val="20"/>
                <w:lang w:val="en-GB" w:eastAsia="en-CA"/>
              </w:rPr>
              <w:t>6</w:t>
            </w:r>
          </w:p>
        </w:tc>
        <w:tc>
          <w:tcPr>
            <w:tcW w:w="5245" w:type="dxa"/>
            <w:tcBorders>
              <w:top w:val="single" w:sz="4" w:space="0" w:color="BFBFBF" w:themeColor="background1" w:themeShade="BF"/>
              <w:left w:val="nil"/>
              <w:bottom w:val="single" w:sz="4" w:space="0" w:color="BFBFBF" w:themeColor="background1" w:themeShade="BF"/>
              <w:right w:val="single" w:sz="4" w:space="0" w:color="auto"/>
            </w:tcBorders>
            <w:vAlign w:val="center"/>
          </w:tcPr>
          <w:p w:rsidR="005970C2" w:rsidRPr="005970C2" w:rsidRDefault="005970C2" w:rsidP="005970C2">
            <w:pPr>
              <w:keepNext/>
              <w:widowControl/>
              <w:tabs>
                <w:tab w:val="left" w:pos="39"/>
              </w:tabs>
              <w:snapToGrid w:val="0"/>
              <w:spacing w:before="20" w:after="20"/>
              <w:ind w:left="39"/>
              <w:rPr>
                <w:rFonts w:ascii="Segoe UI" w:hAnsi="Segoe UI" w:cs="Segoe UI"/>
                <w:kern w:val="0"/>
                <w:sz w:val="17"/>
                <w:szCs w:val="17"/>
                <w:lang w:val="en-GB" w:eastAsia="en-GB"/>
              </w:rPr>
            </w:pPr>
            <w:r w:rsidRPr="005970C2">
              <w:rPr>
                <w:rFonts w:ascii="Segoe UI" w:hAnsi="Segoe UI" w:cs="Segoe UI"/>
                <w:kern w:val="0"/>
                <w:sz w:val="17"/>
                <w:szCs w:val="17"/>
                <w:lang w:val="en-GB" w:eastAsia="en-GB"/>
              </w:rPr>
              <w:t>Subset of row 5 with 1 year ≤ residual maturity &lt; 2 years</w:t>
            </w:r>
          </w:p>
        </w:tc>
        <w:tc>
          <w:tcPr>
            <w:tcW w:w="709" w:type="dxa"/>
            <w:tcBorders>
              <w:top w:val="single" w:sz="4" w:space="0" w:color="BFBFBF" w:themeColor="background1" w:themeShade="BF"/>
              <w:left w:val="single" w:sz="4" w:space="0" w:color="auto"/>
              <w:bottom w:val="single" w:sz="4" w:space="0" w:color="BFBFBF" w:themeColor="background1" w:themeShade="BF"/>
              <w:right w:val="single" w:sz="4" w:space="0" w:color="BFBFBF" w:themeColor="background1" w:themeShade="BF"/>
            </w:tcBorders>
          </w:tcPr>
          <w:p w:rsidR="005970C2" w:rsidRPr="005970C2" w:rsidRDefault="005970C2" w:rsidP="005970C2">
            <w:pPr>
              <w:widowControl/>
              <w:tabs>
                <w:tab w:val="decimal" w:pos="31"/>
              </w:tabs>
              <w:snapToGrid w:val="0"/>
              <w:spacing w:before="20" w:after="20"/>
              <w:jc w:val="center"/>
              <w:rPr>
                <w:rFonts w:ascii="Segoe UI" w:hAnsi="Segoe UI" w:cs="Segoe UI"/>
                <w:kern w:val="0"/>
                <w:sz w:val="17"/>
                <w:szCs w:val="17"/>
                <w:lang w:val="en-GB" w:eastAsia="en-GB"/>
              </w:rPr>
            </w:pPr>
          </w:p>
        </w:tc>
        <w:tc>
          <w:tcPr>
            <w:tcW w:w="7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5970C2" w:rsidRPr="005970C2" w:rsidRDefault="005970C2" w:rsidP="005970C2">
            <w:pPr>
              <w:widowControl/>
              <w:tabs>
                <w:tab w:val="decimal" w:pos="31"/>
              </w:tabs>
              <w:snapToGrid w:val="0"/>
              <w:spacing w:before="20" w:after="20"/>
              <w:jc w:val="center"/>
              <w:rPr>
                <w:rFonts w:ascii="Segoe UI" w:hAnsi="Segoe UI" w:cs="Segoe UI"/>
                <w:kern w:val="0"/>
                <w:sz w:val="17"/>
                <w:szCs w:val="17"/>
                <w:lang w:val="en-GB" w:eastAsia="en-GB"/>
              </w:rPr>
            </w:pPr>
          </w:p>
        </w:tc>
        <w:tc>
          <w:tcPr>
            <w:tcW w:w="5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5970C2" w:rsidRPr="005970C2" w:rsidRDefault="005970C2" w:rsidP="005970C2">
            <w:pPr>
              <w:widowControl/>
              <w:tabs>
                <w:tab w:val="decimal" w:pos="31"/>
              </w:tabs>
              <w:snapToGrid w:val="0"/>
              <w:spacing w:before="20" w:after="20"/>
              <w:jc w:val="center"/>
              <w:rPr>
                <w:rFonts w:ascii="Segoe UI" w:hAnsi="Segoe UI" w:cs="Segoe UI"/>
                <w:kern w:val="0"/>
                <w:sz w:val="17"/>
                <w:szCs w:val="17"/>
                <w:lang w:val="en-GB" w:eastAsia="en-GB"/>
              </w:rPr>
            </w:pPr>
            <w:r w:rsidRPr="005970C2">
              <w:rPr>
                <w:rFonts w:ascii="Segoe UI" w:hAnsi="Segoe UI" w:cs="Segoe UI"/>
                <w:bCs/>
                <w:kern w:val="0"/>
                <w:sz w:val="17"/>
                <w:szCs w:val="17"/>
                <w:lang w:val="en-GB" w:eastAsia="ja-JP"/>
              </w:rPr>
              <w:t>…</w:t>
            </w:r>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auto"/>
            </w:tcBorders>
          </w:tcPr>
          <w:p w:rsidR="005970C2" w:rsidRPr="005970C2" w:rsidRDefault="005970C2" w:rsidP="005970C2">
            <w:pPr>
              <w:widowControl/>
              <w:tabs>
                <w:tab w:val="decimal" w:pos="31"/>
              </w:tabs>
              <w:snapToGrid w:val="0"/>
              <w:spacing w:before="20" w:after="20"/>
              <w:jc w:val="center"/>
              <w:rPr>
                <w:rFonts w:ascii="Segoe UI" w:hAnsi="Segoe UI" w:cs="Segoe UI"/>
                <w:kern w:val="0"/>
                <w:sz w:val="17"/>
                <w:szCs w:val="17"/>
                <w:lang w:val="en-GB" w:eastAsia="en-GB"/>
              </w:rPr>
            </w:pPr>
          </w:p>
        </w:tc>
        <w:tc>
          <w:tcPr>
            <w:tcW w:w="1134" w:type="dxa"/>
            <w:tcBorders>
              <w:top w:val="single" w:sz="4" w:space="0" w:color="BFBFBF" w:themeColor="background1" w:themeShade="BF"/>
              <w:left w:val="single" w:sz="4" w:space="0" w:color="auto"/>
              <w:bottom w:val="single" w:sz="4" w:space="0" w:color="BFBFBF" w:themeColor="background1" w:themeShade="BF"/>
              <w:right w:val="single" w:sz="4" w:space="0" w:color="auto"/>
            </w:tcBorders>
          </w:tcPr>
          <w:p w:rsidR="005970C2" w:rsidRPr="005970C2" w:rsidRDefault="005970C2" w:rsidP="005970C2">
            <w:pPr>
              <w:widowControl/>
              <w:tabs>
                <w:tab w:val="decimal" w:pos="31"/>
              </w:tabs>
              <w:snapToGrid w:val="0"/>
              <w:spacing w:before="20" w:after="20"/>
              <w:jc w:val="center"/>
              <w:rPr>
                <w:rFonts w:ascii="Segoe UI" w:hAnsi="Segoe UI" w:cs="Segoe UI"/>
                <w:kern w:val="0"/>
                <w:sz w:val="17"/>
                <w:szCs w:val="17"/>
                <w:lang w:val="en-GB" w:eastAsia="en-GB"/>
              </w:rPr>
            </w:pPr>
          </w:p>
        </w:tc>
      </w:tr>
      <w:tr w:rsidR="005970C2" w:rsidRPr="005970C2" w:rsidTr="003A4070">
        <w:trPr>
          <w:cantSplit/>
        </w:trPr>
        <w:tc>
          <w:tcPr>
            <w:tcW w:w="568" w:type="dxa"/>
            <w:tcBorders>
              <w:top w:val="single" w:sz="4" w:space="0" w:color="BFBFBF" w:themeColor="background1" w:themeShade="BF"/>
              <w:left w:val="nil"/>
              <w:right w:val="single" w:sz="4" w:space="0" w:color="auto"/>
            </w:tcBorders>
            <w:vAlign w:val="center"/>
          </w:tcPr>
          <w:p w:rsidR="005970C2" w:rsidRPr="005970C2" w:rsidDel="00745BDE" w:rsidRDefault="005970C2" w:rsidP="005970C2">
            <w:pPr>
              <w:widowControl/>
              <w:snapToGrid w:val="0"/>
              <w:spacing w:before="40" w:after="40"/>
              <w:rPr>
                <w:rFonts w:ascii="Segoe UI" w:eastAsia="Times New Roman" w:hAnsi="Segoe UI" w:cs="Times New Roman"/>
                <w:kern w:val="0"/>
                <w:sz w:val="17"/>
                <w:szCs w:val="20"/>
                <w:lang w:val="en-GB" w:eastAsia="en-CA"/>
              </w:rPr>
            </w:pPr>
            <w:r w:rsidRPr="005970C2">
              <w:rPr>
                <w:rFonts w:ascii="Segoe UI" w:eastAsia="Times New Roman" w:hAnsi="Segoe UI" w:cs="Times New Roman"/>
                <w:kern w:val="0"/>
                <w:sz w:val="17"/>
                <w:szCs w:val="20"/>
                <w:lang w:val="en-GB" w:eastAsia="en-CA"/>
              </w:rPr>
              <w:t>7</w:t>
            </w:r>
          </w:p>
        </w:tc>
        <w:tc>
          <w:tcPr>
            <w:tcW w:w="5245" w:type="dxa"/>
            <w:tcBorders>
              <w:top w:val="single" w:sz="4" w:space="0" w:color="BFBFBF" w:themeColor="background1" w:themeShade="BF"/>
              <w:left w:val="nil"/>
              <w:right w:val="single" w:sz="4" w:space="0" w:color="auto"/>
            </w:tcBorders>
            <w:vAlign w:val="center"/>
          </w:tcPr>
          <w:p w:rsidR="005970C2" w:rsidRPr="005970C2" w:rsidRDefault="005970C2" w:rsidP="005970C2">
            <w:pPr>
              <w:keepNext/>
              <w:widowControl/>
              <w:tabs>
                <w:tab w:val="left" w:pos="39"/>
              </w:tabs>
              <w:snapToGrid w:val="0"/>
              <w:spacing w:before="20" w:after="20"/>
              <w:ind w:left="39"/>
              <w:rPr>
                <w:rFonts w:ascii="Segoe UI" w:hAnsi="Segoe UI" w:cs="Segoe UI"/>
                <w:kern w:val="0"/>
                <w:sz w:val="17"/>
                <w:szCs w:val="17"/>
                <w:lang w:val="en-GB" w:eastAsia="en-GB"/>
              </w:rPr>
            </w:pPr>
            <w:r w:rsidRPr="005970C2">
              <w:rPr>
                <w:rFonts w:ascii="Segoe UI" w:hAnsi="Segoe UI" w:cs="Segoe UI"/>
                <w:kern w:val="0"/>
                <w:sz w:val="17"/>
                <w:szCs w:val="17"/>
                <w:lang w:val="en-GB" w:eastAsia="en-GB"/>
              </w:rPr>
              <w:t>Subset of row 5 with 2 years ≤ residual maturity &lt; 5 years</w:t>
            </w:r>
          </w:p>
        </w:tc>
        <w:tc>
          <w:tcPr>
            <w:tcW w:w="709" w:type="dxa"/>
            <w:tcBorders>
              <w:top w:val="single" w:sz="4" w:space="0" w:color="BFBFBF" w:themeColor="background1" w:themeShade="BF"/>
              <w:left w:val="single" w:sz="4" w:space="0" w:color="auto"/>
              <w:bottom w:val="single" w:sz="4" w:space="0" w:color="BFBFBF" w:themeColor="background1" w:themeShade="BF"/>
              <w:right w:val="single" w:sz="4" w:space="0" w:color="BFBFBF" w:themeColor="background1" w:themeShade="BF"/>
            </w:tcBorders>
          </w:tcPr>
          <w:p w:rsidR="005970C2" w:rsidRPr="005970C2" w:rsidRDefault="005970C2" w:rsidP="005970C2">
            <w:pPr>
              <w:widowControl/>
              <w:tabs>
                <w:tab w:val="decimal" w:pos="31"/>
              </w:tabs>
              <w:snapToGrid w:val="0"/>
              <w:spacing w:before="20" w:after="20"/>
              <w:jc w:val="center"/>
              <w:rPr>
                <w:rFonts w:ascii="Segoe UI" w:hAnsi="Segoe UI" w:cs="Segoe UI"/>
                <w:kern w:val="0"/>
                <w:sz w:val="17"/>
                <w:szCs w:val="17"/>
                <w:lang w:val="en-GB" w:eastAsia="en-GB"/>
              </w:rPr>
            </w:pPr>
          </w:p>
        </w:tc>
        <w:tc>
          <w:tcPr>
            <w:tcW w:w="708" w:type="dxa"/>
            <w:tcBorders>
              <w:top w:val="single" w:sz="4" w:space="0" w:color="BFBFBF" w:themeColor="background1" w:themeShade="BF"/>
              <w:left w:val="single" w:sz="4" w:space="0" w:color="BFBFBF" w:themeColor="background1" w:themeShade="BF"/>
              <w:right w:val="single" w:sz="4" w:space="0" w:color="BFBFBF" w:themeColor="background1" w:themeShade="BF"/>
            </w:tcBorders>
          </w:tcPr>
          <w:p w:rsidR="005970C2" w:rsidRPr="005970C2" w:rsidRDefault="005970C2" w:rsidP="005970C2">
            <w:pPr>
              <w:widowControl/>
              <w:tabs>
                <w:tab w:val="decimal" w:pos="31"/>
              </w:tabs>
              <w:snapToGrid w:val="0"/>
              <w:spacing w:before="20" w:after="20"/>
              <w:jc w:val="center"/>
              <w:rPr>
                <w:rFonts w:ascii="Segoe UI" w:hAnsi="Segoe UI" w:cs="Segoe UI"/>
                <w:kern w:val="0"/>
                <w:sz w:val="17"/>
                <w:szCs w:val="17"/>
                <w:lang w:val="en-GB" w:eastAsia="en-GB"/>
              </w:rPr>
            </w:pPr>
          </w:p>
        </w:tc>
        <w:tc>
          <w:tcPr>
            <w:tcW w:w="567" w:type="dxa"/>
            <w:tcBorders>
              <w:top w:val="single" w:sz="4" w:space="0" w:color="BFBFBF" w:themeColor="background1" w:themeShade="BF"/>
              <w:left w:val="single" w:sz="4" w:space="0" w:color="BFBFBF" w:themeColor="background1" w:themeShade="BF"/>
              <w:right w:val="single" w:sz="4" w:space="0" w:color="BFBFBF" w:themeColor="background1" w:themeShade="BF"/>
            </w:tcBorders>
          </w:tcPr>
          <w:p w:rsidR="005970C2" w:rsidRPr="005970C2" w:rsidRDefault="005970C2" w:rsidP="005970C2">
            <w:pPr>
              <w:widowControl/>
              <w:tabs>
                <w:tab w:val="decimal" w:pos="31"/>
              </w:tabs>
              <w:snapToGrid w:val="0"/>
              <w:spacing w:before="20" w:after="20"/>
              <w:jc w:val="center"/>
              <w:rPr>
                <w:rFonts w:ascii="Segoe UI" w:hAnsi="Segoe UI" w:cs="Segoe UI"/>
                <w:kern w:val="0"/>
                <w:sz w:val="17"/>
                <w:szCs w:val="17"/>
                <w:lang w:val="en-GB" w:eastAsia="en-GB"/>
              </w:rPr>
            </w:pPr>
            <w:r w:rsidRPr="005970C2">
              <w:rPr>
                <w:rFonts w:ascii="Segoe UI" w:hAnsi="Segoe UI" w:cs="Segoe UI"/>
                <w:bCs/>
                <w:kern w:val="0"/>
                <w:sz w:val="17"/>
                <w:szCs w:val="17"/>
                <w:lang w:val="en-GB" w:eastAsia="ja-JP"/>
              </w:rPr>
              <w:t>…</w:t>
            </w:r>
          </w:p>
        </w:tc>
        <w:tc>
          <w:tcPr>
            <w:tcW w:w="709" w:type="dxa"/>
            <w:tcBorders>
              <w:top w:val="single" w:sz="4" w:space="0" w:color="BFBFBF" w:themeColor="background1" w:themeShade="BF"/>
              <w:left w:val="single" w:sz="4" w:space="0" w:color="BFBFBF" w:themeColor="background1" w:themeShade="BF"/>
              <w:right w:val="single" w:sz="4" w:space="0" w:color="auto"/>
            </w:tcBorders>
          </w:tcPr>
          <w:p w:rsidR="005970C2" w:rsidRPr="005970C2" w:rsidRDefault="005970C2" w:rsidP="005970C2">
            <w:pPr>
              <w:widowControl/>
              <w:tabs>
                <w:tab w:val="decimal" w:pos="31"/>
              </w:tabs>
              <w:snapToGrid w:val="0"/>
              <w:spacing w:before="20" w:after="20"/>
              <w:jc w:val="center"/>
              <w:rPr>
                <w:rFonts w:ascii="Segoe UI" w:hAnsi="Segoe UI" w:cs="Segoe UI"/>
                <w:kern w:val="0"/>
                <w:sz w:val="17"/>
                <w:szCs w:val="17"/>
                <w:lang w:val="en-GB" w:eastAsia="en-GB"/>
              </w:rPr>
            </w:pPr>
          </w:p>
        </w:tc>
        <w:tc>
          <w:tcPr>
            <w:tcW w:w="1134" w:type="dxa"/>
            <w:tcBorders>
              <w:top w:val="single" w:sz="4" w:space="0" w:color="BFBFBF" w:themeColor="background1" w:themeShade="BF"/>
              <w:left w:val="single" w:sz="4" w:space="0" w:color="auto"/>
              <w:right w:val="single" w:sz="4" w:space="0" w:color="auto"/>
            </w:tcBorders>
          </w:tcPr>
          <w:p w:rsidR="005970C2" w:rsidRPr="005970C2" w:rsidRDefault="005970C2" w:rsidP="005970C2">
            <w:pPr>
              <w:widowControl/>
              <w:tabs>
                <w:tab w:val="decimal" w:pos="31"/>
              </w:tabs>
              <w:snapToGrid w:val="0"/>
              <w:spacing w:before="20" w:after="20"/>
              <w:jc w:val="center"/>
              <w:rPr>
                <w:rFonts w:ascii="Segoe UI" w:hAnsi="Segoe UI" w:cs="Segoe UI"/>
                <w:kern w:val="0"/>
                <w:sz w:val="17"/>
                <w:szCs w:val="17"/>
                <w:lang w:val="en-GB" w:eastAsia="en-GB"/>
              </w:rPr>
            </w:pPr>
          </w:p>
        </w:tc>
      </w:tr>
      <w:tr w:rsidR="005970C2" w:rsidRPr="005970C2" w:rsidTr="003A4070">
        <w:trPr>
          <w:cantSplit/>
        </w:trPr>
        <w:tc>
          <w:tcPr>
            <w:tcW w:w="568" w:type="dxa"/>
            <w:tcBorders>
              <w:top w:val="single" w:sz="4" w:space="0" w:color="BFBFBF" w:themeColor="background1" w:themeShade="BF"/>
              <w:left w:val="nil"/>
              <w:bottom w:val="single" w:sz="4" w:space="0" w:color="BFBFBF" w:themeColor="background1" w:themeShade="BF"/>
              <w:right w:val="single" w:sz="4" w:space="0" w:color="auto"/>
            </w:tcBorders>
            <w:vAlign w:val="center"/>
          </w:tcPr>
          <w:p w:rsidR="005970C2" w:rsidRPr="005970C2" w:rsidDel="00745BDE" w:rsidRDefault="005970C2" w:rsidP="005970C2">
            <w:pPr>
              <w:widowControl/>
              <w:snapToGrid w:val="0"/>
              <w:spacing w:before="40" w:after="40"/>
              <w:rPr>
                <w:rFonts w:ascii="Segoe UI" w:eastAsia="Times New Roman" w:hAnsi="Segoe UI" w:cs="Times New Roman"/>
                <w:kern w:val="0"/>
                <w:sz w:val="17"/>
                <w:szCs w:val="20"/>
                <w:lang w:val="en-GB" w:eastAsia="en-CA"/>
              </w:rPr>
            </w:pPr>
            <w:r w:rsidRPr="005970C2">
              <w:rPr>
                <w:rFonts w:ascii="Segoe UI" w:eastAsia="Times New Roman" w:hAnsi="Segoe UI" w:cs="Times New Roman"/>
                <w:kern w:val="0"/>
                <w:sz w:val="17"/>
                <w:szCs w:val="20"/>
                <w:lang w:val="en-GB" w:eastAsia="en-CA"/>
              </w:rPr>
              <w:t>8</w:t>
            </w:r>
          </w:p>
        </w:tc>
        <w:tc>
          <w:tcPr>
            <w:tcW w:w="5245" w:type="dxa"/>
            <w:tcBorders>
              <w:top w:val="single" w:sz="4" w:space="0" w:color="BFBFBF" w:themeColor="background1" w:themeShade="BF"/>
              <w:left w:val="nil"/>
              <w:bottom w:val="single" w:sz="4" w:space="0" w:color="BFBFBF" w:themeColor="background1" w:themeShade="BF"/>
              <w:right w:val="single" w:sz="4" w:space="0" w:color="auto"/>
            </w:tcBorders>
            <w:vAlign w:val="center"/>
          </w:tcPr>
          <w:p w:rsidR="005970C2" w:rsidRPr="005970C2" w:rsidRDefault="005970C2" w:rsidP="005970C2">
            <w:pPr>
              <w:keepNext/>
              <w:widowControl/>
              <w:tabs>
                <w:tab w:val="left" w:pos="39"/>
              </w:tabs>
              <w:snapToGrid w:val="0"/>
              <w:spacing w:before="20" w:after="20"/>
              <w:ind w:left="39"/>
              <w:rPr>
                <w:rFonts w:ascii="Segoe UI" w:hAnsi="Segoe UI" w:cs="Segoe UI"/>
                <w:kern w:val="0"/>
                <w:sz w:val="17"/>
                <w:szCs w:val="17"/>
                <w:lang w:val="en-GB" w:eastAsia="en-GB"/>
              </w:rPr>
            </w:pPr>
            <w:r w:rsidRPr="005970C2">
              <w:rPr>
                <w:rFonts w:ascii="Segoe UI" w:hAnsi="Segoe UI" w:cs="Segoe UI"/>
                <w:kern w:val="0"/>
                <w:sz w:val="17"/>
                <w:szCs w:val="17"/>
                <w:lang w:val="en-GB" w:eastAsia="en-GB"/>
              </w:rPr>
              <w:t>Subset of row 5 with 5 years ≤ residual maturity &lt; 10 years</w:t>
            </w:r>
          </w:p>
        </w:tc>
        <w:tc>
          <w:tcPr>
            <w:tcW w:w="709" w:type="dxa"/>
            <w:tcBorders>
              <w:top w:val="single" w:sz="4" w:space="0" w:color="BFBFBF" w:themeColor="background1" w:themeShade="BF"/>
              <w:left w:val="single" w:sz="4" w:space="0" w:color="auto"/>
              <w:bottom w:val="single" w:sz="4" w:space="0" w:color="BFBFBF" w:themeColor="background1" w:themeShade="BF"/>
              <w:right w:val="single" w:sz="4" w:space="0" w:color="BFBFBF" w:themeColor="background1" w:themeShade="BF"/>
            </w:tcBorders>
          </w:tcPr>
          <w:p w:rsidR="005970C2" w:rsidRPr="005970C2" w:rsidRDefault="005970C2" w:rsidP="005970C2">
            <w:pPr>
              <w:widowControl/>
              <w:tabs>
                <w:tab w:val="decimal" w:pos="31"/>
              </w:tabs>
              <w:snapToGrid w:val="0"/>
              <w:spacing w:before="20" w:after="20"/>
              <w:jc w:val="center"/>
              <w:rPr>
                <w:rFonts w:ascii="Segoe UI" w:hAnsi="Segoe UI" w:cs="Segoe UI"/>
                <w:kern w:val="0"/>
                <w:sz w:val="17"/>
                <w:szCs w:val="17"/>
                <w:lang w:val="en-GB" w:eastAsia="en-GB"/>
              </w:rPr>
            </w:pPr>
          </w:p>
        </w:tc>
        <w:tc>
          <w:tcPr>
            <w:tcW w:w="708" w:type="dxa"/>
            <w:tcBorders>
              <w:top w:val="single" w:sz="4" w:space="0" w:color="BFBFBF" w:themeColor="background1" w:themeShade="BF"/>
              <w:left w:val="single" w:sz="4" w:space="0" w:color="BFBFBF" w:themeColor="background1" w:themeShade="BF"/>
              <w:right w:val="single" w:sz="4" w:space="0" w:color="BFBFBF" w:themeColor="background1" w:themeShade="BF"/>
            </w:tcBorders>
          </w:tcPr>
          <w:p w:rsidR="005970C2" w:rsidRPr="005970C2" w:rsidRDefault="005970C2" w:rsidP="005970C2">
            <w:pPr>
              <w:widowControl/>
              <w:tabs>
                <w:tab w:val="decimal" w:pos="31"/>
              </w:tabs>
              <w:snapToGrid w:val="0"/>
              <w:spacing w:before="20" w:after="20"/>
              <w:jc w:val="center"/>
              <w:rPr>
                <w:rFonts w:ascii="Segoe UI" w:hAnsi="Segoe UI" w:cs="Segoe UI"/>
                <w:kern w:val="0"/>
                <w:sz w:val="17"/>
                <w:szCs w:val="17"/>
                <w:lang w:val="en-GB" w:eastAsia="en-GB"/>
              </w:rPr>
            </w:pPr>
          </w:p>
        </w:tc>
        <w:tc>
          <w:tcPr>
            <w:tcW w:w="567" w:type="dxa"/>
            <w:tcBorders>
              <w:top w:val="single" w:sz="4" w:space="0" w:color="BFBFBF" w:themeColor="background1" w:themeShade="BF"/>
              <w:left w:val="single" w:sz="4" w:space="0" w:color="BFBFBF" w:themeColor="background1" w:themeShade="BF"/>
              <w:right w:val="single" w:sz="4" w:space="0" w:color="BFBFBF" w:themeColor="background1" w:themeShade="BF"/>
            </w:tcBorders>
          </w:tcPr>
          <w:p w:rsidR="005970C2" w:rsidRPr="005970C2" w:rsidRDefault="005970C2" w:rsidP="005970C2">
            <w:pPr>
              <w:widowControl/>
              <w:tabs>
                <w:tab w:val="decimal" w:pos="31"/>
              </w:tabs>
              <w:snapToGrid w:val="0"/>
              <w:spacing w:before="20" w:after="20"/>
              <w:jc w:val="center"/>
              <w:rPr>
                <w:rFonts w:ascii="Segoe UI" w:hAnsi="Segoe UI" w:cs="Segoe UI"/>
                <w:kern w:val="0"/>
                <w:sz w:val="17"/>
                <w:szCs w:val="17"/>
                <w:lang w:val="en-GB" w:eastAsia="en-GB"/>
              </w:rPr>
            </w:pPr>
            <w:r w:rsidRPr="005970C2">
              <w:rPr>
                <w:rFonts w:ascii="Segoe UI" w:hAnsi="Segoe UI" w:cs="Segoe UI"/>
                <w:bCs/>
                <w:kern w:val="0"/>
                <w:sz w:val="17"/>
                <w:szCs w:val="17"/>
                <w:lang w:val="en-GB" w:eastAsia="ja-JP"/>
              </w:rPr>
              <w:t>…</w:t>
            </w:r>
          </w:p>
        </w:tc>
        <w:tc>
          <w:tcPr>
            <w:tcW w:w="709" w:type="dxa"/>
            <w:tcBorders>
              <w:top w:val="single" w:sz="4" w:space="0" w:color="BFBFBF" w:themeColor="background1" w:themeShade="BF"/>
              <w:left w:val="single" w:sz="4" w:space="0" w:color="BFBFBF" w:themeColor="background1" w:themeShade="BF"/>
              <w:right w:val="single" w:sz="4" w:space="0" w:color="auto"/>
            </w:tcBorders>
          </w:tcPr>
          <w:p w:rsidR="005970C2" w:rsidRPr="005970C2" w:rsidRDefault="005970C2" w:rsidP="005970C2">
            <w:pPr>
              <w:widowControl/>
              <w:tabs>
                <w:tab w:val="decimal" w:pos="31"/>
              </w:tabs>
              <w:snapToGrid w:val="0"/>
              <w:spacing w:before="20" w:after="20"/>
              <w:jc w:val="center"/>
              <w:rPr>
                <w:rFonts w:ascii="Segoe UI" w:hAnsi="Segoe UI" w:cs="Segoe UI"/>
                <w:kern w:val="0"/>
                <w:sz w:val="17"/>
                <w:szCs w:val="17"/>
                <w:lang w:val="en-GB" w:eastAsia="en-GB"/>
              </w:rPr>
            </w:pPr>
          </w:p>
        </w:tc>
        <w:tc>
          <w:tcPr>
            <w:tcW w:w="1134" w:type="dxa"/>
            <w:tcBorders>
              <w:top w:val="single" w:sz="4" w:space="0" w:color="BFBFBF" w:themeColor="background1" w:themeShade="BF"/>
              <w:left w:val="single" w:sz="4" w:space="0" w:color="auto"/>
              <w:right w:val="single" w:sz="4" w:space="0" w:color="auto"/>
            </w:tcBorders>
          </w:tcPr>
          <w:p w:rsidR="005970C2" w:rsidRPr="005970C2" w:rsidRDefault="005970C2" w:rsidP="005970C2">
            <w:pPr>
              <w:widowControl/>
              <w:tabs>
                <w:tab w:val="decimal" w:pos="31"/>
              </w:tabs>
              <w:snapToGrid w:val="0"/>
              <w:spacing w:before="20" w:after="20"/>
              <w:jc w:val="center"/>
              <w:rPr>
                <w:rFonts w:ascii="Segoe UI" w:hAnsi="Segoe UI" w:cs="Segoe UI"/>
                <w:kern w:val="0"/>
                <w:sz w:val="17"/>
                <w:szCs w:val="17"/>
                <w:lang w:val="en-GB" w:eastAsia="en-GB"/>
              </w:rPr>
            </w:pPr>
          </w:p>
        </w:tc>
      </w:tr>
      <w:tr w:rsidR="005970C2" w:rsidRPr="005970C2" w:rsidTr="003A4070">
        <w:trPr>
          <w:cantSplit/>
        </w:trPr>
        <w:tc>
          <w:tcPr>
            <w:tcW w:w="568" w:type="dxa"/>
            <w:tcBorders>
              <w:top w:val="single" w:sz="4" w:space="0" w:color="BFBFBF" w:themeColor="background1" w:themeShade="BF"/>
              <w:left w:val="nil"/>
              <w:bottom w:val="single" w:sz="4" w:space="0" w:color="BFBFBF" w:themeColor="background1" w:themeShade="BF"/>
              <w:right w:val="single" w:sz="4" w:space="0" w:color="auto"/>
            </w:tcBorders>
            <w:vAlign w:val="center"/>
          </w:tcPr>
          <w:p w:rsidR="005970C2" w:rsidRPr="005970C2" w:rsidDel="00745BDE" w:rsidRDefault="005970C2" w:rsidP="005970C2">
            <w:pPr>
              <w:widowControl/>
              <w:snapToGrid w:val="0"/>
              <w:spacing w:before="40" w:after="40"/>
              <w:rPr>
                <w:rFonts w:ascii="Segoe UI" w:eastAsia="Times New Roman" w:hAnsi="Segoe UI" w:cs="Times New Roman"/>
                <w:kern w:val="0"/>
                <w:sz w:val="17"/>
                <w:szCs w:val="20"/>
                <w:lang w:val="en-GB" w:eastAsia="en-CA"/>
              </w:rPr>
            </w:pPr>
            <w:r w:rsidRPr="005970C2">
              <w:rPr>
                <w:rFonts w:ascii="Segoe UI" w:eastAsia="Times New Roman" w:hAnsi="Segoe UI" w:cs="Times New Roman"/>
                <w:kern w:val="0"/>
                <w:sz w:val="17"/>
                <w:szCs w:val="20"/>
                <w:lang w:val="en-GB" w:eastAsia="en-CA"/>
              </w:rPr>
              <w:t>9</w:t>
            </w:r>
          </w:p>
        </w:tc>
        <w:tc>
          <w:tcPr>
            <w:tcW w:w="5245" w:type="dxa"/>
            <w:tcBorders>
              <w:top w:val="single" w:sz="4" w:space="0" w:color="BFBFBF" w:themeColor="background1" w:themeShade="BF"/>
              <w:left w:val="nil"/>
              <w:bottom w:val="single" w:sz="4" w:space="0" w:color="BFBFBF" w:themeColor="background1" w:themeShade="BF"/>
              <w:right w:val="single" w:sz="4" w:space="0" w:color="auto"/>
            </w:tcBorders>
            <w:vAlign w:val="center"/>
          </w:tcPr>
          <w:p w:rsidR="005970C2" w:rsidRPr="005970C2" w:rsidRDefault="005970C2" w:rsidP="005970C2">
            <w:pPr>
              <w:keepNext/>
              <w:widowControl/>
              <w:tabs>
                <w:tab w:val="left" w:pos="39"/>
              </w:tabs>
              <w:snapToGrid w:val="0"/>
              <w:spacing w:before="20" w:after="20"/>
              <w:ind w:left="39"/>
              <w:rPr>
                <w:rFonts w:ascii="Segoe UI" w:hAnsi="Segoe UI" w:cs="Segoe UI"/>
                <w:kern w:val="0"/>
                <w:sz w:val="17"/>
                <w:szCs w:val="17"/>
                <w:lang w:val="en-GB" w:eastAsia="en-GB"/>
              </w:rPr>
            </w:pPr>
            <w:r w:rsidRPr="005970C2">
              <w:rPr>
                <w:rFonts w:ascii="Segoe UI" w:hAnsi="Segoe UI" w:cs="Segoe UI"/>
                <w:kern w:val="0"/>
                <w:sz w:val="17"/>
                <w:szCs w:val="17"/>
                <w:lang w:val="en-GB" w:eastAsia="en-GB"/>
              </w:rPr>
              <w:t>Subset of row 5 with residual maturity ≥ 10 years, but excluding perpetual securities</w:t>
            </w:r>
          </w:p>
        </w:tc>
        <w:tc>
          <w:tcPr>
            <w:tcW w:w="709" w:type="dxa"/>
            <w:tcBorders>
              <w:top w:val="single" w:sz="4" w:space="0" w:color="BFBFBF" w:themeColor="background1" w:themeShade="BF"/>
              <w:left w:val="single" w:sz="4" w:space="0" w:color="auto"/>
              <w:bottom w:val="single" w:sz="4" w:space="0" w:color="BFBFBF" w:themeColor="background1" w:themeShade="BF"/>
              <w:right w:val="single" w:sz="4" w:space="0" w:color="BFBFBF" w:themeColor="background1" w:themeShade="BF"/>
            </w:tcBorders>
          </w:tcPr>
          <w:p w:rsidR="005970C2" w:rsidRPr="005970C2" w:rsidRDefault="005970C2" w:rsidP="005970C2">
            <w:pPr>
              <w:widowControl/>
              <w:tabs>
                <w:tab w:val="decimal" w:pos="31"/>
              </w:tabs>
              <w:snapToGrid w:val="0"/>
              <w:spacing w:before="20" w:after="20"/>
              <w:jc w:val="center"/>
              <w:rPr>
                <w:rFonts w:ascii="Segoe UI" w:hAnsi="Segoe UI" w:cs="Segoe UI"/>
                <w:kern w:val="0"/>
                <w:sz w:val="17"/>
                <w:szCs w:val="17"/>
                <w:lang w:val="en-GB" w:eastAsia="en-GB"/>
              </w:rPr>
            </w:pPr>
          </w:p>
        </w:tc>
        <w:tc>
          <w:tcPr>
            <w:tcW w:w="708" w:type="dxa"/>
            <w:tcBorders>
              <w:top w:val="single" w:sz="4" w:space="0" w:color="BFBFBF" w:themeColor="background1" w:themeShade="BF"/>
              <w:left w:val="single" w:sz="4" w:space="0" w:color="BFBFBF" w:themeColor="background1" w:themeShade="BF"/>
              <w:right w:val="single" w:sz="4" w:space="0" w:color="BFBFBF" w:themeColor="background1" w:themeShade="BF"/>
            </w:tcBorders>
          </w:tcPr>
          <w:p w:rsidR="005970C2" w:rsidRPr="005970C2" w:rsidRDefault="005970C2" w:rsidP="005970C2">
            <w:pPr>
              <w:widowControl/>
              <w:tabs>
                <w:tab w:val="decimal" w:pos="31"/>
              </w:tabs>
              <w:snapToGrid w:val="0"/>
              <w:spacing w:before="20" w:after="20"/>
              <w:jc w:val="center"/>
              <w:rPr>
                <w:rFonts w:ascii="Segoe UI" w:hAnsi="Segoe UI" w:cs="Segoe UI"/>
                <w:kern w:val="0"/>
                <w:sz w:val="17"/>
                <w:szCs w:val="17"/>
                <w:lang w:val="en-GB" w:eastAsia="en-GB"/>
              </w:rPr>
            </w:pPr>
          </w:p>
        </w:tc>
        <w:tc>
          <w:tcPr>
            <w:tcW w:w="567" w:type="dxa"/>
            <w:tcBorders>
              <w:top w:val="single" w:sz="4" w:space="0" w:color="BFBFBF" w:themeColor="background1" w:themeShade="BF"/>
              <w:left w:val="single" w:sz="4" w:space="0" w:color="BFBFBF" w:themeColor="background1" w:themeShade="BF"/>
              <w:right w:val="single" w:sz="4" w:space="0" w:color="BFBFBF" w:themeColor="background1" w:themeShade="BF"/>
            </w:tcBorders>
          </w:tcPr>
          <w:p w:rsidR="005970C2" w:rsidRPr="005970C2" w:rsidRDefault="005970C2" w:rsidP="005970C2">
            <w:pPr>
              <w:widowControl/>
              <w:tabs>
                <w:tab w:val="decimal" w:pos="31"/>
              </w:tabs>
              <w:snapToGrid w:val="0"/>
              <w:spacing w:before="20" w:after="20"/>
              <w:jc w:val="center"/>
              <w:rPr>
                <w:rFonts w:ascii="Segoe UI" w:hAnsi="Segoe UI" w:cs="Segoe UI"/>
                <w:kern w:val="0"/>
                <w:sz w:val="17"/>
                <w:szCs w:val="17"/>
                <w:lang w:val="en-GB" w:eastAsia="en-GB"/>
              </w:rPr>
            </w:pPr>
            <w:r w:rsidRPr="005970C2">
              <w:rPr>
                <w:rFonts w:ascii="Segoe UI" w:hAnsi="Segoe UI" w:cs="Segoe UI"/>
                <w:bCs/>
                <w:kern w:val="0"/>
                <w:sz w:val="17"/>
                <w:szCs w:val="17"/>
                <w:lang w:val="en-GB" w:eastAsia="ja-JP"/>
              </w:rPr>
              <w:t>…</w:t>
            </w:r>
          </w:p>
        </w:tc>
        <w:tc>
          <w:tcPr>
            <w:tcW w:w="709" w:type="dxa"/>
            <w:tcBorders>
              <w:top w:val="single" w:sz="4" w:space="0" w:color="BFBFBF" w:themeColor="background1" w:themeShade="BF"/>
              <w:left w:val="single" w:sz="4" w:space="0" w:color="BFBFBF" w:themeColor="background1" w:themeShade="BF"/>
              <w:right w:val="single" w:sz="4" w:space="0" w:color="auto"/>
            </w:tcBorders>
          </w:tcPr>
          <w:p w:rsidR="005970C2" w:rsidRPr="005970C2" w:rsidRDefault="005970C2" w:rsidP="005970C2">
            <w:pPr>
              <w:widowControl/>
              <w:tabs>
                <w:tab w:val="decimal" w:pos="31"/>
              </w:tabs>
              <w:snapToGrid w:val="0"/>
              <w:spacing w:before="20" w:after="20"/>
              <w:jc w:val="center"/>
              <w:rPr>
                <w:rFonts w:ascii="Segoe UI" w:hAnsi="Segoe UI" w:cs="Segoe UI"/>
                <w:kern w:val="0"/>
                <w:sz w:val="17"/>
                <w:szCs w:val="17"/>
                <w:lang w:val="en-GB" w:eastAsia="en-GB"/>
              </w:rPr>
            </w:pPr>
          </w:p>
        </w:tc>
        <w:tc>
          <w:tcPr>
            <w:tcW w:w="1134" w:type="dxa"/>
            <w:tcBorders>
              <w:top w:val="single" w:sz="4" w:space="0" w:color="BFBFBF" w:themeColor="background1" w:themeShade="BF"/>
              <w:left w:val="single" w:sz="4" w:space="0" w:color="auto"/>
              <w:right w:val="single" w:sz="4" w:space="0" w:color="auto"/>
            </w:tcBorders>
          </w:tcPr>
          <w:p w:rsidR="005970C2" w:rsidRPr="005970C2" w:rsidRDefault="005970C2" w:rsidP="005970C2">
            <w:pPr>
              <w:widowControl/>
              <w:tabs>
                <w:tab w:val="decimal" w:pos="31"/>
              </w:tabs>
              <w:snapToGrid w:val="0"/>
              <w:spacing w:before="20" w:after="20"/>
              <w:jc w:val="center"/>
              <w:rPr>
                <w:rFonts w:ascii="Segoe UI" w:hAnsi="Segoe UI" w:cs="Segoe UI"/>
                <w:kern w:val="0"/>
                <w:sz w:val="17"/>
                <w:szCs w:val="17"/>
                <w:lang w:val="en-GB" w:eastAsia="en-GB"/>
              </w:rPr>
            </w:pPr>
          </w:p>
        </w:tc>
      </w:tr>
      <w:tr w:rsidR="005970C2" w:rsidRPr="005970C2" w:rsidTr="003A4070">
        <w:trPr>
          <w:cantSplit/>
        </w:trPr>
        <w:tc>
          <w:tcPr>
            <w:tcW w:w="568" w:type="dxa"/>
            <w:tcBorders>
              <w:top w:val="single" w:sz="4" w:space="0" w:color="BFBFBF" w:themeColor="background1" w:themeShade="BF"/>
              <w:left w:val="nil"/>
              <w:bottom w:val="single" w:sz="4" w:space="0" w:color="auto"/>
              <w:right w:val="single" w:sz="4" w:space="0" w:color="auto"/>
            </w:tcBorders>
            <w:vAlign w:val="center"/>
          </w:tcPr>
          <w:p w:rsidR="005970C2" w:rsidRPr="005970C2" w:rsidRDefault="005970C2" w:rsidP="005970C2">
            <w:pPr>
              <w:widowControl/>
              <w:snapToGrid w:val="0"/>
              <w:spacing w:before="40" w:after="40"/>
              <w:rPr>
                <w:rFonts w:ascii="Segoe UI" w:eastAsia="Times New Roman" w:hAnsi="Segoe UI" w:cs="Times New Roman"/>
                <w:kern w:val="0"/>
                <w:sz w:val="17"/>
                <w:szCs w:val="20"/>
                <w:lang w:val="en-GB" w:eastAsia="en-CA"/>
              </w:rPr>
            </w:pPr>
            <w:r w:rsidRPr="005970C2">
              <w:rPr>
                <w:rFonts w:ascii="Segoe UI" w:eastAsia="Times New Roman" w:hAnsi="Segoe UI" w:cs="Times New Roman"/>
                <w:kern w:val="0"/>
                <w:sz w:val="17"/>
                <w:szCs w:val="20"/>
                <w:lang w:val="en-GB" w:eastAsia="en-CA"/>
              </w:rPr>
              <w:t>10</w:t>
            </w:r>
          </w:p>
        </w:tc>
        <w:tc>
          <w:tcPr>
            <w:tcW w:w="5245" w:type="dxa"/>
            <w:tcBorders>
              <w:top w:val="single" w:sz="4" w:space="0" w:color="BFBFBF" w:themeColor="background1" w:themeShade="BF"/>
              <w:left w:val="nil"/>
              <w:bottom w:val="single" w:sz="4" w:space="0" w:color="auto"/>
              <w:right w:val="single" w:sz="4" w:space="0" w:color="auto"/>
            </w:tcBorders>
            <w:vAlign w:val="center"/>
          </w:tcPr>
          <w:p w:rsidR="005970C2" w:rsidRPr="005970C2" w:rsidRDefault="005970C2" w:rsidP="005970C2">
            <w:pPr>
              <w:keepNext/>
              <w:widowControl/>
              <w:tabs>
                <w:tab w:val="left" w:pos="39"/>
              </w:tabs>
              <w:snapToGrid w:val="0"/>
              <w:spacing w:before="20" w:after="20"/>
              <w:ind w:left="39"/>
              <w:rPr>
                <w:rFonts w:ascii="Segoe UI" w:hAnsi="Segoe UI" w:cs="Segoe UI"/>
                <w:kern w:val="0"/>
                <w:sz w:val="17"/>
                <w:szCs w:val="17"/>
                <w:lang w:val="en-GB" w:eastAsia="en-GB"/>
              </w:rPr>
            </w:pPr>
            <w:r w:rsidRPr="005970C2">
              <w:rPr>
                <w:rFonts w:ascii="Segoe UI" w:hAnsi="Segoe UI" w:cs="Segoe UI"/>
                <w:kern w:val="0"/>
                <w:sz w:val="17"/>
                <w:szCs w:val="17"/>
                <w:lang w:val="en-GB" w:eastAsia="en-GB"/>
              </w:rPr>
              <w:t>Subset of row 5 that is perpetual securities</w:t>
            </w:r>
          </w:p>
        </w:tc>
        <w:tc>
          <w:tcPr>
            <w:tcW w:w="709" w:type="dxa"/>
            <w:tcBorders>
              <w:top w:val="single" w:sz="4" w:space="0" w:color="BFBFBF" w:themeColor="background1" w:themeShade="BF"/>
              <w:left w:val="single" w:sz="4" w:space="0" w:color="auto"/>
              <w:bottom w:val="single" w:sz="4" w:space="0" w:color="auto"/>
              <w:right w:val="single" w:sz="4" w:space="0" w:color="BFBFBF" w:themeColor="background1" w:themeShade="BF"/>
            </w:tcBorders>
          </w:tcPr>
          <w:p w:rsidR="005970C2" w:rsidRPr="005970C2" w:rsidRDefault="005970C2" w:rsidP="005970C2">
            <w:pPr>
              <w:widowControl/>
              <w:tabs>
                <w:tab w:val="decimal" w:pos="31"/>
              </w:tabs>
              <w:snapToGrid w:val="0"/>
              <w:spacing w:before="20" w:after="20"/>
              <w:jc w:val="center"/>
              <w:rPr>
                <w:rFonts w:ascii="Segoe UI" w:hAnsi="Segoe UI" w:cs="Segoe UI"/>
                <w:kern w:val="0"/>
                <w:sz w:val="17"/>
                <w:szCs w:val="17"/>
                <w:lang w:val="en-GB" w:eastAsia="en-GB"/>
              </w:rPr>
            </w:pPr>
          </w:p>
        </w:tc>
        <w:tc>
          <w:tcPr>
            <w:tcW w:w="708" w:type="dxa"/>
            <w:tcBorders>
              <w:top w:val="single" w:sz="4" w:space="0" w:color="BFBFBF" w:themeColor="background1" w:themeShade="BF"/>
              <w:left w:val="single" w:sz="4" w:space="0" w:color="BFBFBF" w:themeColor="background1" w:themeShade="BF"/>
              <w:bottom w:val="single" w:sz="4" w:space="0" w:color="auto"/>
              <w:right w:val="single" w:sz="4" w:space="0" w:color="BFBFBF" w:themeColor="background1" w:themeShade="BF"/>
            </w:tcBorders>
          </w:tcPr>
          <w:p w:rsidR="005970C2" w:rsidRPr="005970C2" w:rsidRDefault="005970C2" w:rsidP="005970C2">
            <w:pPr>
              <w:widowControl/>
              <w:tabs>
                <w:tab w:val="decimal" w:pos="31"/>
              </w:tabs>
              <w:snapToGrid w:val="0"/>
              <w:spacing w:before="20" w:after="20"/>
              <w:jc w:val="center"/>
              <w:rPr>
                <w:rFonts w:ascii="Segoe UI" w:hAnsi="Segoe UI" w:cs="Segoe UI"/>
                <w:kern w:val="0"/>
                <w:sz w:val="17"/>
                <w:szCs w:val="17"/>
                <w:lang w:val="en-GB" w:eastAsia="en-GB"/>
              </w:rPr>
            </w:pPr>
          </w:p>
        </w:tc>
        <w:tc>
          <w:tcPr>
            <w:tcW w:w="567" w:type="dxa"/>
            <w:tcBorders>
              <w:top w:val="single" w:sz="4" w:space="0" w:color="BFBFBF" w:themeColor="background1" w:themeShade="BF"/>
              <w:left w:val="single" w:sz="4" w:space="0" w:color="BFBFBF" w:themeColor="background1" w:themeShade="BF"/>
              <w:bottom w:val="single" w:sz="4" w:space="0" w:color="auto"/>
              <w:right w:val="single" w:sz="4" w:space="0" w:color="BFBFBF" w:themeColor="background1" w:themeShade="BF"/>
            </w:tcBorders>
          </w:tcPr>
          <w:p w:rsidR="005970C2" w:rsidRPr="005970C2" w:rsidRDefault="005970C2" w:rsidP="005970C2">
            <w:pPr>
              <w:widowControl/>
              <w:tabs>
                <w:tab w:val="decimal" w:pos="31"/>
              </w:tabs>
              <w:snapToGrid w:val="0"/>
              <w:spacing w:before="20" w:after="20"/>
              <w:jc w:val="center"/>
              <w:rPr>
                <w:rFonts w:ascii="Segoe UI" w:hAnsi="Segoe UI" w:cs="Segoe UI"/>
                <w:kern w:val="0"/>
                <w:sz w:val="17"/>
                <w:szCs w:val="17"/>
                <w:lang w:val="en-GB" w:eastAsia="en-GB"/>
              </w:rPr>
            </w:pPr>
            <w:r w:rsidRPr="005970C2">
              <w:rPr>
                <w:rFonts w:ascii="Segoe UI" w:hAnsi="Segoe UI" w:cs="Segoe UI"/>
                <w:bCs/>
                <w:kern w:val="0"/>
                <w:sz w:val="17"/>
                <w:szCs w:val="17"/>
                <w:lang w:val="en-GB" w:eastAsia="ja-JP"/>
              </w:rPr>
              <w:t>…</w:t>
            </w:r>
          </w:p>
        </w:tc>
        <w:tc>
          <w:tcPr>
            <w:tcW w:w="709" w:type="dxa"/>
            <w:tcBorders>
              <w:top w:val="single" w:sz="4" w:space="0" w:color="BFBFBF" w:themeColor="background1" w:themeShade="BF"/>
              <w:left w:val="single" w:sz="4" w:space="0" w:color="BFBFBF" w:themeColor="background1" w:themeShade="BF"/>
              <w:bottom w:val="single" w:sz="4" w:space="0" w:color="auto"/>
              <w:right w:val="single" w:sz="4" w:space="0" w:color="auto"/>
            </w:tcBorders>
          </w:tcPr>
          <w:p w:rsidR="005970C2" w:rsidRPr="005970C2" w:rsidRDefault="005970C2" w:rsidP="005970C2">
            <w:pPr>
              <w:widowControl/>
              <w:tabs>
                <w:tab w:val="decimal" w:pos="31"/>
              </w:tabs>
              <w:snapToGrid w:val="0"/>
              <w:spacing w:before="20" w:after="20"/>
              <w:jc w:val="center"/>
              <w:rPr>
                <w:rFonts w:ascii="Segoe UI" w:hAnsi="Segoe UI" w:cs="Segoe UI"/>
                <w:kern w:val="0"/>
                <w:sz w:val="17"/>
                <w:szCs w:val="17"/>
                <w:lang w:val="en-GB" w:eastAsia="en-GB"/>
              </w:rPr>
            </w:pPr>
          </w:p>
        </w:tc>
        <w:tc>
          <w:tcPr>
            <w:tcW w:w="1134" w:type="dxa"/>
            <w:tcBorders>
              <w:top w:val="single" w:sz="4" w:space="0" w:color="BFBFBF" w:themeColor="background1" w:themeShade="BF"/>
              <w:left w:val="single" w:sz="4" w:space="0" w:color="auto"/>
              <w:bottom w:val="single" w:sz="4" w:space="0" w:color="auto"/>
              <w:right w:val="single" w:sz="4" w:space="0" w:color="auto"/>
            </w:tcBorders>
          </w:tcPr>
          <w:p w:rsidR="005970C2" w:rsidRPr="005970C2" w:rsidRDefault="005970C2" w:rsidP="005970C2">
            <w:pPr>
              <w:widowControl/>
              <w:tabs>
                <w:tab w:val="decimal" w:pos="31"/>
              </w:tabs>
              <w:snapToGrid w:val="0"/>
              <w:spacing w:before="20" w:after="20"/>
              <w:jc w:val="center"/>
              <w:rPr>
                <w:rFonts w:ascii="Segoe UI" w:hAnsi="Segoe UI" w:cs="Segoe UI"/>
                <w:kern w:val="0"/>
                <w:sz w:val="17"/>
                <w:szCs w:val="17"/>
                <w:lang w:val="en-GB" w:eastAsia="en-GB"/>
              </w:rPr>
            </w:pPr>
          </w:p>
        </w:tc>
      </w:tr>
      <w:tr w:rsidR="005970C2" w:rsidRPr="005970C2" w:rsidTr="003A4070">
        <w:trPr>
          <w:cantSplit/>
        </w:trPr>
        <w:tc>
          <w:tcPr>
            <w:tcW w:w="9640" w:type="dxa"/>
            <w:gridSpan w:val="7"/>
            <w:tcBorders>
              <w:top w:val="single" w:sz="4" w:space="0" w:color="auto"/>
              <w:left w:val="nil"/>
              <w:bottom w:val="nil"/>
              <w:right w:val="single" w:sz="4" w:space="0" w:color="auto"/>
            </w:tcBorders>
            <w:vAlign w:val="center"/>
          </w:tcPr>
          <w:p w:rsidR="005970C2" w:rsidRPr="005970C2" w:rsidRDefault="005970C2" w:rsidP="005970C2">
            <w:pPr>
              <w:widowControl/>
              <w:tabs>
                <w:tab w:val="decimal" w:pos="31"/>
              </w:tabs>
              <w:snapToGrid w:val="0"/>
              <w:spacing w:before="20" w:after="20"/>
              <w:rPr>
                <w:rFonts w:ascii="Segoe UI" w:hAnsi="Segoe UI" w:cs="Segoe UI"/>
                <w:kern w:val="0"/>
                <w:sz w:val="17"/>
                <w:szCs w:val="17"/>
                <w:lang w:val="en-GB" w:eastAsia="en-GB"/>
              </w:rPr>
            </w:pPr>
            <w:r w:rsidRPr="005970C2">
              <w:rPr>
                <w:rFonts w:ascii="Segoe UI" w:hAnsi="Segoe UI" w:cs="Segoe UI"/>
                <w:i/>
                <w:kern w:val="0"/>
                <w:sz w:val="17"/>
                <w:szCs w:val="17"/>
                <w:lang w:val="en-GB" w:eastAsia="en-GB"/>
              </w:rPr>
              <w:t>Points to note:</w:t>
            </w:r>
          </w:p>
        </w:tc>
      </w:tr>
      <w:tr w:rsidR="005970C2" w:rsidRPr="005970C2" w:rsidTr="003A4070">
        <w:trPr>
          <w:cantSplit/>
        </w:trPr>
        <w:tc>
          <w:tcPr>
            <w:tcW w:w="9640" w:type="dxa"/>
            <w:gridSpan w:val="7"/>
            <w:tcBorders>
              <w:top w:val="nil"/>
              <w:left w:val="nil"/>
              <w:bottom w:val="single" w:sz="4" w:space="0" w:color="auto"/>
              <w:right w:val="single" w:sz="4" w:space="0" w:color="auto"/>
            </w:tcBorders>
            <w:vAlign w:val="center"/>
          </w:tcPr>
          <w:p w:rsidR="005970C2" w:rsidRPr="005970C2" w:rsidRDefault="005970C2" w:rsidP="00054083">
            <w:pPr>
              <w:widowControl/>
              <w:numPr>
                <w:ilvl w:val="0"/>
                <w:numId w:val="8"/>
              </w:numPr>
              <w:snapToGrid w:val="0"/>
              <w:spacing w:before="40" w:after="40" w:line="240" w:lineRule="exact"/>
              <w:ind w:rightChars="71" w:right="170"/>
              <w:jc w:val="both"/>
              <w:rPr>
                <w:rFonts w:ascii="Segoe UI" w:eastAsia="Times New Roman" w:hAnsi="Segoe UI" w:cs="Times New Roman"/>
                <w:i/>
                <w:kern w:val="0"/>
                <w:sz w:val="17"/>
                <w:szCs w:val="20"/>
                <w:lang w:val="en-GB" w:eastAsia="it-IT"/>
              </w:rPr>
            </w:pPr>
            <w:r w:rsidRPr="005970C2">
              <w:rPr>
                <w:rFonts w:ascii="Segoe UI" w:eastAsia="新細明體" w:hAnsi="Segoe UI" w:cs="Segoe UI"/>
                <w:i/>
                <w:color w:val="000000"/>
                <w:kern w:val="0"/>
                <w:sz w:val="17"/>
                <w:szCs w:val="17"/>
                <w:lang w:val="en-GB" w:eastAsia="en-US"/>
              </w:rPr>
              <w:t>Where the functional currency of a resolution entity is a currency other than Hong Kong dollars and the resolution entity reports amounts in this template in Hong Kong dollars, the closing middle market T/T rates prevailing at the end of the current reporting period should be used for conversion purposes.</w:t>
            </w:r>
          </w:p>
          <w:p w:rsidR="005970C2" w:rsidRPr="005970C2" w:rsidRDefault="005970C2" w:rsidP="00054083">
            <w:pPr>
              <w:widowControl/>
              <w:numPr>
                <w:ilvl w:val="0"/>
                <w:numId w:val="8"/>
              </w:numPr>
              <w:snapToGrid w:val="0"/>
              <w:spacing w:before="40" w:after="40" w:line="240" w:lineRule="exact"/>
              <w:ind w:rightChars="71" w:right="170"/>
              <w:jc w:val="both"/>
              <w:rPr>
                <w:rFonts w:ascii="Segoe UI" w:eastAsia="Times New Roman" w:hAnsi="Segoe UI" w:cs="Times New Roman"/>
                <w:i/>
                <w:kern w:val="0"/>
                <w:sz w:val="17"/>
                <w:szCs w:val="20"/>
                <w:lang w:val="en-GB" w:eastAsia="it-IT"/>
              </w:rPr>
            </w:pPr>
            <w:r w:rsidRPr="005970C2">
              <w:rPr>
                <w:rFonts w:ascii="Segoe UI" w:eastAsia="Times New Roman" w:hAnsi="Segoe UI" w:cs="Times New Roman"/>
                <w:i/>
                <w:kern w:val="0"/>
                <w:sz w:val="17"/>
                <w:szCs w:val="20"/>
                <w:lang w:val="en-GB" w:eastAsia="it-IT"/>
              </w:rPr>
              <w:t>The resolution entity should complete each row with respect to each creditor ranking presented in the columns.</w:t>
            </w:r>
          </w:p>
        </w:tc>
      </w:tr>
    </w:tbl>
    <w:p w:rsidR="005970C2" w:rsidRPr="005970C2" w:rsidRDefault="005970C2" w:rsidP="005970C2">
      <w:pPr>
        <w:widowControl/>
        <w:spacing w:before="40" w:after="40"/>
        <w:rPr>
          <w:rFonts w:ascii="Segoe UI" w:eastAsia="Times New Roman" w:hAnsi="Segoe UI" w:cs="Times New Roman"/>
          <w:kern w:val="0"/>
          <w:sz w:val="22"/>
          <w:szCs w:val="20"/>
          <w:lang w:val="en-GB" w:eastAsia="en-US"/>
        </w:rPr>
      </w:pPr>
    </w:p>
    <w:tbl>
      <w:tblPr>
        <w:tblStyle w:val="TableGrid4"/>
        <w:tblW w:w="9640" w:type="dxa"/>
        <w:tblInd w:w="-318" w:type="dxa"/>
        <w:tblLayout w:type="fixed"/>
        <w:tblLook w:val="04A0" w:firstRow="1" w:lastRow="0" w:firstColumn="1" w:lastColumn="0" w:noHBand="0" w:noVBand="1"/>
      </w:tblPr>
      <w:tblGrid>
        <w:gridCol w:w="568"/>
        <w:gridCol w:w="142"/>
        <w:gridCol w:w="8930"/>
      </w:tblGrid>
      <w:tr w:rsidR="005970C2" w:rsidRPr="005970C2" w:rsidTr="003A4070">
        <w:trPr>
          <w:tblHeader/>
        </w:trPr>
        <w:tc>
          <w:tcPr>
            <w:tcW w:w="9640" w:type="dxa"/>
            <w:gridSpan w:val="3"/>
            <w:shd w:val="clear" w:color="auto" w:fill="BFBFBF" w:themeFill="background1" w:themeFillShade="BF"/>
          </w:tcPr>
          <w:p w:rsidR="005970C2" w:rsidRPr="005970C2" w:rsidRDefault="005970C2" w:rsidP="005970C2">
            <w:pPr>
              <w:keepNext/>
              <w:widowControl/>
              <w:spacing w:before="40" w:after="40"/>
              <w:jc w:val="both"/>
              <w:rPr>
                <w:rFonts w:ascii="Segoe UI" w:hAnsi="Segoe UI" w:cs="Times New Roman"/>
                <w:b/>
                <w:kern w:val="0"/>
                <w:sz w:val="17"/>
                <w:szCs w:val="20"/>
                <w:lang w:val="en-GB" w:eastAsia="en-GB"/>
              </w:rPr>
            </w:pPr>
            <w:r w:rsidRPr="005970C2">
              <w:rPr>
                <w:rFonts w:ascii="Segoe UI" w:hAnsi="Segoe UI" w:cs="Times New Roman"/>
                <w:b/>
                <w:kern w:val="0"/>
                <w:sz w:val="17"/>
                <w:szCs w:val="20"/>
                <w:lang w:val="en-GB" w:eastAsia="en-GB"/>
              </w:rPr>
              <w:lastRenderedPageBreak/>
              <w:t>Explanatory Note</w:t>
            </w:r>
          </w:p>
        </w:tc>
      </w:tr>
      <w:tr w:rsidR="005970C2" w:rsidRPr="005970C2" w:rsidTr="003A4070">
        <w:tc>
          <w:tcPr>
            <w:tcW w:w="9640" w:type="dxa"/>
            <w:gridSpan w:val="3"/>
            <w:shd w:val="clear" w:color="auto" w:fill="F2F2F2" w:themeFill="background1" w:themeFillShade="F2"/>
          </w:tcPr>
          <w:p w:rsidR="005970C2" w:rsidRPr="005970C2" w:rsidRDefault="005970C2" w:rsidP="005970C2">
            <w:pPr>
              <w:keepNext/>
              <w:widowControl/>
              <w:spacing w:before="40" w:after="40"/>
              <w:jc w:val="both"/>
              <w:rPr>
                <w:rFonts w:ascii="Segoe UI" w:eastAsia="Times New Roman" w:hAnsi="Segoe UI" w:cs="Times New Roman"/>
                <w:i/>
                <w:kern w:val="0"/>
                <w:sz w:val="17"/>
                <w:szCs w:val="17"/>
                <w:lang w:val="en-GB" w:eastAsia="en-US"/>
              </w:rPr>
            </w:pPr>
            <w:r w:rsidRPr="005970C2">
              <w:rPr>
                <w:rFonts w:ascii="Segoe UI" w:hAnsi="Segoe UI" w:cs="Times New Roman"/>
                <w:b/>
                <w:kern w:val="0"/>
                <w:sz w:val="17"/>
                <w:szCs w:val="20"/>
                <w:lang w:val="en-GB" w:eastAsia="en-GB"/>
              </w:rPr>
              <w:t>Column</w:t>
            </w:r>
          </w:p>
        </w:tc>
      </w:tr>
      <w:tr w:rsidR="005970C2" w:rsidRPr="005970C2" w:rsidTr="003A4070">
        <w:tc>
          <w:tcPr>
            <w:tcW w:w="710" w:type="dxa"/>
            <w:gridSpan w:val="2"/>
          </w:tcPr>
          <w:p w:rsidR="005970C2" w:rsidRPr="005970C2" w:rsidRDefault="005970C2" w:rsidP="005970C2">
            <w:pPr>
              <w:keepLines/>
              <w:spacing w:before="20" w:after="20"/>
              <w:ind w:rightChars="-54" w:right="-130"/>
              <w:rPr>
                <w:rFonts w:ascii="Segoe UI" w:eastAsia="Times New Roman" w:hAnsi="Segoe UI" w:cs="Segoe UI"/>
                <w:kern w:val="0"/>
                <w:sz w:val="17"/>
                <w:szCs w:val="17"/>
                <w:lang w:val="en-GB" w:eastAsia="en-GB"/>
              </w:rPr>
            </w:pPr>
            <w:r w:rsidRPr="005970C2">
              <w:rPr>
                <w:rFonts w:ascii="Segoe UI" w:eastAsia="Times New Roman" w:hAnsi="Segoe UI" w:cs="Segoe UI"/>
                <w:kern w:val="0"/>
                <w:sz w:val="17"/>
                <w:szCs w:val="17"/>
                <w:lang w:val="en-GB" w:eastAsia="en-GB"/>
              </w:rPr>
              <w:t>1 to n</w:t>
            </w:r>
          </w:p>
        </w:tc>
        <w:tc>
          <w:tcPr>
            <w:tcW w:w="8930" w:type="dxa"/>
          </w:tcPr>
          <w:p w:rsidR="005970C2" w:rsidRPr="005970C2" w:rsidRDefault="005970C2" w:rsidP="005970C2">
            <w:pPr>
              <w:keepLines/>
              <w:tabs>
                <w:tab w:val="left" w:pos="150"/>
                <w:tab w:val="left" w:pos="397"/>
                <w:tab w:val="left" w:pos="794"/>
                <w:tab w:val="left" w:pos="1191"/>
              </w:tabs>
              <w:spacing w:before="20" w:after="20"/>
              <w:jc w:val="both"/>
              <w:rPr>
                <w:rFonts w:ascii="Segoe UI" w:eastAsia="Times New Roman" w:hAnsi="Segoe UI" w:cs="Times New Roman"/>
                <w:kern w:val="0"/>
                <w:sz w:val="17"/>
                <w:szCs w:val="17"/>
                <w:lang w:val="en-GB" w:eastAsia="en-US"/>
              </w:rPr>
            </w:pPr>
            <w:r w:rsidRPr="005970C2">
              <w:rPr>
                <w:rFonts w:ascii="Segoe UI" w:eastAsia="Times New Roman" w:hAnsi="Segoe UI" w:cs="Times New Roman"/>
                <w:kern w:val="0"/>
                <w:sz w:val="17"/>
                <w:szCs w:val="17"/>
                <w:lang w:val="en-GB" w:eastAsia="en-US"/>
              </w:rPr>
              <w:t xml:space="preserve">The number of creditor rankings (n) in the creditor hierarchy will depend on the set of liabilities of the entity.  Columns should be added until the most senior-ranking external loss-absorbing capacity, and all pari passu liabilities, have been reported.  The template should therefore contain all funding that is pari passu or junior to external loss-absorbing capacity, including CET1 capital instruments, AT1 capital instruments and T2 capital instruments.  The subordination exemption in Section 11 of the FSB TLAC Term Sheet that relate to liabilities ranking pari passu to excluded liabilities does not apply in Hong Kong under the LAC Rules. </w:t>
            </w:r>
          </w:p>
        </w:tc>
      </w:tr>
      <w:tr w:rsidR="005970C2" w:rsidRPr="005970C2" w:rsidTr="003A4070">
        <w:tc>
          <w:tcPr>
            <w:tcW w:w="9640" w:type="dxa"/>
            <w:gridSpan w:val="3"/>
            <w:shd w:val="clear" w:color="auto" w:fill="F2F2F2" w:themeFill="background1" w:themeFillShade="F2"/>
          </w:tcPr>
          <w:p w:rsidR="005970C2" w:rsidRPr="005970C2" w:rsidRDefault="005970C2" w:rsidP="005970C2">
            <w:pPr>
              <w:keepLines/>
              <w:tabs>
                <w:tab w:val="left" w:pos="150"/>
                <w:tab w:val="left" w:pos="397"/>
                <w:tab w:val="left" w:pos="794"/>
                <w:tab w:val="left" w:pos="1191"/>
              </w:tabs>
              <w:spacing w:before="20" w:after="20"/>
              <w:jc w:val="both"/>
              <w:rPr>
                <w:rFonts w:ascii="Segoe UI" w:hAnsi="Segoe UI" w:cs="Segoe UI"/>
                <w:bCs/>
                <w:kern w:val="0"/>
                <w:sz w:val="17"/>
                <w:szCs w:val="17"/>
                <w:lang w:val="en-GB" w:eastAsia="it-IT"/>
              </w:rPr>
            </w:pPr>
            <w:r w:rsidRPr="005970C2">
              <w:rPr>
                <w:rFonts w:ascii="Segoe UI" w:hAnsi="Segoe UI" w:cs="Times New Roman"/>
                <w:b/>
                <w:kern w:val="0"/>
                <w:sz w:val="17"/>
                <w:szCs w:val="20"/>
                <w:lang w:val="en-GB" w:eastAsia="en-GB"/>
              </w:rPr>
              <w:t>Rows</w:t>
            </w:r>
          </w:p>
        </w:tc>
      </w:tr>
      <w:tr w:rsidR="005970C2" w:rsidRPr="005970C2" w:rsidTr="003A4070">
        <w:tc>
          <w:tcPr>
            <w:tcW w:w="568" w:type="dxa"/>
          </w:tcPr>
          <w:p w:rsidR="005970C2" w:rsidRPr="005970C2" w:rsidRDefault="005970C2" w:rsidP="005970C2">
            <w:pPr>
              <w:keepLines/>
              <w:spacing w:before="20" w:after="20"/>
              <w:ind w:rightChars="-54" w:right="-130"/>
              <w:rPr>
                <w:rFonts w:ascii="Segoe UI" w:eastAsia="Times New Roman" w:hAnsi="Segoe UI" w:cs="Segoe UI"/>
                <w:kern w:val="0"/>
                <w:sz w:val="17"/>
                <w:szCs w:val="17"/>
                <w:lang w:val="en-GB" w:eastAsia="en-GB"/>
              </w:rPr>
            </w:pPr>
            <w:r w:rsidRPr="005970C2">
              <w:rPr>
                <w:rFonts w:ascii="Segoe UI" w:eastAsia="Times New Roman" w:hAnsi="Segoe UI" w:cs="Segoe UI"/>
                <w:kern w:val="0"/>
                <w:sz w:val="17"/>
                <w:szCs w:val="17"/>
                <w:lang w:val="en-GB" w:eastAsia="en-GB"/>
              </w:rPr>
              <w:t>1</w:t>
            </w:r>
          </w:p>
        </w:tc>
        <w:tc>
          <w:tcPr>
            <w:tcW w:w="9072" w:type="dxa"/>
            <w:gridSpan w:val="2"/>
          </w:tcPr>
          <w:p w:rsidR="005970C2" w:rsidRPr="005970C2" w:rsidRDefault="005970C2" w:rsidP="005970C2">
            <w:pPr>
              <w:keepLines/>
              <w:tabs>
                <w:tab w:val="left" w:pos="150"/>
                <w:tab w:val="left" w:pos="397"/>
                <w:tab w:val="left" w:pos="794"/>
                <w:tab w:val="left" w:pos="1191"/>
              </w:tabs>
              <w:spacing w:before="20" w:after="20"/>
              <w:jc w:val="both"/>
              <w:rPr>
                <w:rFonts w:ascii="Segoe UI" w:hAnsi="Segoe UI" w:cs="Segoe UI"/>
                <w:bCs/>
                <w:kern w:val="0"/>
                <w:sz w:val="17"/>
                <w:szCs w:val="17"/>
                <w:lang w:val="en-GB" w:eastAsia="it-IT"/>
              </w:rPr>
            </w:pPr>
            <w:r w:rsidRPr="005970C2">
              <w:rPr>
                <w:rFonts w:ascii="Segoe UI" w:eastAsia="Times New Roman" w:hAnsi="Segoe UI" w:cs="Times New Roman"/>
                <w:kern w:val="0"/>
                <w:sz w:val="17"/>
                <w:szCs w:val="17"/>
                <w:lang w:val="en-GB" w:eastAsia="en-US"/>
              </w:rPr>
              <w:t>Resolution entities should provide a description of each creditor ranking in this row.  This description can be in free form text, and should typically include a specification of at least one type of instrument that is within that creditor ranking (e.g. CET1 capital instruments, T2 capital instruments).  This allows for the disclosure of the creditor hierarchy even if there is a range of different statutory creditor hierarchies in different jurisdictions, tranching that may exist within some jurisdictions’ statutory hierarchies or which resolution entities have established contractually with respect to the ranking of claims.</w:t>
            </w:r>
          </w:p>
        </w:tc>
      </w:tr>
      <w:tr w:rsidR="005970C2" w:rsidRPr="005970C2" w:rsidTr="003A4070">
        <w:tc>
          <w:tcPr>
            <w:tcW w:w="568" w:type="dxa"/>
          </w:tcPr>
          <w:p w:rsidR="005970C2" w:rsidRPr="005970C2" w:rsidRDefault="005970C2" w:rsidP="005970C2">
            <w:pPr>
              <w:keepLines/>
              <w:spacing w:before="20" w:after="20"/>
              <w:ind w:rightChars="-54" w:right="-130"/>
              <w:rPr>
                <w:rFonts w:ascii="Segoe UI" w:eastAsia="Times New Roman" w:hAnsi="Segoe UI" w:cs="Segoe UI"/>
                <w:kern w:val="0"/>
                <w:sz w:val="17"/>
                <w:szCs w:val="17"/>
                <w:lang w:val="en-GB" w:eastAsia="en-GB"/>
              </w:rPr>
            </w:pPr>
            <w:r w:rsidRPr="005970C2">
              <w:rPr>
                <w:rFonts w:ascii="Segoe UI" w:eastAsia="Times New Roman" w:hAnsi="Segoe UI" w:cs="Segoe UI"/>
                <w:kern w:val="0"/>
                <w:sz w:val="17"/>
                <w:szCs w:val="17"/>
                <w:lang w:val="en-GB" w:eastAsia="en-GB"/>
              </w:rPr>
              <w:t>2</w:t>
            </w:r>
          </w:p>
        </w:tc>
        <w:tc>
          <w:tcPr>
            <w:tcW w:w="9072" w:type="dxa"/>
            <w:gridSpan w:val="2"/>
          </w:tcPr>
          <w:p w:rsidR="005970C2" w:rsidRPr="005970C2" w:rsidRDefault="005970C2" w:rsidP="005970C2">
            <w:pPr>
              <w:keepLines/>
              <w:tabs>
                <w:tab w:val="left" w:pos="150"/>
                <w:tab w:val="left" w:pos="397"/>
                <w:tab w:val="left" w:pos="794"/>
                <w:tab w:val="left" w:pos="1191"/>
              </w:tabs>
              <w:spacing w:before="20" w:after="20"/>
              <w:jc w:val="both"/>
              <w:rPr>
                <w:rFonts w:ascii="Segoe UI" w:hAnsi="Segoe UI" w:cs="Segoe UI"/>
                <w:bCs/>
                <w:kern w:val="0"/>
                <w:sz w:val="17"/>
                <w:szCs w:val="17"/>
                <w:lang w:val="en-GB" w:eastAsia="it-IT"/>
              </w:rPr>
            </w:pPr>
            <w:r w:rsidRPr="005970C2">
              <w:rPr>
                <w:rFonts w:ascii="Segoe UI" w:hAnsi="Segoe UI" w:cs="Segoe UI"/>
                <w:bCs/>
                <w:kern w:val="0"/>
                <w:sz w:val="17"/>
                <w:szCs w:val="17"/>
                <w:lang w:val="en-GB" w:eastAsia="it-IT"/>
              </w:rPr>
              <w:t>Liabilities subject to set-off or netting rights should be included net of the resolution entity’s claims on the creditor.</w:t>
            </w:r>
          </w:p>
        </w:tc>
      </w:tr>
      <w:tr w:rsidR="005970C2" w:rsidRPr="005970C2" w:rsidTr="003A4070">
        <w:tc>
          <w:tcPr>
            <w:tcW w:w="568" w:type="dxa"/>
          </w:tcPr>
          <w:p w:rsidR="005970C2" w:rsidRPr="005970C2" w:rsidRDefault="005970C2" w:rsidP="005970C2">
            <w:pPr>
              <w:keepLines/>
              <w:spacing w:before="20" w:after="20"/>
              <w:ind w:rightChars="-54" w:right="-130"/>
              <w:rPr>
                <w:rFonts w:ascii="Segoe UI" w:eastAsia="Times New Roman" w:hAnsi="Segoe UI" w:cs="Segoe UI"/>
                <w:kern w:val="0"/>
                <w:sz w:val="17"/>
                <w:szCs w:val="17"/>
                <w:lang w:val="en-GB" w:eastAsia="en-GB"/>
              </w:rPr>
            </w:pPr>
            <w:r w:rsidRPr="005970C2">
              <w:rPr>
                <w:rFonts w:ascii="Segoe UI" w:eastAsia="Times New Roman" w:hAnsi="Segoe UI" w:cs="Segoe UI"/>
                <w:kern w:val="0"/>
                <w:sz w:val="17"/>
                <w:szCs w:val="17"/>
                <w:lang w:val="en-GB" w:eastAsia="en-GB"/>
              </w:rPr>
              <w:t>3</w:t>
            </w:r>
          </w:p>
        </w:tc>
        <w:tc>
          <w:tcPr>
            <w:tcW w:w="9072" w:type="dxa"/>
            <w:gridSpan w:val="2"/>
          </w:tcPr>
          <w:p w:rsidR="005970C2" w:rsidRPr="005970C2" w:rsidRDefault="005970C2" w:rsidP="005970C2">
            <w:pPr>
              <w:keepLines/>
              <w:tabs>
                <w:tab w:val="left" w:pos="150"/>
                <w:tab w:val="left" w:pos="397"/>
                <w:tab w:val="left" w:pos="794"/>
                <w:tab w:val="left" w:pos="1191"/>
              </w:tabs>
              <w:spacing w:before="20" w:after="20"/>
              <w:jc w:val="both"/>
              <w:rPr>
                <w:rFonts w:ascii="Segoe UI" w:hAnsi="Segoe UI" w:cs="Segoe UI"/>
                <w:bCs/>
                <w:kern w:val="0"/>
                <w:sz w:val="17"/>
                <w:szCs w:val="17"/>
                <w:lang w:val="en-GB" w:eastAsia="it-IT"/>
              </w:rPr>
            </w:pPr>
            <w:r w:rsidRPr="005970C2">
              <w:rPr>
                <w:rFonts w:ascii="Segoe UI" w:hAnsi="Segoe UI" w:cs="Segoe UI"/>
                <w:bCs/>
                <w:kern w:val="0"/>
                <w:sz w:val="17"/>
                <w:szCs w:val="17"/>
                <w:lang w:val="en-GB" w:eastAsia="it-IT"/>
              </w:rPr>
              <w:t xml:space="preserve">This row reports the subset of amounts reported in row 2 that are excluded </w:t>
            </w:r>
            <w:r w:rsidRPr="005970C2">
              <w:rPr>
                <w:rFonts w:ascii="Segoe UI" w:hAnsi="Segoe UI" w:cs="Segoe UI"/>
                <w:bCs/>
                <w:kern w:val="0"/>
                <w:sz w:val="17"/>
                <w:szCs w:val="17"/>
                <w:lang w:val="en-GB"/>
              </w:rPr>
              <w:t>liabilities</w:t>
            </w:r>
            <w:r w:rsidRPr="005970C2">
              <w:rPr>
                <w:rFonts w:ascii="Segoe UI" w:hAnsi="Segoe UI" w:cs="Segoe UI"/>
                <w:bCs/>
                <w:kern w:val="0"/>
                <w:sz w:val="17"/>
                <w:szCs w:val="17"/>
                <w:lang w:val="en-GB" w:eastAsia="it-IT"/>
              </w:rPr>
              <w:t>.  Such excluded liabilities consist of (i) protected deposits and similar; (ii) sight deposits and other short-term deposits (deposits with original maturity of less than one year); (iii) liabilities which are preferred to senior unsecured creditors under Hong Kong insolvency law; (iv) liabilities arising from derivatives or debt-instruments with derivative-linked features, such as structured notes; (v) liabilities arising other than through a contract, such as tax liabilities; and (vi) any other liabilities that fall within the definition of “excluded liabilities” in the Financial Institutions (Resolution) Ordinance.  Report the amounts of excluded liabilities in row 3 only to the extent that they are reported in row 2 (i.e. liabilities which are not reported in any of the columns of 1 to n and are therefore not reported in row 2 by virtue of the liabilities being more senior to external loss-absorbing capacity, albeit being excluded liabilities, do not need to be reported in row 3).</w:t>
            </w:r>
          </w:p>
        </w:tc>
      </w:tr>
      <w:tr w:rsidR="005970C2" w:rsidRPr="005970C2" w:rsidTr="003A4070">
        <w:tc>
          <w:tcPr>
            <w:tcW w:w="568" w:type="dxa"/>
          </w:tcPr>
          <w:p w:rsidR="005970C2" w:rsidRPr="005970C2" w:rsidRDefault="005970C2" w:rsidP="005970C2">
            <w:pPr>
              <w:keepLines/>
              <w:spacing w:before="20" w:after="20"/>
              <w:ind w:rightChars="-54" w:right="-130"/>
              <w:rPr>
                <w:rFonts w:ascii="Segoe UI" w:eastAsia="Times New Roman" w:hAnsi="Segoe UI" w:cs="Segoe UI"/>
                <w:kern w:val="0"/>
                <w:sz w:val="17"/>
                <w:szCs w:val="17"/>
                <w:lang w:val="en-GB" w:eastAsia="en-GB"/>
              </w:rPr>
            </w:pPr>
            <w:r w:rsidRPr="005970C2">
              <w:rPr>
                <w:rFonts w:ascii="Segoe UI" w:eastAsia="Times New Roman" w:hAnsi="Segoe UI" w:cs="Segoe UI"/>
                <w:kern w:val="0"/>
                <w:sz w:val="17"/>
                <w:szCs w:val="17"/>
                <w:lang w:val="en-GB" w:eastAsia="en-GB"/>
              </w:rPr>
              <w:t>4</w:t>
            </w:r>
          </w:p>
        </w:tc>
        <w:tc>
          <w:tcPr>
            <w:tcW w:w="9072" w:type="dxa"/>
            <w:gridSpan w:val="2"/>
          </w:tcPr>
          <w:p w:rsidR="005970C2" w:rsidRPr="005970C2" w:rsidRDefault="005970C2" w:rsidP="005970C2">
            <w:pPr>
              <w:keepLines/>
              <w:tabs>
                <w:tab w:val="left" w:pos="150"/>
                <w:tab w:val="left" w:pos="397"/>
                <w:tab w:val="left" w:pos="794"/>
                <w:tab w:val="left" w:pos="1191"/>
              </w:tabs>
              <w:spacing w:before="20" w:after="20"/>
              <w:jc w:val="both"/>
              <w:rPr>
                <w:rFonts w:ascii="Segoe UI" w:hAnsi="Segoe UI" w:cs="Segoe UI"/>
                <w:bCs/>
                <w:kern w:val="0"/>
                <w:sz w:val="17"/>
                <w:szCs w:val="17"/>
                <w:lang w:val="en-GB" w:eastAsia="it-IT"/>
              </w:rPr>
            </w:pPr>
            <w:r w:rsidRPr="005970C2">
              <w:rPr>
                <w:rFonts w:ascii="Segoe UI" w:hAnsi="Segoe UI" w:cs="Segoe UI"/>
                <w:bCs/>
                <w:kern w:val="0"/>
                <w:sz w:val="17"/>
                <w:szCs w:val="17"/>
                <w:lang w:val="en-GB" w:eastAsia="it-IT"/>
              </w:rPr>
              <w:t>The value in row 2 minus the value in row 3.</w:t>
            </w:r>
          </w:p>
        </w:tc>
      </w:tr>
      <w:tr w:rsidR="005970C2" w:rsidRPr="005970C2" w:rsidTr="003A4070">
        <w:tc>
          <w:tcPr>
            <w:tcW w:w="568" w:type="dxa"/>
          </w:tcPr>
          <w:p w:rsidR="005970C2" w:rsidRPr="005970C2" w:rsidRDefault="005970C2" w:rsidP="005970C2">
            <w:pPr>
              <w:keepLines/>
              <w:spacing w:before="20" w:after="20"/>
              <w:ind w:rightChars="-54" w:right="-130"/>
              <w:rPr>
                <w:rFonts w:ascii="Segoe UI" w:eastAsia="Times New Roman" w:hAnsi="Segoe UI" w:cs="Segoe UI"/>
                <w:kern w:val="0"/>
                <w:sz w:val="17"/>
                <w:szCs w:val="17"/>
                <w:lang w:val="en-GB" w:eastAsia="en-GB"/>
              </w:rPr>
            </w:pPr>
            <w:r w:rsidRPr="005970C2">
              <w:rPr>
                <w:rFonts w:ascii="Segoe UI" w:eastAsia="Times New Roman" w:hAnsi="Segoe UI" w:cs="Segoe UI"/>
                <w:kern w:val="0"/>
                <w:sz w:val="17"/>
                <w:szCs w:val="17"/>
                <w:lang w:val="en-GB" w:eastAsia="en-GB"/>
              </w:rPr>
              <w:t>5</w:t>
            </w:r>
          </w:p>
        </w:tc>
        <w:tc>
          <w:tcPr>
            <w:tcW w:w="9072" w:type="dxa"/>
            <w:gridSpan w:val="2"/>
          </w:tcPr>
          <w:p w:rsidR="005970C2" w:rsidRPr="005970C2" w:rsidRDefault="005970C2" w:rsidP="005970C2">
            <w:pPr>
              <w:keepLines/>
              <w:tabs>
                <w:tab w:val="left" w:pos="150"/>
                <w:tab w:val="left" w:pos="397"/>
                <w:tab w:val="left" w:pos="794"/>
                <w:tab w:val="left" w:pos="1191"/>
              </w:tabs>
              <w:spacing w:before="20" w:after="20"/>
              <w:jc w:val="both"/>
              <w:rPr>
                <w:rFonts w:ascii="Segoe UI" w:hAnsi="Segoe UI" w:cs="Segoe UI"/>
                <w:bCs/>
                <w:kern w:val="0"/>
                <w:sz w:val="17"/>
                <w:szCs w:val="17"/>
                <w:lang w:val="en-GB" w:eastAsia="it-IT"/>
              </w:rPr>
            </w:pPr>
            <w:r w:rsidRPr="005970C2">
              <w:rPr>
                <w:rFonts w:ascii="Segoe UI" w:hAnsi="Segoe UI" w:cs="Segoe UI"/>
                <w:bCs/>
                <w:kern w:val="0"/>
                <w:sz w:val="17"/>
                <w:szCs w:val="17"/>
                <w:lang w:val="en-GB" w:eastAsia="it-IT"/>
              </w:rPr>
              <w:t xml:space="preserve">This row reports the subset of the amounts reported in row 4 that are eligible as external loss-absorbing capacity according to rule 37 of, and Schedule 1 to, the LAC Rules.  </w:t>
            </w:r>
          </w:p>
          <w:p w:rsidR="005970C2" w:rsidRPr="005970C2" w:rsidRDefault="005970C2" w:rsidP="005970C2">
            <w:pPr>
              <w:keepLines/>
              <w:tabs>
                <w:tab w:val="left" w:pos="150"/>
                <w:tab w:val="left" w:pos="397"/>
                <w:tab w:val="left" w:pos="794"/>
                <w:tab w:val="left" w:pos="1191"/>
              </w:tabs>
              <w:spacing w:before="20" w:after="20"/>
              <w:jc w:val="both"/>
              <w:rPr>
                <w:rFonts w:ascii="Segoe UI" w:hAnsi="Segoe UI" w:cs="Segoe UI"/>
                <w:bCs/>
                <w:kern w:val="0"/>
                <w:sz w:val="17"/>
                <w:szCs w:val="17"/>
                <w:lang w:val="en-GB" w:eastAsia="it-IT"/>
              </w:rPr>
            </w:pPr>
            <w:r w:rsidRPr="005970C2">
              <w:rPr>
                <w:rFonts w:ascii="Segoe UI" w:hAnsi="Segoe UI" w:cs="Segoe UI"/>
                <w:bCs/>
                <w:kern w:val="0"/>
                <w:sz w:val="17"/>
                <w:szCs w:val="17"/>
                <w:lang w:val="en-GB" w:eastAsia="it-IT"/>
              </w:rPr>
              <w:t>Note that the subordination exemption in the antepenultimate and penultimate paragraphs of Section 11 of the FSB TLAC Term Sheet and credible ex-ante commitments to recapitalise a resolution entity in the second paragraph of Section 7 of the FSB TLAC Term Sheet are not applicable in Hong Kong.  As such, this amount should only represent capital or liabilities that satisfy all external LAC eligibility criteria under the LAC Rules, and the question of “potentially” eligible amount (that would otherwise be derived after dis-applying the cap under the aforementioned Section 11 and applying the second paragraph of the aforementioned Section 7) does not arise in Hong Kong.</w:t>
            </w:r>
          </w:p>
          <w:p w:rsidR="005970C2" w:rsidRPr="005970C2" w:rsidRDefault="005970C2" w:rsidP="005970C2">
            <w:pPr>
              <w:keepLines/>
              <w:tabs>
                <w:tab w:val="left" w:pos="150"/>
                <w:tab w:val="left" w:pos="397"/>
                <w:tab w:val="left" w:pos="794"/>
                <w:tab w:val="left" w:pos="1191"/>
              </w:tabs>
              <w:spacing w:before="20" w:after="20"/>
              <w:jc w:val="both"/>
              <w:rPr>
                <w:rFonts w:ascii="Segoe UI" w:hAnsi="Segoe UI" w:cs="Segoe UI"/>
                <w:bCs/>
                <w:kern w:val="0"/>
                <w:sz w:val="17"/>
                <w:szCs w:val="17"/>
                <w:lang w:val="en-GB" w:eastAsia="it-IT"/>
              </w:rPr>
            </w:pPr>
            <w:r w:rsidRPr="005970C2">
              <w:rPr>
                <w:rFonts w:ascii="Segoe UI" w:hAnsi="Segoe UI" w:cs="Segoe UI"/>
                <w:bCs/>
                <w:kern w:val="0"/>
                <w:sz w:val="17"/>
                <w:szCs w:val="17"/>
                <w:lang w:val="en-GB" w:eastAsia="it-IT"/>
              </w:rPr>
              <w:t>The value in row 5 should be equal to the sum of values in rows 6 to 10.</w:t>
            </w:r>
          </w:p>
        </w:tc>
      </w:tr>
      <w:tr w:rsidR="005970C2" w:rsidRPr="005970C2" w:rsidTr="003A4070">
        <w:tc>
          <w:tcPr>
            <w:tcW w:w="568" w:type="dxa"/>
          </w:tcPr>
          <w:p w:rsidR="005970C2" w:rsidRPr="005970C2" w:rsidRDefault="005970C2" w:rsidP="005970C2">
            <w:pPr>
              <w:keepLines/>
              <w:spacing w:before="20" w:after="20"/>
              <w:ind w:rightChars="-54" w:right="-130"/>
              <w:rPr>
                <w:rFonts w:ascii="Segoe UI" w:eastAsia="Times New Roman" w:hAnsi="Segoe UI" w:cs="Segoe UI"/>
                <w:kern w:val="0"/>
                <w:sz w:val="17"/>
                <w:szCs w:val="17"/>
                <w:lang w:val="en-GB" w:eastAsia="en-GB"/>
              </w:rPr>
            </w:pPr>
            <w:r w:rsidRPr="005970C2">
              <w:rPr>
                <w:rFonts w:ascii="Segoe UI" w:eastAsia="Times New Roman" w:hAnsi="Segoe UI" w:cs="Segoe UI"/>
                <w:kern w:val="0"/>
                <w:sz w:val="17"/>
                <w:szCs w:val="17"/>
                <w:lang w:val="en-GB" w:eastAsia="en-GB"/>
              </w:rPr>
              <w:t>6-10</w:t>
            </w:r>
          </w:p>
        </w:tc>
        <w:tc>
          <w:tcPr>
            <w:tcW w:w="9072" w:type="dxa"/>
            <w:gridSpan w:val="2"/>
          </w:tcPr>
          <w:p w:rsidR="005970C2" w:rsidRPr="005970C2" w:rsidRDefault="005970C2" w:rsidP="005970C2">
            <w:pPr>
              <w:keepLines/>
              <w:tabs>
                <w:tab w:val="left" w:pos="150"/>
                <w:tab w:val="left" w:pos="397"/>
                <w:tab w:val="left" w:pos="794"/>
                <w:tab w:val="left" w:pos="1191"/>
              </w:tabs>
              <w:spacing w:before="20" w:after="20"/>
              <w:jc w:val="both"/>
              <w:rPr>
                <w:rFonts w:ascii="Segoe UI" w:hAnsi="Segoe UI" w:cs="Segoe UI"/>
                <w:bCs/>
                <w:kern w:val="0"/>
                <w:sz w:val="17"/>
                <w:szCs w:val="17"/>
                <w:lang w:val="en-GB" w:eastAsia="it-IT"/>
              </w:rPr>
            </w:pPr>
            <w:r w:rsidRPr="005970C2">
              <w:rPr>
                <w:rFonts w:ascii="Segoe UI" w:hAnsi="Segoe UI" w:cs="Segoe UI"/>
                <w:bCs/>
                <w:kern w:val="0"/>
                <w:sz w:val="17"/>
                <w:szCs w:val="17"/>
                <w:lang w:val="en-GB" w:eastAsia="it-IT"/>
              </w:rPr>
              <w:t>These rows disclose the portions of the amount reported in row 5 according to their respective time to maturity.</w:t>
            </w:r>
          </w:p>
        </w:tc>
      </w:tr>
    </w:tbl>
    <w:p w:rsidR="003F155D" w:rsidRPr="005E39BE" w:rsidRDefault="003F155D">
      <w:bookmarkStart w:id="1" w:name="_GoBack"/>
      <w:bookmarkEnd w:id="1"/>
    </w:p>
    <w:sectPr w:rsidR="003F155D" w:rsidRPr="005E39BE" w:rsidSect="00E57E40">
      <w:footerReference w:type="default" r:id="rId17"/>
      <w:pgSz w:w="11906" w:h="16838"/>
      <w:pgMar w:top="1440" w:right="1700" w:bottom="1440" w:left="156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7CA5" w:rsidRDefault="00297CA5" w:rsidP="003F155D">
      <w:r>
        <w:separator/>
      </w:r>
    </w:p>
  </w:endnote>
  <w:endnote w:type="continuationSeparator" w:id="0">
    <w:p w:rsidR="00297CA5" w:rsidRDefault="00297CA5" w:rsidP="003F15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CA5" w:rsidRPr="0043357D" w:rsidRDefault="00297CA5" w:rsidP="00297CA5">
    <w:pPr>
      <w:pStyle w:val="Footer"/>
      <w:tabs>
        <w:tab w:val="clear" w:pos="4153"/>
        <w:tab w:val="clear" w:pos="8306"/>
        <w:tab w:val="center" w:pos="7088"/>
        <w:tab w:val="right" w:pos="13892"/>
      </w:tabs>
    </w:pPr>
    <w:r>
      <w:t>Summary of LAC</w:t>
    </w:r>
    <w:r w:rsidR="00EF02D5">
      <w:t xml:space="preserve"> disclosure templates</w:t>
    </w:r>
    <w:r>
      <w:tab/>
    </w:r>
    <w:sdt>
      <w:sdtPr>
        <w:id w:val="-29900141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5E39BE">
          <w:rPr>
            <w:noProof/>
          </w:rPr>
          <w:t>2</w:t>
        </w:r>
        <w:r>
          <w:rPr>
            <w:noProof/>
          </w:rPr>
          <w:fldChar w:fldCharType="end"/>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9513882"/>
      <w:docPartObj>
        <w:docPartGallery w:val="Page Numbers (Bottom of Page)"/>
        <w:docPartUnique/>
      </w:docPartObj>
    </w:sdtPr>
    <w:sdtEndPr>
      <w:rPr>
        <w:noProof/>
      </w:rPr>
    </w:sdtEndPr>
    <w:sdtContent>
      <w:p w:rsidR="00297CA5" w:rsidRDefault="00297CA5">
        <w:pPr>
          <w:pStyle w:val="Footer"/>
        </w:pPr>
        <w:r>
          <w:t>KM2</w:t>
        </w:r>
        <w:r>
          <w:tab/>
        </w:r>
        <w:r>
          <w:fldChar w:fldCharType="begin"/>
        </w:r>
        <w:r>
          <w:instrText xml:space="preserve"> PAGE   \* MERGEFORMAT </w:instrText>
        </w:r>
        <w:r>
          <w:fldChar w:fldCharType="separate"/>
        </w:r>
        <w:r w:rsidR="005E39BE">
          <w:rPr>
            <w:noProof/>
          </w:rPr>
          <w:t>3</w:t>
        </w:r>
        <w:r>
          <w:rPr>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69387158"/>
      <w:docPartObj>
        <w:docPartGallery w:val="Page Numbers (Bottom of Page)"/>
        <w:docPartUnique/>
      </w:docPartObj>
    </w:sdtPr>
    <w:sdtEndPr>
      <w:rPr>
        <w:noProof/>
      </w:rPr>
    </w:sdtEndPr>
    <w:sdtContent>
      <w:p w:rsidR="00297CA5" w:rsidRDefault="00297CA5">
        <w:pPr>
          <w:pStyle w:val="Footer"/>
        </w:pPr>
        <w:r>
          <w:t>KM2(A)</w:t>
        </w:r>
        <w:r>
          <w:tab/>
        </w:r>
        <w:r>
          <w:fldChar w:fldCharType="begin"/>
        </w:r>
        <w:r>
          <w:instrText xml:space="preserve"> PAGE   \* MERGEFORMAT </w:instrText>
        </w:r>
        <w:r>
          <w:fldChar w:fldCharType="separate"/>
        </w:r>
        <w:r w:rsidR="005E39BE">
          <w:rPr>
            <w:noProof/>
          </w:rPr>
          <w:t>6</w:t>
        </w:r>
        <w:r>
          <w:rPr>
            <w:noProof/>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04907895"/>
      <w:docPartObj>
        <w:docPartGallery w:val="Page Numbers (Bottom of Page)"/>
        <w:docPartUnique/>
      </w:docPartObj>
    </w:sdtPr>
    <w:sdtEndPr>
      <w:rPr>
        <w:noProof/>
      </w:rPr>
    </w:sdtEndPr>
    <w:sdtContent>
      <w:p w:rsidR="00297CA5" w:rsidRDefault="00297CA5">
        <w:pPr>
          <w:pStyle w:val="Footer"/>
        </w:pPr>
        <w:r>
          <w:t>KM2(B)</w:t>
        </w:r>
        <w:r>
          <w:tab/>
        </w:r>
        <w:r>
          <w:fldChar w:fldCharType="begin"/>
        </w:r>
        <w:r>
          <w:instrText xml:space="preserve"> PAGE   \* MERGEFORMAT </w:instrText>
        </w:r>
        <w:r>
          <w:fldChar w:fldCharType="separate"/>
        </w:r>
        <w:r w:rsidR="005E39BE">
          <w:rPr>
            <w:noProof/>
          </w:rPr>
          <w:t>7</w:t>
        </w:r>
        <w:r>
          <w:rPr>
            <w:noProof/>
          </w:rP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146074"/>
      <w:docPartObj>
        <w:docPartGallery w:val="Page Numbers (Bottom of Page)"/>
        <w:docPartUnique/>
      </w:docPartObj>
    </w:sdtPr>
    <w:sdtEndPr>
      <w:rPr>
        <w:noProof/>
      </w:rPr>
    </w:sdtEndPr>
    <w:sdtContent>
      <w:p w:rsidR="00297CA5" w:rsidRDefault="00297CA5">
        <w:pPr>
          <w:pStyle w:val="Footer"/>
        </w:pPr>
        <w:r>
          <w:t>CCA(A)</w:t>
        </w:r>
        <w:r>
          <w:tab/>
        </w:r>
        <w:r>
          <w:fldChar w:fldCharType="begin"/>
        </w:r>
        <w:r>
          <w:instrText xml:space="preserve"> PAGE   \* MERGEFORMAT </w:instrText>
        </w:r>
        <w:r>
          <w:fldChar w:fldCharType="separate"/>
        </w:r>
        <w:r w:rsidR="005E39BE">
          <w:rPr>
            <w:noProof/>
          </w:rPr>
          <w:t>15</w:t>
        </w:r>
        <w:r>
          <w:rPr>
            <w:noProof/>
          </w:rPr>
          <w:fldChar w:fldCharType="end"/>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0501652"/>
      <w:docPartObj>
        <w:docPartGallery w:val="Page Numbers (Bottom of Page)"/>
        <w:docPartUnique/>
      </w:docPartObj>
    </w:sdtPr>
    <w:sdtEndPr>
      <w:rPr>
        <w:noProof/>
      </w:rPr>
    </w:sdtEndPr>
    <w:sdtContent>
      <w:p w:rsidR="00297CA5" w:rsidRDefault="00297CA5">
        <w:pPr>
          <w:pStyle w:val="Footer"/>
        </w:pPr>
        <w:r>
          <w:t>TLAC1</w:t>
        </w:r>
        <w:r>
          <w:tab/>
        </w:r>
        <w:r>
          <w:fldChar w:fldCharType="begin"/>
        </w:r>
        <w:r>
          <w:instrText xml:space="preserve"> PAGE   \* MERGEFORMAT </w:instrText>
        </w:r>
        <w:r>
          <w:fldChar w:fldCharType="separate"/>
        </w:r>
        <w:r w:rsidR="005E39BE">
          <w:rPr>
            <w:noProof/>
          </w:rPr>
          <w:t>18</w:t>
        </w:r>
        <w:r>
          <w:rPr>
            <w:noProof/>
          </w:rPr>
          <w:fldChar w:fldCharType="end"/>
        </w:r>
      </w:p>
    </w:sdtContent>
  </w:sdt>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67364233"/>
      <w:docPartObj>
        <w:docPartGallery w:val="Page Numbers (Bottom of Page)"/>
        <w:docPartUnique/>
      </w:docPartObj>
    </w:sdtPr>
    <w:sdtEndPr>
      <w:rPr>
        <w:noProof/>
      </w:rPr>
    </w:sdtEndPr>
    <w:sdtContent>
      <w:p w:rsidR="00297CA5" w:rsidRDefault="00A21C37">
        <w:pPr>
          <w:pStyle w:val="Footer"/>
        </w:pPr>
        <w:r>
          <w:t>TLAC1(A)</w:t>
        </w:r>
        <w:r>
          <w:tab/>
        </w:r>
        <w:r w:rsidR="00297CA5">
          <w:fldChar w:fldCharType="begin"/>
        </w:r>
        <w:r w:rsidR="00297CA5">
          <w:instrText xml:space="preserve"> PAGE   \* MERGEFORMAT </w:instrText>
        </w:r>
        <w:r w:rsidR="00297CA5">
          <w:fldChar w:fldCharType="separate"/>
        </w:r>
        <w:r w:rsidR="005E39BE">
          <w:rPr>
            <w:noProof/>
          </w:rPr>
          <w:t>24</w:t>
        </w:r>
        <w:r w:rsidR="00297CA5">
          <w:rPr>
            <w:noProof/>
          </w:rPr>
          <w:fldChar w:fldCharType="end"/>
        </w:r>
      </w:p>
    </w:sdtContent>
  </w:sdt>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50458469"/>
      <w:docPartObj>
        <w:docPartGallery w:val="Page Numbers (Bottom of Page)"/>
        <w:docPartUnique/>
      </w:docPartObj>
    </w:sdtPr>
    <w:sdtEndPr>
      <w:rPr>
        <w:noProof/>
      </w:rPr>
    </w:sdtEndPr>
    <w:sdtContent>
      <w:p w:rsidR="0015405F" w:rsidRDefault="00650D67" w:rsidP="00650D67">
        <w:pPr>
          <w:pStyle w:val="Footer"/>
          <w:tabs>
            <w:tab w:val="clear" w:pos="4153"/>
            <w:tab w:val="clear" w:pos="8306"/>
            <w:tab w:val="right" w:pos="6946"/>
          </w:tabs>
        </w:pPr>
        <w:r>
          <w:t>TLAC2</w:t>
        </w:r>
        <w:r>
          <w:tab/>
        </w:r>
        <w:r>
          <w:fldChar w:fldCharType="begin"/>
        </w:r>
        <w:r>
          <w:instrText xml:space="preserve"> PAGE   \* MERGEFORMAT </w:instrText>
        </w:r>
        <w:r>
          <w:fldChar w:fldCharType="separate"/>
        </w:r>
        <w:r w:rsidR="005E39BE">
          <w:rPr>
            <w:noProof/>
          </w:rPr>
          <w:t>31</w:t>
        </w:r>
        <w:r>
          <w:rPr>
            <w:noProof/>
          </w:rPr>
          <w:fldChar w:fldCharType="end"/>
        </w:r>
      </w:p>
    </w:sdtContent>
  </w:sdt>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16833012"/>
      <w:docPartObj>
        <w:docPartGallery w:val="Page Numbers (Bottom of Page)"/>
        <w:docPartUnique/>
      </w:docPartObj>
    </w:sdtPr>
    <w:sdtEndPr>
      <w:rPr>
        <w:noProof/>
      </w:rPr>
    </w:sdtEndPr>
    <w:sdtContent>
      <w:p w:rsidR="0015405F" w:rsidRDefault="005970C2">
        <w:pPr>
          <w:pStyle w:val="Footer"/>
        </w:pPr>
        <w:r>
          <w:t>TLAC3</w:t>
        </w:r>
        <w:r>
          <w:tab/>
        </w:r>
        <w:r>
          <w:fldChar w:fldCharType="begin"/>
        </w:r>
        <w:r>
          <w:instrText xml:space="preserve"> PAGE   \* MERGEFORMAT </w:instrText>
        </w:r>
        <w:r>
          <w:fldChar w:fldCharType="separate"/>
        </w:r>
        <w:r w:rsidR="005E39BE">
          <w:rPr>
            <w:noProof/>
          </w:rPr>
          <w:t>33</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7CA5" w:rsidRDefault="00297CA5" w:rsidP="003F155D">
      <w:r>
        <w:separator/>
      </w:r>
    </w:p>
  </w:footnote>
  <w:footnote w:type="continuationSeparator" w:id="0">
    <w:p w:rsidR="00297CA5" w:rsidRDefault="00297CA5" w:rsidP="003F155D">
      <w:r>
        <w:continuationSeparator/>
      </w:r>
    </w:p>
  </w:footnote>
  <w:footnote w:id="1">
    <w:p w:rsidR="00297CA5" w:rsidRPr="003F5295" w:rsidRDefault="00297CA5" w:rsidP="00C95003">
      <w:pPr>
        <w:pStyle w:val="FootnoteText"/>
        <w:tabs>
          <w:tab w:val="left" w:pos="284"/>
        </w:tabs>
        <w:jc w:val="both"/>
        <w:rPr>
          <w:rFonts w:ascii="Segoe UI" w:hAnsi="Segoe UI" w:cs="Segoe UI"/>
          <w:sz w:val="16"/>
          <w:szCs w:val="16"/>
        </w:rPr>
      </w:pPr>
      <w:r w:rsidRPr="003F5295">
        <w:rPr>
          <w:rStyle w:val="FootnoteReference"/>
          <w:rFonts w:cs="Segoe UI"/>
          <w:sz w:val="16"/>
          <w:szCs w:val="16"/>
        </w:rPr>
        <w:footnoteRef/>
      </w:r>
      <w:r w:rsidRPr="003F5295">
        <w:rPr>
          <w:rFonts w:ascii="Segoe UI" w:hAnsi="Segoe UI" w:cs="Segoe UI"/>
          <w:sz w:val="16"/>
          <w:szCs w:val="16"/>
        </w:rPr>
        <w:t xml:space="preserve"> </w:t>
      </w:r>
      <w:r>
        <w:rPr>
          <w:rFonts w:ascii="Segoe UI" w:hAnsi="Segoe UI" w:cs="Segoe UI"/>
          <w:sz w:val="16"/>
          <w:szCs w:val="16"/>
        </w:rPr>
        <w:tab/>
      </w:r>
      <w:r w:rsidRPr="003F5295">
        <w:rPr>
          <w:rFonts w:ascii="Segoe UI" w:hAnsi="Segoe UI" w:cs="Segoe UI"/>
          <w:sz w:val="16"/>
          <w:szCs w:val="16"/>
        </w:rPr>
        <w:t xml:space="preserve">Regulatory treatment of capital instruments subject to transitional arrangements provided for in Schedule 4H </w:t>
      </w:r>
      <w:r>
        <w:rPr>
          <w:rFonts w:ascii="Segoe UI" w:hAnsi="Segoe UI" w:cs="Segoe UI"/>
          <w:sz w:val="16"/>
          <w:szCs w:val="16"/>
        </w:rPr>
        <w:t>to the Banking (Capital) Rules (“</w:t>
      </w:r>
      <w:r w:rsidRPr="003F5295">
        <w:rPr>
          <w:rFonts w:ascii="Segoe UI" w:hAnsi="Segoe UI" w:cs="Segoe UI"/>
          <w:sz w:val="16"/>
          <w:szCs w:val="16"/>
        </w:rPr>
        <w:t>BCR</w:t>
      </w:r>
      <w:r>
        <w:rPr>
          <w:rFonts w:ascii="Segoe UI" w:hAnsi="Segoe UI" w:cs="Segoe UI"/>
          <w:sz w:val="16"/>
          <w:szCs w:val="16"/>
        </w:rPr>
        <w:t>”)</w:t>
      </w:r>
      <w:r w:rsidRPr="003F5295">
        <w:rPr>
          <w:rFonts w:ascii="Segoe UI" w:hAnsi="Segoe UI" w:cs="Segoe UI"/>
          <w:sz w:val="16"/>
          <w:szCs w:val="16"/>
        </w:rPr>
        <w:t>.</w:t>
      </w:r>
    </w:p>
  </w:footnote>
  <w:footnote w:id="2">
    <w:p w:rsidR="00297CA5" w:rsidRPr="003F5295" w:rsidRDefault="00297CA5" w:rsidP="00C95003">
      <w:pPr>
        <w:pStyle w:val="FootnoteText"/>
        <w:tabs>
          <w:tab w:val="left" w:pos="284"/>
        </w:tabs>
        <w:jc w:val="both"/>
        <w:rPr>
          <w:rFonts w:ascii="Segoe UI" w:hAnsi="Segoe UI" w:cs="Segoe UI"/>
          <w:sz w:val="16"/>
          <w:szCs w:val="16"/>
        </w:rPr>
      </w:pPr>
      <w:r w:rsidRPr="003F5295">
        <w:rPr>
          <w:rStyle w:val="FootnoteReference"/>
          <w:rFonts w:cs="Segoe UI"/>
          <w:sz w:val="16"/>
          <w:szCs w:val="16"/>
        </w:rPr>
        <w:footnoteRef/>
      </w:r>
      <w:r w:rsidRPr="003F5295">
        <w:rPr>
          <w:rFonts w:ascii="Segoe UI" w:hAnsi="Segoe UI" w:cs="Segoe UI"/>
          <w:sz w:val="16"/>
          <w:szCs w:val="16"/>
        </w:rPr>
        <w:t xml:space="preserve"> </w:t>
      </w:r>
      <w:r>
        <w:rPr>
          <w:rFonts w:ascii="Segoe UI" w:hAnsi="Segoe UI" w:cs="Segoe UI"/>
          <w:sz w:val="16"/>
          <w:szCs w:val="16"/>
        </w:rPr>
        <w:tab/>
      </w:r>
      <w:r w:rsidRPr="003F5295">
        <w:rPr>
          <w:rFonts w:ascii="Segoe UI" w:hAnsi="Segoe UI" w:cs="Segoe UI"/>
          <w:sz w:val="16"/>
          <w:szCs w:val="16"/>
        </w:rPr>
        <w:t xml:space="preserve">Regulatory treatment of capital instruments not subject to transitional arrangements provided for in Schedule 4H </w:t>
      </w:r>
      <w:r>
        <w:rPr>
          <w:rFonts w:ascii="Segoe UI" w:hAnsi="Segoe UI" w:cs="Segoe UI"/>
          <w:sz w:val="16"/>
          <w:szCs w:val="16"/>
        </w:rPr>
        <w:t xml:space="preserve">to the </w:t>
      </w:r>
      <w:r w:rsidRPr="003F5295">
        <w:rPr>
          <w:rFonts w:ascii="Segoe UI" w:hAnsi="Segoe UI" w:cs="Segoe UI"/>
          <w:sz w:val="16"/>
          <w:szCs w:val="16"/>
        </w:rPr>
        <w:t>BCR.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E7104"/>
    <w:multiLevelType w:val="hybridMultilevel"/>
    <w:tmpl w:val="A11C61A4"/>
    <w:lvl w:ilvl="0" w:tplc="05B8CADC">
      <w:start w:val="1"/>
      <w:numFmt w:val="lowerRoman"/>
      <w:lvlText w:val="(%1)"/>
      <w:lvlJc w:val="left"/>
      <w:pPr>
        <w:ind w:left="480" w:hanging="480"/>
      </w:pPr>
      <w:rPr>
        <w:i/>
        <w:sz w:val="17"/>
        <w:szCs w:val="17"/>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1FC5777"/>
    <w:multiLevelType w:val="hybridMultilevel"/>
    <w:tmpl w:val="3EE06D26"/>
    <w:lvl w:ilvl="0" w:tplc="EC5657E0">
      <w:start w:val="1"/>
      <w:numFmt w:val="lowerRoman"/>
      <w:lvlText w:val="(%1)"/>
      <w:lvlJc w:val="left"/>
      <w:pPr>
        <w:ind w:left="720" w:hanging="720"/>
      </w:pPr>
      <w:rPr>
        <w:rFonts w:hint="default"/>
      </w:rPr>
    </w:lvl>
    <w:lvl w:ilvl="1" w:tplc="C7F2349E">
      <w:numFmt w:val="bullet"/>
      <w:lvlText w:val="-"/>
      <w:lvlJc w:val="left"/>
      <w:pPr>
        <w:ind w:left="840" w:hanging="360"/>
      </w:pPr>
      <w:rPr>
        <w:rFonts w:ascii="Segoe UI" w:eastAsia="Times New Roman" w:hAnsi="Segoe UI" w:cs="Segoe UI"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D756395"/>
    <w:multiLevelType w:val="hybridMultilevel"/>
    <w:tmpl w:val="3EE06D26"/>
    <w:lvl w:ilvl="0" w:tplc="EC5657E0">
      <w:start w:val="1"/>
      <w:numFmt w:val="lowerRoman"/>
      <w:lvlText w:val="(%1)"/>
      <w:lvlJc w:val="left"/>
      <w:pPr>
        <w:ind w:left="720" w:hanging="720"/>
      </w:pPr>
      <w:rPr>
        <w:rFonts w:hint="default"/>
      </w:rPr>
    </w:lvl>
    <w:lvl w:ilvl="1" w:tplc="C7F2349E">
      <w:numFmt w:val="bullet"/>
      <w:lvlText w:val="-"/>
      <w:lvlJc w:val="left"/>
      <w:pPr>
        <w:ind w:left="840" w:hanging="360"/>
      </w:pPr>
      <w:rPr>
        <w:rFonts w:ascii="Segoe UI" w:eastAsia="Times New Roman" w:hAnsi="Segoe UI" w:cs="Segoe UI"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0F002F88"/>
    <w:multiLevelType w:val="hybridMultilevel"/>
    <w:tmpl w:val="35E29C5A"/>
    <w:lvl w:ilvl="0" w:tplc="C9766C4E">
      <w:start w:val="1"/>
      <w:numFmt w:val="lowerRoman"/>
      <w:lvlText w:val="(%1)"/>
      <w:lvlJc w:val="left"/>
      <w:pPr>
        <w:ind w:left="-206" w:hanging="360"/>
      </w:pPr>
      <w:rPr>
        <w:rFonts w:hint="eastAsia"/>
        <w:i/>
      </w:rPr>
    </w:lvl>
    <w:lvl w:ilvl="1" w:tplc="04090019" w:tentative="1">
      <w:start w:val="1"/>
      <w:numFmt w:val="ideographTraditional"/>
      <w:lvlText w:val="%2、"/>
      <w:lvlJc w:val="left"/>
      <w:pPr>
        <w:ind w:left="394" w:hanging="480"/>
      </w:pPr>
    </w:lvl>
    <w:lvl w:ilvl="2" w:tplc="0409001B" w:tentative="1">
      <w:start w:val="1"/>
      <w:numFmt w:val="lowerRoman"/>
      <w:lvlText w:val="%3."/>
      <w:lvlJc w:val="right"/>
      <w:pPr>
        <w:ind w:left="874" w:hanging="480"/>
      </w:pPr>
    </w:lvl>
    <w:lvl w:ilvl="3" w:tplc="0409000F" w:tentative="1">
      <w:start w:val="1"/>
      <w:numFmt w:val="decimal"/>
      <w:lvlText w:val="%4."/>
      <w:lvlJc w:val="left"/>
      <w:pPr>
        <w:ind w:left="1354" w:hanging="480"/>
      </w:pPr>
    </w:lvl>
    <w:lvl w:ilvl="4" w:tplc="04090019" w:tentative="1">
      <w:start w:val="1"/>
      <w:numFmt w:val="ideographTraditional"/>
      <w:lvlText w:val="%5、"/>
      <w:lvlJc w:val="left"/>
      <w:pPr>
        <w:ind w:left="1834" w:hanging="480"/>
      </w:pPr>
    </w:lvl>
    <w:lvl w:ilvl="5" w:tplc="0409001B" w:tentative="1">
      <w:start w:val="1"/>
      <w:numFmt w:val="lowerRoman"/>
      <w:lvlText w:val="%6."/>
      <w:lvlJc w:val="right"/>
      <w:pPr>
        <w:ind w:left="2314" w:hanging="480"/>
      </w:pPr>
    </w:lvl>
    <w:lvl w:ilvl="6" w:tplc="0409000F" w:tentative="1">
      <w:start w:val="1"/>
      <w:numFmt w:val="decimal"/>
      <w:lvlText w:val="%7."/>
      <w:lvlJc w:val="left"/>
      <w:pPr>
        <w:ind w:left="2794" w:hanging="480"/>
      </w:pPr>
    </w:lvl>
    <w:lvl w:ilvl="7" w:tplc="04090019" w:tentative="1">
      <w:start w:val="1"/>
      <w:numFmt w:val="ideographTraditional"/>
      <w:lvlText w:val="%8、"/>
      <w:lvlJc w:val="left"/>
      <w:pPr>
        <w:ind w:left="3274" w:hanging="480"/>
      </w:pPr>
    </w:lvl>
    <w:lvl w:ilvl="8" w:tplc="0409001B" w:tentative="1">
      <w:start w:val="1"/>
      <w:numFmt w:val="lowerRoman"/>
      <w:lvlText w:val="%9."/>
      <w:lvlJc w:val="right"/>
      <w:pPr>
        <w:ind w:left="3754" w:hanging="480"/>
      </w:pPr>
    </w:lvl>
  </w:abstractNum>
  <w:abstractNum w:abstractNumId="4">
    <w:nsid w:val="19504257"/>
    <w:multiLevelType w:val="hybridMultilevel"/>
    <w:tmpl w:val="3EE06D26"/>
    <w:lvl w:ilvl="0" w:tplc="EC5657E0">
      <w:start w:val="1"/>
      <w:numFmt w:val="lowerRoman"/>
      <w:lvlText w:val="(%1)"/>
      <w:lvlJc w:val="left"/>
      <w:pPr>
        <w:ind w:left="720" w:hanging="720"/>
      </w:pPr>
      <w:rPr>
        <w:rFonts w:hint="default"/>
      </w:rPr>
    </w:lvl>
    <w:lvl w:ilvl="1" w:tplc="C7F2349E">
      <w:numFmt w:val="bullet"/>
      <w:lvlText w:val="-"/>
      <w:lvlJc w:val="left"/>
      <w:pPr>
        <w:ind w:left="840" w:hanging="360"/>
      </w:pPr>
      <w:rPr>
        <w:rFonts w:ascii="Segoe UI" w:eastAsia="Times New Roman" w:hAnsi="Segoe UI" w:cs="Segoe UI"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26222980"/>
    <w:multiLevelType w:val="hybridMultilevel"/>
    <w:tmpl w:val="3EE06D26"/>
    <w:lvl w:ilvl="0" w:tplc="EC5657E0">
      <w:start w:val="1"/>
      <w:numFmt w:val="lowerRoman"/>
      <w:lvlText w:val="(%1)"/>
      <w:lvlJc w:val="left"/>
      <w:pPr>
        <w:ind w:left="720" w:hanging="720"/>
      </w:pPr>
      <w:rPr>
        <w:rFonts w:hint="default"/>
      </w:rPr>
    </w:lvl>
    <w:lvl w:ilvl="1" w:tplc="C7F2349E">
      <w:numFmt w:val="bullet"/>
      <w:lvlText w:val="-"/>
      <w:lvlJc w:val="left"/>
      <w:pPr>
        <w:ind w:left="840" w:hanging="360"/>
      </w:pPr>
      <w:rPr>
        <w:rFonts w:ascii="Segoe UI" w:eastAsia="Times New Roman" w:hAnsi="Segoe UI" w:cs="Segoe UI"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3F5E310C"/>
    <w:multiLevelType w:val="hybridMultilevel"/>
    <w:tmpl w:val="A11C61A4"/>
    <w:lvl w:ilvl="0" w:tplc="05B8CADC">
      <w:start w:val="1"/>
      <w:numFmt w:val="lowerRoman"/>
      <w:lvlText w:val="(%1)"/>
      <w:lvlJc w:val="left"/>
      <w:pPr>
        <w:ind w:left="480" w:hanging="480"/>
      </w:pPr>
      <w:rPr>
        <w:i/>
        <w:sz w:val="17"/>
        <w:szCs w:val="17"/>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64573B5C"/>
    <w:multiLevelType w:val="hybridMultilevel"/>
    <w:tmpl w:val="A11C61A4"/>
    <w:lvl w:ilvl="0" w:tplc="05B8CADC">
      <w:start w:val="1"/>
      <w:numFmt w:val="lowerRoman"/>
      <w:lvlText w:val="(%1)"/>
      <w:lvlJc w:val="left"/>
      <w:pPr>
        <w:ind w:left="480" w:hanging="480"/>
      </w:pPr>
      <w:rPr>
        <w:i/>
        <w:sz w:val="17"/>
        <w:szCs w:val="17"/>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6"/>
  </w:num>
  <w:num w:numId="2">
    <w:abstractNumId w:val="3"/>
  </w:num>
  <w:num w:numId="3">
    <w:abstractNumId w:val="4"/>
  </w:num>
  <w:num w:numId="4">
    <w:abstractNumId w:val="0"/>
  </w:num>
  <w:num w:numId="5">
    <w:abstractNumId w:val="7"/>
  </w:num>
  <w:num w:numId="6">
    <w:abstractNumId w:val="1"/>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1024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04F4"/>
    <w:rsid w:val="00054083"/>
    <w:rsid w:val="001804F4"/>
    <w:rsid w:val="001D15C2"/>
    <w:rsid w:val="0026430D"/>
    <w:rsid w:val="00297CA5"/>
    <w:rsid w:val="00390D70"/>
    <w:rsid w:val="003D7E73"/>
    <w:rsid w:val="003F155D"/>
    <w:rsid w:val="0046133F"/>
    <w:rsid w:val="004B5A71"/>
    <w:rsid w:val="0054071E"/>
    <w:rsid w:val="005970C2"/>
    <w:rsid w:val="005E39BE"/>
    <w:rsid w:val="00650D67"/>
    <w:rsid w:val="006E5C79"/>
    <w:rsid w:val="008321D6"/>
    <w:rsid w:val="00862BEB"/>
    <w:rsid w:val="008F5159"/>
    <w:rsid w:val="00901DA2"/>
    <w:rsid w:val="0099668B"/>
    <w:rsid w:val="00A21C37"/>
    <w:rsid w:val="00A5707F"/>
    <w:rsid w:val="00B97604"/>
    <w:rsid w:val="00C95003"/>
    <w:rsid w:val="00E02BA1"/>
    <w:rsid w:val="00E953B5"/>
    <w:rsid w:val="00EB525A"/>
    <w:rsid w:val="00EB650E"/>
    <w:rsid w:val="00EF02D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F155D"/>
    <w:pPr>
      <w:widowControl/>
      <w:tabs>
        <w:tab w:val="center" w:pos="4153"/>
        <w:tab w:val="right" w:pos="8306"/>
      </w:tabs>
      <w:snapToGrid w:val="0"/>
    </w:pPr>
    <w:rPr>
      <w:rFonts w:ascii="Segoe UI" w:eastAsia="Times New Roman" w:hAnsi="Segoe UI" w:cs="Times New Roman"/>
      <w:kern w:val="0"/>
      <w:sz w:val="20"/>
      <w:szCs w:val="20"/>
      <w:lang w:val="en-GB" w:eastAsia="en-US"/>
    </w:rPr>
  </w:style>
  <w:style w:type="character" w:customStyle="1" w:styleId="FooterChar">
    <w:name w:val="Footer Char"/>
    <w:basedOn w:val="DefaultParagraphFont"/>
    <w:link w:val="Footer"/>
    <w:uiPriority w:val="99"/>
    <w:rsid w:val="003F155D"/>
    <w:rPr>
      <w:rFonts w:ascii="Segoe UI" w:eastAsia="Times New Roman" w:hAnsi="Segoe UI" w:cs="Times New Roman"/>
      <w:kern w:val="0"/>
      <w:sz w:val="20"/>
      <w:szCs w:val="20"/>
      <w:lang w:val="en-GB" w:eastAsia="en-US"/>
    </w:rPr>
  </w:style>
  <w:style w:type="paragraph" w:styleId="Header">
    <w:name w:val="header"/>
    <w:basedOn w:val="Normal"/>
    <w:link w:val="HeaderChar"/>
    <w:uiPriority w:val="99"/>
    <w:unhideWhenUsed/>
    <w:rsid w:val="003F155D"/>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3F155D"/>
    <w:rPr>
      <w:sz w:val="20"/>
      <w:szCs w:val="20"/>
    </w:rPr>
  </w:style>
  <w:style w:type="paragraph" w:styleId="FootnoteText">
    <w:name w:val="footnote text"/>
    <w:basedOn w:val="Normal"/>
    <w:link w:val="FootnoteTextChar"/>
    <w:uiPriority w:val="99"/>
    <w:semiHidden/>
    <w:unhideWhenUsed/>
    <w:rsid w:val="00C95003"/>
    <w:pPr>
      <w:snapToGrid w:val="0"/>
    </w:pPr>
    <w:rPr>
      <w:sz w:val="20"/>
      <w:szCs w:val="20"/>
    </w:rPr>
  </w:style>
  <w:style w:type="character" w:customStyle="1" w:styleId="FootnoteTextChar">
    <w:name w:val="Footnote Text Char"/>
    <w:basedOn w:val="DefaultParagraphFont"/>
    <w:link w:val="FootnoteText"/>
    <w:uiPriority w:val="99"/>
    <w:semiHidden/>
    <w:rsid w:val="00C95003"/>
    <w:rPr>
      <w:sz w:val="20"/>
      <w:szCs w:val="20"/>
    </w:rPr>
  </w:style>
  <w:style w:type="table" w:styleId="TableGrid">
    <w:name w:val="Table Grid"/>
    <w:basedOn w:val="TableNormal"/>
    <w:uiPriority w:val="59"/>
    <w:rsid w:val="00C950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uiPriority w:val="99"/>
    <w:rsid w:val="00C95003"/>
    <w:rPr>
      <w:rFonts w:ascii="Segoe UI" w:hAnsi="Segoe UI" w:cs="Times New Roman"/>
      <w:vertAlign w:val="superscript"/>
    </w:rPr>
  </w:style>
  <w:style w:type="table" w:customStyle="1" w:styleId="TableGrid1">
    <w:name w:val="Table Grid1"/>
    <w:basedOn w:val="TableNormal"/>
    <w:next w:val="TableGrid"/>
    <w:uiPriority w:val="59"/>
    <w:rsid w:val="008F51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297C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650D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5970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6430D"/>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26430D"/>
    <w:rPr>
      <w:rFonts w:asciiTheme="majorHAnsi" w:eastAsiaTheme="majorEastAsia" w:hAnsiTheme="majorHAnsi" w:cstheme="majorBidi"/>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F155D"/>
    <w:pPr>
      <w:widowControl/>
      <w:tabs>
        <w:tab w:val="center" w:pos="4153"/>
        <w:tab w:val="right" w:pos="8306"/>
      </w:tabs>
      <w:snapToGrid w:val="0"/>
    </w:pPr>
    <w:rPr>
      <w:rFonts w:ascii="Segoe UI" w:eastAsia="Times New Roman" w:hAnsi="Segoe UI" w:cs="Times New Roman"/>
      <w:kern w:val="0"/>
      <w:sz w:val="20"/>
      <w:szCs w:val="20"/>
      <w:lang w:val="en-GB" w:eastAsia="en-US"/>
    </w:rPr>
  </w:style>
  <w:style w:type="character" w:customStyle="1" w:styleId="FooterChar">
    <w:name w:val="Footer Char"/>
    <w:basedOn w:val="DefaultParagraphFont"/>
    <w:link w:val="Footer"/>
    <w:uiPriority w:val="99"/>
    <w:rsid w:val="003F155D"/>
    <w:rPr>
      <w:rFonts w:ascii="Segoe UI" w:eastAsia="Times New Roman" w:hAnsi="Segoe UI" w:cs="Times New Roman"/>
      <w:kern w:val="0"/>
      <w:sz w:val="20"/>
      <w:szCs w:val="20"/>
      <w:lang w:val="en-GB" w:eastAsia="en-US"/>
    </w:rPr>
  </w:style>
  <w:style w:type="paragraph" w:styleId="Header">
    <w:name w:val="header"/>
    <w:basedOn w:val="Normal"/>
    <w:link w:val="HeaderChar"/>
    <w:uiPriority w:val="99"/>
    <w:unhideWhenUsed/>
    <w:rsid w:val="003F155D"/>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3F155D"/>
    <w:rPr>
      <w:sz w:val="20"/>
      <w:szCs w:val="20"/>
    </w:rPr>
  </w:style>
  <w:style w:type="paragraph" w:styleId="FootnoteText">
    <w:name w:val="footnote text"/>
    <w:basedOn w:val="Normal"/>
    <w:link w:val="FootnoteTextChar"/>
    <w:uiPriority w:val="99"/>
    <w:semiHidden/>
    <w:unhideWhenUsed/>
    <w:rsid w:val="00C95003"/>
    <w:pPr>
      <w:snapToGrid w:val="0"/>
    </w:pPr>
    <w:rPr>
      <w:sz w:val="20"/>
      <w:szCs w:val="20"/>
    </w:rPr>
  </w:style>
  <w:style w:type="character" w:customStyle="1" w:styleId="FootnoteTextChar">
    <w:name w:val="Footnote Text Char"/>
    <w:basedOn w:val="DefaultParagraphFont"/>
    <w:link w:val="FootnoteText"/>
    <w:uiPriority w:val="99"/>
    <w:semiHidden/>
    <w:rsid w:val="00C95003"/>
    <w:rPr>
      <w:sz w:val="20"/>
      <w:szCs w:val="20"/>
    </w:rPr>
  </w:style>
  <w:style w:type="table" w:styleId="TableGrid">
    <w:name w:val="Table Grid"/>
    <w:basedOn w:val="TableNormal"/>
    <w:uiPriority w:val="59"/>
    <w:rsid w:val="00C950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uiPriority w:val="99"/>
    <w:rsid w:val="00C95003"/>
    <w:rPr>
      <w:rFonts w:ascii="Segoe UI" w:hAnsi="Segoe UI" w:cs="Times New Roman"/>
      <w:vertAlign w:val="superscript"/>
    </w:rPr>
  </w:style>
  <w:style w:type="table" w:customStyle="1" w:styleId="TableGrid1">
    <w:name w:val="Table Grid1"/>
    <w:basedOn w:val="TableNormal"/>
    <w:next w:val="TableGrid"/>
    <w:uiPriority w:val="59"/>
    <w:rsid w:val="008F51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297C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650D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5970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6430D"/>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26430D"/>
    <w:rPr>
      <w:rFonts w:asciiTheme="majorHAnsi" w:eastAsiaTheme="majorEastAsia" w:hAnsiTheme="majorHAnsi" w:cstheme="majorBidi"/>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5.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4.xml"/><Relationship Id="rId17"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footer" Target="footer7.xml"/><Relationship Id="rId10" Type="http://schemas.openxmlformats.org/officeDocument/2006/relationships/footer" Target="footer2.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C1A3CC-5EED-466F-B848-396B0C6AD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33</Pages>
  <Words>12951</Words>
  <Characters>73825</Characters>
  <Application>Microsoft Office Word</Application>
  <DocSecurity>0</DocSecurity>
  <Lines>615</Lines>
  <Paragraphs>173</Paragraphs>
  <ScaleCrop>false</ScaleCrop>
  <HeadingPairs>
    <vt:vector size="2" baseType="variant">
      <vt:variant>
        <vt:lpstr>Title</vt:lpstr>
      </vt:variant>
      <vt:variant>
        <vt:i4>1</vt:i4>
      </vt:variant>
    </vt:vector>
  </HeadingPairs>
  <TitlesOfParts>
    <vt:vector size="1" baseType="lpstr">
      <vt:lpstr/>
    </vt:vector>
  </TitlesOfParts>
  <Company>Hong Kong Monetary Authority</Company>
  <LinksUpToDate>false</LinksUpToDate>
  <CharactersWithSpaces>86603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HKMA</dc:creator>
  <cp:lastModifiedBy>Helen KY Chan</cp:lastModifiedBy>
  <cp:revision>5</cp:revision>
  <dcterms:created xsi:type="dcterms:W3CDTF">2019-10-30T06:18:00Z</dcterms:created>
  <dcterms:modified xsi:type="dcterms:W3CDTF">2019-10-30T06:20:00Z</dcterms:modified>
</cp:coreProperties>
</file>