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610" w:rsidRPr="00C44BF3" w:rsidRDefault="00EA5610" w:rsidP="000D7DD9">
      <w:pPr>
        <w:wordWrap w:val="0"/>
        <w:jc w:val="right"/>
        <w:rPr>
          <w:rFonts w:ascii="Times New Roman" w:hAnsi="Times New Roman" w:cs="Times New Roman"/>
          <w:b/>
          <w:szCs w:val="24"/>
          <w:u w:val="single"/>
          <w:lang w:val="en-GB"/>
        </w:rPr>
      </w:pPr>
      <w:bookmarkStart w:id="0" w:name="_GoBack"/>
      <w:bookmarkEnd w:id="0"/>
      <w:r w:rsidRPr="00C61226">
        <w:rPr>
          <w:rFonts w:ascii="Times New Roman" w:hAnsi="Times New Roman" w:cs="Times New Roman"/>
          <w:b/>
          <w:szCs w:val="24"/>
          <w:highlight w:val="yellow"/>
          <w:u w:val="single"/>
          <w:lang w:val="en-GB"/>
        </w:rPr>
        <w:t>V.</w:t>
      </w:r>
      <w:r w:rsidR="00CD5736" w:rsidRPr="00C44BF3">
        <w:rPr>
          <w:rFonts w:ascii="Times New Roman" w:hAnsi="Times New Roman" w:cs="Times New Roman"/>
          <w:b/>
          <w:szCs w:val="24"/>
          <w:highlight w:val="yellow"/>
          <w:u w:val="single"/>
          <w:lang w:val="en-GB"/>
        </w:rPr>
        <w:t>3</w:t>
      </w:r>
      <w:r w:rsidR="00087783">
        <w:rPr>
          <w:rFonts w:ascii="Times New Roman" w:hAnsi="Times New Roman" w:cs="Times New Roman"/>
          <w:b/>
          <w:szCs w:val="24"/>
          <w:highlight w:val="yellow"/>
          <w:u w:val="single"/>
          <w:lang w:val="en-GB"/>
        </w:rPr>
        <w:t>,</w:t>
      </w:r>
      <w:r w:rsidR="005353ED" w:rsidRPr="00C44BF3">
        <w:rPr>
          <w:rFonts w:ascii="Times New Roman" w:hAnsi="Times New Roman" w:cs="Times New Roman"/>
          <w:b/>
          <w:szCs w:val="24"/>
          <w:highlight w:val="yellow"/>
          <w:u w:val="single"/>
          <w:lang w:val="en-GB"/>
        </w:rPr>
        <w:t xml:space="preserve"> </w:t>
      </w:r>
      <w:r w:rsidR="00855B45">
        <w:rPr>
          <w:rFonts w:ascii="Times New Roman" w:hAnsi="Times New Roman" w:cs="Times New Roman"/>
          <w:b/>
          <w:szCs w:val="24"/>
          <w:highlight w:val="yellow"/>
          <w:u w:val="single"/>
          <w:lang w:val="en-GB"/>
        </w:rPr>
        <w:t>2</w:t>
      </w:r>
      <w:r w:rsidR="00F64429">
        <w:rPr>
          <w:rFonts w:ascii="Times New Roman" w:hAnsi="Times New Roman" w:cs="Times New Roman"/>
          <w:b/>
          <w:szCs w:val="24"/>
          <w:highlight w:val="yellow"/>
          <w:u w:val="single"/>
          <w:lang w:val="en-GB"/>
        </w:rPr>
        <w:t>8</w:t>
      </w:r>
      <w:r w:rsidR="00855B45">
        <w:rPr>
          <w:rFonts w:ascii="Times New Roman" w:hAnsi="Times New Roman" w:cs="Times New Roman"/>
          <w:b/>
          <w:szCs w:val="24"/>
          <w:highlight w:val="yellow"/>
          <w:u w:val="single"/>
          <w:lang w:val="en-GB"/>
        </w:rPr>
        <w:t xml:space="preserve"> </w:t>
      </w:r>
      <w:r w:rsidR="009C03CC">
        <w:rPr>
          <w:rFonts w:ascii="Times New Roman" w:hAnsi="Times New Roman" w:cs="Times New Roman"/>
          <w:b/>
          <w:szCs w:val="24"/>
          <w:highlight w:val="yellow"/>
          <w:u w:val="single"/>
          <w:lang w:val="en-GB"/>
        </w:rPr>
        <w:t>November</w:t>
      </w:r>
      <w:r w:rsidR="001956A7" w:rsidRPr="00C44BF3">
        <w:rPr>
          <w:rFonts w:ascii="Times New Roman" w:hAnsi="Times New Roman" w:cs="Times New Roman"/>
          <w:b/>
          <w:szCs w:val="24"/>
          <w:highlight w:val="yellow"/>
          <w:u w:val="single"/>
          <w:lang w:val="en-GB"/>
        </w:rPr>
        <w:t xml:space="preserve"> </w:t>
      </w:r>
      <w:r w:rsidR="00ED4C83" w:rsidRPr="00C44BF3">
        <w:rPr>
          <w:rFonts w:ascii="Times New Roman" w:hAnsi="Times New Roman" w:cs="Times New Roman"/>
          <w:b/>
          <w:szCs w:val="24"/>
          <w:highlight w:val="yellow"/>
          <w:u w:val="single"/>
          <w:lang w:val="en-GB"/>
        </w:rPr>
        <w:t>2019</w:t>
      </w:r>
      <w:r w:rsidR="008963A5">
        <w:rPr>
          <w:rFonts w:ascii="Times New Roman" w:hAnsi="Times New Roman" w:cs="Times New Roman"/>
          <w:b/>
          <w:szCs w:val="24"/>
          <w:u w:val="single"/>
          <w:lang w:val="en-GB"/>
        </w:rPr>
        <w:t xml:space="preserve"> </w:t>
      </w:r>
      <w:r w:rsidR="008963A5">
        <w:rPr>
          <w:rFonts w:ascii="Times New Roman" w:hAnsi="Times New Roman" w:cs="Times New Roman"/>
          <w:b/>
          <w:szCs w:val="24"/>
          <w:u w:val="single"/>
          <w:lang w:val="en-GB"/>
        </w:rPr>
        <w:br/>
      </w:r>
      <w:r w:rsidR="008963A5" w:rsidRPr="001D7C22">
        <w:rPr>
          <w:rFonts w:ascii="Times New Roman" w:hAnsi="Times New Roman" w:cs="Times New Roman"/>
          <w:b/>
          <w:szCs w:val="24"/>
          <w:highlight w:val="yellow"/>
          <w:u w:val="single"/>
          <w:lang w:val="en-GB"/>
        </w:rPr>
        <w:t>(updated content highlighted)</w:t>
      </w:r>
    </w:p>
    <w:p w:rsidR="00F16930" w:rsidRPr="00C44BF3" w:rsidRDefault="00CB6488">
      <w:pPr>
        <w:rPr>
          <w:rFonts w:ascii="Times New Roman" w:hAnsi="Times New Roman" w:cs="Times New Roman"/>
          <w:b/>
          <w:szCs w:val="24"/>
          <w:u w:val="single"/>
        </w:rPr>
      </w:pPr>
      <w:r w:rsidRPr="00C44BF3">
        <w:rPr>
          <w:rFonts w:ascii="Times New Roman" w:hAnsi="Times New Roman" w:cs="Times New Roman"/>
          <w:b/>
          <w:szCs w:val="24"/>
          <w:u w:val="single"/>
        </w:rPr>
        <w:t>Supervisory Communication Website &gt; Reporting Requirements &gt;</w:t>
      </w:r>
      <w:r w:rsidR="00F16930" w:rsidRPr="00C44BF3">
        <w:rPr>
          <w:rFonts w:ascii="Times New Roman" w:hAnsi="Times New Roman" w:cs="Times New Roman"/>
          <w:b/>
          <w:szCs w:val="24"/>
          <w:u w:val="single"/>
        </w:rPr>
        <w:t xml:space="preserve"> F</w:t>
      </w:r>
      <w:r w:rsidRPr="00C44BF3">
        <w:rPr>
          <w:rFonts w:ascii="Times New Roman" w:hAnsi="Times New Roman" w:cs="Times New Roman"/>
          <w:b/>
          <w:szCs w:val="24"/>
          <w:u w:val="single"/>
        </w:rPr>
        <w:t>AQ &gt; MA(BS)12A</w:t>
      </w:r>
    </w:p>
    <w:p w:rsidR="009B6A2E" w:rsidRPr="00C44BF3" w:rsidRDefault="009B6A2E" w:rsidP="003D05E8">
      <w:pPr>
        <w:jc w:val="both"/>
        <w:rPr>
          <w:rFonts w:ascii="Times New Roman" w:hAnsi="Times New Roman" w:cs="Times New Roman"/>
          <w:szCs w:val="24"/>
        </w:rPr>
      </w:pPr>
    </w:p>
    <w:p w:rsidR="00F16930" w:rsidRPr="00C44BF3" w:rsidRDefault="00F16930">
      <w:pPr>
        <w:rPr>
          <w:rFonts w:ascii="Times New Roman" w:hAnsi="Times New Roman" w:cs="Times New Roman"/>
          <w:szCs w:val="24"/>
        </w:rPr>
      </w:pPr>
    </w:p>
    <w:tbl>
      <w:tblPr>
        <w:tblStyle w:val="TableGrid"/>
        <w:tblW w:w="13892" w:type="dxa"/>
        <w:tblInd w:w="108" w:type="dxa"/>
        <w:tblLayout w:type="fixed"/>
        <w:tblLook w:val="04A0" w:firstRow="1" w:lastRow="0" w:firstColumn="1" w:lastColumn="0" w:noHBand="0" w:noVBand="1"/>
      </w:tblPr>
      <w:tblGrid>
        <w:gridCol w:w="709"/>
        <w:gridCol w:w="3260"/>
        <w:gridCol w:w="9923"/>
      </w:tblGrid>
      <w:tr w:rsidR="00AE5C53" w:rsidRPr="00C44BF3" w:rsidTr="00161317">
        <w:tc>
          <w:tcPr>
            <w:tcW w:w="709" w:type="dxa"/>
          </w:tcPr>
          <w:p w:rsidR="00AE5C53" w:rsidRPr="00C44BF3" w:rsidRDefault="00AE5C53">
            <w:pPr>
              <w:rPr>
                <w:rFonts w:ascii="Times New Roman" w:hAnsi="Times New Roman" w:cs="Times New Roman"/>
                <w:szCs w:val="24"/>
                <w:lang w:val="en-GB"/>
              </w:rPr>
            </w:pPr>
            <w:r w:rsidRPr="00C44BF3">
              <w:rPr>
                <w:rFonts w:ascii="Times New Roman" w:hAnsi="Times New Roman" w:cs="Times New Roman"/>
                <w:szCs w:val="24"/>
                <w:lang w:val="en-GB"/>
              </w:rPr>
              <w:t>Item</w:t>
            </w:r>
          </w:p>
        </w:tc>
        <w:tc>
          <w:tcPr>
            <w:tcW w:w="3260" w:type="dxa"/>
          </w:tcPr>
          <w:p w:rsidR="00AE5C53" w:rsidRPr="00C44BF3" w:rsidRDefault="00AE5C53">
            <w:pPr>
              <w:rPr>
                <w:rFonts w:ascii="Times New Roman" w:hAnsi="Times New Roman" w:cs="Times New Roman"/>
                <w:szCs w:val="24"/>
                <w:lang w:val="en-GB"/>
              </w:rPr>
            </w:pPr>
            <w:r w:rsidRPr="00C44BF3">
              <w:rPr>
                <w:rFonts w:ascii="Times New Roman" w:hAnsi="Times New Roman" w:cs="Times New Roman"/>
                <w:szCs w:val="24"/>
                <w:lang w:val="en-GB"/>
              </w:rPr>
              <w:t>Question</w:t>
            </w:r>
          </w:p>
        </w:tc>
        <w:tc>
          <w:tcPr>
            <w:tcW w:w="9923" w:type="dxa"/>
          </w:tcPr>
          <w:p w:rsidR="00AE5C53" w:rsidRPr="00C44BF3" w:rsidRDefault="00AE5C53">
            <w:pPr>
              <w:rPr>
                <w:rFonts w:ascii="Times New Roman" w:hAnsi="Times New Roman" w:cs="Times New Roman"/>
                <w:szCs w:val="24"/>
                <w:lang w:val="en-GB"/>
              </w:rPr>
            </w:pPr>
            <w:r w:rsidRPr="00C44BF3">
              <w:rPr>
                <w:rFonts w:ascii="Times New Roman" w:hAnsi="Times New Roman" w:cs="Times New Roman"/>
                <w:szCs w:val="24"/>
                <w:lang w:val="en-GB"/>
              </w:rPr>
              <w:t>Answer</w:t>
            </w:r>
          </w:p>
        </w:tc>
      </w:tr>
      <w:tr w:rsidR="00AE5C53" w:rsidRPr="00C44BF3" w:rsidTr="00161317">
        <w:tc>
          <w:tcPr>
            <w:tcW w:w="709" w:type="dxa"/>
          </w:tcPr>
          <w:p w:rsidR="00AE5C53" w:rsidRPr="00C44BF3" w:rsidRDefault="00AE5C53" w:rsidP="004A215F">
            <w:pPr>
              <w:rPr>
                <w:rFonts w:ascii="Times New Roman" w:hAnsi="Times New Roman" w:cs="Times New Roman"/>
                <w:szCs w:val="24"/>
                <w:lang w:val="en-GB"/>
              </w:rPr>
            </w:pPr>
            <w:r w:rsidRPr="00C44BF3">
              <w:rPr>
                <w:rFonts w:ascii="Times New Roman" w:hAnsi="Times New Roman" w:cs="Times New Roman"/>
                <w:szCs w:val="24"/>
                <w:lang w:val="en-GB"/>
              </w:rPr>
              <w:t>1</w:t>
            </w:r>
          </w:p>
        </w:tc>
        <w:tc>
          <w:tcPr>
            <w:tcW w:w="3260" w:type="dxa"/>
          </w:tcPr>
          <w:p w:rsidR="00AE5C53" w:rsidRPr="00C44BF3" w:rsidRDefault="00AE5C53" w:rsidP="00B61857">
            <w:pPr>
              <w:jc w:val="both"/>
              <w:rPr>
                <w:rFonts w:ascii="Times New Roman" w:hAnsi="Times New Roman" w:cs="Times New Roman"/>
                <w:szCs w:val="24"/>
              </w:rPr>
            </w:pPr>
            <w:r w:rsidRPr="00C44BF3">
              <w:rPr>
                <w:rFonts w:ascii="Times New Roman" w:hAnsi="Times New Roman" w:cs="Times New Roman"/>
                <w:szCs w:val="24"/>
              </w:rPr>
              <w:t xml:space="preserve">Can an AI whose local/overseas subsidiaries are insignificant in terms of the size of total assets and liabilities exclude these from the consolidated IRRBB return? </w:t>
            </w:r>
          </w:p>
        </w:tc>
        <w:tc>
          <w:tcPr>
            <w:tcW w:w="9923" w:type="dxa"/>
          </w:tcPr>
          <w:p w:rsidR="00AE5C53" w:rsidRPr="00C44BF3" w:rsidRDefault="00AE5C53" w:rsidP="00E3070B">
            <w:pPr>
              <w:jc w:val="both"/>
              <w:rPr>
                <w:rFonts w:ascii="Times New Roman" w:hAnsi="Times New Roman" w:cs="Times New Roman"/>
                <w:szCs w:val="24"/>
              </w:rPr>
            </w:pPr>
            <w:r w:rsidRPr="00C44BF3">
              <w:rPr>
                <w:rFonts w:ascii="Times New Roman" w:hAnsi="Times New Roman" w:cs="Times New Roman"/>
                <w:szCs w:val="24"/>
              </w:rPr>
              <w:t>It is possible to exempt certain insignificant subsidiaries from the scope of the consolidated IRRBB return. An AI can contact its supervisor to apply for such an exemption, provided that the aggregate notional positions (the interest-rate sensitive positions on the assets or liabilities side of the balance sheet, whichever is larger, plus off-balance sheet interest rate-sensitive positions) of all the relevant subsidiary entities do not account for more than 5% of its total consolidated notional interest</w:t>
            </w:r>
            <w:r w:rsidR="00A57891" w:rsidRPr="00C44BF3">
              <w:rPr>
                <w:rFonts w:ascii="Times New Roman" w:hAnsi="Times New Roman" w:cs="Times New Roman"/>
                <w:szCs w:val="24"/>
              </w:rPr>
              <w:t xml:space="preserve"> </w:t>
            </w:r>
            <w:r w:rsidRPr="00C44BF3">
              <w:rPr>
                <w:rFonts w:ascii="Times New Roman" w:hAnsi="Times New Roman" w:cs="Times New Roman"/>
                <w:szCs w:val="24"/>
              </w:rPr>
              <w:t>rate</w:t>
            </w:r>
            <w:r w:rsidR="00A57891" w:rsidRPr="00C44BF3">
              <w:rPr>
                <w:rFonts w:ascii="Times New Roman" w:hAnsi="Times New Roman" w:cs="Times New Roman"/>
                <w:szCs w:val="24"/>
              </w:rPr>
              <w:t>-</w:t>
            </w:r>
            <w:r w:rsidRPr="00C44BF3">
              <w:rPr>
                <w:rFonts w:ascii="Times New Roman" w:hAnsi="Times New Roman" w:cs="Times New Roman"/>
                <w:szCs w:val="24"/>
              </w:rPr>
              <w:t xml:space="preserve">sensitive positions on the assets </w:t>
            </w:r>
            <w:r w:rsidR="00A57891" w:rsidRPr="00C44BF3">
              <w:rPr>
                <w:rFonts w:ascii="Times New Roman" w:hAnsi="Times New Roman" w:cs="Times New Roman"/>
                <w:szCs w:val="24"/>
              </w:rPr>
              <w:t xml:space="preserve">or </w:t>
            </w:r>
            <w:r w:rsidRPr="00C44BF3">
              <w:rPr>
                <w:rFonts w:ascii="Times New Roman" w:hAnsi="Times New Roman" w:cs="Times New Roman"/>
                <w:szCs w:val="24"/>
              </w:rPr>
              <w:t xml:space="preserve">liabilities side of its balance sheet, whichever is larger. </w:t>
            </w:r>
            <w:r w:rsidR="00A57891" w:rsidRPr="00C44BF3">
              <w:rPr>
                <w:rFonts w:ascii="Times New Roman" w:hAnsi="Times New Roman" w:cs="Times New Roman"/>
                <w:szCs w:val="24"/>
              </w:rPr>
              <w:t xml:space="preserve">The </w:t>
            </w:r>
            <w:r w:rsidRPr="00C44BF3">
              <w:rPr>
                <w:rFonts w:ascii="Times New Roman" w:hAnsi="Times New Roman" w:cs="Times New Roman"/>
                <w:szCs w:val="24"/>
              </w:rPr>
              <w:t>HKMA will consider approval on a case-by-case basis</w:t>
            </w:r>
            <w:r w:rsidR="00566B13" w:rsidRPr="00C44BF3">
              <w:rPr>
                <w:rFonts w:ascii="Times New Roman" w:hAnsi="Times New Roman" w:cs="Times New Roman"/>
                <w:szCs w:val="24"/>
              </w:rPr>
              <w:t>,</w:t>
            </w:r>
            <w:r w:rsidRPr="00C44BF3">
              <w:rPr>
                <w:rFonts w:ascii="Times New Roman" w:hAnsi="Times New Roman" w:cs="Times New Roman"/>
                <w:szCs w:val="24"/>
              </w:rPr>
              <w:t xml:space="preserve"> having regard to the specific circumstances of the applicant AI. An AI that has been granted such exemptions would potentially be considered as an outlier if its IRRBB exposure exceeds 14% </w:t>
            </w:r>
            <w:r w:rsidR="00ED472F" w:rsidRPr="00C44BF3">
              <w:rPr>
                <w:rFonts w:ascii="Times New Roman" w:hAnsi="Times New Roman" w:cs="Times New Roman"/>
                <w:szCs w:val="24"/>
              </w:rPr>
              <w:t xml:space="preserve">(rather than 15%) </w:t>
            </w:r>
            <w:r w:rsidRPr="00C44BF3">
              <w:rPr>
                <w:rFonts w:ascii="Times New Roman" w:hAnsi="Times New Roman" w:cs="Times New Roman"/>
                <w:szCs w:val="24"/>
              </w:rPr>
              <w:t>of its Tier 1 capital.</w:t>
            </w:r>
          </w:p>
        </w:tc>
      </w:tr>
      <w:tr w:rsidR="00AE5C53" w:rsidRPr="00C44BF3" w:rsidTr="00161317">
        <w:tc>
          <w:tcPr>
            <w:tcW w:w="709" w:type="dxa"/>
          </w:tcPr>
          <w:p w:rsidR="00AE5C53" w:rsidRPr="00C44BF3" w:rsidRDefault="00AE5C53">
            <w:pPr>
              <w:rPr>
                <w:rFonts w:ascii="Times New Roman" w:hAnsi="Times New Roman" w:cs="Times New Roman"/>
                <w:szCs w:val="24"/>
                <w:lang w:val="en-GB"/>
              </w:rPr>
            </w:pPr>
            <w:r w:rsidRPr="00C44BF3">
              <w:rPr>
                <w:rFonts w:ascii="Times New Roman" w:hAnsi="Times New Roman" w:cs="Times New Roman"/>
                <w:szCs w:val="24"/>
                <w:lang w:val="en-GB"/>
              </w:rPr>
              <w:t>2</w:t>
            </w:r>
          </w:p>
        </w:tc>
        <w:tc>
          <w:tcPr>
            <w:tcW w:w="3260" w:type="dxa"/>
          </w:tcPr>
          <w:p w:rsidR="00AE5C53" w:rsidRPr="00C44BF3" w:rsidRDefault="00AE5C53" w:rsidP="006C74B3">
            <w:pPr>
              <w:jc w:val="both"/>
              <w:rPr>
                <w:rFonts w:ascii="Times New Roman" w:hAnsi="Times New Roman" w:cs="Times New Roman"/>
                <w:szCs w:val="24"/>
                <w:lang w:val="en-GB"/>
              </w:rPr>
            </w:pPr>
            <w:r w:rsidRPr="00C44BF3">
              <w:rPr>
                <w:rFonts w:ascii="Times New Roman" w:hAnsi="Times New Roman" w:cs="Times New Roman"/>
                <w:szCs w:val="24"/>
                <w:lang w:val="en-GB"/>
              </w:rPr>
              <w:t>Which products are in scope for the IRRBB framework? Are credit card receivables, nostro and vostro accounts in scope?</w:t>
            </w:r>
          </w:p>
        </w:tc>
        <w:tc>
          <w:tcPr>
            <w:tcW w:w="9923" w:type="dxa"/>
          </w:tcPr>
          <w:p w:rsidR="00AE5C53" w:rsidRPr="00C44BF3" w:rsidRDefault="00AE5C53" w:rsidP="006C74B3">
            <w:pPr>
              <w:jc w:val="both"/>
              <w:rPr>
                <w:rFonts w:ascii="Times New Roman" w:hAnsi="Times New Roman" w:cs="Times New Roman"/>
                <w:szCs w:val="24"/>
                <w:lang w:val="en-GB"/>
              </w:rPr>
            </w:pPr>
            <w:r w:rsidRPr="00C44BF3">
              <w:rPr>
                <w:rFonts w:ascii="Times New Roman" w:hAnsi="Times New Roman" w:cs="Times New Roman"/>
                <w:szCs w:val="24"/>
                <w:lang w:val="en-GB"/>
              </w:rPr>
              <w:t xml:space="preserve">All products not excluded in </w:t>
            </w:r>
            <w:r w:rsidR="00AE2542" w:rsidRPr="00C44BF3">
              <w:rPr>
                <w:rFonts w:ascii="Times New Roman" w:hAnsi="Times New Roman" w:cs="Times New Roman"/>
                <w:szCs w:val="24"/>
                <w:lang w:val="en-GB"/>
              </w:rPr>
              <w:t>p</w:t>
            </w:r>
            <w:r w:rsidRPr="00C44BF3">
              <w:rPr>
                <w:rFonts w:ascii="Times New Roman" w:hAnsi="Times New Roman" w:cs="Times New Roman"/>
                <w:szCs w:val="24"/>
                <w:lang w:val="en-GB"/>
              </w:rPr>
              <w:t>aragraph 10 of the IRRBB Return Completion Instructions are in scope. Products in scope therefore include credit card receivables, nostro and vostro accounts.</w:t>
            </w:r>
          </w:p>
        </w:tc>
      </w:tr>
      <w:tr w:rsidR="00AE5C53" w:rsidRPr="00C44BF3" w:rsidTr="00161317">
        <w:tc>
          <w:tcPr>
            <w:tcW w:w="709" w:type="dxa"/>
          </w:tcPr>
          <w:p w:rsidR="00AE5C53" w:rsidRPr="00C44BF3" w:rsidRDefault="00AE5C53" w:rsidP="007E31C1">
            <w:pPr>
              <w:rPr>
                <w:rFonts w:ascii="Times New Roman" w:hAnsi="Times New Roman" w:cs="Times New Roman"/>
                <w:szCs w:val="24"/>
                <w:lang w:val="en-GB"/>
              </w:rPr>
            </w:pPr>
            <w:r w:rsidRPr="00C44BF3">
              <w:rPr>
                <w:rFonts w:ascii="Times New Roman" w:hAnsi="Times New Roman" w:cs="Times New Roman"/>
                <w:szCs w:val="24"/>
                <w:lang w:val="en-GB"/>
              </w:rPr>
              <w:t>3</w:t>
            </w:r>
          </w:p>
        </w:tc>
        <w:tc>
          <w:tcPr>
            <w:tcW w:w="3260" w:type="dxa"/>
          </w:tcPr>
          <w:p w:rsidR="00AE5C53" w:rsidRPr="00C44BF3" w:rsidRDefault="00AE5C53" w:rsidP="006C74B3">
            <w:pPr>
              <w:jc w:val="both"/>
              <w:rPr>
                <w:rFonts w:ascii="Times New Roman" w:hAnsi="Times New Roman" w:cs="Times New Roman"/>
                <w:szCs w:val="24"/>
              </w:rPr>
            </w:pPr>
            <w:r w:rsidRPr="00C44BF3">
              <w:rPr>
                <w:rFonts w:ascii="Times New Roman" w:hAnsi="Times New Roman" w:cs="Times New Roman"/>
                <w:szCs w:val="24"/>
              </w:rPr>
              <w:t xml:space="preserve">Does the HKMA waive the need to address optionality for products that are not material </w:t>
            </w:r>
            <w:r w:rsidRPr="00C44BF3">
              <w:rPr>
                <w:rFonts w:ascii="Times New Roman" w:hAnsi="Times New Roman" w:cs="Times New Roman"/>
                <w:szCs w:val="24"/>
              </w:rPr>
              <w:lastRenderedPageBreak/>
              <w:t>to the overall IRRBB profile of the AI?</w:t>
            </w:r>
          </w:p>
        </w:tc>
        <w:tc>
          <w:tcPr>
            <w:tcW w:w="9923" w:type="dxa"/>
          </w:tcPr>
          <w:p w:rsidR="00AE5C53" w:rsidRPr="00C44BF3" w:rsidRDefault="00AE5C53" w:rsidP="006C74B3">
            <w:pPr>
              <w:jc w:val="both"/>
              <w:rPr>
                <w:rFonts w:ascii="Times New Roman" w:hAnsi="Times New Roman" w:cs="Times New Roman"/>
                <w:szCs w:val="24"/>
              </w:rPr>
            </w:pPr>
            <w:r w:rsidRPr="00C44BF3">
              <w:rPr>
                <w:rFonts w:ascii="Times New Roman" w:hAnsi="Times New Roman" w:cs="Times New Roman"/>
                <w:szCs w:val="24"/>
              </w:rPr>
              <w:lastRenderedPageBreak/>
              <w:t xml:space="preserve">The </w:t>
            </w:r>
            <w:r w:rsidR="00CC6D1C" w:rsidRPr="00C44BF3">
              <w:rPr>
                <w:rFonts w:ascii="Times New Roman" w:hAnsi="Times New Roman" w:cs="Times New Roman"/>
                <w:szCs w:val="24"/>
              </w:rPr>
              <w:t xml:space="preserve">Basel </w:t>
            </w:r>
            <w:r w:rsidRPr="00C44BF3">
              <w:rPr>
                <w:rFonts w:ascii="Times New Roman" w:hAnsi="Times New Roman" w:cs="Times New Roman"/>
                <w:szCs w:val="24"/>
              </w:rPr>
              <w:t xml:space="preserve">standards do not feature </w:t>
            </w:r>
            <w:r w:rsidR="00ED472F" w:rsidRPr="00C44BF3">
              <w:rPr>
                <w:rFonts w:ascii="Times New Roman" w:hAnsi="Times New Roman" w:cs="Times New Roman"/>
                <w:szCs w:val="24"/>
              </w:rPr>
              <w:t xml:space="preserve">any </w:t>
            </w:r>
            <w:r w:rsidRPr="00C44BF3">
              <w:rPr>
                <w:rFonts w:ascii="Times New Roman" w:hAnsi="Times New Roman" w:cs="Times New Roman"/>
                <w:szCs w:val="24"/>
              </w:rPr>
              <w:t>materiality thresholds. Therefore AIs must assess all interest rate-sensitive assets and liabilities to monitor and report their interest rate risk.</w:t>
            </w:r>
          </w:p>
        </w:tc>
      </w:tr>
      <w:tr w:rsidR="00AE5C53" w:rsidRPr="00C44BF3" w:rsidTr="00161317">
        <w:tc>
          <w:tcPr>
            <w:tcW w:w="709" w:type="dxa"/>
          </w:tcPr>
          <w:p w:rsidR="00AE5C53" w:rsidRPr="00C44BF3" w:rsidRDefault="00AE5C53" w:rsidP="007E31C1">
            <w:pPr>
              <w:rPr>
                <w:rFonts w:ascii="Times New Roman" w:hAnsi="Times New Roman" w:cs="Times New Roman"/>
                <w:szCs w:val="24"/>
                <w:lang w:val="en-GB"/>
              </w:rPr>
            </w:pPr>
            <w:r w:rsidRPr="00C44BF3">
              <w:rPr>
                <w:rFonts w:ascii="Times New Roman" w:hAnsi="Times New Roman" w:cs="Times New Roman"/>
                <w:szCs w:val="24"/>
                <w:lang w:val="en-GB"/>
              </w:rPr>
              <w:lastRenderedPageBreak/>
              <w:t>4</w:t>
            </w:r>
          </w:p>
        </w:tc>
        <w:tc>
          <w:tcPr>
            <w:tcW w:w="3260" w:type="dxa"/>
          </w:tcPr>
          <w:p w:rsidR="00AE5C53" w:rsidRPr="00C44BF3" w:rsidRDefault="00AE5C53" w:rsidP="006C74B3">
            <w:pPr>
              <w:jc w:val="both"/>
              <w:rPr>
                <w:rFonts w:ascii="Times New Roman" w:hAnsi="Times New Roman" w:cs="Times New Roman"/>
                <w:szCs w:val="24"/>
              </w:rPr>
            </w:pPr>
            <w:r w:rsidRPr="00C44BF3">
              <w:rPr>
                <w:rFonts w:ascii="Times New Roman" w:hAnsi="Times New Roman" w:cs="Times New Roman"/>
                <w:szCs w:val="24"/>
              </w:rPr>
              <w:t>How should AIs treat the optionality in managed rate products like prime rate loans?</w:t>
            </w:r>
          </w:p>
        </w:tc>
        <w:tc>
          <w:tcPr>
            <w:tcW w:w="9923" w:type="dxa"/>
          </w:tcPr>
          <w:p w:rsidR="00AE5C53" w:rsidRPr="00C44BF3" w:rsidRDefault="00AE5C53" w:rsidP="00E3070B">
            <w:pPr>
              <w:jc w:val="both"/>
              <w:rPr>
                <w:rFonts w:ascii="Times New Roman" w:hAnsi="Times New Roman" w:cs="Times New Roman"/>
                <w:szCs w:val="24"/>
              </w:rPr>
            </w:pPr>
            <w:r w:rsidRPr="00C44BF3">
              <w:rPr>
                <w:rFonts w:ascii="Times New Roman" w:hAnsi="Times New Roman" w:cs="Times New Roman"/>
                <w:szCs w:val="24"/>
              </w:rPr>
              <w:t>The following is the reporting procedure for floating rate mortgages subject to prime rate caps:</w:t>
            </w:r>
          </w:p>
          <w:p w:rsidR="00AE5C53" w:rsidRPr="00C44BF3" w:rsidRDefault="00AE5C53">
            <w:pPr>
              <w:pStyle w:val="ListParagraph"/>
              <w:numPr>
                <w:ilvl w:val="0"/>
                <w:numId w:val="1"/>
              </w:numPr>
              <w:jc w:val="both"/>
              <w:rPr>
                <w:rFonts w:ascii="Times New Roman" w:hAnsi="Times New Roman" w:cs="Times New Roman"/>
                <w:sz w:val="24"/>
                <w:szCs w:val="24"/>
                <w:lang w:val="en-US"/>
              </w:rPr>
            </w:pPr>
            <w:r w:rsidRPr="00C44BF3">
              <w:rPr>
                <w:rFonts w:ascii="Times New Roman" w:hAnsi="Times New Roman" w:cs="Times New Roman"/>
                <w:sz w:val="24"/>
                <w:szCs w:val="24"/>
                <w:lang w:val="en-US"/>
              </w:rPr>
              <w:t>report the mortgage as a managed rate asset if the prime rate cap is binding, and as a floating rate asset otherwise. The optionality can be ignored for the purpose of calculating the EVE impact.</w:t>
            </w:r>
          </w:p>
          <w:p w:rsidR="00AE5C53" w:rsidRPr="00C44BF3" w:rsidRDefault="00AE5C53">
            <w:pPr>
              <w:pStyle w:val="ListParagraph"/>
              <w:numPr>
                <w:ilvl w:val="0"/>
                <w:numId w:val="1"/>
              </w:numPr>
              <w:jc w:val="both"/>
              <w:rPr>
                <w:rFonts w:ascii="Times New Roman" w:hAnsi="Times New Roman" w:cs="Times New Roman"/>
                <w:sz w:val="24"/>
                <w:szCs w:val="24"/>
                <w:lang w:val="en-US"/>
              </w:rPr>
            </w:pPr>
            <w:r w:rsidRPr="00C44BF3">
              <w:rPr>
                <w:rFonts w:ascii="Times New Roman" w:hAnsi="Times New Roman" w:cs="Times New Roman"/>
                <w:sz w:val="24"/>
                <w:szCs w:val="24"/>
                <w:lang w:val="en-US"/>
              </w:rPr>
              <w:t>when reporting the basis risk section (item 19 on the IRRBB return), AIs should take into account the effect of the prime rate cap – see the Completion Instructions of the IRRBB return for details.</w:t>
            </w:r>
          </w:p>
        </w:tc>
      </w:tr>
      <w:tr w:rsidR="00AE5C53" w:rsidRPr="00C44BF3" w:rsidTr="00161317">
        <w:tc>
          <w:tcPr>
            <w:tcW w:w="709" w:type="dxa"/>
          </w:tcPr>
          <w:p w:rsidR="00AE5C53" w:rsidRPr="00C44BF3" w:rsidRDefault="00AE5C53" w:rsidP="00F8636A">
            <w:pPr>
              <w:rPr>
                <w:rFonts w:ascii="Times New Roman" w:hAnsi="Times New Roman" w:cs="Times New Roman"/>
                <w:szCs w:val="24"/>
                <w:lang w:val="en-GB"/>
              </w:rPr>
            </w:pPr>
            <w:r w:rsidRPr="00C44BF3">
              <w:rPr>
                <w:rFonts w:ascii="Times New Roman" w:hAnsi="Times New Roman" w:cs="Times New Roman"/>
                <w:szCs w:val="24"/>
                <w:lang w:val="en-GB"/>
              </w:rPr>
              <w:t>5</w:t>
            </w:r>
          </w:p>
        </w:tc>
        <w:tc>
          <w:tcPr>
            <w:tcW w:w="3260" w:type="dxa"/>
          </w:tcPr>
          <w:p w:rsidR="00AE5C53" w:rsidRPr="00C44BF3" w:rsidRDefault="00AE5C53" w:rsidP="006C74B3">
            <w:pPr>
              <w:jc w:val="both"/>
              <w:rPr>
                <w:rFonts w:ascii="Times New Roman" w:hAnsi="Times New Roman" w:cs="Times New Roman"/>
                <w:szCs w:val="24"/>
              </w:rPr>
            </w:pPr>
            <w:r w:rsidRPr="00C44BF3">
              <w:rPr>
                <w:rFonts w:ascii="Times New Roman" w:hAnsi="Times New Roman" w:cs="Times New Roman"/>
                <w:szCs w:val="24"/>
              </w:rPr>
              <w:t>What is the time span of data that needs to be used for behavio</w:t>
            </w:r>
            <w:r w:rsidR="00A57891" w:rsidRPr="00C44BF3">
              <w:rPr>
                <w:rFonts w:ascii="Times New Roman" w:hAnsi="Times New Roman" w:cs="Times New Roman"/>
                <w:szCs w:val="24"/>
              </w:rPr>
              <w:t>u</w:t>
            </w:r>
            <w:r w:rsidRPr="00C44BF3">
              <w:rPr>
                <w:rFonts w:ascii="Times New Roman" w:hAnsi="Times New Roman" w:cs="Times New Roman"/>
                <w:szCs w:val="24"/>
              </w:rPr>
              <w:t xml:space="preserve">ral analysis of </w:t>
            </w:r>
            <w:r w:rsidR="00427F2F" w:rsidRPr="00C44BF3">
              <w:rPr>
                <w:rFonts w:ascii="Times New Roman" w:hAnsi="Times New Roman" w:cs="Times New Roman"/>
                <w:szCs w:val="24"/>
              </w:rPr>
              <w:t>non-maturity deposits (</w:t>
            </w:r>
            <w:r w:rsidRPr="00C44BF3">
              <w:rPr>
                <w:rFonts w:ascii="Times New Roman" w:hAnsi="Times New Roman" w:cs="Times New Roman"/>
                <w:szCs w:val="24"/>
              </w:rPr>
              <w:t>NMDs</w:t>
            </w:r>
            <w:r w:rsidR="00427F2F" w:rsidRPr="00C44BF3">
              <w:rPr>
                <w:rFonts w:ascii="Times New Roman" w:hAnsi="Times New Roman" w:cs="Times New Roman"/>
                <w:szCs w:val="24"/>
              </w:rPr>
              <w:t>)</w:t>
            </w:r>
            <w:r w:rsidRPr="00C44BF3">
              <w:rPr>
                <w:rFonts w:ascii="Times New Roman" w:hAnsi="Times New Roman" w:cs="Times New Roman"/>
                <w:szCs w:val="24"/>
              </w:rPr>
              <w:t xml:space="preserve">? </w:t>
            </w:r>
          </w:p>
        </w:tc>
        <w:tc>
          <w:tcPr>
            <w:tcW w:w="9923" w:type="dxa"/>
          </w:tcPr>
          <w:p w:rsidR="00AE5C53" w:rsidRPr="00C44BF3" w:rsidRDefault="00AE5C53" w:rsidP="00E3070B">
            <w:pPr>
              <w:jc w:val="both"/>
              <w:rPr>
                <w:rFonts w:ascii="Times New Roman" w:hAnsi="Times New Roman" w:cs="Times New Roman"/>
                <w:szCs w:val="24"/>
              </w:rPr>
            </w:pPr>
            <w:r w:rsidRPr="00C44BF3">
              <w:rPr>
                <w:rFonts w:ascii="Times New Roman" w:hAnsi="Times New Roman" w:cs="Times New Roman"/>
                <w:szCs w:val="24"/>
              </w:rPr>
              <w:t>For behavio</w:t>
            </w:r>
            <w:r w:rsidR="00A57891" w:rsidRPr="00C44BF3">
              <w:rPr>
                <w:rFonts w:ascii="Times New Roman" w:hAnsi="Times New Roman" w:cs="Times New Roman"/>
                <w:szCs w:val="24"/>
              </w:rPr>
              <w:t>u</w:t>
            </w:r>
            <w:r w:rsidRPr="00C44BF3">
              <w:rPr>
                <w:rFonts w:ascii="Times New Roman" w:hAnsi="Times New Roman" w:cs="Times New Roman"/>
                <w:szCs w:val="24"/>
              </w:rPr>
              <w:t>ral model</w:t>
            </w:r>
            <w:r w:rsidR="00A57891" w:rsidRPr="00C44BF3">
              <w:rPr>
                <w:rFonts w:ascii="Times New Roman" w:hAnsi="Times New Roman" w:cs="Times New Roman"/>
                <w:szCs w:val="24"/>
              </w:rPr>
              <w:t>l</w:t>
            </w:r>
            <w:r w:rsidRPr="00C44BF3">
              <w:rPr>
                <w:rFonts w:ascii="Times New Roman" w:hAnsi="Times New Roman" w:cs="Times New Roman"/>
                <w:szCs w:val="24"/>
              </w:rPr>
              <w:t xml:space="preserve">ing of NMDs, AIs should always use </w:t>
            </w:r>
            <w:r w:rsidR="000040E2" w:rsidRPr="000040E2">
              <w:rPr>
                <w:rFonts w:ascii="Times New Roman" w:hAnsi="Times New Roman" w:cs="Times New Roman"/>
                <w:szCs w:val="24"/>
                <w:highlight w:val="yellow"/>
              </w:rPr>
              <w:t>at least</w:t>
            </w:r>
            <w:r w:rsidR="000040E2">
              <w:rPr>
                <w:rFonts w:ascii="Times New Roman" w:hAnsi="Times New Roman" w:cs="Times New Roman"/>
                <w:szCs w:val="24"/>
              </w:rPr>
              <w:t xml:space="preserve"> </w:t>
            </w:r>
            <w:r w:rsidRPr="00C44BF3">
              <w:rPr>
                <w:rFonts w:ascii="Times New Roman" w:hAnsi="Times New Roman" w:cs="Times New Roman"/>
                <w:szCs w:val="24"/>
              </w:rPr>
              <w:t>10 years of data if su</w:t>
            </w:r>
            <w:r w:rsidR="00673C5E" w:rsidRPr="00C44BF3">
              <w:rPr>
                <w:rFonts w:ascii="Times New Roman" w:hAnsi="Times New Roman" w:cs="Times New Roman"/>
                <w:szCs w:val="24"/>
              </w:rPr>
              <w:t>ch data exist in their systems.</w:t>
            </w:r>
          </w:p>
          <w:p w:rsidR="00673C5E" w:rsidRPr="00C44BF3" w:rsidRDefault="00673C5E">
            <w:pPr>
              <w:jc w:val="both"/>
              <w:rPr>
                <w:rFonts w:ascii="Times New Roman" w:hAnsi="Times New Roman" w:cs="Times New Roman"/>
                <w:szCs w:val="24"/>
              </w:rPr>
            </w:pPr>
          </w:p>
          <w:p w:rsidR="00924A0D" w:rsidRPr="00C44BF3" w:rsidRDefault="00AE5C53">
            <w:pPr>
              <w:jc w:val="both"/>
              <w:rPr>
                <w:rFonts w:ascii="Times New Roman" w:hAnsi="Times New Roman" w:cs="Times New Roman"/>
                <w:szCs w:val="24"/>
              </w:rPr>
            </w:pPr>
            <w:r w:rsidRPr="00C44BF3">
              <w:rPr>
                <w:rFonts w:ascii="Times New Roman" w:hAnsi="Times New Roman" w:cs="Times New Roman"/>
                <w:szCs w:val="24"/>
              </w:rPr>
              <w:t>An AI should notify its supervisors if the relevant data available to an AI extend to a period of less than 10 years but equal to or greater than 7 years. Such an AI should continuously extend its relevant database to cover at least 10 years and use all existing data to model NMDs in the interim period.</w:t>
            </w:r>
          </w:p>
          <w:p w:rsidR="00AE5C53" w:rsidRPr="00C44BF3" w:rsidRDefault="00AE5C53">
            <w:pPr>
              <w:jc w:val="both"/>
              <w:rPr>
                <w:rFonts w:ascii="Times New Roman" w:hAnsi="Times New Roman" w:cs="Times New Roman"/>
                <w:szCs w:val="24"/>
              </w:rPr>
            </w:pPr>
            <w:r w:rsidRPr="00C44BF3">
              <w:rPr>
                <w:rFonts w:ascii="Times New Roman" w:hAnsi="Times New Roman" w:cs="Times New Roman"/>
                <w:szCs w:val="24"/>
              </w:rPr>
              <w:t xml:space="preserve"> </w:t>
            </w:r>
          </w:p>
          <w:p w:rsidR="008D5887" w:rsidRPr="00C44BF3" w:rsidRDefault="00AE5C53" w:rsidP="006C74B3">
            <w:pPr>
              <w:jc w:val="both"/>
              <w:rPr>
                <w:rFonts w:ascii="Times New Roman" w:hAnsi="Times New Roman" w:cs="Times New Roman"/>
                <w:szCs w:val="24"/>
              </w:rPr>
            </w:pPr>
            <w:r w:rsidRPr="00C44BF3">
              <w:rPr>
                <w:rFonts w:ascii="Times New Roman" w:hAnsi="Times New Roman" w:cs="Times New Roman"/>
                <w:szCs w:val="24"/>
              </w:rPr>
              <w:t xml:space="preserve">An AI should contact its supervisors for approval if the data available to an AI extend to a period of less than 7 years and the AI intends to use such data for identifying core deposits. </w:t>
            </w:r>
            <w:r w:rsidR="00924A0D" w:rsidRPr="00C44BF3">
              <w:rPr>
                <w:rFonts w:ascii="Times New Roman" w:hAnsi="Times New Roman" w:cs="Times New Roman"/>
                <w:szCs w:val="24"/>
                <w:highlight w:val="yellow"/>
              </w:rPr>
              <w:t>In particular, the AI should suggest additional prudential cushions for the NMD model estimates to its case officer.</w:t>
            </w:r>
            <w:r w:rsidR="00924A0D" w:rsidRPr="00C44BF3">
              <w:rPr>
                <w:rFonts w:ascii="Times New Roman" w:hAnsi="Times New Roman" w:cs="Times New Roman"/>
                <w:szCs w:val="24"/>
              </w:rPr>
              <w:t xml:space="preserve"> </w:t>
            </w:r>
            <w:r w:rsidR="00924A0D" w:rsidRPr="00C44BF3">
              <w:rPr>
                <w:rFonts w:ascii="Times New Roman" w:hAnsi="Times New Roman" w:cs="Times New Roman"/>
                <w:szCs w:val="24"/>
                <w:highlight w:val="yellow"/>
              </w:rPr>
              <w:t>Furthermore,</w:t>
            </w:r>
            <w:r w:rsidR="00924A0D" w:rsidRPr="00C44BF3">
              <w:rPr>
                <w:rFonts w:ascii="Times New Roman" w:hAnsi="Times New Roman" w:cs="Times New Roman"/>
                <w:szCs w:val="24"/>
              </w:rPr>
              <w:t xml:space="preserve"> i</w:t>
            </w:r>
            <w:r w:rsidRPr="00C44BF3">
              <w:rPr>
                <w:rFonts w:ascii="Times New Roman" w:hAnsi="Times New Roman" w:cs="Times New Roman"/>
                <w:szCs w:val="24"/>
              </w:rPr>
              <w:t xml:space="preserve">n considering granting the approval or not, the HKMA will assess whether the relevant assumptions and results adopted by the AI are </w:t>
            </w:r>
            <w:r w:rsidR="00990558" w:rsidRPr="00C44BF3">
              <w:rPr>
                <w:rFonts w:ascii="Times New Roman" w:hAnsi="Times New Roman" w:cs="Times New Roman"/>
                <w:szCs w:val="24"/>
                <w:highlight w:val="yellow"/>
              </w:rPr>
              <w:t>sufficiently</w:t>
            </w:r>
            <w:r w:rsidR="00990558" w:rsidRPr="00C44BF3">
              <w:rPr>
                <w:rFonts w:ascii="Times New Roman" w:hAnsi="Times New Roman" w:cs="Times New Roman"/>
                <w:szCs w:val="24"/>
              </w:rPr>
              <w:t xml:space="preserve"> </w:t>
            </w:r>
            <w:r w:rsidRPr="00C44BF3">
              <w:rPr>
                <w:rFonts w:ascii="Times New Roman" w:hAnsi="Times New Roman" w:cs="Times New Roman"/>
                <w:szCs w:val="24"/>
              </w:rPr>
              <w:t>prudent</w:t>
            </w:r>
            <w:r w:rsidR="00A57891" w:rsidRPr="00C44BF3">
              <w:rPr>
                <w:rFonts w:ascii="Times New Roman" w:hAnsi="Times New Roman" w:cs="Times New Roman"/>
                <w:szCs w:val="24"/>
              </w:rPr>
              <w:t>,</w:t>
            </w:r>
            <w:r w:rsidRPr="00C44BF3">
              <w:rPr>
                <w:rFonts w:ascii="Times New Roman" w:hAnsi="Times New Roman" w:cs="Times New Roman"/>
                <w:szCs w:val="24"/>
              </w:rPr>
              <w:t xml:space="preserve"> including for example, </w:t>
            </w:r>
            <w:r w:rsidRPr="00C44BF3">
              <w:rPr>
                <w:rFonts w:ascii="Times New Roman" w:hAnsi="Times New Roman" w:cs="Times New Roman"/>
                <w:szCs w:val="24"/>
              </w:rPr>
              <w:lastRenderedPageBreak/>
              <w:t xml:space="preserve">whether the AI can demonstrate that its assumptions and results </w:t>
            </w:r>
            <w:r w:rsidR="00990558" w:rsidRPr="00C44BF3">
              <w:rPr>
                <w:rFonts w:ascii="Times New Roman" w:hAnsi="Times New Roman" w:cs="Times New Roman"/>
                <w:szCs w:val="24"/>
                <w:highlight w:val="yellow"/>
              </w:rPr>
              <w:t>(excluding the additional prudential cushions)</w:t>
            </w:r>
            <w:r w:rsidR="00990558" w:rsidRPr="00C44BF3">
              <w:rPr>
                <w:rFonts w:ascii="Times New Roman" w:hAnsi="Times New Roman" w:cs="Times New Roman"/>
                <w:szCs w:val="24"/>
              </w:rPr>
              <w:t xml:space="preserve"> </w:t>
            </w:r>
            <w:r w:rsidRPr="00C44BF3">
              <w:rPr>
                <w:rFonts w:ascii="Times New Roman" w:hAnsi="Times New Roman" w:cs="Times New Roman"/>
                <w:szCs w:val="24"/>
              </w:rPr>
              <w:t>are similar to those of peer AIs which have sufficient data history and similar firm-specific characteristics of expected customer behaviour, and that the assumptions and results are sufficiently realistic under stress scenarios.</w:t>
            </w:r>
            <w:r w:rsidR="00AE2542" w:rsidRPr="00C44BF3">
              <w:rPr>
                <w:rFonts w:ascii="Times New Roman" w:hAnsi="Times New Roman" w:cs="Times New Roman"/>
                <w:szCs w:val="24"/>
              </w:rPr>
              <w:t xml:space="preserve"> </w:t>
            </w:r>
            <w:r w:rsidRPr="00C44BF3">
              <w:rPr>
                <w:rFonts w:ascii="Times New Roman" w:hAnsi="Times New Roman" w:cs="Times New Roman"/>
                <w:szCs w:val="24"/>
              </w:rPr>
              <w:t>The AI should continuously extend its relevant database to cover at least 10 years.</w:t>
            </w:r>
          </w:p>
          <w:p w:rsidR="00673C5E" w:rsidRPr="00C44BF3" w:rsidRDefault="00673C5E" w:rsidP="006C74B3">
            <w:pPr>
              <w:jc w:val="both"/>
              <w:rPr>
                <w:rFonts w:ascii="Times New Roman" w:hAnsi="Times New Roman" w:cs="Times New Roman"/>
                <w:szCs w:val="24"/>
              </w:rPr>
            </w:pPr>
          </w:p>
          <w:p w:rsidR="00673C5E" w:rsidRPr="00C44BF3" w:rsidRDefault="00673C5E" w:rsidP="001B35E7">
            <w:pPr>
              <w:jc w:val="both"/>
              <w:rPr>
                <w:rFonts w:ascii="Times New Roman" w:hAnsi="Times New Roman" w:cs="Times New Roman"/>
                <w:szCs w:val="24"/>
              </w:rPr>
            </w:pPr>
            <w:r w:rsidRPr="00C44BF3">
              <w:rPr>
                <w:rFonts w:ascii="Times New Roman" w:hAnsi="Times New Roman" w:cs="Times New Roman"/>
                <w:szCs w:val="24"/>
              </w:rPr>
              <w:t xml:space="preserve">If available, the AI can use assumptions </w:t>
            </w:r>
            <w:r w:rsidR="0008782B" w:rsidRPr="00C44BF3">
              <w:rPr>
                <w:rFonts w:ascii="Times New Roman" w:hAnsi="Times New Roman" w:cs="Times New Roman"/>
                <w:szCs w:val="24"/>
              </w:rPr>
              <w:t xml:space="preserve">made for specific types of exposures </w:t>
            </w:r>
            <w:r w:rsidRPr="00C44BF3">
              <w:rPr>
                <w:rFonts w:ascii="Times New Roman" w:hAnsi="Times New Roman" w:cs="Times New Roman"/>
                <w:szCs w:val="24"/>
              </w:rPr>
              <w:t xml:space="preserve">and results </w:t>
            </w:r>
            <w:r w:rsidR="0008782B" w:rsidRPr="00C44BF3">
              <w:rPr>
                <w:rFonts w:ascii="Times New Roman" w:hAnsi="Times New Roman" w:cs="Times New Roman"/>
                <w:szCs w:val="24"/>
              </w:rPr>
              <w:t xml:space="preserve">for these </w:t>
            </w:r>
            <w:r w:rsidR="00E70B60" w:rsidRPr="00C44BF3">
              <w:rPr>
                <w:rFonts w:ascii="Times New Roman" w:hAnsi="Times New Roman" w:cs="Times New Roman"/>
                <w:szCs w:val="24"/>
              </w:rPr>
              <w:t xml:space="preserve">from </w:t>
            </w:r>
            <w:r w:rsidRPr="00C44BF3">
              <w:rPr>
                <w:rFonts w:ascii="Times New Roman" w:hAnsi="Times New Roman" w:cs="Times New Roman"/>
                <w:szCs w:val="24"/>
              </w:rPr>
              <w:t xml:space="preserve">their parent banks or other banks in the same parent group. In case this is not possible the AI can propose its assumptions for the HKMA's consideration. Please note that an AI can also slot NMDs into the appropriate time bands according to the earliest date on which </w:t>
            </w:r>
            <w:r w:rsidR="00FD29EF" w:rsidRPr="00C44BF3">
              <w:rPr>
                <w:rFonts w:ascii="Times New Roman" w:hAnsi="Times New Roman" w:cs="Times New Roman"/>
                <w:szCs w:val="24"/>
              </w:rPr>
              <w:t>its</w:t>
            </w:r>
            <w:r w:rsidRPr="00C44BF3">
              <w:rPr>
                <w:rFonts w:ascii="Times New Roman" w:hAnsi="Times New Roman" w:cs="Times New Roman"/>
                <w:szCs w:val="24"/>
              </w:rPr>
              <w:t xml:space="preserve"> interest rates can be adjusted (see </w:t>
            </w:r>
            <w:r w:rsidR="001B35E7">
              <w:rPr>
                <w:rFonts w:ascii="Times New Roman" w:hAnsi="Times New Roman" w:cs="Times New Roman"/>
                <w:szCs w:val="24"/>
              </w:rPr>
              <w:t>p</w:t>
            </w:r>
            <w:r w:rsidR="001B35E7" w:rsidRPr="00C44BF3">
              <w:rPr>
                <w:rFonts w:ascii="Times New Roman" w:hAnsi="Times New Roman" w:cs="Times New Roman"/>
                <w:szCs w:val="24"/>
              </w:rPr>
              <w:t xml:space="preserve">aragraph </w:t>
            </w:r>
            <w:r w:rsidRPr="00C44BF3">
              <w:rPr>
                <w:rFonts w:ascii="Times New Roman" w:hAnsi="Times New Roman" w:cs="Times New Roman"/>
                <w:szCs w:val="24"/>
              </w:rPr>
              <w:t>5.2.3 in the SPM).</w:t>
            </w:r>
          </w:p>
        </w:tc>
      </w:tr>
      <w:tr w:rsidR="00AE5C53" w:rsidRPr="00C44BF3" w:rsidTr="00161317">
        <w:tc>
          <w:tcPr>
            <w:tcW w:w="709" w:type="dxa"/>
          </w:tcPr>
          <w:p w:rsidR="00AE5C53" w:rsidRPr="00C44BF3" w:rsidRDefault="00AE5C53" w:rsidP="000916A0">
            <w:pPr>
              <w:rPr>
                <w:rFonts w:ascii="Times New Roman" w:hAnsi="Times New Roman" w:cs="Times New Roman"/>
                <w:szCs w:val="24"/>
                <w:lang w:val="en-GB"/>
              </w:rPr>
            </w:pPr>
            <w:r w:rsidRPr="00C44BF3">
              <w:rPr>
                <w:rFonts w:ascii="Times New Roman" w:hAnsi="Times New Roman" w:cs="Times New Roman"/>
                <w:szCs w:val="24"/>
                <w:lang w:val="en-GB"/>
              </w:rPr>
              <w:lastRenderedPageBreak/>
              <w:t>6</w:t>
            </w:r>
          </w:p>
        </w:tc>
        <w:tc>
          <w:tcPr>
            <w:tcW w:w="3260" w:type="dxa"/>
          </w:tcPr>
          <w:p w:rsidR="00AE5C53" w:rsidRPr="00C44BF3" w:rsidRDefault="00AE5C53" w:rsidP="006C74B3">
            <w:pPr>
              <w:jc w:val="both"/>
              <w:rPr>
                <w:rFonts w:ascii="Times New Roman" w:hAnsi="Times New Roman" w:cs="Times New Roman"/>
                <w:szCs w:val="24"/>
                <w:lang w:val="en-GB"/>
              </w:rPr>
            </w:pPr>
            <w:r w:rsidRPr="00C44BF3">
              <w:rPr>
                <w:rFonts w:ascii="Times New Roman" w:hAnsi="Times New Roman" w:cs="Times New Roman"/>
                <w:szCs w:val="24"/>
                <w:lang w:val="en-GB"/>
              </w:rPr>
              <w:t>How does the interest rate floor, used for the ΔEVE and ΔNII calculations, affect interest rate shocks?</w:t>
            </w:r>
          </w:p>
        </w:tc>
        <w:tc>
          <w:tcPr>
            <w:tcW w:w="9923" w:type="dxa"/>
          </w:tcPr>
          <w:p w:rsidR="00AE5C53" w:rsidRPr="00C44BF3" w:rsidRDefault="00AE5C53" w:rsidP="006C74B3">
            <w:pPr>
              <w:jc w:val="both"/>
              <w:rPr>
                <w:rFonts w:ascii="Times New Roman" w:hAnsi="Times New Roman" w:cs="Times New Roman"/>
                <w:color w:val="000000" w:themeColor="text1"/>
                <w:szCs w:val="24"/>
                <w:lang w:val="en-GB" w:eastAsia="zh-HK"/>
              </w:rPr>
            </w:pPr>
            <w:r w:rsidRPr="00C44BF3">
              <w:rPr>
                <w:rFonts w:ascii="Times New Roman" w:hAnsi="Times New Roman" w:cs="Times New Roman"/>
                <w:color w:val="000000" w:themeColor="text1"/>
                <w:szCs w:val="24"/>
                <w:lang w:val="en-GB" w:eastAsia="zh-HK"/>
              </w:rPr>
              <w:t xml:space="preserve">Application of the </w:t>
            </w:r>
            <w:r w:rsidR="00A57891" w:rsidRPr="00C44BF3">
              <w:rPr>
                <w:rFonts w:ascii="Times New Roman" w:hAnsi="Times New Roman" w:cs="Times New Roman"/>
                <w:color w:val="000000" w:themeColor="text1"/>
                <w:szCs w:val="24"/>
                <w:lang w:val="en-GB" w:eastAsia="zh-HK"/>
              </w:rPr>
              <w:t>−</w:t>
            </w:r>
            <w:r w:rsidRPr="00C44BF3">
              <w:rPr>
                <w:rFonts w:ascii="Times New Roman" w:hAnsi="Times New Roman" w:cs="Times New Roman"/>
                <w:color w:val="000000" w:themeColor="text1"/>
                <w:szCs w:val="24"/>
                <w:lang w:val="en-GB" w:eastAsia="zh-HK"/>
              </w:rPr>
              <w:t xml:space="preserve">2% floor slightly differs between assets and liabilities: </w:t>
            </w:r>
            <w:r w:rsidR="00ED472F" w:rsidRPr="00C44BF3">
              <w:rPr>
                <w:rFonts w:ascii="Times New Roman" w:hAnsi="Times New Roman" w:cs="Times New Roman"/>
                <w:color w:val="000000" w:themeColor="text1"/>
                <w:szCs w:val="24"/>
                <w:lang w:val="en-GB" w:eastAsia="zh-HK"/>
              </w:rPr>
              <w:t>o</w:t>
            </w:r>
            <w:r w:rsidRPr="00C44BF3">
              <w:rPr>
                <w:rFonts w:ascii="Times New Roman" w:hAnsi="Times New Roman" w:cs="Times New Roman"/>
                <w:color w:val="000000" w:themeColor="text1"/>
                <w:szCs w:val="24"/>
                <w:lang w:val="en-GB" w:eastAsia="zh-HK"/>
              </w:rPr>
              <w:t>n the asset side the risk</w:t>
            </w:r>
            <w:r w:rsidR="00A57891" w:rsidRPr="00C44BF3">
              <w:rPr>
                <w:rFonts w:ascii="Times New Roman" w:hAnsi="Times New Roman" w:cs="Times New Roman"/>
                <w:color w:val="000000" w:themeColor="text1"/>
                <w:szCs w:val="24"/>
                <w:lang w:val="en-GB" w:eastAsia="zh-HK"/>
              </w:rPr>
              <w:t>-</w:t>
            </w:r>
            <w:r w:rsidRPr="00C44BF3">
              <w:rPr>
                <w:rFonts w:ascii="Times New Roman" w:hAnsi="Times New Roman" w:cs="Times New Roman"/>
                <w:color w:val="000000" w:themeColor="text1"/>
                <w:szCs w:val="24"/>
                <w:lang w:val="en-GB" w:eastAsia="zh-HK"/>
              </w:rPr>
              <w:t xml:space="preserve">free rate is floored at </w:t>
            </w:r>
            <w:r w:rsidR="00A57891" w:rsidRPr="00C44BF3">
              <w:rPr>
                <w:rFonts w:ascii="Times New Roman" w:hAnsi="Times New Roman" w:cs="Times New Roman"/>
                <w:color w:val="000000" w:themeColor="text1"/>
                <w:szCs w:val="24"/>
                <w:lang w:val="en-GB" w:eastAsia="zh-HK"/>
              </w:rPr>
              <w:t>−</w:t>
            </w:r>
            <w:r w:rsidRPr="00C44BF3">
              <w:rPr>
                <w:rFonts w:ascii="Times New Roman" w:hAnsi="Times New Roman" w:cs="Times New Roman"/>
                <w:color w:val="000000" w:themeColor="text1"/>
                <w:szCs w:val="24"/>
                <w:lang w:val="en-GB" w:eastAsia="zh-HK"/>
              </w:rPr>
              <w:t>2%. AIs taking spreads into account add this spread to the floored risk</w:t>
            </w:r>
            <w:r w:rsidR="00A57891" w:rsidRPr="00C44BF3">
              <w:rPr>
                <w:rFonts w:ascii="Times New Roman" w:hAnsi="Times New Roman" w:cs="Times New Roman"/>
                <w:color w:val="000000" w:themeColor="text1"/>
                <w:szCs w:val="24"/>
                <w:lang w:val="en-GB" w:eastAsia="zh-HK"/>
              </w:rPr>
              <w:t>-</w:t>
            </w:r>
            <w:r w:rsidRPr="00C44BF3">
              <w:rPr>
                <w:rFonts w:ascii="Times New Roman" w:hAnsi="Times New Roman" w:cs="Times New Roman"/>
                <w:color w:val="000000" w:themeColor="text1"/>
                <w:szCs w:val="24"/>
                <w:lang w:val="en-GB" w:eastAsia="zh-HK"/>
              </w:rPr>
              <w:t xml:space="preserve">free rate. On the liability side the sum of the risk free rate plus the negative spread (if taken into account) is floored at </w:t>
            </w:r>
            <w:r w:rsidR="00AE2542" w:rsidRPr="00C44BF3">
              <w:rPr>
                <w:rFonts w:ascii="Times New Roman" w:hAnsi="Times New Roman" w:cs="Times New Roman"/>
                <w:color w:val="000000" w:themeColor="text1"/>
                <w:szCs w:val="24"/>
                <w:lang w:val="en-GB" w:eastAsia="zh-HK"/>
              </w:rPr>
              <w:t>−</w:t>
            </w:r>
            <w:r w:rsidRPr="00C44BF3">
              <w:rPr>
                <w:rFonts w:ascii="Times New Roman" w:hAnsi="Times New Roman" w:cs="Times New Roman"/>
                <w:color w:val="000000" w:themeColor="text1"/>
                <w:szCs w:val="24"/>
                <w:lang w:val="en-GB" w:eastAsia="zh-HK"/>
              </w:rPr>
              <w:t>2%. This approach is reflected in paragraph 5.3.2 of the SPM.</w:t>
            </w:r>
          </w:p>
          <w:p w:rsidR="00AE5C53" w:rsidRPr="00C44BF3" w:rsidRDefault="00AE5C53" w:rsidP="006C74B3">
            <w:pPr>
              <w:jc w:val="both"/>
              <w:rPr>
                <w:rFonts w:ascii="Times New Roman" w:hAnsi="Times New Roman" w:cs="Times New Roman"/>
                <w:szCs w:val="24"/>
                <w:lang w:val="en-GB"/>
              </w:rPr>
            </w:pPr>
            <w:r w:rsidRPr="00C44BF3">
              <w:rPr>
                <w:rFonts w:ascii="Times New Roman" w:hAnsi="Times New Roman" w:cs="Times New Roman"/>
                <w:szCs w:val="24"/>
                <w:lang w:val="en-GB" w:eastAsia="zh-HK"/>
              </w:rPr>
              <w:t xml:space="preserve">For example, if the risk-free yield in the time bucket ‘Next day or less’ before the parallel downward shock is </w:t>
            </w:r>
            <w:r w:rsidR="00A57891" w:rsidRPr="00C44BF3">
              <w:rPr>
                <w:rFonts w:ascii="Times New Roman" w:hAnsi="Times New Roman" w:cs="Times New Roman"/>
                <w:color w:val="000000" w:themeColor="text1"/>
                <w:szCs w:val="24"/>
                <w:lang w:val="en-GB" w:eastAsia="zh-HK"/>
              </w:rPr>
              <w:t>−</w:t>
            </w:r>
            <w:r w:rsidRPr="00C44BF3">
              <w:rPr>
                <w:rFonts w:ascii="Times New Roman" w:hAnsi="Times New Roman" w:cs="Times New Roman"/>
                <w:szCs w:val="24"/>
                <w:lang w:val="en-GB" w:eastAsia="zh-HK"/>
              </w:rPr>
              <w:t xml:space="preserve">0.1%, then applying the formula from paragraph 5.3.2 </w:t>
            </w:r>
            <w:r w:rsidR="00566B13" w:rsidRPr="00C44BF3">
              <w:rPr>
                <w:rFonts w:ascii="Times New Roman" w:hAnsi="Times New Roman" w:cs="Times New Roman"/>
                <w:szCs w:val="24"/>
                <w:lang w:val="en-GB" w:eastAsia="zh-HK"/>
              </w:rPr>
              <w:t xml:space="preserve">of </w:t>
            </w:r>
            <w:r w:rsidRPr="00C44BF3">
              <w:rPr>
                <w:rFonts w:ascii="Times New Roman" w:hAnsi="Times New Roman" w:cs="Times New Roman"/>
                <w:szCs w:val="24"/>
                <w:lang w:val="en-GB" w:eastAsia="zh-HK"/>
              </w:rPr>
              <w:t xml:space="preserve">the SPM results in a post-shock interest rate of </w:t>
            </w:r>
            <w:r w:rsidR="00A57891" w:rsidRPr="00C44BF3">
              <w:rPr>
                <w:rFonts w:ascii="Times New Roman" w:hAnsi="Times New Roman" w:cs="Times New Roman"/>
                <w:color w:val="000000" w:themeColor="text1"/>
                <w:szCs w:val="24"/>
                <w:lang w:val="en-GB" w:eastAsia="zh-HK"/>
              </w:rPr>
              <w:t>−</w:t>
            </w:r>
            <w:r w:rsidRPr="00C44BF3">
              <w:rPr>
                <w:rFonts w:ascii="Times New Roman" w:hAnsi="Times New Roman" w:cs="Times New Roman"/>
                <w:szCs w:val="24"/>
                <w:lang w:val="en-GB" w:eastAsia="zh-HK"/>
              </w:rPr>
              <w:t xml:space="preserve">2%. That is, the floored shock in the time bucket ‘Next day or less’ is </w:t>
            </w:r>
            <w:r w:rsidR="00A57891" w:rsidRPr="00C44BF3">
              <w:rPr>
                <w:rFonts w:ascii="Times New Roman" w:hAnsi="Times New Roman" w:cs="Times New Roman"/>
                <w:color w:val="000000" w:themeColor="text1"/>
                <w:szCs w:val="24"/>
                <w:lang w:val="en-GB" w:eastAsia="zh-HK"/>
              </w:rPr>
              <w:t>−</w:t>
            </w:r>
            <w:r w:rsidRPr="00C44BF3">
              <w:rPr>
                <w:rFonts w:ascii="Times New Roman" w:hAnsi="Times New Roman" w:cs="Times New Roman"/>
                <w:szCs w:val="24"/>
                <w:lang w:val="en-GB" w:eastAsia="zh-HK"/>
              </w:rPr>
              <w:t>1.9%.</w:t>
            </w:r>
          </w:p>
        </w:tc>
      </w:tr>
      <w:tr w:rsidR="00AE5C53" w:rsidRPr="00C44BF3" w:rsidTr="00161317">
        <w:tc>
          <w:tcPr>
            <w:tcW w:w="709" w:type="dxa"/>
          </w:tcPr>
          <w:p w:rsidR="00AE5C53" w:rsidRPr="00C44BF3" w:rsidRDefault="005B11A0">
            <w:pPr>
              <w:rPr>
                <w:rFonts w:ascii="Times New Roman" w:hAnsi="Times New Roman" w:cs="Times New Roman"/>
                <w:szCs w:val="24"/>
                <w:lang w:val="en-GB"/>
              </w:rPr>
            </w:pPr>
            <w:r w:rsidRPr="00C44BF3">
              <w:rPr>
                <w:rFonts w:ascii="Times New Roman" w:hAnsi="Times New Roman" w:cs="Times New Roman"/>
                <w:szCs w:val="24"/>
                <w:lang w:val="en-GB"/>
              </w:rPr>
              <w:t>7</w:t>
            </w:r>
          </w:p>
        </w:tc>
        <w:tc>
          <w:tcPr>
            <w:tcW w:w="3260" w:type="dxa"/>
          </w:tcPr>
          <w:p w:rsidR="00AE5C53" w:rsidRPr="00C44BF3" w:rsidRDefault="00AE5C53" w:rsidP="006C74B3">
            <w:pPr>
              <w:jc w:val="both"/>
              <w:rPr>
                <w:rFonts w:ascii="Times New Roman" w:hAnsi="Times New Roman" w:cs="Times New Roman"/>
                <w:szCs w:val="24"/>
                <w:lang w:eastAsia="zh-HK"/>
              </w:rPr>
            </w:pPr>
            <w:r w:rsidRPr="00C44BF3">
              <w:rPr>
                <w:rFonts w:ascii="Times New Roman" w:hAnsi="Times New Roman" w:cs="Times New Roman"/>
                <w:color w:val="000000" w:themeColor="text1"/>
                <w:szCs w:val="24"/>
                <w:lang w:val="en-GB" w:eastAsia="zh-HK"/>
              </w:rPr>
              <w:t xml:space="preserve">Does the HKMA provide yield curves used in the IRRBB framework? How can AIs construct the yield curve used </w:t>
            </w:r>
            <w:r w:rsidRPr="00C44BF3">
              <w:rPr>
                <w:rFonts w:ascii="Times New Roman" w:hAnsi="Times New Roman" w:cs="Times New Roman"/>
                <w:color w:val="000000" w:themeColor="text1"/>
                <w:szCs w:val="24"/>
                <w:lang w:val="en-GB" w:eastAsia="zh-HK"/>
              </w:rPr>
              <w:lastRenderedPageBreak/>
              <w:t>in the IRRBB framework?</w:t>
            </w:r>
          </w:p>
        </w:tc>
        <w:tc>
          <w:tcPr>
            <w:tcW w:w="9923" w:type="dxa"/>
          </w:tcPr>
          <w:p w:rsidR="00AE5C53" w:rsidRPr="00C44BF3" w:rsidRDefault="00AE5C53" w:rsidP="006C74B3">
            <w:pPr>
              <w:jc w:val="both"/>
              <w:rPr>
                <w:rFonts w:ascii="Times New Roman" w:hAnsi="Times New Roman" w:cs="Times New Roman"/>
                <w:szCs w:val="24"/>
                <w:lang w:val="en-GB" w:eastAsia="zh-HK"/>
              </w:rPr>
            </w:pPr>
            <w:r w:rsidRPr="00C44BF3">
              <w:rPr>
                <w:rFonts w:ascii="Times New Roman" w:hAnsi="Times New Roman" w:cs="Times New Roman"/>
                <w:color w:val="000000" w:themeColor="text1"/>
                <w:szCs w:val="24"/>
                <w:lang w:val="en-GB" w:eastAsia="zh-HK"/>
              </w:rPr>
              <w:lastRenderedPageBreak/>
              <w:t>The HKMA does not provide AIs with risk-free yield curves because these differ by currency and tend to change over time. It is the responsibility of AIs to construct appropriate yield curves based on the market conditions of individual currencies.</w:t>
            </w:r>
          </w:p>
        </w:tc>
      </w:tr>
      <w:tr w:rsidR="00AE5C53" w:rsidRPr="00C44BF3" w:rsidTr="00161317">
        <w:tc>
          <w:tcPr>
            <w:tcW w:w="709" w:type="dxa"/>
          </w:tcPr>
          <w:p w:rsidR="00AE5C53" w:rsidRPr="00C44BF3" w:rsidRDefault="005B11A0">
            <w:pPr>
              <w:rPr>
                <w:rFonts w:ascii="Times New Roman" w:hAnsi="Times New Roman" w:cs="Times New Roman"/>
                <w:szCs w:val="24"/>
                <w:lang w:val="en-GB"/>
              </w:rPr>
            </w:pPr>
            <w:r w:rsidRPr="00C44BF3">
              <w:rPr>
                <w:rFonts w:ascii="Times New Roman" w:hAnsi="Times New Roman" w:cs="Times New Roman"/>
                <w:szCs w:val="24"/>
                <w:lang w:val="en-GB"/>
              </w:rPr>
              <w:lastRenderedPageBreak/>
              <w:t>8</w:t>
            </w:r>
          </w:p>
        </w:tc>
        <w:tc>
          <w:tcPr>
            <w:tcW w:w="3260" w:type="dxa"/>
          </w:tcPr>
          <w:p w:rsidR="00AE5C53" w:rsidRPr="00C44BF3" w:rsidRDefault="00AE5C53" w:rsidP="006C74B3">
            <w:pPr>
              <w:jc w:val="both"/>
              <w:rPr>
                <w:rFonts w:ascii="Times New Roman" w:hAnsi="Times New Roman" w:cs="Times New Roman"/>
                <w:color w:val="000000" w:themeColor="text1"/>
                <w:szCs w:val="24"/>
                <w:lang w:val="en-GB" w:eastAsia="zh-HK"/>
              </w:rPr>
            </w:pPr>
            <w:r w:rsidRPr="00C44BF3">
              <w:rPr>
                <w:rFonts w:ascii="Times New Roman" w:hAnsi="Times New Roman" w:cs="Times New Roman"/>
                <w:color w:val="000000" w:themeColor="text1"/>
                <w:szCs w:val="24"/>
                <w:lang w:val="en-GB" w:eastAsia="zh-HK"/>
              </w:rPr>
              <w:t>Can on</w:t>
            </w:r>
            <w:r w:rsidR="00AE2542" w:rsidRPr="00C44BF3">
              <w:rPr>
                <w:rFonts w:ascii="Times New Roman" w:hAnsi="Times New Roman" w:cs="Times New Roman"/>
                <w:color w:val="000000" w:themeColor="text1"/>
                <w:szCs w:val="24"/>
                <w:lang w:val="en-GB" w:eastAsia="zh-HK"/>
              </w:rPr>
              <w:t xml:space="preserve">- </w:t>
            </w:r>
            <w:r w:rsidRPr="00C44BF3">
              <w:rPr>
                <w:rFonts w:ascii="Times New Roman" w:hAnsi="Times New Roman" w:cs="Times New Roman"/>
                <w:color w:val="000000" w:themeColor="text1"/>
                <w:szCs w:val="24"/>
                <w:lang w:val="en-GB" w:eastAsia="zh-HK"/>
              </w:rPr>
              <w:t>and offshore Renminbi be treated as a single currency in the IRR reporting template?</w:t>
            </w:r>
          </w:p>
        </w:tc>
        <w:tc>
          <w:tcPr>
            <w:tcW w:w="9923" w:type="dxa"/>
          </w:tcPr>
          <w:p w:rsidR="00AE5C53" w:rsidRPr="00C44BF3" w:rsidRDefault="00AE5C53" w:rsidP="00E3070B">
            <w:pPr>
              <w:jc w:val="both"/>
              <w:rPr>
                <w:rFonts w:ascii="Times New Roman" w:hAnsi="Times New Roman" w:cs="Times New Roman"/>
                <w:szCs w:val="24"/>
              </w:rPr>
            </w:pPr>
            <w:r w:rsidRPr="00C44BF3">
              <w:rPr>
                <w:rFonts w:ascii="Times New Roman" w:hAnsi="Times New Roman" w:cs="Times New Roman"/>
                <w:szCs w:val="24"/>
              </w:rPr>
              <w:t>There still can be significant divergence between CNH and CNY interest rates, as could be observed in the last couple of years, and therefore CNH and CNY should be reported separately for the time being.</w:t>
            </w:r>
          </w:p>
          <w:p w:rsidR="00AE5C53" w:rsidRPr="00C44BF3" w:rsidRDefault="00AE5C53">
            <w:pPr>
              <w:pStyle w:val="BodyText"/>
              <w:spacing w:before="120" w:line="276" w:lineRule="auto"/>
              <w:jc w:val="both"/>
              <w:rPr>
                <w:rFonts w:ascii="Times New Roman" w:hAnsi="Times New Roman"/>
                <w:sz w:val="24"/>
                <w:szCs w:val="24"/>
                <w:lang w:val="en-GB"/>
              </w:rPr>
            </w:pPr>
          </w:p>
        </w:tc>
      </w:tr>
      <w:tr w:rsidR="00AE5C53" w:rsidRPr="00C44BF3" w:rsidTr="00161317">
        <w:tc>
          <w:tcPr>
            <w:tcW w:w="709" w:type="dxa"/>
          </w:tcPr>
          <w:p w:rsidR="00AE5C53" w:rsidRPr="00C44BF3" w:rsidRDefault="005B11A0">
            <w:pPr>
              <w:rPr>
                <w:rFonts w:ascii="Times New Roman" w:hAnsi="Times New Roman" w:cs="Times New Roman"/>
                <w:szCs w:val="24"/>
                <w:lang w:val="en-GB"/>
              </w:rPr>
            </w:pPr>
            <w:r w:rsidRPr="00C44BF3">
              <w:rPr>
                <w:rFonts w:ascii="Times New Roman" w:hAnsi="Times New Roman" w:cs="Times New Roman"/>
                <w:szCs w:val="24"/>
                <w:lang w:val="en-GB"/>
              </w:rPr>
              <w:t>9</w:t>
            </w:r>
          </w:p>
        </w:tc>
        <w:tc>
          <w:tcPr>
            <w:tcW w:w="3260" w:type="dxa"/>
          </w:tcPr>
          <w:p w:rsidR="00AE5C53" w:rsidRPr="00C44BF3" w:rsidRDefault="00AE5C53" w:rsidP="00E3070B">
            <w:pPr>
              <w:jc w:val="both"/>
              <w:rPr>
                <w:rFonts w:ascii="Times New Roman" w:hAnsi="Times New Roman" w:cs="Times New Roman"/>
                <w:szCs w:val="24"/>
                <w:lang w:val="en-GB"/>
              </w:rPr>
            </w:pPr>
            <w:r w:rsidRPr="00C44BF3">
              <w:rPr>
                <w:rFonts w:ascii="Times New Roman" w:hAnsi="Times New Roman" w:cs="Times New Roman"/>
                <w:szCs w:val="24"/>
                <w:lang w:val="en-GB"/>
              </w:rPr>
              <w:t xml:space="preserve">Do net positions used for ΔEVE calculations have to be the same as net positions used for ΔNII calculations? Are </w:t>
            </w:r>
            <w:r w:rsidRPr="00C44BF3">
              <w:rPr>
                <w:rFonts w:ascii="Times New Roman" w:hAnsi="Times New Roman" w:cs="Times New Roman"/>
                <w:szCs w:val="24"/>
                <w:lang w:val="en-GB" w:eastAsia="zh-HK"/>
              </w:rPr>
              <w:t>zero coupon bonds and credit card receivables in scope for the ΔNII calculations?</w:t>
            </w:r>
          </w:p>
        </w:tc>
        <w:tc>
          <w:tcPr>
            <w:tcW w:w="9923" w:type="dxa"/>
          </w:tcPr>
          <w:p w:rsidR="00AE5C53" w:rsidRPr="00C44BF3" w:rsidRDefault="00AE5C53" w:rsidP="006C74B3">
            <w:pPr>
              <w:jc w:val="both"/>
              <w:rPr>
                <w:rFonts w:ascii="Times New Roman" w:hAnsi="Times New Roman" w:cs="Times New Roman"/>
                <w:color w:val="000000" w:themeColor="text1"/>
                <w:szCs w:val="24"/>
                <w:lang w:val="en-GB" w:eastAsia="zh-HK"/>
              </w:rPr>
            </w:pPr>
            <w:r w:rsidRPr="00C44BF3">
              <w:rPr>
                <w:rFonts w:ascii="Times New Roman" w:hAnsi="Times New Roman" w:cs="Times New Roman"/>
                <w:color w:val="000000" w:themeColor="text1"/>
                <w:szCs w:val="24"/>
                <w:lang w:val="en-GB" w:eastAsia="zh-HK"/>
              </w:rPr>
              <w:t xml:space="preserve">In general, net positions for EVE and NII calculations should be coherent. For the cases of zero coupon bonds and credit card receivables, these products are in scope for the ΔNII calculations. Including them reflects scenario-induced changes in accrued interest rate income or fee-generated income. However, notable exceptions include products with embedded optionality. An optional treatment for such products is outlined in </w:t>
            </w:r>
            <w:r w:rsidR="00AE2542" w:rsidRPr="00C44BF3">
              <w:rPr>
                <w:rFonts w:ascii="Times New Roman" w:hAnsi="Times New Roman" w:cs="Times New Roman"/>
                <w:color w:val="000000" w:themeColor="text1"/>
                <w:szCs w:val="24"/>
                <w:lang w:val="en-GB" w:eastAsia="zh-HK"/>
              </w:rPr>
              <w:t>p</w:t>
            </w:r>
            <w:r w:rsidRPr="00C44BF3">
              <w:rPr>
                <w:rFonts w:ascii="Times New Roman" w:hAnsi="Times New Roman" w:cs="Times New Roman"/>
                <w:color w:val="000000" w:themeColor="text1"/>
                <w:szCs w:val="24"/>
                <w:lang w:val="en-GB" w:eastAsia="zh-HK"/>
              </w:rPr>
              <w:t xml:space="preserve">aragraph </w:t>
            </w:r>
            <w:r w:rsidR="00E35BD5" w:rsidRPr="00C44BF3">
              <w:rPr>
                <w:rFonts w:ascii="Times New Roman" w:hAnsi="Times New Roman" w:cs="Times New Roman"/>
                <w:color w:val="000000" w:themeColor="text1"/>
                <w:szCs w:val="24"/>
                <w:lang w:val="en-GB" w:eastAsia="zh-HK"/>
              </w:rPr>
              <w:t xml:space="preserve">42 </w:t>
            </w:r>
            <w:r w:rsidRPr="00C44BF3">
              <w:rPr>
                <w:rFonts w:ascii="Times New Roman" w:hAnsi="Times New Roman" w:cs="Times New Roman"/>
                <w:color w:val="000000" w:themeColor="text1"/>
                <w:szCs w:val="24"/>
                <w:lang w:val="en-GB" w:eastAsia="zh-HK"/>
              </w:rPr>
              <w:t xml:space="preserve">of the IRRBB Return Instructions. </w:t>
            </w:r>
          </w:p>
          <w:p w:rsidR="00AE5C53" w:rsidRPr="00C44BF3" w:rsidRDefault="00AE5C53" w:rsidP="006C74B3">
            <w:pPr>
              <w:jc w:val="both"/>
              <w:rPr>
                <w:rFonts w:ascii="Times New Roman" w:hAnsi="Times New Roman" w:cs="Times New Roman"/>
                <w:color w:val="000000" w:themeColor="text1"/>
                <w:szCs w:val="24"/>
                <w:lang w:val="en-GB" w:eastAsia="zh-HK"/>
              </w:rPr>
            </w:pPr>
          </w:p>
        </w:tc>
      </w:tr>
      <w:tr w:rsidR="00AE5C53" w:rsidRPr="00C44BF3" w:rsidTr="00161317">
        <w:tc>
          <w:tcPr>
            <w:tcW w:w="709" w:type="dxa"/>
          </w:tcPr>
          <w:p w:rsidR="00AE5C53" w:rsidRPr="00C44BF3" w:rsidRDefault="003235D1">
            <w:pPr>
              <w:rPr>
                <w:rFonts w:ascii="Times New Roman" w:hAnsi="Times New Roman" w:cs="Times New Roman"/>
                <w:szCs w:val="24"/>
                <w:lang w:val="en-GB"/>
              </w:rPr>
            </w:pPr>
            <w:r w:rsidRPr="00C44BF3">
              <w:rPr>
                <w:rFonts w:ascii="Times New Roman" w:hAnsi="Times New Roman" w:cs="Times New Roman"/>
                <w:szCs w:val="24"/>
                <w:lang w:val="en-GB"/>
              </w:rPr>
              <w:t>10</w:t>
            </w:r>
          </w:p>
        </w:tc>
        <w:tc>
          <w:tcPr>
            <w:tcW w:w="3260" w:type="dxa"/>
          </w:tcPr>
          <w:p w:rsidR="001E7278" w:rsidRPr="00C44BF3" w:rsidRDefault="00AE5C53" w:rsidP="00E3070B">
            <w:pPr>
              <w:jc w:val="both"/>
              <w:rPr>
                <w:rFonts w:ascii="Times New Roman" w:hAnsi="Times New Roman" w:cs="Times New Roman"/>
                <w:szCs w:val="24"/>
                <w:lang w:val="en-GB"/>
              </w:rPr>
            </w:pPr>
            <w:r w:rsidRPr="00C44BF3">
              <w:rPr>
                <w:rFonts w:ascii="Times New Roman" w:hAnsi="Times New Roman" w:cs="Times New Roman"/>
                <w:szCs w:val="24"/>
                <w:lang w:val="en-GB"/>
              </w:rPr>
              <w:t>How are non-performing loans treated under the new IRRBB framework?</w:t>
            </w:r>
            <w:r w:rsidR="00673C5E" w:rsidRPr="00C44BF3">
              <w:rPr>
                <w:rFonts w:ascii="Times New Roman" w:hAnsi="Times New Roman" w:cs="Times New Roman"/>
                <w:szCs w:val="24"/>
                <w:lang w:val="en-GB"/>
              </w:rPr>
              <w:t xml:space="preserve"> </w:t>
            </w:r>
            <w:r w:rsidR="001E7278" w:rsidRPr="00C44BF3">
              <w:rPr>
                <w:rFonts w:ascii="Times New Roman" w:hAnsi="Times New Roman" w:cs="Times New Roman"/>
                <w:szCs w:val="24"/>
              </w:rPr>
              <w:t>How should a non-performing loan, which was originally a fixed rate loan to a corporate, be reported?</w:t>
            </w:r>
          </w:p>
        </w:tc>
        <w:tc>
          <w:tcPr>
            <w:tcW w:w="9923" w:type="dxa"/>
          </w:tcPr>
          <w:p w:rsidR="00AE5C53" w:rsidRPr="00C44BF3" w:rsidRDefault="00AE5C53" w:rsidP="006C74B3">
            <w:pPr>
              <w:jc w:val="both"/>
              <w:rPr>
                <w:rFonts w:ascii="Times New Roman" w:hAnsi="Times New Roman" w:cs="Times New Roman"/>
                <w:szCs w:val="24"/>
                <w:lang w:val="en-GB"/>
              </w:rPr>
            </w:pPr>
            <w:r w:rsidRPr="00C44BF3">
              <w:rPr>
                <w:rFonts w:ascii="Times New Roman" w:hAnsi="Times New Roman" w:cs="Times New Roman"/>
                <w:color w:val="000000" w:themeColor="text1"/>
                <w:szCs w:val="24"/>
                <w:lang w:val="en-GB" w:eastAsia="zh-HK"/>
              </w:rPr>
              <w:t>N</w:t>
            </w:r>
            <w:r w:rsidRPr="00C44BF3">
              <w:rPr>
                <w:rFonts w:ascii="Times New Roman" w:hAnsi="Times New Roman" w:cs="Times New Roman"/>
                <w:szCs w:val="24"/>
                <w:lang w:val="en-GB"/>
              </w:rPr>
              <w:t xml:space="preserve">on-performing loans (net of </w:t>
            </w:r>
            <w:r w:rsidR="00427F2F" w:rsidRPr="00C44BF3">
              <w:rPr>
                <w:rFonts w:ascii="Times New Roman" w:hAnsi="Times New Roman" w:cs="Times New Roman"/>
                <w:szCs w:val="24"/>
                <w:lang w:val="en-GB"/>
              </w:rPr>
              <w:t xml:space="preserve">specific </w:t>
            </w:r>
            <w:r w:rsidRPr="00C44BF3">
              <w:rPr>
                <w:rFonts w:ascii="Times New Roman" w:hAnsi="Times New Roman" w:cs="Times New Roman"/>
                <w:szCs w:val="24"/>
                <w:lang w:val="en-GB"/>
              </w:rPr>
              <w:t>provisions) must be included as interest rate-sensitive assets.</w:t>
            </w:r>
          </w:p>
          <w:p w:rsidR="001E7278" w:rsidRPr="00C44BF3" w:rsidRDefault="001E7278" w:rsidP="006C74B3">
            <w:pPr>
              <w:jc w:val="both"/>
              <w:rPr>
                <w:rFonts w:ascii="Times New Roman" w:hAnsi="Times New Roman" w:cs="Times New Roman"/>
                <w:color w:val="000000" w:themeColor="text1"/>
                <w:szCs w:val="24"/>
                <w:lang w:val="en-GB" w:eastAsia="zh-HK"/>
              </w:rPr>
            </w:pPr>
            <w:r w:rsidRPr="00C44BF3">
              <w:rPr>
                <w:rFonts w:ascii="Times New Roman" w:hAnsi="Times New Roman" w:cs="Times New Roman"/>
                <w:szCs w:val="24"/>
              </w:rPr>
              <w:t>Non-performing loans should be slotted with the notional amount net of specific provisions under the same item (fixed/floating/managed) as prior to the designation as a non-performing loan. As regards tenor and coupon payments, they should reflect the AI’s expectations for the NPL and therefore may deviate from the original loan structure.</w:t>
            </w:r>
          </w:p>
        </w:tc>
      </w:tr>
      <w:tr w:rsidR="00427F2F" w:rsidRPr="00C44BF3" w:rsidTr="00161317">
        <w:tc>
          <w:tcPr>
            <w:tcW w:w="709" w:type="dxa"/>
          </w:tcPr>
          <w:p w:rsidR="00427F2F" w:rsidRPr="00C44BF3" w:rsidRDefault="003235D1">
            <w:pPr>
              <w:rPr>
                <w:rFonts w:ascii="Times New Roman" w:hAnsi="Times New Roman" w:cs="Times New Roman"/>
                <w:szCs w:val="24"/>
                <w:lang w:val="en-GB"/>
              </w:rPr>
            </w:pPr>
            <w:r w:rsidRPr="00C44BF3">
              <w:rPr>
                <w:rFonts w:ascii="Times New Roman" w:hAnsi="Times New Roman" w:cs="Times New Roman"/>
                <w:szCs w:val="24"/>
                <w:lang w:val="en-GB"/>
              </w:rPr>
              <w:t>11</w:t>
            </w:r>
          </w:p>
        </w:tc>
        <w:tc>
          <w:tcPr>
            <w:tcW w:w="3260" w:type="dxa"/>
          </w:tcPr>
          <w:p w:rsidR="00427F2F" w:rsidRPr="00C44BF3" w:rsidRDefault="00EE680F" w:rsidP="00E3070B">
            <w:pPr>
              <w:jc w:val="both"/>
              <w:rPr>
                <w:rFonts w:ascii="Times New Roman" w:hAnsi="Times New Roman" w:cs="Times New Roman"/>
                <w:szCs w:val="24"/>
                <w:lang w:val="en-GB"/>
              </w:rPr>
            </w:pPr>
            <w:r w:rsidRPr="00C44BF3">
              <w:rPr>
                <w:rFonts w:ascii="Times New Roman" w:hAnsi="Times New Roman" w:cs="Times New Roman"/>
                <w:szCs w:val="24"/>
                <w:lang w:val="en-GB"/>
              </w:rPr>
              <w:t>Should loans and trade finance products be reported</w:t>
            </w:r>
            <w:r w:rsidR="007278B0" w:rsidRPr="00C44BF3">
              <w:rPr>
                <w:rFonts w:ascii="Times New Roman" w:hAnsi="Times New Roman" w:cs="Times New Roman"/>
                <w:szCs w:val="24"/>
                <w:lang w:val="en-GB"/>
              </w:rPr>
              <w:t xml:space="preserve"> gross or net </w:t>
            </w:r>
            <w:r w:rsidRPr="00C44BF3">
              <w:rPr>
                <w:rFonts w:ascii="Times New Roman" w:hAnsi="Times New Roman" w:cs="Times New Roman"/>
                <w:szCs w:val="24"/>
                <w:lang w:val="en-GB"/>
              </w:rPr>
              <w:t>of</w:t>
            </w:r>
            <w:r w:rsidR="007278B0" w:rsidRPr="00C44BF3">
              <w:rPr>
                <w:rFonts w:ascii="Times New Roman" w:hAnsi="Times New Roman" w:cs="Times New Roman"/>
                <w:szCs w:val="24"/>
                <w:lang w:val="en-GB"/>
              </w:rPr>
              <w:t xml:space="preserve"> provisions on </w:t>
            </w:r>
            <w:r w:rsidR="007278B0" w:rsidRPr="00C44BF3">
              <w:rPr>
                <w:rFonts w:ascii="Times New Roman" w:hAnsi="Times New Roman" w:cs="Times New Roman"/>
                <w:szCs w:val="24"/>
                <w:lang w:val="en-GB"/>
              </w:rPr>
              <w:lastRenderedPageBreak/>
              <w:t>MA(BS)12A?</w:t>
            </w:r>
          </w:p>
        </w:tc>
        <w:tc>
          <w:tcPr>
            <w:tcW w:w="9923" w:type="dxa"/>
          </w:tcPr>
          <w:p w:rsidR="00427F2F" w:rsidRPr="00C44BF3" w:rsidRDefault="007278B0" w:rsidP="006C74B3">
            <w:pPr>
              <w:jc w:val="both"/>
              <w:rPr>
                <w:rFonts w:ascii="Times New Roman" w:hAnsi="Times New Roman" w:cs="Times New Roman"/>
                <w:color w:val="000000" w:themeColor="text1"/>
                <w:szCs w:val="24"/>
                <w:lang w:val="en-GB" w:eastAsia="zh-HK"/>
              </w:rPr>
            </w:pPr>
            <w:r w:rsidRPr="00C44BF3">
              <w:rPr>
                <w:rFonts w:ascii="Times New Roman" w:hAnsi="Times New Roman" w:cs="Times New Roman"/>
                <w:color w:val="000000" w:themeColor="text1"/>
                <w:szCs w:val="24"/>
                <w:lang w:val="en-GB" w:eastAsia="zh-HK"/>
              </w:rPr>
              <w:lastRenderedPageBreak/>
              <w:t>Notional reporting</w:t>
            </w:r>
            <w:r w:rsidR="00382479" w:rsidRPr="00C44BF3">
              <w:rPr>
                <w:rFonts w:ascii="Times New Roman" w:hAnsi="Times New Roman" w:cs="Times New Roman"/>
                <w:color w:val="000000" w:themeColor="text1"/>
                <w:szCs w:val="24"/>
                <w:lang w:val="en-GB" w:eastAsia="zh-HK"/>
              </w:rPr>
              <w:t xml:space="preserve"> </w:t>
            </w:r>
            <w:r w:rsidR="00FD2286" w:rsidRPr="00C44BF3">
              <w:rPr>
                <w:rFonts w:ascii="Times New Roman" w:hAnsi="Times New Roman" w:cs="Times New Roman"/>
                <w:color w:val="000000" w:themeColor="text1"/>
                <w:szCs w:val="24"/>
                <w:lang w:val="en-GB" w:eastAsia="zh-HK"/>
              </w:rPr>
              <w:t xml:space="preserve">of loans and trade finance products in rows A to S on </w:t>
            </w:r>
            <w:r w:rsidR="001B35E7">
              <w:rPr>
                <w:rFonts w:ascii="Times New Roman" w:hAnsi="Times New Roman" w:cs="Times New Roman"/>
                <w:color w:val="000000" w:themeColor="text1"/>
                <w:szCs w:val="24"/>
                <w:lang w:val="en-GB" w:eastAsia="zh-HK"/>
              </w:rPr>
              <w:t>f</w:t>
            </w:r>
            <w:r w:rsidR="001B35E7" w:rsidRPr="00C44BF3">
              <w:rPr>
                <w:rFonts w:ascii="Times New Roman" w:hAnsi="Times New Roman" w:cs="Times New Roman"/>
                <w:color w:val="000000" w:themeColor="text1"/>
                <w:szCs w:val="24"/>
                <w:lang w:val="en-GB" w:eastAsia="zh-HK"/>
              </w:rPr>
              <w:t xml:space="preserve">orm </w:t>
            </w:r>
            <w:r w:rsidR="00FD2286" w:rsidRPr="00C44BF3">
              <w:rPr>
                <w:rFonts w:ascii="Times New Roman" w:hAnsi="Times New Roman" w:cs="Times New Roman"/>
                <w:color w:val="000000" w:themeColor="text1"/>
                <w:szCs w:val="24"/>
                <w:lang w:val="en-GB" w:eastAsia="zh-HK"/>
              </w:rPr>
              <w:t xml:space="preserve">1 </w:t>
            </w:r>
            <w:r w:rsidR="00395CBE" w:rsidRPr="00C44BF3">
              <w:rPr>
                <w:rFonts w:ascii="Times New Roman" w:hAnsi="Times New Roman" w:cs="Times New Roman"/>
                <w:color w:val="000000" w:themeColor="text1"/>
                <w:szCs w:val="24"/>
                <w:lang w:val="en-GB" w:eastAsia="zh-HK"/>
              </w:rPr>
              <w:t xml:space="preserve">of MA(BS)12A </w:t>
            </w:r>
            <w:r w:rsidRPr="00C44BF3">
              <w:rPr>
                <w:rFonts w:ascii="Times New Roman" w:hAnsi="Times New Roman" w:cs="Times New Roman"/>
                <w:color w:val="000000" w:themeColor="text1"/>
                <w:szCs w:val="24"/>
                <w:lang w:val="en-GB" w:eastAsia="zh-HK"/>
              </w:rPr>
              <w:t>should be made net of specific p</w:t>
            </w:r>
            <w:r w:rsidR="00382479" w:rsidRPr="00C44BF3">
              <w:rPr>
                <w:rFonts w:ascii="Times New Roman" w:hAnsi="Times New Roman" w:cs="Times New Roman"/>
                <w:color w:val="000000" w:themeColor="text1"/>
                <w:szCs w:val="24"/>
                <w:lang w:val="en-GB" w:eastAsia="zh-HK"/>
              </w:rPr>
              <w:t>rovision</w:t>
            </w:r>
            <w:r w:rsidR="00FD2286" w:rsidRPr="00C44BF3">
              <w:rPr>
                <w:rFonts w:ascii="Times New Roman" w:hAnsi="Times New Roman" w:cs="Times New Roman"/>
                <w:color w:val="000000" w:themeColor="text1"/>
                <w:szCs w:val="24"/>
                <w:lang w:val="en-GB" w:eastAsia="zh-HK"/>
              </w:rPr>
              <w:t>s</w:t>
            </w:r>
            <w:r w:rsidR="00382479" w:rsidRPr="00C44BF3">
              <w:rPr>
                <w:rFonts w:ascii="Times New Roman" w:hAnsi="Times New Roman" w:cs="Times New Roman"/>
                <w:color w:val="000000" w:themeColor="text1"/>
                <w:szCs w:val="24"/>
                <w:lang w:val="en-GB" w:eastAsia="zh-HK"/>
              </w:rPr>
              <w:t xml:space="preserve">, while book value reporting </w:t>
            </w:r>
            <w:r w:rsidR="00FD2286" w:rsidRPr="00C44BF3">
              <w:rPr>
                <w:rFonts w:ascii="Times New Roman" w:hAnsi="Times New Roman" w:cs="Times New Roman"/>
                <w:color w:val="000000" w:themeColor="text1"/>
                <w:szCs w:val="24"/>
                <w:lang w:val="en-GB" w:eastAsia="zh-HK"/>
              </w:rPr>
              <w:t xml:space="preserve">of total interest rate-sensitive assets in row T on </w:t>
            </w:r>
            <w:r w:rsidR="001B35E7">
              <w:rPr>
                <w:rFonts w:ascii="Times New Roman" w:hAnsi="Times New Roman" w:cs="Times New Roman"/>
                <w:color w:val="000000" w:themeColor="text1"/>
                <w:szCs w:val="24"/>
                <w:lang w:val="en-GB" w:eastAsia="zh-HK"/>
              </w:rPr>
              <w:t>f</w:t>
            </w:r>
            <w:r w:rsidR="001B35E7" w:rsidRPr="00C44BF3">
              <w:rPr>
                <w:rFonts w:ascii="Times New Roman" w:hAnsi="Times New Roman" w:cs="Times New Roman"/>
                <w:color w:val="000000" w:themeColor="text1"/>
                <w:szCs w:val="24"/>
                <w:lang w:val="en-GB" w:eastAsia="zh-HK"/>
              </w:rPr>
              <w:t xml:space="preserve">orm </w:t>
            </w:r>
            <w:r w:rsidR="00FD2286" w:rsidRPr="00C44BF3">
              <w:rPr>
                <w:rFonts w:ascii="Times New Roman" w:hAnsi="Times New Roman" w:cs="Times New Roman"/>
                <w:color w:val="000000" w:themeColor="text1"/>
                <w:szCs w:val="24"/>
                <w:lang w:val="en-GB" w:eastAsia="zh-HK"/>
              </w:rPr>
              <w:t xml:space="preserve">1 </w:t>
            </w:r>
            <w:r w:rsidR="00382479" w:rsidRPr="00C44BF3">
              <w:rPr>
                <w:rFonts w:ascii="Times New Roman" w:hAnsi="Times New Roman" w:cs="Times New Roman"/>
                <w:color w:val="000000" w:themeColor="text1"/>
                <w:szCs w:val="24"/>
                <w:lang w:val="en-GB" w:eastAsia="zh-HK"/>
              </w:rPr>
              <w:t>should be made gross of provision</w:t>
            </w:r>
            <w:r w:rsidR="00FD2286" w:rsidRPr="00C44BF3">
              <w:rPr>
                <w:rFonts w:ascii="Times New Roman" w:hAnsi="Times New Roman" w:cs="Times New Roman"/>
                <w:color w:val="000000" w:themeColor="text1"/>
                <w:szCs w:val="24"/>
                <w:lang w:val="en-GB" w:eastAsia="zh-HK"/>
              </w:rPr>
              <w:t>s</w:t>
            </w:r>
            <w:r w:rsidR="00382479" w:rsidRPr="00C44BF3">
              <w:rPr>
                <w:rFonts w:ascii="Times New Roman" w:hAnsi="Times New Roman" w:cs="Times New Roman"/>
                <w:color w:val="000000" w:themeColor="text1"/>
                <w:szCs w:val="24"/>
                <w:lang w:val="en-GB" w:eastAsia="zh-HK"/>
              </w:rPr>
              <w:t>.</w:t>
            </w:r>
          </w:p>
          <w:p w:rsidR="00382479" w:rsidRPr="00C44BF3" w:rsidRDefault="00382479" w:rsidP="006C74B3">
            <w:pPr>
              <w:jc w:val="both"/>
              <w:rPr>
                <w:rFonts w:ascii="Times New Roman" w:hAnsi="Times New Roman" w:cs="Times New Roman"/>
                <w:color w:val="000000" w:themeColor="text1"/>
                <w:szCs w:val="24"/>
                <w:lang w:val="en-GB" w:eastAsia="zh-HK"/>
              </w:rPr>
            </w:pPr>
          </w:p>
          <w:p w:rsidR="00382479" w:rsidRPr="00C44BF3" w:rsidRDefault="00382479" w:rsidP="001B35E7">
            <w:pPr>
              <w:jc w:val="both"/>
              <w:rPr>
                <w:rFonts w:ascii="Times New Roman" w:hAnsi="Times New Roman" w:cs="Times New Roman"/>
                <w:color w:val="000000" w:themeColor="text1"/>
                <w:szCs w:val="24"/>
                <w:lang w:val="en-GB" w:eastAsia="zh-HK"/>
              </w:rPr>
            </w:pPr>
            <w:r w:rsidRPr="00C44BF3">
              <w:rPr>
                <w:rFonts w:ascii="Times New Roman" w:hAnsi="Times New Roman" w:cs="Times New Roman"/>
                <w:color w:val="000000" w:themeColor="text1"/>
                <w:szCs w:val="24"/>
                <w:lang w:val="en-GB" w:eastAsia="zh-HK"/>
              </w:rPr>
              <w:t xml:space="preserve">It should be noted that all (both specific and general) provisions should be reported as other non-interest sensitive liabilities (book value) in </w:t>
            </w:r>
            <w:r w:rsidR="00FD2286" w:rsidRPr="00C44BF3">
              <w:rPr>
                <w:rFonts w:ascii="Times New Roman" w:hAnsi="Times New Roman" w:cs="Times New Roman"/>
                <w:color w:val="000000" w:themeColor="text1"/>
                <w:szCs w:val="24"/>
                <w:lang w:val="en-GB" w:eastAsia="zh-HK"/>
              </w:rPr>
              <w:t xml:space="preserve">row </w:t>
            </w:r>
            <w:r w:rsidRPr="00C44BF3">
              <w:rPr>
                <w:rFonts w:ascii="Times New Roman" w:hAnsi="Times New Roman" w:cs="Times New Roman"/>
                <w:color w:val="000000" w:themeColor="text1"/>
                <w:szCs w:val="24"/>
                <w:lang w:val="en-GB" w:eastAsia="zh-HK"/>
              </w:rPr>
              <w:t xml:space="preserve">V on </w:t>
            </w:r>
            <w:r w:rsidR="001B35E7">
              <w:rPr>
                <w:rFonts w:ascii="Times New Roman" w:hAnsi="Times New Roman" w:cs="Times New Roman"/>
                <w:color w:val="000000" w:themeColor="text1"/>
                <w:szCs w:val="24"/>
                <w:lang w:val="en-GB" w:eastAsia="zh-HK"/>
              </w:rPr>
              <w:t>f</w:t>
            </w:r>
            <w:r w:rsidR="001B35E7" w:rsidRPr="00C44BF3">
              <w:rPr>
                <w:rFonts w:ascii="Times New Roman" w:hAnsi="Times New Roman" w:cs="Times New Roman"/>
                <w:color w:val="000000" w:themeColor="text1"/>
                <w:szCs w:val="24"/>
                <w:lang w:val="en-GB" w:eastAsia="zh-HK"/>
              </w:rPr>
              <w:t xml:space="preserve">orm </w:t>
            </w:r>
            <w:r w:rsidRPr="00C44BF3">
              <w:rPr>
                <w:rFonts w:ascii="Times New Roman" w:hAnsi="Times New Roman" w:cs="Times New Roman"/>
                <w:color w:val="000000" w:themeColor="text1"/>
                <w:szCs w:val="24"/>
                <w:lang w:val="en-GB" w:eastAsia="zh-HK"/>
              </w:rPr>
              <w:t>2.</w:t>
            </w:r>
            <w:r w:rsidR="00E27F4C" w:rsidRPr="00C44BF3">
              <w:rPr>
                <w:rFonts w:ascii="Times New Roman" w:hAnsi="Times New Roman" w:cs="Times New Roman"/>
                <w:color w:val="000000" w:themeColor="text1"/>
                <w:szCs w:val="24"/>
                <w:lang w:val="en-GB" w:eastAsia="zh-HK"/>
              </w:rPr>
              <w:t xml:space="preserve"> It should also be noted that </w:t>
            </w:r>
            <w:r w:rsidR="00FC4A9A" w:rsidRPr="00C44BF3">
              <w:rPr>
                <w:rFonts w:ascii="Times New Roman" w:hAnsi="Times New Roman" w:cs="Times New Roman"/>
                <w:color w:val="000000" w:themeColor="text1"/>
                <w:szCs w:val="24"/>
                <w:lang w:val="en-GB" w:eastAsia="zh-HK"/>
              </w:rPr>
              <w:t xml:space="preserve">the treatment outlined here for loans and trade finance products similarly applies to provisions </w:t>
            </w:r>
            <w:r w:rsidR="006327C0" w:rsidRPr="00C44BF3">
              <w:rPr>
                <w:rFonts w:ascii="Times New Roman" w:hAnsi="Times New Roman" w:cs="Times New Roman"/>
                <w:color w:val="000000" w:themeColor="text1"/>
                <w:szCs w:val="24"/>
                <w:lang w:val="en-GB" w:eastAsia="zh-HK"/>
              </w:rPr>
              <w:t>for</w:t>
            </w:r>
            <w:r w:rsidR="00FC4A9A" w:rsidRPr="00C44BF3">
              <w:rPr>
                <w:rFonts w:ascii="Times New Roman" w:hAnsi="Times New Roman" w:cs="Times New Roman"/>
                <w:color w:val="000000" w:themeColor="text1"/>
                <w:szCs w:val="24"/>
                <w:lang w:val="en-GB" w:eastAsia="zh-HK"/>
              </w:rPr>
              <w:t xml:space="preserve"> other products.</w:t>
            </w:r>
            <w:r w:rsidR="00FC4A9A" w:rsidRPr="00C44BF3">
              <w:rPr>
                <w:rStyle w:val="CommentReference"/>
                <w:rFonts w:ascii="Times New Roman" w:hAnsi="Times New Roman" w:cs="Times New Roman"/>
                <w:sz w:val="24"/>
                <w:szCs w:val="24"/>
              </w:rPr>
              <w:t xml:space="preserve"> </w:t>
            </w:r>
          </w:p>
        </w:tc>
      </w:tr>
      <w:tr w:rsidR="00427F2F" w:rsidRPr="00C44BF3" w:rsidTr="00161317">
        <w:tc>
          <w:tcPr>
            <w:tcW w:w="709" w:type="dxa"/>
          </w:tcPr>
          <w:p w:rsidR="00427F2F" w:rsidRPr="00C44BF3" w:rsidRDefault="003235D1">
            <w:pPr>
              <w:rPr>
                <w:rFonts w:ascii="Times New Roman" w:hAnsi="Times New Roman" w:cs="Times New Roman"/>
                <w:szCs w:val="24"/>
                <w:lang w:val="en-GB"/>
              </w:rPr>
            </w:pPr>
            <w:r w:rsidRPr="00C44BF3">
              <w:rPr>
                <w:rFonts w:ascii="Times New Roman" w:hAnsi="Times New Roman" w:cs="Times New Roman"/>
                <w:szCs w:val="24"/>
                <w:lang w:val="en-GB"/>
              </w:rPr>
              <w:lastRenderedPageBreak/>
              <w:t>12</w:t>
            </w:r>
          </w:p>
        </w:tc>
        <w:tc>
          <w:tcPr>
            <w:tcW w:w="3260" w:type="dxa"/>
          </w:tcPr>
          <w:p w:rsidR="00427F2F" w:rsidRPr="00C44BF3" w:rsidRDefault="00FD2286" w:rsidP="001B35E7">
            <w:pPr>
              <w:jc w:val="both"/>
              <w:rPr>
                <w:rFonts w:ascii="Times New Roman" w:hAnsi="Times New Roman" w:cs="Times New Roman"/>
                <w:szCs w:val="24"/>
                <w:lang w:val="en-GB"/>
              </w:rPr>
            </w:pPr>
            <w:r w:rsidRPr="00C44BF3">
              <w:rPr>
                <w:rFonts w:ascii="Times New Roman" w:hAnsi="Times New Roman" w:cs="Times New Roman"/>
                <w:szCs w:val="24"/>
                <w:lang w:val="en-GB"/>
              </w:rPr>
              <w:t xml:space="preserve">Should the mark-to-market value of derivatives recorded on balance sheet be excluded </w:t>
            </w:r>
            <w:r w:rsidR="00696D16" w:rsidRPr="00C44BF3">
              <w:rPr>
                <w:rFonts w:ascii="Times New Roman" w:hAnsi="Times New Roman" w:cs="Times New Roman"/>
                <w:szCs w:val="24"/>
                <w:lang w:val="en-GB"/>
              </w:rPr>
              <w:t xml:space="preserve">in </w:t>
            </w:r>
            <w:r w:rsidR="001B35E7">
              <w:rPr>
                <w:rFonts w:ascii="Times New Roman" w:hAnsi="Times New Roman" w:cs="Times New Roman"/>
                <w:szCs w:val="24"/>
                <w:lang w:val="en-GB"/>
              </w:rPr>
              <w:t>f</w:t>
            </w:r>
            <w:r w:rsidR="001B35E7" w:rsidRPr="00C44BF3">
              <w:rPr>
                <w:rFonts w:ascii="Times New Roman" w:hAnsi="Times New Roman" w:cs="Times New Roman"/>
                <w:szCs w:val="24"/>
                <w:lang w:val="en-GB"/>
              </w:rPr>
              <w:t xml:space="preserve">orm </w:t>
            </w:r>
            <w:r w:rsidR="00696D16" w:rsidRPr="00C44BF3">
              <w:rPr>
                <w:rFonts w:ascii="Times New Roman" w:hAnsi="Times New Roman" w:cs="Times New Roman"/>
                <w:szCs w:val="24"/>
                <w:lang w:val="en-GB"/>
              </w:rPr>
              <w:t xml:space="preserve">1 and </w:t>
            </w:r>
            <w:r w:rsidR="001B35E7">
              <w:rPr>
                <w:rFonts w:ascii="Times New Roman" w:hAnsi="Times New Roman" w:cs="Times New Roman"/>
                <w:szCs w:val="24"/>
                <w:lang w:val="en-GB"/>
              </w:rPr>
              <w:t>f</w:t>
            </w:r>
            <w:r w:rsidR="001B35E7" w:rsidRPr="00C44BF3">
              <w:rPr>
                <w:rFonts w:ascii="Times New Roman" w:hAnsi="Times New Roman" w:cs="Times New Roman"/>
                <w:szCs w:val="24"/>
                <w:lang w:val="en-GB"/>
              </w:rPr>
              <w:t xml:space="preserve">orm </w:t>
            </w:r>
            <w:r w:rsidR="00696D16" w:rsidRPr="00C44BF3">
              <w:rPr>
                <w:rFonts w:ascii="Times New Roman" w:hAnsi="Times New Roman" w:cs="Times New Roman"/>
                <w:szCs w:val="24"/>
                <w:lang w:val="en-GB"/>
              </w:rPr>
              <w:t xml:space="preserve">2 of </w:t>
            </w:r>
            <w:r w:rsidRPr="00C44BF3">
              <w:rPr>
                <w:rFonts w:ascii="Times New Roman" w:hAnsi="Times New Roman" w:cs="Times New Roman"/>
                <w:szCs w:val="24"/>
                <w:lang w:val="en-GB"/>
              </w:rPr>
              <w:t xml:space="preserve"> MA(BS)12A</w:t>
            </w:r>
            <w:r w:rsidR="00696D16" w:rsidRPr="00C44BF3">
              <w:rPr>
                <w:rFonts w:ascii="Times New Roman" w:hAnsi="Times New Roman" w:cs="Times New Roman"/>
                <w:szCs w:val="24"/>
                <w:lang w:val="en-GB"/>
              </w:rPr>
              <w:t>?</w:t>
            </w:r>
          </w:p>
        </w:tc>
        <w:tc>
          <w:tcPr>
            <w:tcW w:w="9923" w:type="dxa"/>
          </w:tcPr>
          <w:p w:rsidR="00427F2F" w:rsidRPr="00C44BF3" w:rsidRDefault="00696D16" w:rsidP="001B35E7">
            <w:pPr>
              <w:jc w:val="both"/>
              <w:rPr>
                <w:rFonts w:ascii="Times New Roman" w:hAnsi="Times New Roman" w:cs="Times New Roman"/>
                <w:color w:val="000000" w:themeColor="text1"/>
                <w:szCs w:val="24"/>
                <w:lang w:val="en-GB" w:eastAsia="zh-HK"/>
              </w:rPr>
            </w:pPr>
            <w:r w:rsidRPr="00C44BF3">
              <w:rPr>
                <w:rFonts w:ascii="Times New Roman" w:hAnsi="Times New Roman" w:cs="Times New Roman"/>
                <w:color w:val="000000" w:themeColor="text1"/>
                <w:szCs w:val="24"/>
                <w:lang w:val="en-GB" w:eastAsia="zh-HK"/>
              </w:rPr>
              <w:t>The mark-to-market value</w:t>
            </w:r>
            <w:r w:rsidR="000803D7" w:rsidRPr="00C44BF3">
              <w:rPr>
                <w:rFonts w:ascii="Times New Roman" w:hAnsi="Times New Roman" w:cs="Times New Roman"/>
                <w:color w:val="000000" w:themeColor="text1"/>
                <w:szCs w:val="24"/>
                <w:lang w:val="en-GB" w:eastAsia="zh-HK"/>
              </w:rPr>
              <w:t>s</w:t>
            </w:r>
            <w:r w:rsidRPr="00C44BF3">
              <w:rPr>
                <w:rFonts w:ascii="Times New Roman" w:hAnsi="Times New Roman" w:cs="Times New Roman"/>
                <w:color w:val="000000" w:themeColor="text1"/>
                <w:szCs w:val="24"/>
                <w:lang w:val="en-GB" w:eastAsia="zh-HK"/>
              </w:rPr>
              <w:t xml:space="preserve"> of derivatives recorded on balance sheet should be excluded for notional reporting (rows A to S) on </w:t>
            </w:r>
            <w:r w:rsidR="001B35E7">
              <w:rPr>
                <w:rFonts w:ascii="Times New Roman" w:hAnsi="Times New Roman" w:cs="Times New Roman"/>
                <w:color w:val="000000" w:themeColor="text1"/>
                <w:szCs w:val="24"/>
                <w:lang w:val="en-GB" w:eastAsia="zh-HK"/>
              </w:rPr>
              <w:t>f</w:t>
            </w:r>
            <w:r w:rsidR="001B35E7" w:rsidRPr="00C44BF3">
              <w:rPr>
                <w:rFonts w:ascii="Times New Roman" w:hAnsi="Times New Roman" w:cs="Times New Roman"/>
                <w:color w:val="000000" w:themeColor="text1"/>
                <w:szCs w:val="24"/>
                <w:lang w:val="en-GB" w:eastAsia="zh-HK"/>
              </w:rPr>
              <w:t xml:space="preserve">orm </w:t>
            </w:r>
            <w:r w:rsidRPr="00C44BF3">
              <w:rPr>
                <w:rFonts w:ascii="Times New Roman" w:hAnsi="Times New Roman" w:cs="Times New Roman"/>
                <w:color w:val="000000" w:themeColor="text1"/>
                <w:szCs w:val="24"/>
                <w:lang w:val="en-GB" w:eastAsia="zh-HK"/>
              </w:rPr>
              <w:t xml:space="preserve">1 and </w:t>
            </w:r>
            <w:r w:rsidR="001B35E7">
              <w:rPr>
                <w:rFonts w:ascii="Times New Roman" w:hAnsi="Times New Roman" w:cs="Times New Roman"/>
                <w:color w:val="000000" w:themeColor="text1"/>
                <w:szCs w:val="24"/>
                <w:lang w:val="en-GB" w:eastAsia="zh-HK"/>
              </w:rPr>
              <w:t>f</w:t>
            </w:r>
            <w:r w:rsidR="001B35E7" w:rsidRPr="00C44BF3">
              <w:rPr>
                <w:rFonts w:ascii="Times New Roman" w:hAnsi="Times New Roman" w:cs="Times New Roman"/>
                <w:color w:val="000000" w:themeColor="text1"/>
                <w:szCs w:val="24"/>
                <w:lang w:val="en-GB" w:eastAsia="zh-HK"/>
              </w:rPr>
              <w:t xml:space="preserve">orm </w:t>
            </w:r>
            <w:r w:rsidRPr="00C44BF3">
              <w:rPr>
                <w:rFonts w:ascii="Times New Roman" w:hAnsi="Times New Roman" w:cs="Times New Roman"/>
                <w:color w:val="000000" w:themeColor="text1"/>
                <w:szCs w:val="24"/>
                <w:lang w:val="en-GB" w:eastAsia="zh-HK"/>
              </w:rPr>
              <w:t xml:space="preserve">2 of MA(BS)12A, but they should be included for book value reporting (row T) on </w:t>
            </w:r>
            <w:r w:rsidR="001B35E7">
              <w:rPr>
                <w:rFonts w:ascii="Times New Roman" w:hAnsi="Times New Roman" w:cs="Times New Roman"/>
                <w:color w:val="000000" w:themeColor="text1"/>
                <w:szCs w:val="24"/>
                <w:lang w:val="en-GB" w:eastAsia="zh-HK"/>
              </w:rPr>
              <w:t>f</w:t>
            </w:r>
            <w:r w:rsidR="001B35E7" w:rsidRPr="00C44BF3">
              <w:rPr>
                <w:rFonts w:ascii="Times New Roman" w:hAnsi="Times New Roman" w:cs="Times New Roman"/>
                <w:color w:val="000000" w:themeColor="text1"/>
                <w:szCs w:val="24"/>
                <w:lang w:val="en-GB" w:eastAsia="zh-HK"/>
              </w:rPr>
              <w:t xml:space="preserve">orm </w:t>
            </w:r>
            <w:r w:rsidRPr="00C44BF3">
              <w:rPr>
                <w:rFonts w:ascii="Times New Roman" w:hAnsi="Times New Roman" w:cs="Times New Roman"/>
                <w:color w:val="000000" w:themeColor="text1"/>
                <w:szCs w:val="24"/>
                <w:lang w:val="en-GB" w:eastAsia="zh-HK"/>
              </w:rPr>
              <w:t xml:space="preserve">1 and </w:t>
            </w:r>
            <w:r w:rsidR="001B35E7">
              <w:rPr>
                <w:rFonts w:ascii="Times New Roman" w:hAnsi="Times New Roman" w:cs="Times New Roman"/>
                <w:color w:val="000000" w:themeColor="text1"/>
                <w:szCs w:val="24"/>
                <w:lang w:val="en-GB" w:eastAsia="zh-HK"/>
              </w:rPr>
              <w:t>f</w:t>
            </w:r>
            <w:r w:rsidR="001B35E7" w:rsidRPr="00C44BF3">
              <w:rPr>
                <w:rFonts w:ascii="Times New Roman" w:hAnsi="Times New Roman" w:cs="Times New Roman"/>
                <w:color w:val="000000" w:themeColor="text1"/>
                <w:szCs w:val="24"/>
                <w:lang w:val="en-GB" w:eastAsia="zh-HK"/>
              </w:rPr>
              <w:t xml:space="preserve">orm </w:t>
            </w:r>
            <w:r w:rsidRPr="00C44BF3">
              <w:rPr>
                <w:rFonts w:ascii="Times New Roman" w:hAnsi="Times New Roman" w:cs="Times New Roman"/>
                <w:color w:val="000000" w:themeColor="text1"/>
                <w:szCs w:val="24"/>
                <w:lang w:val="en-GB" w:eastAsia="zh-HK"/>
              </w:rPr>
              <w:t>2 of MA(BS)12A.</w:t>
            </w:r>
          </w:p>
        </w:tc>
      </w:tr>
      <w:tr w:rsidR="00427F2F" w:rsidRPr="00C44BF3" w:rsidTr="00161317">
        <w:tc>
          <w:tcPr>
            <w:tcW w:w="709" w:type="dxa"/>
          </w:tcPr>
          <w:p w:rsidR="00427F2F" w:rsidRPr="00C44BF3" w:rsidRDefault="003235D1">
            <w:pPr>
              <w:rPr>
                <w:rFonts w:ascii="Times New Roman" w:hAnsi="Times New Roman" w:cs="Times New Roman"/>
                <w:szCs w:val="24"/>
                <w:lang w:val="en-GB"/>
              </w:rPr>
            </w:pPr>
            <w:r w:rsidRPr="00C44BF3">
              <w:rPr>
                <w:rFonts w:ascii="Times New Roman" w:hAnsi="Times New Roman" w:cs="Times New Roman"/>
                <w:szCs w:val="24"/>
                <w:lang w:val="en-GB"/>
              </w:rPr>
              <w:t>13</w:t>
            </w:r>
          </w:p>
        </w:tc>
        <w:tc>
          <w:tcPr>
            <w:tcW w:w="3260" w:type="dxa"/>
          </w:tcPr>
          <w:p w:rsidR="00427F2F" w:rsidRPr="00C44BF3" w:rsidRDefault="00696D16" w:rsidP="001B35E7">
            <w:pPr>
              <w:jc w:val="both"/>
              <w:rPr>
                <w:rFonts w:ascii="Times New Roman" w:hAnsi="Times New Roman" w:cs="Times New Roman"/>
                <w:szCs w:val="24"/>
                <w:lang w:val="en-GB"/>
              </w:rPr>
            </w:pPr>
            <w:r w:rsidRPr="00C44BF3">
              <w:rPr>
                <w:rFonts w:ascii="Times New Roman" w:hAnsi="Times New Roman" w:cs="Times New Roman"/>
                <w:szCs w:val="24"/>
                <w:lang w:val="en-GB"/>
              </w:rPr>
              <w:t xml:space="preserve">Should the accrued interest receivables and payables recorded on balance sheet be excluded in </w:t>
            </w:r>
            <w:r w:rsidR="001B35E7">
              <w:rPr>
                <w:rFonts w:ascii="Times New Roman" w:hAnsi="Times New Roman" w:cs="Times New Roman"/>
                <w:szCs w:val="24"/>
                <w:lang w:val="en-GB"/>
              </w:rPr>
              <w:t>f</w:t>
            </w:r>
            <w:r w:rsidR="001B35E7" w:rsidRPr="00C44BF3">
              <w:rPr>
                <w:rFonts w:ascii="Times New Roman" w:hAnsi="Times New Roman" w:cs="Times New Roman"/>
                <w:szCs w:val="24"/>
                <w:lang w:val="en-GB"/>
              </w:rPr>
              <w:t xml:space="preserve">orm </w:t>
            </w:r>
            <w:r w:rsidRPr="00C44BF3">
              <w:rPr>
                <w:rFonts w:ascii="Times New Roman" w:hAnsi="Times New Roman" w:cs="Times New Roman"/>
                <w:szCs w:val="24"/>
                <w:lang w:val="en-GB"/>
              </w:rPr>
              <w:t xml:space="preserve">1 and </w:t>
            </w:r>
            <w:r w:rsidR="001B35E7">
              <w:rPr>
                <w:rFonts w:ascii="Times New Roman" w:hAnsi="Times New Roman" w:cs="Times New Roman"/>
                <w:szCs w:val="24"/>
                <w:lang w:val="en-GB"/>
              </w:rPr>
              <w:t>f</w:t>
            </w:r>
            <w:r w:rsidR="001B35E7" w:rsidRPr="00C44BF3">
              <w:rPr>
                <w:rFonts w:ascii="Times New Roman" w:hAnsi="Times New Roman" w:cs="Times New Roman"/>
                <w:szCs w:val="24"/>
                <w:lang w:val="en-GB"/>
              </w:rPr>
              <w:t xml:space="preserve">orm </w:t>
            </w:r>
            <w:r w:rsidRPr="00C44BF3">
              <w:rPr>
                <w:rFonts w:ascii="Times New Roman" w:hAnsi="Times New Roman" w:cs="Times New Roman"/>
                <w:szCs w:val="24"/>
                <w:lang w:val="en-GB"/>
              </w:rPr>
              <w:t>2 of MA(BS)12A?</w:t>
            </w:r>
          </w:p>
        </w:tc>
        <w:tc>
          <w:tcPr>
            <w:tcW w:w="9923" w:type="dxa"/>
          </w:tcPr>
          <w:p w:rsidR="00427F2F" w:rsidRPr="00C44BF3" w:rsidRDefault="00696D16" w:rsidP="001B35E7">
            <w:pPr>
              <w:jc w:val="both"/>
              <w:rPr>
                <w:rFonts w:ascii="Times New Roman" w:hAnsi="Times New Roman" w:cs="Times New Roman"/>
                <w:color w:val="000000" w:themeColor="text1"/>
                <w:szCs w:val="24"/>
                <w:lang w:val="en-GB" w:eastAsia="zh-HK"/>
              </w:rPr>
            </w:pPr>
            <w:r w:rsidRPr="00C44BF3">
              <w:rPr>
                <w:rFonts w:ascii="Times New Roman" w:hAnsi="Times New Roman" w:cs="Times New Roman"/>
                <w:color w:val="000000" w:themeColor="text1"/>
                <w:szCs w:val="24"/>
                <w:lang w:val="en-GB" w:eastAsia="zh-HK"/>
              </w:rPr>
              <w:t xml:space="preserve">Accrued interest receivables and payables should be excluded for notional reporting (rows A to S) on </w:t>
            </w:r>
            <w:r w:rsidR="001B35E7">
              <w:rPr>
                <w:rFonts w:ascii="Times New Roman" w:hAnsi="Times New Roman" w:cs="Times New Roman"/>
                <w:color w:val="000000" w:themeColor="text1"/>
                <w:szCs w:val="24"/>
                <w:lang w:val="en-GB" w:eastAsia="zh-HK"/>
              </w:rPr>
              <w:t>f</w:t>
            </w:r>
            <w:r w:rsidR="001B35E7" w:rsidRPr="00C44BF3">
              <w:rPr>
                <w:rFonts w:ascii="Times New Roman" w:hAnsi="Times New Roman" w:cs="Times New Roman"/>
                <w:color w:val="000000" w:themeColor="text1"/>
                <w:szCs w:val="24"/>
                <w:lang w:val="en-GB" w:eastAsia="zh-HK"/>
              </w:rPr>
              <w:t xml:space="preserve">orm </w:t>
            </w:r>
            <w:r w:rsidRPr="00C44BF3">
              <w:rPr>
                <w:rFonts w:ascii="Times New Roman" w:hAnsi="Times New Roman" w:cs="Times New Roman"/>
                <w:color w:val="000000" w:themeColor="text1"/>
                <w:szCs w:val="24"/>
                <w:lang w:val="en-GB" w:eastAsia="zh-HK"/>
              </w:rPr>
              <w:t xml:space="preserve">1 and </w:t>
            </w:r>
            <w:r w:rsidR="001B35E7">
              <w:rPr>
                <w:rFonts w:ascii="Times New Roman" w:hAnsi="Times New Roman" w:cs="Times New Roman"/>
                <w:color w:val="000000" w:themeColor="text1"/>
                <w:szCs w:val="24"/>
                <w:lang w:val="en-GB" w:eastAsia="zh-HK"/>
              </w:rPr>
              <w:t>f</w:t>
            </w:r>
            <w:r w:rsidR="001B35E7" w:rsidRPr="00C44BF3">
              <w:rPr>
                <w:rFonts w:ascii="Times New Roman" w:hAnsi="Times New Roman" w:cs="Times New Roman"/>
                <w:color w:val="000000" w:themeColor="text1"/>
                <w:szCs w:val="24"/>
                <w:lang w:val="en-GB" w:eastAsia="zh-HK"/>
              </w:rPr>
              <w:t xml:space="preserve">orm </w:t>
            </w:r>
            <w:r w:rsidRPr="00C44BF3">
              <w:rPr>
                <w:rFonts w:ascii="Times New Roman" w:hAnsi="Times New Roman" w:cs="Times New Roman"/>
                <w:color w:val="000000" w:themeColor="text1"/>
                <w:szCs w:val="24"/>
                <w:lang w:val="en-GB" w:eastAsia="zh-HK"/>
              </w:rPr>
              <w:t xml:space="preserve">2 of MA(BS)12A, but they should be included for book value reporting (row T) on </w:t>
            </w:r>
            <w:r w:rsidR="001B35E7">
              <w:rPr>
                <w:rFonts w:ascii="Times New Roman" w:hAnsi="Times New Roman" w:cs="Times New Roman"/>
                <w:color w:val="000000" w:themeColor="text1"/>
                <w:szCs w:val="24"/>
                <w:lang w:val="en-GB" w:eastAsia="zh-HK"/>
              </w:rPr>
              <w:t>f</w:t>
            </w:r>
            <w:r w:rsidR="001B35E7" w:rsidRPr="00C44BF3">
              <w:rPr>
                <w:rFonts w:ascii="Times New Roman" w:hAnsi="Times New Roman" w:cs="Times New Roman"/>
                <w:color w:val="000000" w:themeColor="text1"/>
                <w:szCs w:val="24"/>
                <w:lang w:val="en-GB" w:eastAsia="zh-HK"/>
              </w:rPr>
              <w:t xml:space="preserve">orm </w:t>
            </w:r>
            <w:r w:rsidRPr="00C44BF3">
              <w:rPr>
                <w:rFonts w:ascii="Times New Roman" w:hAnsi="Times New Roman" w:cs="Times New Roman"/>
                <w:color w:val="000000" w:themeColor="text1"/>
                <w:szCs w:val="24"/>
                <w:lang w:val="en-GB" w:eastAsia="zh-HK"/>
              </w:rPr>
              <w:t xml:space="preserve">1 and </w:t>
            </w:r>
            <w:r w:rsidR="001B35E7">
              <w:rPr>
                <w:rFonts w:ascii="Times New Roman" w:hAnsi="Times New Roman" w:cs="Times New Roman"/>
                <w:color w:val="000000" w:themeColor="text1"/>
                <w:szCs w:val="24"/>
                <w:lang w:val="en-GB" w:eastAsia="zh-HK"/>
              </w:rPr>
              <w:t>f</w:t>
            </w:r>
            <w:r w:rsidR="001B35E7" w:rsidRPr="00C44BF3">
              <w:rPr>
                <w:rFonts w:ascii="Times New Roman" w:hAnsi="Times New Roman" w:cs="Times New Roman"/>
                <w:color w:val="000000" w:themeColor="text1"/>
                <w:szCs w:val="24"/>
                <w:lang w:val="en-GB" w:eastAsia="zh-HK"/>
              </w:rPr>
              <w:t xml:space="preserve">orm </w:t>
            </w:r>
            <w:r w:rsidRPr="00C44BF3">
              <w:rPr>
                <w:rFonts w:ascii="Times New Roman" w:hAnsi="Times New Roman" w:cs="Times New Roman"/>
                <w:color w:val="000000" w:themeColor="text1"/>
                <w:szCs w:val="24"/>
                <w:lang w:val="en-GB" w:eastAsia="zh-HK"/>
              </w:rPr>
              <w:t>2 of MA(BS)12A.</w:t>
            </w:r>
          </w:p>
        </w:tc>
      </w:tr>
      <w:tr w:rsidR="002F483A" w:rsidRPr="00C44BF3" w:rsidTr="00161317">
        <w:tc>
          <w:tcPr>
            <w:tcW w:w="709" w:type="dxa"/>
          </w:tcPr>
          <w:p w:rsidR="002F483A" w:rsidRPr="00C44BF3" w:rsidRDefault="003235D1">
            <w:pPr>
              <w:rPr>
                <w:rFonts w:ascii="Times New Roman" w:hAnsi="Times New Roman" w:cs="Times New Roman"/>
                <w:szCs w:val="24"/>
                <w:lang w:val="en-GB"/>
              </w:rPr>
            </w:pPr>
            <w:r w:rsidRPr="00C44BF3">
              <w:rPr>
                <w:rFonts w:ascii="Times New Roman" w:hAnsi="Times New Roman" w:cs="Times New Roman"/>
                <w:szCs w:val="24"/>
                <w:lang w:val="en-GB"/>
              </w:rPr>
              <w:t>14</w:t>
            </w:r>
          </w:p>
        </w:tc>
        <w:tc>
          <w:tcPr>
            <w:tcW w:w="3260" w:type="dxa"/>
          </w:tcPr>
          <w:p w:rsidR="002F483A" w:rsidRPr="00C44BF3" w:rsidRDefault="00B32489" w:rsidP="00E3070B">
            <w:pPr>
              <w:jc w:val="both"/>
              <w:rPr>
                <w:rFonts w:ascii="Times New Roman" w:hAnsi="Times New Roman" w:cs="Times New Roman"/>
                <w:szCs w:val="24"/>
              </w:rPr>
            </w:pPr>
            <w:r w:rsidRPr="00C44BF3">
              <w:rPr>
                <w:rFonts w:ascii="Times New Roman" w:hAnsi="Times New Roman" w:cs="Times New Roman"/>
                <w:szCs w:val="24"/>
              </w:rPr>
              <w:t xml:space="preserve">Should a product with fixed rate cap/floor be reported as fixed rate if the fixed rate cap/floor is triggered? For the basis risk calculation, should the same calculation logic as floating rate assets subject to </w:t>
            </w:r>
            <w:r w:rsidRPr="00C44BF3">
              <w:rPr>
                <w:rFonts w:ascii="Times New Roman" w:hAnsi="Times New Roman" w:cs="Times New Roman"/>
                <w:szCs w:val="24"/>
              </w:rPr>
              <w:lastRenderedPageBreak/>
              <w:t>managed rate cap be followed?</w:t>
            </w:r>
          </w:p>
        </w:tc>
        <w:tc>
          <w:tcPr>
            <w:tcW w:w="9923" w:type="dxa"/>
          </w:tcPr>
          <w:p w:rsidR="00BC6FF7" w:rsidRPr="00C44BF3" w:rsidRDefault="00BC6FF7" w:rsidP="006C74B3">
            <w:pPr>
              <w:jc w:val="both"/>
              <w:rPr>
                <w:rFonts w:ascii="Times New Roman" w:eastAsia="新細明體" w:hAnsi="Times New Roman" w:cs="Times New Roman"/>
                <w:szCs w:val="24"/>
              </w:rPr>
            </w:pPr>
            <w:r w:rsidRPr="00C44BF3">
              <w:rPr>
                <w:rFonts w:ascii="Times New Roman" w:eastAsia="新細明體" w:hAnsi="Times New Roman" w:cs="Times New Roman"/>
                <w:szCs w:val="24"/>
              </w:rPr>
              <w:lastRenderedPageBreak/>
              <w:t>P</w:t>
            </w:r>
            <w:r w:rsidR="007C4026" w:rsidRPr="00C44BF3">
              <w:rPr>
                <w:rFonts w:ascii="Times New Roman" w:eastAsia="新細明體" w:hAnsi="Times New Roman" w:cs="Times New Roman"/>
                <w:szCs w:val="24"/>
              </w:rPr>
              <w:t>aragraph 14 of MA(BS)12A</w:t>
            </w:r>
            <w:r w:rsidRPr="00C44BF3">
              <w:rPr>
                <w:rFonts w:ascii="Times New Roman" w:eastAsia="新細明體" w:hAnsi="Times New Roman" w:cs="Times New Roman"/>
                <w:szCs w:val="24"/>
              </w:rPr>
              <w:t xml:space="preserve"> specifies that</w:t>
            </w:r>
            <w:r w:rsidR="007C4026" w:rsidRPr="00C44BF3">
              <w:rPr>
                <w:rFonts w:ascii="Times New Roman" w:eastAsia="新細明體" w:hAnsi="Times New Roman" w:cs="Times New Roman"/>
                <w:szCs w:val="24"/>
              </w:rPr>
              <w:t xml:space="preserve"> assets or liabilities with embedded automatic interest rate options (such as floating rate loans with embedded caps and/or floors</w:t>
            </w:r>
            <w:r w:rsidR="00B8753B" w:rsidRPr="00C44BF3">
              <w:rPr>
                <w:rFonts w:ascii="Times New Roman" w:eastAsia="新細明體" w:hAnsi="Times New Roman" w:cs="Times New Roman"/>
                <w:szCs w:val="24"/>
              </w:rPr>
              <w:t xml:space="preserve">, however with the exception of options embedded in mortgage loans subject to </w:t>
            </w:r>
            <w:r w:rsidR="00B8753B" w:rsidRPr="00C44BF3">
              <w:rPr>
                <w:rFonts w:ascii="Times New Roman" w:eastAsia="新細明體" w:hAnsi="Times New Roman" w:cs="Times New Roman"/>
                <w:i/>
                <w:szCs w:val="24"/>
              </w:rPr>
              <w:t>managed</w:t>
            </w:r>
            <w:r w:rsidR="00B8753B" w:rsidRPr="00C44BF3">
              <w:rPr>
                <w:rFonts w:ascii="Times New Roman" w:eastAsia="新細明體" w:hAnsi="Times New Roman" w:cs="Times New Roman"/>
                <w:szCs w:val="24"/>
              </w:rPr>
              <w:t xml:space="preserve"> rate caps</w:t>
            </w:r>
            <w:r w:rsidR="007C4026" w:rsidRPr="00C44BF3">
              <w:rPr>
                <w:rFonts w:ascii="Times New Roman" w:eastAsia="新細明體" w:hAnsi="Times New Roman" w:cs="Times New Roman"/>
                <w:szCs w:val="24"/>
              </w:rPr>
              <w:t xml:space="preserve">) should be decomposed into embedded automatic interest rate options and underlying assets or liabilities. The embedded automatic interest rate options should be reported under off-balance sheet positions and the underlying assets or liabilities should be slotted into the appropriate time bands according to their earliest interest repricing date. </w:t>
            </w:r>
          </w:p>
          <w:p w:rsidR="002A6089" w:rsidRPr="00C44BF3" w:rsidRDefault="00BC6FF7" w:rsidP="00FD29EF">
            <w:pPr>
              <w:jc w:val="both"/>
              <w:rPr>
                <w:rFonts w:ascii="Times New Roman" w:eastAsia="新細明體" w:hAnsi="Times New Roman" w:cs="Times New Roman"/>
                <w:szCs w:val="24"/>
              </w:rPr>
            </w:pPr>
            <w:r w:rsidRPr="00C44BF3">
              <w:rPr>
                <w:rFonts w:ascii="Times New Roman" w:eastAsia="新細明體" w:hAnsi="Times New Roman" w:cs="Times New Roman"/>
                <w:szCs w:val="24"/>
                <w:lang w:val="en-GB"/>
              </w:rPr>
              <w:lastRenderedPageBreak/>
              <w:t>Accordingly</w:t>
            </w:r>
            <w:r w:rsidR="007C4026" w:rsidRPr="00C44BF3">
              <w:rPr>
                <w:rFonts w:ascii="Times New Roman" w:eastAsia="新細明體" w:hAnsi="Times New Roman" w:cs="Times New Roman"/>
                <w:szCs w:val="24"/>
                <w:lang w:val="en-GB"/>
              </w:rPr>
              <w:t xml:space="preserve">, a </w:t>
            </w:r>
            <w:r w:rsidR="00F87404" w:rsidRPr="00C44BF3">
              <w:rPr>
                <w:rFonts w:ascii="Times New Roman" w:eastAsia="新細明體" w:hAnsi="Times New Roman" w:cs="Times New Roman"/>
                <w:szCs w:val="24"/>
                <w:lang w:val="en-GB"/>
              </w:rPr>
              <w:t xml:space="preserve">fixed </w:t>
            </w:r>
            <w:r w:rsidR="007C4026" w:rsidRPr="00C44BF3">
              <w:rPr>
                <w:rFonts w:ascii="Times New Roman" w:eastAsia="新細明體" w:hAnsi="Times New Roman" w:cs="Times New Roman"/>
                <w:szCs w:val="24"/>
                <w:lang w:val="en-GB"/>
              </w:rPr>
              <w:t>cap floating rate loan should be stripped of the automatic interest rate option</w:t>
            </w:r>
            <w:r w:rsidRPr="00C44BF3">
              <w:rPr>
                <w:rFonts w:ascii="Times New Roman" w:eastAsia="新細明體" w:hAnsi="Times New Roman" w:cs="Times New Roman"/>
                <w:szCs w:val="24"/>
                <w:lang w:val="en-GB"/>
              </w:rPr>
              <w:t xml:space="preserve">. The option is then reported under Item 14 while the stripped loan is reported </w:t>
            </w:r>
            <w:r w:rsidR="00F87404" w:rsidRPr="00C44BF3">
              <w:rPr>
                <w:rFonts w:ascii="Times New Roman" w:eastAsia="新細明體" w:hAnsi="Times New Roman" w:cs="Times New Roman"/>
                <w:szCs w:val="24"/>
                <w:lang w:val="en-GB"/>
              </w:rPr>
              <w:t xml:space="preserve">as floating rate asset </w:t>
            </w:r>
            <w:r w:rsidRPr="00C44BF3">
              <w:rPr>
                <w:rFonts w:ascii="Times New Roman" w:eastAsia="新細明體" w:hAnsi="Times New Roman" w:cs="Times New Roman"/>
                <w:szCs w:val="24"/>
                <w:lang w:val="en-GB"/>
              </w:rPr>
              <w:t>under Item 3 in the IRRBB return</w:t>
            </w:r>
            <w:r w:rsidRPr="00C44BF3">
              <w:rPr>
                <w:rFonts w:ascii="Times New Roman" w:eastAsia="新細明體" w:hAnsi="Times New Roman" w:cs="Times New Roman"/>
                <w:szCs w:val="24"/>
              </w:rPr>
              <w:t>.</w:t>
            </w:r>
            <w:r w:rsidR="00FD29EF" w:rsidRPr="00C44BF3">
              <w:rPr>
                <w:rFonts w:ascii="Times New Roman" w:eastAsia="新細明體" w:hAnsi="Times New Roman" w:cs="Times New Roman"/>
                <w:szCs w:val="24"/>
              </w:rPr>
              <w:t xml:space="preserve"> </w:t>
            </w:r>
            <w:r w:rsidR="002A6089" w:rsidRPr="00C44BF3">
              <w:rPr>
                <w:rFonts w:ascii="Times New Roman" w:eastAsia="新細明體" w:hAnsi="Times New Roman" w:cs="Times New Roman"/>
                <w:szCs w:val="24"/>
              </w:rPr>
              <w:t>For the basis risk calculation, the same treatment as for floating rate assets subject to a managed rate cap applies</w:t>
            </w:r>
            <w:r w:rsidR="00FD29EF" w:rsidRPr="00C44BF3">
              <w:rPr>
                <w:rFonts w:ascii="Times New Roman" w:eastAsia="新細明體" w:hAnsi="Times New Roman" w:cs="Times New Roman"/>
                <w:szCs w:val="24"/>
              </w:rPr>
              <w:t xml:space="preserve"> (however without re-classifying the floating-rate loan as a managed rate asset)</w:t>
            </w:r>
            <w:r w:rsidR="002A6089" w:rsidRPr="00C44BF3">
              <w:rPr>
                <w:rFonts w:ascii="Times New Roman" w:eastAsia="新細明體" w:hAnsi="Times New Roman" w:cs="Times New Roman"/>
                <w:szCs w:val="24"/>
              </w:rPr>
              <w:t>.</w:t>
            </w:r>
            <w:r w:rsidR="00FD29EF" w:rsidRPr="00C44BF3">
              <w:rPr>
                <w:rFonts w:ascii="Times New Roman" w:eastAsia="新細明體" w:hAnsi="Times New Roman" w:cs="Times New Roman"/>
                <w:szCs w:val="24"/>
              </w:rPr>
              <w:t xml:space="preserve"> Please refer to paragraph 44 in MA(BS)12A for further details.</w:t>
            </w:r>
          </w:p>
        </w:tc>
      </w:tr>
      <w:tr w:rsidR="002F483A" w:rsidRPr="00C44BF3" w:rsidTr="00161317">
        <w:tc>
          <w:tcPr>
            <w:tcW w:w="709" w:type="dxa"/>
          </w:tcPr>
          <w:p w:rsidR="002F483A" w:rsidRPr="00C44BF3" w:rsidRDefault="003235D1" w:rsidP="002D2629">
            <w:pPr>
              <w:rPr>
                <w:rFonts w:ascii="Times New Roman" w:hAnsi="Times New Roman" w:cs="Times New Roman"/>
                <w:szCs w:val="24"/>
                <w:lang w:val="en-GB"/>
              </w:rPr>
            </w:pPr>
            <w:r w:rsidRPr="00C44BF3">
              <w:rPr>
                <w:rFonts w:ascii="Times New Roman" w:hAnsi="Times New Roman" w:cs="Times New Roman"/>
                <w:szCs w:val="24"/>
                <w:lang w:val="en-GB"/>
              </w:rPr>
              <w:lastRenderedPageBreak/>
              <w:t>15</w:t>
            </w:r>
          </w:p>
        </w:tc>
        <w:tc>
          <w:tcPr>
            <w:tcW w:w="3260" w:type="dxa"/>
          </w:tcPr>
          <w:p w:rsidR="002F483A" w:rsidRPr="00C44BF3" w:rsidRDefault="002D2629" w:rsidP="00E3070B">
            <w:pPr>
              <w:jc w:val="both"/>
              <w:rPr>
                <w:rFonts w:ascii="Times New Roman" w:hAnsi="Times New Roman" w:cs="Times New Roman"/>
                <w:szCs w:val="24"/>
                <w:lang w:val="en-GB"/>
              </w:rPr>
            </w:pPr>
            <w:r w:rsidRPr="00C44BF3">
              <w:rPr>
                <w:rFonts w:ascii="Times New Roman" w:hAnsi="Times New Roman" w:cs="Times New Roman"/>
                <w:szCs w:val="24"/>
                <w:lang w:val="en-GB"/>
              </w:rPr>
              <w:t>Are AIs permitted to construct the risk</w:t>
            </w:r>
            <w:r w:rsidR="00753A33" w:rsidRPr="00C44BF3">
              <w:rPr>
                <w:rFonts w:ascii="Times New Roman" w:hAnsi="Times New Roman" w:cs="Times New Roman"/>
                <w:szCs w:val="24"/>
                <w:lang w:val="en-GB"/>
              </w:rPr>
              <w:t>-</w:t>
            </w:r>
            <w:r w:rsidRPr="00C44BF3">
              <w:rPr>
                <w:rFonts w:ascii="Times New Roman" w:hAnsi="Times New Roman" w:cs="Times New Roman"/>
                <w:szCs w:val="24"/>
                <w:lang w:val="en-GB"/>
              </w:rPr>
              <w:t>free yield curve (without spread components) for discounting purposes even if the AIs slot coupon cash flows including spread components?</w:t>
            </w:r>
          </w:p>
        </w:tc>
        <w:tc>
          <w:tcPr>
            <w:tcW w:w="9923" w:type="dxa"/>
          </w:tcPr>
          <w:p w:rsidR="002F483A" w:rsidRPr="00C44BF3" w:rsidRDefault="001B17D6" w:rsidP="006C74B3">
            <w:pPr>
              <w:jc w:val="both"/>
              <w:rPr>
                <w:rFonts w:ascii="Times New Roman" w:hAnsi="Times New Roman" w:cs="Times New Roman"/>
                <w:color w:val="000000" w:themeColor="text1"/>
                <w:szCs w:val="24"/>
                <w:lang w:val="en-GB" w:eastAsia="zh-HK"/>
              </w:rPr>
            </w:pPr>
            <w:r w:rsidRPr="00C44BF3">
              <w:rPr>
                <w:rFonts w:ascii="Times New Roman" w:hAnsi="Times New Roman" w:cs="Times New Roman"/>
                <w:color w:val="000000" w:themeColor="text1"/>
                <w:szCs w:val="24"/>
                <w:lang w:val="en-GB" w:eastAsia="zh-HK"/>
              </w:rPr>
              <w:t>Yes</w:t>
            </w:r>
            <w:r w:rsidR="00ED3129" w:rsidRPr="00C44BF3">
              <w:rPr>
                <w:rFonts w:ascii="Times New Roman" w:hAnsi="Times New Roman" w:cs="Times New Roman"/>
                <w:color w:val="000000" w:themeColor="text1"/>
                <w:szCs w:val="24"/>
                <w:lang w:val="en-GB" w:eastAsia="zh-HK"/>
              </w:rPr>
              <w:t>, that is allowed</w:t>
            </w:r>
            <w:r w:rsidRPr="00C44BF3">
              <w:rPr>
                <w:rFonts w:ascii="Times New Roman" w:hAnsi="Times New Roman" w:cs="Times New Roman"/>
                <w:color w:val="000000" w:themeColor="text1"/>
                <w:szCs w:val="24"/>
                <w:lang w:val="en-GB" w:eastAsia="zh-HK"/>
              </w:rPr>
              <w:t xml:space="preserve"> (see footnote 2</w:t>
            </w:r>
            <w:r w:rsidR="003235D1" w:rsidRPr="00C44BF3">
              <w:rPr>
                <w:rFonts w:ascii="Times New Roman" w:hAnsi="Times New Roman" w:cs="Times New Roman"/>
                <w:color w:val="000000" w:themeColor="text1"/>
                <w:szCs w:val="24"/>
                <w:lang w:val="en-GB" w:eastAsia="zh-HK"/>
              </w:rPr>
              <w:t>3</w:t>
            </w:r>
            <w:r w:rsidRPr="00C44BF3">
              <w:rPr>
                <w:rFonts w:ascii="Times New Roman" w:hAnsi="Times New Roman" w:cs="Times New Roman"/>
                <w:color w:val="000000" w:themeColor="text1"/>
                <w:szCs w:val="24"/>
                <w:lang w:val="en-GB" w:eastAsia="zh-HK"/>
              </w:rPr>
              <w:t xml:space="preserve"> in MA(BS)12A).</w:t>
            </w:r>
          </w:p>
        </w:tc>
      </w:tr>
      <w:tr w:rsidR="002F483A" w:rsidRPr="00C44BF3" w:rsidTr="00161317">
        <w:tc>
          <w:tcPr>
            <w:tcW w:w="709" w:type="dxa"/>
          </w:tcPr>
          <w:p w:rsidR="002F483A" w:rsidRPr="00C44BF3" w:rsidRDefault="003235D1">
            <w:pPr>
              <w:rPr>
                <w:rFonts w:ascii="Times New Roman" w:hAnsi="Times New Roman" w:cs="Times New Roman"/>
                <w:szCs w:val="24"/>
                <w:lang w:val="en-GB"/>
              </w:rPr>
            </w:pPr>
            <w:r w:rsidRPr="00C44BF3">
              <w:rPr>
                <w:rFonts w:ascii="Times New Roman" w:hAnsi="Times New Roman" w:cs="Times New Roman"/>
                <w:szCs w:val="24"/>
                <w:lang w:val="en-GB"/>
              </w:rPr>
              <w:t>16</w:t>
            </w:r>
          </w:p>
        </w:tc>
        <w:tc>
          <w:tcPr>
            <w:tcW w:w="3260" w:type="dxa"/>
          </w:tcPr>
          <w:p w:rsidR="002F483A" w:rsidRPr="00C44BF3" w:rsidRDefault="003E6197" w:rsidP="00FD29EF">
            <w:pPr>
              <w:jc w:val="both"/>
              <w:rPr>
                <w:rFonts w:ascii="Times New Roman" w:hAnsi="Times New Roman" w:cs="Times New Roman"/>
                <w:szCs w:val="24"/>
                <w:lang w:val="en-GB"/>
              </w:rPr>
            </w:pPr>
            <w:r w:rsidRPr="00C44BF3">
              <w:rPr>
                <w:rFonts w:ascii="Times New Roman" w:hAnsi="Times New Roman" w:cs="Times New Roman"/>
                <w:szCs w:val="24"/>
                <w:lang w:val="en-GB"/>
              </w:rPr>
              <w:t xml:space="preserve">Do </w:t>
            </w:r>
            <w:r w:rsidR="002D2629" w:rsidRPr="00C44BF3">
              <w:rPr>
                <w:rFonts w:ascii="Times New Roman" w:hAnsi="Times New Roman" w:cs="Times New Roman"/>
                <w:szCs w:val="24"/>
                <w:lang w:val="en-GB"/>
              </w:rPr>
              <w:t xml:space="preserve">AIs need to go through the entire automatic interest rate options valuations procedure for all currencies (including currencies that will not be major) before arriving at the conclusion </w:t>
            </w:r>
            <w:r w:rsidR="00FD29EF" w:rsidRPr="00C44BF3">
              <w:rPr>
                <w:rFonts w:ascii="Times New Roman" w:hAnsi="Times New Roman" w:cs="Times New Roman"/>
                <w:szCs w:val="24"/>
                <w:lang w:val="en-GB"/>
              </w:rPr>
              <w:t>as to</w:t>
            </w:r>
            <w:r w:rsidR="002D2629" w:rsidRPr="00C44BF3">
              <w:rPr>
                <w:rFonts w:ascii="Times New Roman" w:hAnsi="Times New Roman" w:cs="Times New Roman"/>
                <w:szCs w:val="24"/>
                <w:lang w:val="en-GB"/>
              </w:rPr>
              <w:t xml:space="preserve"> which currencies are major and whether the sum of all non-major currencies exceed</w:t>
            </w:r>
            <w:r w:rsidR="001641DE" w:rsidRPr="00C44BF3">
              <w:rPr>
                <w:rFonts w:ascii="Times New Roman" w:hAnsi="Times New Roman" w:cs="Times New Roman"/>
                <w:szCs w:val="24"/>
                <w:lang w:val="en-GB"/>
              </w:rPr>
              <w:t>s</w:t>
            </w:r>
            <w:r w:rsidR="002D2629" w:rsidRPr="00C44BF3">
              <w:rPr>
                <w:rFonts w:ascii="Times New Roman" w:hAnsi="Times New Roman" w:cs="Times New Roman"/>
                <w:szCs w:val="24"/>
                <w:lang w:val="en-GB"/>
              </w:rPr>
              <w:t xml:space="preserve"> </w:t>
            </w:r>
            <w:r w:rsidR="002D2629" w:rsidRPr="00C44BF3">
              <w:rPr>
                <w:rFonts w:ascii="Times New Roman" w:hAnsi="Times New Roman" w:cs="Times New Roman"/>
                <w:szCs w:val="24"/>
                <w:lang w:val="en-GB"/>
              </w:rPr>
              <w:lastRenderedPageBreak/>
              <w:t>th</w:t>
            </w:r>
            <w:r w:rsidRPr="00C44BF3">
              <w:rPr>
                <w:rFonts w:ascii="Times New Roman" w:hAnsi="Times New Roman" w:cs="Times New Roman"/>
                <w:szCs w:val="24"/>
                <w:lang w:val="en-GB"/>
              </w:rPr>
              <w:t>e</w:t>
            </w:r>
            <w:r w:rsidR="002D2629" w:rsidRPr="00C44BF3">
              <w:rPr>
                <w:rFonts w:ascii="Times New Roman" w:hAnsi="Times New Roman" w:cs="Times New Roman"/>
                <w:szCs w:val="24"/>
                <w:lang w:val="en-GB"/>
              </w:rPr>
              <w:t xml:space="preserve"> 10% threshold</w:t>
            </w:r>
            <w:r w:rsidRPr="00C44BF3">
              <w:rPr>
                <w:rFonts w:ascii="Times New Roman" w:hAnsi="Times New Roman" w:cs="Times New Roman"/>
                <w:szCs w:val="24"/>
                <w:lang w:val="en-GB"/>
              </w:rPr>
              <w:t>?</w:t>
            </w:r>
          </w:p>
        </w:tc>
        <w:tc>
          <w:tcPr>
            <w:tcW w:w="9923" w:type="dxa"/>
          </w:tcPr>
          <w:p w:rsidR="002F483A" w:rsidRPr="00C44BF3" w:rsidRDefault="00E2030D" w:rsidP="006C74B3">
            <w:pPr>
              <w:jc w:val="both"/>
              <w:rPr>
                <w:rFonts w:ascii="Times New Roman" w:hAnsi="Times New Roman" w:cs="Times New Roman"/>
                <w:color w:val="000000" w:themeColor="text1"/>
                <w:szCs w:val="24"/>
                <w:lang w:val="en-GB" w:eastAsia="zh-HK"/>
              </w:rPr>
            </w:pPr>
            <w:r w:rsidRPr="00C44BF3">
              <w:rPr>
                <w:rFonts w:ascii="Times New Roman" w:hAnsi="Times New Roman" w:cs="Times New Roman"/>
                <w:color w:val="000000" w:themeColor="text1"/>
                <w:szCs w:val="24"/>
                <w:lang w:val="en-GB" w:eastAsia="zh-HK"/>
              </w:rPr>
              <w:lastRenderedPageBreak/>
              <w:t>AIs are expected to be fully aware of their interest rate exposures through options for all currencies. I</w:t>
            </w:r>
            <w:r w:rsidR="003E6197" w:rsidRPr="00C44BF3">
              <w:rPr>
                <w:rFonts w:ascii="Times New Roman" w:hAnsi="Times New Roman" w:cs="Times New Roman"/>
                <w:color w:val="000000" w:themeColor="text1"/>
                <w:szCs w:val="24"/>
                <w:lang w:val="en-GB" w:eastAsia="zh-HK"/>
              </w:rPr>
              <w:t xml:space="preserve">f the AIs can show </w:t>
            </w:r>
            <w:r w:rsidRPr="00C44BF3">
              <w:rPr>
                <w:rFonts w:ascii="Times New Roman" w:hAnsi="Times New Roman" w:cs="Times New Roman"/>
                <w:color w:val="000000" w:themeColor="text1"/>
                <w:szCs w:val="24"/>
                <w:lang w:val="en-GB" w:eastAsia="zh-HK"/>
              </w:rPr>
              <w:t xml:space="preserve">that </w:t>
            </w:r>
            <w:r w:rsidR="003E6197" w:rsidRPr="00C44BF3">
              <w:rPr>
                <w:rFonts w:ascii="Times New Roman" w:hAnsi="Times New Roman" w:cs="Times New Roman"/>
                <w:color w:val="000000" w:themeColor="text1"/>
                <w:szCs w:val="24"/>
                <w:lang w:val="en-GB" w:eastAsia="zh-HK"/>
              </w:rPr>
              <w:t xml:space="preserve">a currency is not </w:t>
            </w:r>
            <w:r w:rsidRPr="00C44BF3">
              <w:rPr>
                <w:rFonts w:ascii="Times New Roman" w:hAnsi="Times New Roman" w:cs="Times New Roman"/>
                <w:color w:val="000000" w:themeColor="text1"/>
                <w:szCs w:val="24"/>
                <w:lang w:val="en-GB" w:eastAsia="zh-HK"/>
              </w:rPr>
              <w:t>major by any alternative method without going through the entire automatic interest rate options valuations, it will also be acceptable provided that the alternative method is reasonable</w:t>
            </w:r>
            <w:r w:rsidR="003E6197" w:rsidRPr="00C44BF3">
              <w:rPr>
                <w:rFonts w:ascii="Times New Roman" w:hAnsi="Times New Roman" w:cs="Times New Roman"/>
                <w:color w:val="000000" w:themeColor="text1"/>
                <w:szCs w:val="24"/>
                <w:lang w:val="en-GB" w:eastAsia="zh-HK"/>
              </w:rPr>
              <w:t>.</w:t>
            </w:r>
          </w:p>
        </w:tc>
      </w:tr>
      <w:tr w:rsidR="002D2629" w:rsidRPr="00C44BF3" w:rsidTr="00161317">
        <w:tc>
          <w:tcPr>
            <w:tcW w:w="709" w:type="dxa"/>
          </w:tcPr>
          <w:p w:rsidR="002D2629" w:rsidRPr="00C44BF3" w:rsidRDefault="003235D1">
            <w:pPr>
              <w:rPr>
                <w:rFonts w:ascii="Times New Roman" w:hAnsi="Times New Roman" w:cs="Times New Roman"/>
                <w:szCs w:val="24"/>
                <w:lang w:val="en-GB"/>
              </w:rPr>
            </w:pPr>
            <w:r w:rsidRPr="00C44BF3">
              <w:rPr>
                <w:rFonts w:ascii="Times New Roman" w:hAnsi="Times New Roman" w:cs="Times New Roman"/>
                <w:szCs w:val="24"/>
                <w:lang w:val="en-GB"/>
              </w:rPr>
              <w:lastRenderedPageBreak/>
              <w:t>17</w:t>
            </w:r>
          </w:p>
        </w:tc>
        <w:tc>
          <w:tcPr>
            <w:tcW w:w="3260" w:type="dxa"/>
          </w:tcPr>
          <w:p w:rsidR="002D2629" w:rsidRPr="00C44BF3" w:rsidRDefault="00B5438F" w:rsidP="00E3070B">
            <w:pPr>
              <w:jc w:val="both"/>
              <w:rPr>
                <w:rFonts w:ascii="Times New Roman" w:hAnsi="Times New Roman" w:cs="Times New Roman"/>
                <w:szCs w:val="24"/>
                <w:lang w:val="en-GB"/>
              </w:rPr>
            </w:pPr>
            <w:r w:rsidRPr="00C44BF3">
              <w:rPr>
                <w:rFonts w:ascii="Times New Roman" w:hAnsi="Times New Roman" w:cs="Times New Roman"/>
                <w:szCs w:val="24"/>
                <w:lang w:val="en-GB"/>
              </w:rPr>
              <w:t>I</w:t>
            </w:r>
            <w:r w:rsidR="0016646B" w:rsidRPr="00C44BF3">
              <w:rPr>
                <w:rFonts w:ascii="Times New Roman" w:hAnsi="Times New Roman" w:cs="Times New Roman"/>
                <w:szCs w:val="24"/>
                <w:lang w:val="en-GB"/>
              </w:rPr>
              <w:t>f an AI ha</w:t>
            </w:r>
            <w:r w:rsidRPr="00C44BF3">
              <w:rPr>
                <w:rFonts w:ascii="Times New Roman" w:hAnsi="Times New Roman" w:cs="Times New Roman"/>
                <w:szCs w:val="24"/>
                <w:lang w:val="en-GB"/>
              </w:rPr>
              <w:t>s</w:t>
            </w:r>
            <w:r w:rsidR="0016646B" w:rsidRPr="00C44BF3">
              <w:rPr>
                <w:rFonts w:ascii="Times New Roman" w:hAnsi="Times New Roman" w:cs="Times New Roman"/>
                <w:szCs w:val="24"/>
                <w:lang w:val="en-GB"/>
              </w:rPr>
              <w:t xml:space="preserve"> less than 7 year</w:t>
            </w:r>
            <w:r w:rsidR="00753A33" w:rsidRPr="00C44BF3">
              <w:rPr>
                <w:rFonts w:ascii="Times New Roman" w:hAnsi="Times New Roman" w:cs="Times New Roman"/>
                <w:szCs w:val="24"/>
                <w:lang w:val="en-GB"/>
              </w:rPr>
              <w:t>s of</w:t>
            </w:r>
            <w:r w:rsidR="0016646B" w:rsidRPr="00C44BF3">
              <w:rPr>
                <w:rFonts w:ascii="Times New Roman" w:hAnsi="Times New Roman" w:cs="Times New Roman"/>
                <w:szCs w:val="24"/>
                <w:lang w:val="en-GB"/>
              </w:rPr>
              <w:t xml:space="preserve"> historical data and intends to use the data for identifying core deposits, </w:t>
            </w:r>
            <w:r w:rsidRPr="00C44BF3">
              <w:rPr>
                <w:rFonts w:ascii="Times New Roman" w:hAnsi="Times New Roman" w:cs="Times New Roman"/>
                <w:szCs w:val="24"/>
                <w:lang w:val="en-GB"/>
              </w:rPr>
              <w:t>how can they compare their assumptions and results with the</w:t>
            </w:r>
            <w:r w:rsidR="0016646B" w:rsidRPr="00C44BF3">
              <w:rPr>
                <w:rFonts w:ascii="Times New Roman" w:hAnsi="Times New Roman" w:cs="Times New Roman"/>
                <w:szCs w:val="24"/>
                <w:lang w:val="en-GB"/>
              </w:rPr>
              <w:t xml:space="preserve"> </w:t>
            </w:r>
            <w:r w:rsidRPr="00C44BF3">
              <w:rPr>
                <w:rFonts w:ascii="Times New Roman" w:hAnsi="Times New Roman" w:cs="Times New Roman"/>
                <w:szCs w:val="24"/>
                <w:lang w:val="en-GB"/>
              </w:rPr>
              <w:t>“</w:t>
            </w:r>
            <w:r w:rsidR="0016646B" w:rsidRPr="00C44BF3">
              <w:rPr>
                <w:rFonts w:ascii="Times New Roman" w:hAnsi="Times New Roman" w:cs="Times New Roman"/>
                <w:szCs w:val="24"/>
                <w:lang w:val="en-GB"/>
              </w:rPr>
              <w:t>peer banks</w:t>
            </w:r>
            <w:r w:rsidRPr="00C44BF3">
              <w:rPr>
                <w:rFonts w:ascii="Times New Roman" w:hAnsi="Times New Roman" w:cs="Times New Roman"/>
                <w:szCs w:val="24"/>
                <w:lang w:val="en-GB"/>
              </w:rPr>
              <w:t>” which are usually not disclosed?</w:t>
            </w:r>
          </w:p>
        </w:tc>
        <w:tc>
          <w:tcPr>
            <w:tcW w:w="9923" w:type="dxa"/>
          </w:tcPr>
          <w:p w:rsidR="002D2629" w:rsidRPr="00C44BF3" w:rsidRDefault="00B5438F" w:rsidP="006C74B3">
            <w:pPr>
              <w:jc w:val="both"/>
              <w:rPr>
                <w:rFonts w:ascii="Times New Roman" w:hAnsi="Times New Roman" w:cs="Times New Roman"/>
                <w:color w:val="000000" w:themeColor="text1"/>
                <w:szCs w:val="24"/>
                <w:lang w:val="en-GB" w:eastAsia="zh-HK"/>
              </w:rPr>
            </w:pPr>
            <w:r w:rsidRPr="00C44BF3">
              <w:rPr>
                <w:rFonts w:ascii="Times New Roman" w:hAnsi="Times New Roman" w:cs="Times New Roman"/>
                <w:color w:val="000000" w:themeColor="text1"/>
                <w:szCs w:val="24"/>
                <w:lang w:val="en-GB" w:eastAsia="zh-HK"/>
              </w:rPr>
              <w:t xml:space="preserve">The AI may make reference to the assumptions and results of their parent banks or other banks in the same group.  In case this is not possible then perhaps they can propose their assumptions for HKMA's consideration, and the HKMA will </w:t>
            </w:r>
            <w:r w:rsidR="00D11313" w:rsidRPr="00C44BF3">
              <w:rPr>
                <w:rFonts w:ascii="Times New Roman" w:hAnsi="Times New Roman" w:cs="Times New Roman"/>
                <w:color w:val="000000" w:themeColor="text1"/>
                <w:szCs w:val="24"/>
                <w:lang w:val="en-GB" w:eastAsia="zh-HK"/>
              </w:rPr>
              <w:t>advise</w:t>
            </w:r>
            <w:r w:rsidRPr="00C44BF3">
              <w:rPr>
                <w:rFonts w:ascii="Times New Roman" w:hAnsi="Times New Roman" w:cs="Times New Roman"/>
                <w:color w:val="000000" w:themeColor="text1"/>
                <w:szCs w:val="24"/>
                <w:lang w:val="en-GB" w:eastAsia="zh-HK"/>
              </w:rPr>
              <w:t xml:space="preserve"> whe</w:t>
            </w:r>
            <w:r w:rsidR="00D11313" w:rsidRPr="00C44BF3">
              <w:rPr>
                <w:rFonts w:ascii="Times New Roman" w:hAnsi="Times New Roman" w:cs="Times New Roman"/>
                <w:color w:val="000000" w:themeColor="text1"/>
                <w:szCs w:val="24"/>
                <w:lang w:val="en-GB" w:eastAsia="zh-HK"/>
              </w:rPr>
              <w:t>ther</w:t>
            </w:r>
            <w:r w:rsidRPr="00C44BF3">
              <w:rPr>
                <w:rFonts w:ascii="Times New Roman" w:hAnsi="Times New Roman" w:cs="Times New Roman"/>
                <w:color w:val="000000" w:themeColor="text1"/>
                <w:szCs w:val="24"/>
                <w:lang w:val="en-GB" w:eastAsia="zh-HK"/>
              </w:rPr>
              <w:t xml:space="preserve"> the assumptions are acceptable based on its observations from the peer banks.</w:t>
            </w:r>
          </w:p>
        </w:tc>
      </w:tr>
      <w:tr w:rsidR="0016646B" w:rsidRPr="00C44BF3" w:rsidTr="00161317">
        <w:tc>
          <w:tcPr>
            <w:tcW w:w="709" w:type="dxa"/>
          </w:tcPr>
          <w:p w:rsidR="0016646B" w:rsidRPr="00C44BF3" w:rsidRDefault="003235D1">
            <w:pPr>
              <w:rPr>
                <w:rFonts w:ascii="Times New Roman" w:hAnsi="Times New Roman" w:cs="Times New Roman"/>
                <w:szCs w:val="24"/>
                <w:lang w:val="en-GB"/>
              </w:rPr>
            </w:pPr>
            <w:r w:rsidRPr="00C44BF3">
              <w:rPr>
                <w:rFonts w:ascii="Times New Roman" w:hAnsi="Times New Roman" w:cs="Times New Roman"/>
                <w:szCs w:val="24"/>
                <w:lang w:val="en-GB"/>
              </w:rPr>
              <w:t>18</w:t>
            </w:r>
          </w:p>
        </w:tc>
        <w:tc>
          <w:tcPr>
            <w:tcW w:w="3260" w:type="dxa"/>
          </w:tcPr>
          <w:p w:rsidR="0016646B" w:rsidRPr="00C44BF3" w:rsidRDefault="00D11313" w:rsidP="00E3070B">
            <w:pPr>
              <w:jc w:val="both"/>
              <w:rPr>
                <w:rFonts w:ascii="Times New Roman" w:hAnsi="Times New Roman" w:cs="Times New Roman"/>
                <w:szCs w:val="24"/>
              </w:rPr>
            </w:pPr>
            <w:r w:rsidRPr="00C44BF3">
              <w:rPr>
                <w:rFonts w:ascii="Times New Roman" w:hAnsi="Times New Roman" w:cs="Times New Roman"/>
                <w:szCs w:val="24"/>
              </w:rPr>
              <w:t>How to obtain implied volatility or market price of rarely traded option?</w:t>
            </w:r>
          </w:p>
        </w:tc>
        <w:tc>
          <w:tcPr>
            <w:tcW w:w="9923" w:type="dxa"/>
          </w:tcPr>
          <w:p w:rsidR="0016646B" w:rsidRPr="00C44BF3" w:rsidRDefault="00D11313" w:rsidP="006C74B3">
            <w:pPr>
              <w:jc w:val="both"/>
              <w:rPr>
                <w:rFonts w:ascii="Times New Roman" w:hAnsi="Times New Roman" w:cs="Times New Roman"/>
                <w:color w:val="000000" w:themeColor="text1"/>
                <w:szCs w:val="24"/>
                <w:lang w:eastAsia="zh-HK"/>
              </w:rPr>
            </w:pPr>
            <w:r w:rsidRPr="00C44BF3">
              <w:rPr>
                <w:rFonts w:ascii="Times New Roman" w:hAnsi="Times New Roman" w:cs="Times New Roman"/>
                <w:color w:val="000000" w:themeColor="text1"/>
                <w:szCs w:val="24"/>
                <w:lang w:eastAsia="zh-HK"/>
              </w:rPr>
              <w:t xml:space="preserve">AIs are expected to </w:t>
            </w:r>
            <w:r w:rsidR="00753A33" w:rsidRPr="00C44BF3">
              <w:rPr>
                <w:rFonts w:ascii="Times New Roman" w:hAnsi="Times New Roman" w:cs="Times New Roman"/>
                <w:color w:val="000000" w:themeColor="text1"/>
                <w:szCs w:val="24"/>
                <w:lang w:eastAsia="zh-HK"/>
              </w:rPr>
              <w:t xml:space="preserve">identify proxies </w:t>
            </w:r>
            <w:r w:rsidRPr="00C44BF3">
              <w:rPr>
                <w:rFonts w:ascii="Times New Roman" w:hAnsi="Times New Roman" w:cs="Times New Roman"/>
                <w:color w:val="000000" w:themeColor="text1"/>
                <w:szCs w:val="24"/>
                <w:lang w:eastAsia="zh-HK"/>
              </w:rPr>
              <w:t>for the purpose of option valuation or estimate the value of illiquid/non-existent options themselves.</w:t>
            </w:r>
          </w:p>
        </w:tc>
      </w:tr>
      <w:tr w:rsidR="00431607" w:rsidRPr="00C44BF3" w:rsidTr="00161317">
        <w:tc>
          <w:tcPr>
            <w:tcW w:w="709" w:type="dxa"/>
          </w:tcPr>
          <w:p w:rsidR="00431607" w:rsidRPr="00C44BF3" w:rsidRDefault="00431607">
            <w:pPr>
              <w:rPr>
                <w:rFonts w:ascii="Times New Roman" w:hAnsi="Times New Roman" w:cs="Times New Roman"/>
                <w:szCs w:val="24"/>
                <w:lang w:val="en-GB"/>
              </w:rPr>
            </w:pPr>
            <w:r w:rsidRPr="00C44BF3">
              <w:rPr>
                <w:rFonts w:ascii="Times New Roman" w:hAnsi="Times New Roman" w:cs="Times New Roman"/>
                <w:szCs w:val="24"/>
                <w:lang w:val="en-GB"/>
              </w:rPr>
              <w:t>19</w:t>
            </w:r>
          </w:p>
        </w:tc>
        <w:tc>
          <w:tcPr>
            <w:tcW w:w="3260" w:type="dxa"/>
          </w:tcPr>
          <w:p w:rsidR="00431607" w:rsidRPr="00C44BF3" w:rsidRDefault="00431607" w:rsidP="00E3070B">
            <w:pPr>
              <w:jc w:val="both"/>
              <w:rPr>
                <w:rFonts w:ascii="Times New Roman" w:hAnsi="Times New Roman" w:cs="Times New Roman"/>
                <w:szCs w:val="24"/>
              </w:rPr>
            </w:pPr>
            <w:r w:rsidRPr="00C44BF3">
              <w:rPr>
                <w:rFonts w:ascii="Times New Roman" w:hAnsi="Times New Roman" w:cs="Times New Roman"/>
                <w:szCs w:val="24"/>
              </w:rPr>
              <w:t xml:space="preserve">If the Tier 1 capital position </w:t>
            </w:r>
            <w:r w:rsidR="005353ED" w:rsidRPr="00C44BF3">
              <w:rPr>
                <w:rFonts w:ascii="Times New Roman" w:hAnsi="Times New Roman" w:cs="Times New Roman"/>
                <w:szCs w:val="24"/>
              </w:rPr>
              <w:t xml:space="preserve">as at the end of </w:t>
            </w:r>
            <w:r w:rsidR="00526FFE" w:rsidRPr="00C44BF3">
              <w:rPr>
                <w:rFonts w:ascii="Times New Roman" w:hAnsi="Times New Roman" w:cs="Times New Roman"/>
                <w:szCs w:val="24"/>
              </w:rPr>
              <w:t xml:space="preserve">the </w:t>
            </w:r>
            <w:r w:rsidR="005353ED" w:rsidRPr="00C44BF3">
              <w:rPr>
                <w:rFonts w:ascii="Times New Roman" w:hAnsi="Times New Roman" w:cs="Times New Roman"/>
                <w:szCs w:val="24"/>
              </w:rPr>
              <w:t xml:space="preserve">last quarter </w:t>
            </w:r>
            <w:r w:rsidRPr="00C44BF3">
              <w:rPr>
                <w:rFonts w:ascii="Times New Roman" w:hAnsi="Times New Roman" w:cs="Times New Roman"/>
                <w:szCs w:val="24"/>
              </w:rPr>
              <w:t xml:space="preserve">is not </w:t>
            </w:r>
            <w:r w:rsidR="005353ED" w:rsidRPr="00C44BF3">
              <w:rPr>
                <w:rFonts w:ascii="Times New Roman" w:hAnsi="Times New Roman" w:cs="Times New Roman"/>
                <w:szCs w:val="24"/>
              </w:rPr>
              <w:t xml:space="preserve">yet </w:t>
            </w:r>
            <w:r w:rsidRPr="00C44BF3">
              <w:rPr>
                <w:rFonts w:ascii="Times New Roman" w:hAnsi="Times New Roman" w:cs="Times New Roman"/>
                <w:szCs w:val="24"/>
              </w:rPr>
              <w:t xml:space="preserve">available </w:t>
            </w:r>
            <w:r w:rsidR="005353ED" w:rsidRPr="00C44BF3">
              <w:rPr>
                <w:rFonts w:ascii="Times New Roman" w:hAnsi="Times New Roman" w:cs="Times New Roman"/>
                <w:szCs w:val="24"/>
              </w:rPr>
              <w:t>by the</w:t>
            </w:r>
            <w:r w:rsidRPr="00C44BF3">
              <w:rPr>
                <w:rFonts w:ascii="Times New Roman" w:hAnsi="Times New Roman" w:cs="Times New Roman"/>
                <w:szCs w:val="24"/>
              </w:rPr>
              <w:t xml:space="preserve"> reporting </w:t>
            </w:r>
            <w:r w:rsidR="001E7278" w:rsidRPr="00C44BF3">
              <w:rPr>
                <w:rFonts w:ascii="Times New Roman" w:hAnsi="Times New Roman" w:cs="Times New Roman"/>
                <w:szCs w:val="24"/>
              </w:rPr>
              <w:t>date</w:t>
            </w:r>
            <w:r w:rsidRPr="00C44BF3">
              <w:rPr>
                <w:rFonts w:ascii="Times New Roman" w:hAnsi="Times New Roman" w:cs="Times New Roman"/>
                <w:szCs w:val="24"/>
              </w:rPr>
              <w:t xml:space="preserve">, can </w:t>
            </w:r>
            <w:r w:rsidR="00526FFE" w:rsidRPr="00C44BF3">
              <w:rPr>
                <w:rFonts w:ascii="Times New Roman" w:hAnsi="Times New Roman" w:cs="Times New Roman"/>
                <w:szCs w:val="24"/>
              </w:rPr>
              <w:t>an IRRBB-reporting AI</w:t>
            </w:r>
            <w:r w:rsidRPr="00C44BF3">
              <w:rPr>
                <w:rFonts w:ascii="Times New Roman" w:hAnsi="Times New Roman" w:cs="Times New Roman"/>
                <w:szCs w:val="24"/>
              </w:rPr>
              <w:t xml:space="preserve"> use the latest Tier 1 capital position available instead?</w:t>
            </w:r>
          </w:p>
        </w:tc>
        <w:tc>
          <w:tcPr>
            <w:tcW w:w="9923" w:type="dxa"/>
          </w:tcPr>
          <w:p w:rsidR="00431607" w:rsidRPr="00C44BF3" w:rsidRDefault="00431607" w:rsidP="006C74B3">
            <w:pPr>
              <w:jc w:val="both"/>
              <w:rPr>
                <w:rFonts w:ascii="Times New Roman" w:hAnsi="Times New Roman" w:cs="Times New Roman"/>
                <w:szCs w:val="24"/>
              </w:rPr>
            </w:pPr>
            <w:r w:rsidRPr="00C44BF3">
              <w:rPr>
                <w:rFonts w:ascii="Times New Roman" w:hAnsi="Times New Roman" w:cs="Times New Roman"/>
                <w:szCs w:val="24"/>
              </w:rPr>
              <w:t>Yes</w:t>
            </w:r>
            <w:r w:rsidR="000803D7" w:rsidRPr="00C44BF3">
              <w:rPr>
                <w:rFonts w:ascii="Times New Roman" w:hAnsi="Times New Roman" w:cs="Times New Roman"/>
                <w:szCs w:val="24"/>
              </w:rPr>
              <w:t>, that is possible</w:t>
            </w:r>
            <w:r w:rsidRPr="00C44BF3">
              <w:rPr>
                <w:rFonts w:ascii="Times New Roman" w:hAnsi="Times New Roman" w:cs="Times New Roman"/>
                <w:szCs w:val="24"/>
              </w:rPr>
              <w:t>.</w:t>
            </w:r>
          </w:p>
        </w:tc>
      </w:tr>
      <w:tr w:rsidR="00431607" w:rsidRPr="00C44BF3" w:rsidTr="00161317">
        <w:tc>
          <w:tcPr>
            <w:tcW w:w="709" w:type="dxa"/>
          </w:tcPr>
          <w:p w:rsidR="00431607" w:rsidRPr="00C44BF3" w:rsidRDefault="00431607">
            <w:pPr>
              <w:rPr>
                <w:rFonts w:ascii="Times New Roman" w:hAnsi="Times New Roman" w:cs="Times New Roman"/>
                <w:szCs w:val="24"/>
                <w:lang w:val="en-GB"/>
              </w:rPr>
            </w:pPr>
            <w:r w:rsidRPr="00C44BF3">
              <w:rPr>
                <w:rFonts w:ascii="Times New Roman" w:hAnsi="Times New Roman" w:cs="Times New Roman"/>
                <w:szCs w:val="24"/>
                <w:lang w:val="en-GB"/>
              </w:rPr>
              <w:t>20</w:t>
            </w:r>
          </w:p>
        </w:tc>
        <w:tc>
          <w:tcPr>
            <w:tcW w:w="3260" w:type="dxa"/>
          </w:tcPr>
          <w:p w:rsidR="00431607" w:rsidRPr="00C44BF3" w:rsidRDefault="005B6F92" w:rsidP="00E3070B">
            <w:pPr>
              <w:jc w:val="both"/>
              <w:rPr>
                <w:rFonts w:ascii="Times New Roman" w:hAnsi="Times New Roman" w:cs="Times New Roman"/>
                <w:szCs w:val="24"/>
              </w:rPr>
            </w:pPr>
            <w:r w:rsidRPr="00C44BF3">
              <w:rPr>
                <w:rFonts w:ascii="Times New Roman" w:hAnsi="Times New Roman" w:cs="Times New Roman"/>
                <w:szCs w:val="24"/>
              </w:rPr>
              <w:t>I</w:t>
            </w:r>
            <w:r w:rsidR="00431607" w:rsidRPr="00C44BF3">
              <w:rPr>
                <w:rFonts w:ascii="Times New Roman" w:hAnsi="Times New Roman" w:cs="Times New Roman"/>
                <w:szCs w:val="24"/>
              </w:rPr>
              <w:t xml:space="preserve">f an FX swap </w:t>
            </w:r>
            <w:r w:rsidRPr="00C44BF3">
              <w:rPr>
                <w:rFonts w:ascii="Times New Roman" w:hAnsi="Times New Roman" w:cs="Times New Roman"/>
                <w:szCs w:val="24"/>
              </w:rPr>
              <w:t xml:space="preserve">is </w:t>
            </w:r>
            <w:r w:rsidR="00431607" w:rsidRPr="00C44BF3">
              <w:rPr>
                <w:rFonts w:ascii="Times New Roman" w:hAnsi="Times New Roman" w:cs="Times New Roman"/>
                <w:szCs w:val="24"/>
              </w:rPr>
              <w:t xml:space="preserve">yet to settle, </w:t>
            </w:r>
            <w:r w:rsidR="00C42F50" w:rsidRPr="00C44BF3">
              <w:rPr>
                <w:rFonts w:ascii="Times New Roman" w:hAnsi="Times New Roman" w:cs="Times New Roman"/>
                <w:szCs w:val="24"/>
              </w:rPr>
              <w:t xml:space="preserve">how should the </w:t>
            </w:r>
            <w:r w:rsidR="00431607" w:rsidRPr="00C44BF3">
              <w:rPr>
                <w:rFonts w:ascii="Times New Roman" w:hAnsi="Times New Roman" w:cs="Times New Roman"/>
                <w:szCs w:val="24"/>
              </w:rPr>
              <w:t xml:space="preserve">near leg and the far leg </w:t>
            </w:r>
            <w:r w:rsidR="00C42F50" w:rsidRPr="00C44BF3">
              <w:rPr>
                <w:rFonts w:ascii="Times New Roman" w:hAnsi="Times New Roman" w:cs="Times New Roman"/>
                <w:szCs w:val="24"/>
              </w:rPr>
              <w:t>be reported</w:t>
            </w:r>
            <w:r w:rsidR="00431607" w:rsidRPr="00C44BF3">
              <w:rPr>
                <w:rFonts w:ascii="Times New Roman" w:hAnsi="Times New Roman" w:cs="Times New Roman"/>
                <w:szCs w:val="24"/>
              </w:rPr>
              <w:t>?</w:t>
            </w:r>
          </w:p>
        </w:tc>
        <w:tc>
          <w:tcPr>
            <w:tcW w:w="9923" w:type="dxa"/>
          </w:tcPr>
          <w:p w:rsidR="00431607" w:rsidRPr="00C44BF3" w:rsidRDefault="00FD29EF" w:rsidP="006C74B3">
            <w:pPr>
              <w:jc w:val="both"/>
              <w:rPr>
                <w:rFonts w:ascii="Times New Roman" w:hAnsi="Times New Roman" w:cs="Times New Roman"/>
                <w:szCs w:val="24"/>
              </w:rPr>
            </w:pPr>
            <w:r w:rsidRPr="00C44BF3">
              <w:rPr>
                <w:rFonts w:ascii="Times New Roman" w:hAnsi="Times New Roman" w:cs="Times New Roman"/>
                <w:szCs w:val="24"/>
              </w:rPr>
              <w:t>For</w:t>
            </w:r>
            <w:r w:rsidR="001E7278" w:rsidRPr="00C44BF3">
              <w:rPr>
                <w:rFonts w:ascii="Times New Roman" w:hAnsi="Times New Roman" w:cs="Times New Roman"/>
                <w:szCs w:val="24"/>
              </w:rPr>
              <w:t xml:space="preserve"> an FX swap b</w:t>
            </w:r>
            <w:r w:rsidR="00431607" w:rsidRPr="00C44BF3">
              <w:rPr>
                <w:rFonts w:ascii="Times New Roman" w:hAnsi="Times New Roman" w:cs="Times New Roman"/>
                <w:szCs w:val="24"/>
              </w:rPr>
              <w:t xml:space="preserve">oth legs are slotted under </w:t>
            </w:r>
            <w:r w:rsidR="001B35E7">
              <w:rPr>
                <w:rFonts w:ascii="Times New Roman" w:hAnsi="Times New Roman" w:cs="Times New Roman"/>
                <w:szCs w:val="24"/>
              </w:rPr>
              <w:t>i</w:t>
            </w:r>
            <w:r w:rsidR="001B35E7" w:rsidRPr="00C44BF3">
              <w:rPr>
                <w:rFonts w:ascii="Times New Roman" w:hAnsi="Times New Roman" w:cs="Times New Roman"/>
                <w:szCs w:val="24"/>
              </w:rPr>
              <w:t xml:space="preserve">tem </w:t>
            </w:r>
            <w:r w:rsidR="00431607" w:rsidRPr="00C44BF3">
              <w:rPr>
                <w:rFonts w:ascii="Times New Roman" w:hAnsi="Times New Roman" w:cs="Times New Roman"/>
                <w:szCs w:val="24"/>
              </w:rPr>
              <w:t>10 (forward foreign exchange contracts) in the ret</w:t>
            </w:r>
            <w:r w:rsidR="001E7278" w:rsidRPr="00C44BF3">
              <w:rPr>
                <w:rFonts w:ascii="Times New Roman" w:hAnsi="Times New Roman" w:cs="Times New Roman"/>
                <w:szCs w:val="24"/>
              </w:rPr>
              <w:t>urns of the relevant currencies, with the near legs of the FX swap yet to settle slotted in the time band during which settlement is expected.</w:t>
            </w:r>
          </w:p>
          <w:p w:rsidR="00431607" w:rsidRPr="00C44BF3" w:rsidRDefault="00431607" w:rsidP="006C74B3">
            <w:pPr>
              <w:jc w:val="both"/>
              <w:rPr>
                <w:rFonts w:ascii="Times New Roman" w:hAnsi="Times New Roman" w:cs="Times New Roman"/>
                <w:szCs w:val="24"/>
              </w:rPr>
            </w:pPr>
          </w:p>
        </w:tc>
      </w:tr>
      <w:tr w:rsidR="00431607" w:rsidRPr="00C44BF3" w:rsidTr="00161317">
        <w:tc>
          <w:tcPr>
            <w:tcW w:w="709" w:type="dxa"/>
          </w:tcPr>
          <w:p w:rsidR="00431607" w:rsidRPr="00C44BF3" w:rsidRDefault="00431607">
            <w:pPr>
              <w:rPr>
                <w:rFonts w:ascii="Times New Roman" w:hAnsi="Times New Roman" w:cs="Times New Roman"/>
                <w:szCs w:val="24"/>
                <w:lang w:val="en-GB"/>
              </w:rPr>
            </w:pPr>
            <w:r w:rsidRPr="00C44BF3">
              <w:rPr>
                <w:rFonts w:ascii="Times New Roman" w:hAnsi="Times New Roman" w:cs="Times New Roman"/>
                <w:szCs w:val="24"/>
                <w:lang w:val="en-GB"/>
              </w:rPr>
              <w:lastRenderedPageBreak/>
              <w:t>21</w:t>
            </w:r>
          </w:p>
        </w:tc>
        <w:tc>
          <w:tcPr>
            <w:tcW w:w="3260" w:type="dxa"/>
          </w:tcPr>
          <w:p w:rsidR="00431607" w:rsidRPr="00C44BF3" w:rsidRDefault="00B81AE7" w:rsidP="00E3070B">
            <w:pPr>
              <w:jc w:val="both"/>
              <w:rPr>
                <w:rFonts w:ascii="Times New Roman" w:hAnsi="Times New Roman" w:cs="Times New Roman"/>
                <w:szCs w:val="24"/>
              </w:rPr>
            </w:pPr>
            <w:r w:rsidRPr="00C44BF3">
              <w:rPr>
                <w:rFonts w:ascii="Times New Roman" w:hAnsi="Times New Roman" w:cs="Times New Roman"/>
                <w:szCs w:val="24"/>
              </w:rPr>
              <w:t>For those IRRBB-reporting AIs that report both their positions in the banking and trading books</w:t>
            </w:r>
            <w:r w:rsidR="00E30852" w:rsidRPr="00C44BF3">
              <w:rPr>
                <w:rFonts w:ascii="Times New Roman" w:hAnsi="Times New Roman" w:cs="Times New Roman"/>
                <w:szCs w:val="24"/>
              </w:rPr>
              <w:t xml:space="preserve">, what maturity should be applied to securities held in the trading book </w:t>
            </w:r>
            <w:r w:rsidRPr="00C44BF3">
              <w:rPr>
                <w:rFonts w:ascii="Times New Roman" w:hAnsi="Times New Roman" w:cs="Times New Roman"/>
                <w:szCs w:val="24"/>
              </w:rPr>
              <w:t>if</w:t>
            </w:r>
            <w:r w:rsidR="00E30852" w:rsidRPr="00C44BF3">
              <w:rPr>
                <w:rFonts w:ascii="Times New Roman" w:hAnsi="Times New Roman" w:cs="Times New Roman"/>
                <w:szCs w:val="24"/>
              </w:rPr>
              <w:t xml:space="preserve"> the holding period is expected to be shorter than </w:t>
            </w:r>
            <w:r w:rsidR="001E7278" w:rsidRPr="00C44BF3">
              <w:rPr>
                <w:rFonts w:ascii="Times New Roman" w:hAnsi="Times New Roman" w:cs="Times New Roman"/>
                <w:szCs w:val="24"/>
              </w:rPr>
              <w:t xml:space="preserve">the contractual </w:t>
            </w:r>
            <w:r w:rsidR="00E30852" w:rsidRPr="00C44BF3">
              <w:rPr>
                <w:rFonts w:ascii="Times New Roman" w:hAnsi="Times New Roman" w:cs="Times New Roman"/>
                <w:szCs w:val="24"/>
              </w:rPr>
              <w:t xml:space="preserve">maturity? </w:t>
            </w:r>
          </w:p>
        </w:tc>
        <w:tc>
          <w:tcPr>
            <w:tcW w:w="9923" w:type="dxa"/>
          </w:tcPr>
          <w:p w:rsidR="00E30852" w:rsidRPr="00C44BF3" w:rsidRDefault="00B81AE7">
            <w:pPr>
              <w:jc w:val="both"/>
              <w:rPr>
                <w:rFonts w:ascii="Times New Roman" w:hAnsi="Times New Roman" w:cs="Times New Roman"/>
                <w:szCs w:val="24"/>
              </w:rPr>
            </w:pPr>
            <w:r w:rsidRPr="00C44BF3">
              <w:rPr>
                <w:rFonts w:ascii="Times New Roman" w:hAnsi="Times New Roman" w:cs="Times New Roman"/>
                <w:szCs w:val="24"/>
              </w:rPr>
              <w:t>The s</w:t>
            </w:r>
            <w:r w:rsidR="00E30852" w:rsidRPr="00C44BF3">
              <w:rPr>
                <w:rFonts w:ascii="Times New Roman" w:hAnsi="Times New Roman" w:cs="Times New Roman"/>
                <w:szCs w:val="24"/>
              </w:rPr>
              <w:t>ecurities’ contractual maturities have to be used for the trading book positions as well</w:t>
            </w:r>
            <w:r w:rsidR="00842127" w:rsidRPr="00C44BF3">
              <w:rPr>
                <w:rFonts w:ascii="Times New Roman" w:hAnsi="Times New Roman" w:cs="Times New Roman"/>
                <w:szCs w:val="24"/>
              </w:rPr>
              <w:t xml:space="preserve"> so that these positions’ present values will be properly reflected in</w:t>
            </w:r>
            <w:r w:rsidR="00E30852" w:rsidRPr="00C44BF3">
              <w:rPr>
                <w:rFonts w:ascii="Times New Roman" w:hAnsi="Times New Roman" w:cs="Times New Roman"/>
                <w:szCs w:val="24"/>
              </w:rPr>
              <w:t xml:space="preserve"> the EVE </w:t>
            </w:r>
            <w:r w:rsidRPr="00C44BF3">
              <w:rPr>
                <w:rFonts w:ascii="Times New Roman" w:hAnsi="Times New Roman" w:cs="Times New Roman"/>
                <w:szCs w:val="24"/>
              </w:rPr>
              <w:t>calculation</w:t>
            </w:r>
            <w:r w:rsidR="00842127" w:rsidRPr="00C44BF3">
              <w:rPr>
                <w:rFonts w:ascii="Times New Roman" w:hAnsi="Times New Roman" w:cs="Times New Roman"/>
                <w:szCs w:val="24"/>
              </w:rPr>
              <w:t>s</w:t>
            </w:r>
            <w:r w:rsidR="00E30852" w:rsidRPr="00C44BF3">
              <w:rPr>
                <w:rFonts w:ascii="Times New Roman" w:hAnsi="Times New Roman" w:cs="Times New Roman"/>
                <w:szCs w:val="24"/>
              </w:rPr>
              <w:t xml:space="preserve"> under different scenarios. </w:t>
            </w:r>
          </w:p>
          <w:p w:rsidR="00431607" w:rsidRPr="00C44BF3" w:rsidRDefault="00431607" w:rsidP="006C74B3">
            <w:pPr>
              <w:jc w:val="both"/>
              <w:rPr>
                <w:rFonts w:ascii="Times New Roman" w:hAnsi="Times New Roman" w:cs="Times New Roman"/>
                <w:szCs w:val="24"/>
              </w:rPr>
            </w:pPr>
          </w:p>
        </w:tc>
      </w:tr>
      <w:tr w:rsidR="00E30852" w:rsidRPr="00C44BF3" w:rsidTr="00161317">
        <w:tc>
          <w:tcPr>
            <w:tcW w:w="709" w:type="dxa"/>
          </w:tcPr>
          <w:p w:rsidR="00E30852" w:rsidRPr="00C44BF3" w:rsidRDefault="00FE3EA4">
            <w:pPr>
              <w:rPr>
                <w:rFonts w:ascii="Times New Roman" w:hAnsi="Times New Roman" w:cs="Times New Roman"/>
                <w:szCs w:val="24"/>
                <w:lang w:val="en-GB"/>
              </w:rPr>
            </w:pPr>
            <w:r w:rsidRPr="00C44BF3">
              <w:rPr>
                <w:rFonts w:ascii="Times New Roman" w:hAnsi="Times New Roman" w:cs="Times New Roman"/>
                <w:szCs w:val="24"/>
                <w:lang w:val="en-GB"/>
              </w:rPr>
              <w:t>22</w:t>
            </w:r>
          </w:p>
        </w:tc>
        <w:tc>
          <w:tcPr>
            <w:tcW w:w="3260" w:type="dxa"/>
          </w:tcPr>
          <w:p w:rsidR="00E30852" w:rsidRPr="00C44BF3" w:rsidRDefault="00FE3EA4" w:rsidP="00FD29EF">
            <w:pPr>
              <w:jc w:val="both"/>
              <w:rPr>
                <w:rFonts w:ascii="Times New Roman" w:hAnsi="Times New Roman" w:cs="Times New Roman"/>
                <w:szCs w:val="24"/>
              </w:rPr>
            </w:pPr>
            <w:r w:rsidRPr="00C44BF3">
              <w:rPr>
                <w:rFonts w:ascii="Times New Roman" w:hAnsi="Times New Roman" w:cs="Times New Roman"/>
                <w:szCs w:val="24"/>
              </w:rPr>
              <w:t>Do the post-shock interest rate formulas in Footnote 1</w:t>
            </w:r>
            <w:r w:rsidR="00FD29EF" w:rsidRPr="00C44BF3">
              <w:rPr>
                <w:rFonts w:ascii="Times New Roman" w:hAnsi="Times New Roman" w:cs="Times New Roman"/>
                <w:szCs w:val="24"/>
              </w:rPr>
              <w:t>3</w:t>
            </w:r>
            <w:r w:rsidRPr="00C44BF3">
              <w:rPr>
                <w:rFonts w:ascii="Times New Roman" w:hAnsi="Times New Roman" w:cs="Times New Roman"/>
                <w:szCs w:val="24"/>
              </w:rPr>
              <w:t xml:space="preserve"> of SPM IR-1 refer to AIs taking spreads into account in the construction of the risk free yield curve for discounting purposes, but not to AIs including spread components in the slotting of coupon </w:t>
            </w:r>
            <w:r w:rsidR="000803D7" w:rsidRPr="00C44BF3">
              <w:rPr>
                <w:rFonts w:ascii="Times New Roman" w:hAnsi="Times New Roman" w:cs="Times New Roman"/>
                <w:szCs w:val="24"/>
              </w:rPr>
              <w:t>cash flow</w:t>
            </w:r>
            <w:r w:rsidRPr="00C44BF3">
              <w:rPr>
                <w:rFonts w:ascii="Times New Roman" w:hAnsi="Times New Roman" w:cs="Times New Roman"/>
                <w:szCs w:val="24"/>
              </w:rPr>
              <w:t>s?</w:t>
            </w:r>
          </w:p>
        </w:tc>
        <w:tc>
          <w:tcPr>
            <w:tcW w:w="9923" w:type="dxa"/>
          </w:tcPr>
          <w:p w:rsidR="00FE3EA4" w:rsidRPr="00C44BF3" w:rsidRDefault="001E7278" w:rsidP="006C74B3">
            <w:pPr>
              <w:jc w:val="both"/>
              <w:rPr>
                <w:rFonts w:ascii="Times New Roman" w:hAnsi="Times New Roman" w:cs="Times New Roman"/>
                <w:szCs w:val="24"/>
              </w:rPr>
            </w:pPr>
            <w:r w:rsidRPr="00C44BF3">
              <w:rPr>
                <w:rFonts w:ascii="Times New Roman" w:hAnsi="Times New Roman" w:cs="Times New Roman"/>
                <w:szCs w:val="24"/>
              </w:rPr>
              <w:t xml:space="preserve">The slotting of coupon </w:t>
            </w:r>
            <w:r w:rsidR="000803D7" w:rsidRPr="00C44BF3">
              <w:rPr>
                <w:rFonts w:ascii="Times New Roman" w:hAnsi="Times New Roman" w:cs="Times New Roman"/>
                <w:szCs w:val="24"/>
              </w:rPr>
              <w:t>cash flow</w:t>
            </w:r>
            <w:r w:rsidRPr="00C44BF3">
              <w:rPr>
                <w:rFonts w:ascii="Times New Roman" w:hAnsi="Times New Roman" w:cs="Times New Roman"/>
                <w:szCs w:val="24"/>
              </w:rPr>
              <w:t>s is normally not affected by the floor.</w:t>
            </w:r>
            <w:r w:rsidR="00FE3EA4" w:rsidRPr="00C44BF3">
              <w:rPr>
                <w:rFonts w:ascii="Times New Roman" w:hAnsi="Times New Roman" w:cs="Times New Roman"/>
                <w:szCs w:val="24"/>
              </w:rPr>
              <w:t xml:space="preserve"> In the EVE calculation, which is based on the roll-off balance sheet assumption, coupon cash flows from floating rate instruments are only slotted until the next repricing date, and coupon cash flows from fixed rate positions are fixed based on the contractual rate (both are normally unaffected by interest rate scenarios). Therefore, the post-shock interest rate formulas are mainly used for obtaining yield curves for discounting purposes.</w:t>
            </w:r>
          </w:p>
          <w:p w:rsidR="00E30852" w:rsidRPr="00C44BF3" w:rsidRDefault="00E30852" w:rsidP="00E3070B">
            <w:pPr>
              <w:jc w:val="both"/>
              <w:rPr>
                <w:rFonts w:ascii="Times New Roman" w:hAnsi="Times New Roman" w:cs="Times New Roman"/>
                <w:szCs w:val="24"/>
              </w:rPr>
            </w:pPr>
          </w:p>
        </w:tc>
      </w:tr>
      <w:tr w:rsidR="000C4021" w:rsidRPr="00C44BF3" w:rsidTr="00161317">
        <w:tc>
          <w:tcPr>
            <w:tcW w:w="709" w:type="dxa"/>
          </w:tcPr>
          <w:p w:rsidR="000C4021" w:rsidRPr="00C44BF3" w:rsidRDefault="000C4021">
            <w:pPr>
              <w:rPr>
                <w:rFonts w:ascii="Times New Roman" w:hAnsi="Times New Roman" w:cs="Times New Roman"/>
                <w:szCs w:val="24"/>
                <w:lang w:val="en-GB"/>
              </w:rPr>
            </w:pPr>
            <w:r w:rsidRPr="00C44BF3">
              <w:rPr>
                <w:rFonts w:ascii="Times New Roman" w:hAnsi="Times New Roman" w:cs="Times New Roman"/>
                <w:szCs w:val="24"/>
                <w:lang w:val="en-GB"/>
              </w:rPr>
              <w:t>2</w:t>
            </w:r>
            <w:r w:rsidR="00C44E62" w:rsidRPr="00C44BF3">
              <w:rPr>
                <w:rFonts w:ascii="Times New Roman" w:hAnsi="Times New Roman" w:cs="Times New Roman"/>
                <w:szCs w:val="24"/>
                <w:lang w:val="en-GB"/>
              </w:rPr>
              <w:t>3</w:t>
            </w:r>
          </w:p>
        </w:tc>
        <w:tc>
          <w:tcPr>
            <w:tcW w:w="3260" w:type="dxa"/>
          </w:tcPr>
          <w:p w:rsidR="000C4021" w:rsidRPr="00C44BF3" w:rsidRDefault="00B304E6" w:rsidP="00E3070B">
            <w:pPr>
              <w:jc w:val="both"/>
              <w:rPr>
                <w:rFonts w:ascii="Times New Roman" w:hAnsi="Times New Roman" w:cs="Times New Roman"/>
                <w:szCs w:val="24"/>
              </w:rPr>
            </w:pPr>
            <w:r w:rsidRPr="00C44BF3">
              <w:rPr>
                <w:rFonts w:ascii="Times New Roman" w:hAnsi="Times New Roman" w:cs="Times New Roman"/>
                <w:szCs w:val="24"/>
              </w:rPr>
              <w:t>How are spreads defined in the IRRBB framework?</w:t>
            </w:r>
          </w:p>
        </w:tc>
        <w:tc>
          <w:tcPr>
            <w:tcW w:w="9923" w:type="dxa"/>
          </w:tcPr>
          <w:p w:rsidR="00B304E6" w:rsidRPr="00C44BF3" w:rsidRDefault="00B304E6" w:rsidP="006C74B3">
            <w:pPr>
              <w:jc w:val="both"/>
              <w:rPr>
                <w:rFonts w:ascii="Times New Roman" w:hAnsi="Times New Roman" w:cs="Times New Roman"/>
                <w:szCs w:val="24"/>
              </w:rPr>
            </w:pPr>
            <w:r w:rsidRPr="00C44BF3">
              <w:rPr>
                <w:rFonts w:ascii="Times New Roman" w:hAnsi="Times New Roman" w:cs="Times New Roman"/>
                <w:szCs w:val="24"/>
              </w:rPr>
              <w:t xml:space="preserve">Fixed spreads, which in the IRRBB </w:t>
            </w:r>
            <w:r w:rsidR="00A34741" w:rsidRPr="00C44BF3">
              <w:rPr>
                <w:rFonts w:ascii="Times New Roman" w:hAnsi="Times New Roman" w:cs="Times New Roman"/>
                <w:szCs w:val="24"/>
              </w:rPr>
              <w:t xml:space="preserve">standardised </w:t>
            </w:r>
            <w:r w:rsidRPr="00C44BF3">
              <w:rPr>
                <w:rFonts w:ascii="Times New Roman" w:hAnsi="Times New Roman" w:cs="Times New Roman"/>
                <w:szCs w:val="24"/>
              </w:rPr>
              <w:t xml:space="preserve">framework may be slotted until contractual maturity, can be defined as the difference between contractual and risk-free rate if that difference can arguably be assumed constant over time, that is, that the AI can pass through any changes in the </w:t>
            </w:r>
            <w:r w:rsidRPr="00C44BF3">
              <w:rPr>
                <w:rFonts w:ascii="Times New Roman" w:hAnsi="Times New Roman" w:cs="Times New Roman"/>
                <w:szCs w:val="24"/>
              </w:rPr>
              <w:lastRenderedPageBreak/>
              <w:t>risk</w:t>
            </w:r>
            <w:r w:rsidR="00CE0D73" w:rsidRPr="00C44BF3">
              <w:rPr>
                <w:rFonts w:ascii="Times New Roman" w:hAnsi="Times New Roman" w:cs="Times New Roman"/>
                <w:szCs w:val="24"/>
              </w:rPr>
              <w:t>-</w:t>
            </w:r>
            <w:r w:rsidRPr="00C44BF3">
              <w:rPr>
                <w:rFonts w:ascii="Times New Roman" w:hAnsi="Times New Roman" w:cs="Times New Roman"/>
                <w:szCs w:val="24"/>
              </w:rPr>
              <w:t>free rate to the customer. For example, if a contract is defined as H</w:t>
            </w:r>
            <w:r w:rsidR="00300B09" w:rsidRPr="00C44BF3">
              <w:rPr>
                <w:rFonts w:ascii="Times New Roman" w:hAnsi="Times New Roman" w:cs="Times New Roman"/>
                <w:szCs w:val="24"/>
              </w:rPr>
              <w:t>IBOR</w:t>
            </w:r>
            <w:r w:rsidR="00F419AB" w:rsidRPr="00C44BF3">
              <w:rPr>
                <w:rFonts w:ascii="Times New Roman" w:hAnsi="Times New Roman" w:cs="Times New Roman"/>
                <w:szCs w:val="24"/>
              </w:rPr>
              <w:t xml:space="preserve"> </w:t>
            </w:r>
            <w:r w:rsidRPr="00C44BF3">
              <w:rPr>
                <w:rFonts w:ascii="Times New Roman" w:hAnsi="Times New Roman" w:cs="Times New Roman"/>
                <w:szCs w:val="24"/>
              </w:rPr>
              <w:t>+</w:t>
            </w:r>
            <w:r w:rsidR="00F419AB" w:rsidRPr="00C44BF3">
              <w:rPr>
                <w:rFonts w:ascii="Times New Roman" w:hAnsi="Times New Roman" w:cs="Times New Roman"/>
                <w:szCs w:val="24"/>
              </w:rPr>
              <w:t xml:space="preserve"> </w:t>
            </w:r>
            <w:r w:rsidRPr="00C44BF3">
              <w:rPr>
                <w:rFonts w:ascii="Times New Roman" w:hAnsi="Times New Roman" w:cs="Times New Roman"/>
                <w:szCs w:val="24"/>
              </w:rPr>
              <w:t>2%, with H</w:t>
            </w:r>
            <w:r w:rsidR="00300B09" w:rsidRPr="00C44BF3">
              <w:rPr>
                <w:rFonts w:ascii="Times New Roman" w:hAnsi="Times New Roman" w:cs="Times New Roman"/>
                <w:szCs w:val="24"/>
              </w:rPr>
              <w:t>IBOR</w:t>
            </w:r>
            <w:r w:rsidRPr="00C44BF3">
              <w:rPr>
                <w:rFonts w:ascii="Times New Roman" w:hAnsi="Times New Roman" w:cs="Times New Roman"/>
                <w:szCs w:val="24"/>
              </w:rPr>
              <w:t xml:space="preserve"> and risk-free rate high</w:t>
            </w:r>
            <w:r w:rsidR="00CE0D73" w:rsidRPr="00C44BF3">
              <w:rPr>
                <w:rFonts w:ascii="Times New Roman" w:hAnsi="Times New Roman" w:cs="Times New Roman"/>
                <w:szCs w:val="24"/>
              </w:rPr>
              <w:t>ly</w:t>
            </w:r>
            <w:r w:rsidRPr="00C44BF3">
              <w:rPr>
                <w:rFonts w:ascii="Times New Roman" w:hAnsi="Times New Roman" w:cs="Times New Roman"/>
                <w:szCs w:val="24"/>
              </w:rPr>
              <w:t xml:space="preserve"> correlat</w:t>
            </w:r>
            <w:r w:rsidR="00F419AB" w:rsidRPr="00C44BF3">
              <w:rPr>
                <w:rFonts w:ascii="Times New Roman" w:hAnsi="Times New Roman" w:cs="Times New Roman"/>
                <w:szCs w:val="24"/>
              </w:rPr>
              <w:t>ed</w:t>
            </w:r>
            <w:r w:rsidRPr="00C44BF3">
              <w:rPr>
                <w:rFonts w:ascii="Times New Roman" w:hAnsi="Times New Roman" w:cs="Times New Roman"/>
                <w:szCs w:val="24"/>
              </w:rPr>
              <w:t xml:space="preserve"> over the past years, the spread (=</w:t>
            </w:r>
            <w:r w:rsidR="00300B09" w:rsidRPr="00C44BF3">
              <w:rPr>
                <w:rFonts w:ascii="Times New Roman" w:hAnsi="Times New Roman" w:cs="Times New Roman"/>
                <w:szCs w:val="24"/>
              </w:rPr>
              <w:t xml:space="preserve"> </w:t>
            </w:r>
            <w:r w:rsidRPr="00C44BF3">
              <w:rPr>
                <w:rFonts w:ascii="Times New Roman" w:hAnsi="Times New Roman" w:cs="Times New Roman"/>
                <w:szCs w:val="24"/>
              </w:rPr>
              <w:t>H</w:t>
            </w:r>
            <w:r w:rsidR="00300B09" w:rsidRPr="00C44BF3">
              <w:rPr>
                <w:rFonts w:ascii="Times New Roman" w:hAnsi="Times New Roman" w:cs="Times New Roman"/>
                <w:szCs w:val="24"/>
              </w:rPr>
              <w:t>IBOR</w:t>
            </w:r>
            <w:r w:rsidR="00F419AB" w:rsidRPr="00C44BF3">
              <w:rPr>
                <w:rFonts w:ascii="Times New Roman" w:hAnsi="Times New Roman" w:cs="Times New Roman"/>
                <w:szCs w:val="24"/>
              </w:rPr>
              <w:t xml:space="preserve"> </w:t>
            </w:r>
            <w:r w:rsidRPr="00C44BF3">
              <w:rPr>
                <w:rFonts w:ascii="Times New Roman" w:hAnsi="Times New Roman" w:cs="Times New Roman"/>
                <w:szCs w:val="24"/>
              </w:rPr>
              <w:t>+</w:t>
            </w:r>
            <w:r w:rsidR="00F419AB" w:rsidRPr="00C44BF3">
              <w:rPr>
                <w:rFonts w:ascii="Times New Roman" w:hAnsi="Times New Roman" w:cs="Times New Roman"/>
                <w:szCs w:val="24"/>
              </w:rPr>
              <w:t xml:space="preserve"> </w:t>
            </w:r>
            <w:r w:rsidRPr="00C44BF3">
              <w:rPr>
                <w:rFonts w:ascii="Times New Roman" w:hAnsi="Times New Roman" w:cs="Times New Roman"/>
                <w:szCs w:val="24"/>
              </w:rPr>
              <w:t>2%</w:t>
            </w:r>
            <w:r w:rsidR="00F419AB" w:rsidRPr="00C44BF3">
              <w:rPr>
                <w:rFonts w:ascii="Times New Roman" w:hAnsi="Times New Roman" w:cs="Times New Roman"/>
                <w:szCs w:val="24"/>
              </w:rPr>
              <w:t xml:space="preserve"> </w:t>
            </w:r>
            <w:r w:rsidR="005970D3" w:rsidRPr="00C44BF3">
              <w:rPr>
                <w:rFonts w:ascii="Times New Roman" w:hAnsi="Times New Roman" w:cs="Times New Roman"/>
                <w:szCs w:val="24"/>
              </w:rPr>
              <w:t>−</w:t>
            </w:r>
            <w:r w:rsidR="00F419AB" w:rsidRPr="00C44BF3">
              <w:rPr>
                <w:rFonts w:ascii="Times New Roman" w:hAnsi="Times New Roman" w:cs="Times New Roman"/>
                <w:szCs w:val="24"/>
              </w:rPr>
              <w:t xml:space="preserve"> </w:t>
            </w:r>
            <w:r w:rsidRPr="00C44BF3">
              <w:rPr>
                <w:rFonts w:ascii="Times New Roman" w:hAnsi="Times New Roman" w:cs="Times New Roman"/>
                <w:szCs w:val="24"/>
              </w:rPr>
              <w:t>risk-fre</w:t>
            </w:r>
            <w:r w:rsidR="00FD29EF" w:rsidRPr="00C44BF3">
              <w:rPr>
                <w:rFonts w:ascii="Times New Roman" w:hAnsi="Times New Roman" w:cs="Times New Roman"/>
                <w:szCs w:val="24"/>
              </w:rPr>
              <w:t xml:space="preserve">e rate) can be assumed </w:t>
            </w:r>
            <w:r w:rsidRPr="00C44BF3">
              <w:rPr>
                <w:rFonts w:ascii="Times New Roman" w:hAnsi="Times New Roman" w:cs="Times New Roman"/>
                <w:szCs w:val="24"/>
              </w:rPr>
              <w:t>fix</w:t>
            </w:r>
            <w:r w:rsidR="00FD29EF" w:rsidRPr="00C44BF3">
              <w:rPr>
                <w:rFonts w:ascii="Times New Roman" w:hAnsi="Times New Roman" w:cs="Times New Roman"/>
                <w:szCs w:val="24"/>
              </w:rPr>
              <w:t xml:space="preserve"> and according coupon payments are slotted until contractual maturity in the IRRBB framework (see paragraph 41 in MA(BS)12A for further details)</w:t>
            </w:r>
            <w:r w:rsidRPr="00C44BF3">
              <w:rPr>
                <w:rFonts w:ascii="Times New Roman" w:hAnsi="Times New Roman" w:cs="Times New Roman"/>
                <w:szCs w:val="24"/>
              </w:rPr>
              <w:t xml:space="preserve">. </w:t>
            </w:r>
          </w:p>
          <w:p w:rsidR="000C4021" w:rsidRPr="00C44BF3" w:rsidRDefault="00981A20" w:rsidP="006C74B3">
            <w:pPr>
              <w:jc w:val="both"/>
              <w:rPr>
                <w:rFonts w:ascii="Times New Roman" w:hAnsi="Times New Roman" w:cs="Times New Roman"/>
                <w:szCs w:val="24"/>
              </w:rPr>
            </w:pPr>
            <w:r w:rsidRPr="00C44BF3">
              <w:rPr>
                <w:rFonts w:ascii="Times New Roman" w:hAnsi="Times New Roman" w:cs="Times New Roman"/>
                <w:szCs w:val="24"/>
              </w:rPr>
              <w:t>Since</w:t>
            </w:r>
            <w:r w:rsidR="00F419AB" w:rsidRPr="00C44BF3">
              <w:rPr>
                <w:rFonts w:ascii="Times New Roman" w:hAnsi="Times New Roman" w:cs="Times New Roman"/>
                <w:szCs w:val="24"/>
              </w:rPr>
              <w:t xml:space="preserve"> t</w:t>
            </w:r>
            <w:r w:rsidR="00B304E6" w:rsidRPr="00C44BF3">
              <w:rPr>
                <w:rFonts w:ascii="Times New Roman" w:hAnsi="Times New Roman" w:cs="Times New Roman"/>
                <w:szCs w:val="24"/>
              </w:rPr>
              <w:t xml:space="preserve">he prime rate does not </w:t>
            </w:r>
            <w:r w:rsidR="00F419AB" w:rsidRPr="00C44BF3">
              <w:rPr>
                <w:rFonts w:ascii="Times New Roman" w:hAnsi="Times New Roman" w:cs="Times New Roman"/>
                <w:szCs w:val="24"/>
              </w:rPr>
              <w:t>exhibit high correlation</w:t>
            </w:r>
            <w:r w:rsidR="00B304E6" w:rsidRPr="00C44BF3">
              <w:rPr>
                <w:rFonts w:ascii="Times New Roman" w:hAnsi="Times New Roman" w:cs="Times New Roman"/>
                <w:szCs w:val="24"/>
              </w:rPr>
              <w:t xml:space="preserve"> with the risk-free rate, the spread </w:t>
            </w:r>
            <w:r w:rsidR="00F419AB" w:rsidRPr="00C44BF3">
              <w:rPr>
                <w:rFonts w:ascii="Times New Roman" w:hAnsi="Times New Roman" w:cs="Times New Roman"/>
                <w:szCs w:val="24"/>
              </w:rPr>
              <w:t xml:space="preserve">should not </w:t>
            </w:r>
            <w:r w:rsidR="00B304E6" w:rsidRPr="00C44BF3">
              <w:rPr>
                <w:rFonts w:ascii="Times New Roman" w:hAnsi="Times New Roman" w:cs="Times New Roman"/>
                <w:szCs w:val="24"/>
              </w:rPr>
              <w:t>be assumed constant</w:t>
            </w:r>
            <w:r w:rsidR="00300B09" w:rsidRPr="00C44BF3">
              <w:rPr>
                <w:rFonts w:ascii="Times New Roman" w:hAnsi="Times New Roman" w:cs="Times New Roman"/>
                <w:szCs w:val="24"/>
              </w:rPr>
              <w:t xml:space="preserve"> and</w:t>
            </w:r>
            <w:r w:rsidR="00B304E6" w:rsidRPr="00C44BF3">
              <w:rPr>
                <w:rFonts w:ascii="Times New Roman" w:hAnsi="Times New Roman" w:cs="Times New Roman"/>
                <w:szCs w:val="24"/>
              </w:rPr>
              <w:t xml:space="preserve"> </w:t>
            </w:r>
            <w:r w:rsidR="00FC4A9A" w:rsidRPr="00C44BF3">
              <w:rPr>
                <w:rFonts w:ascii="Times New Roman" w:hAnsi="Times New Roman" w:cs="Times New Roman"/>
                <w:szCs w:val="24"/>
              </w:rPr>
              <w:t xml:space="preserve">the difference </w:t>
            </w:r>
            <w:r w:rsidR="009C5069" w:rsidRPr="00C44BF3">
              <w:rPr>
                <w:rFonts w:ascii="Times New Roman" w:hAnsi="Times New Roman" w:cs="Times New Roman"/>
                <w:szCs w:val="24"/>
              </w:rPr>
              <w:t xml:space="preserve">between </w:t>
            </w:r>
            <w:r w:rsidR="005970D3" w:rsidRPr="00C44BF3">
              <w:rPr>
                <w:rFonts w:ascii="Times New Roman" w:hAnsi="Times New Roman" w:cs="Times New Roman"/>
                <w:szCs w:val="24"/>
              </w:rPr>
              <w:t>“</w:t>
            </w:r>
            <w:r w:rsidR="00FC4A9A" w:rsidRPr="00C44BF3">
              <w:rPr>
                <w:rFonts w:ascii="Times New Roman" w:hAnsi="Times New Roman" w:cs="Times New Roman"/>
                <w:szCs w:val="24"/>
              </w:rPr>
              <w:t>prime rate</w:t>
            </w:r>
            <w:r w:rsidR="00300B09" w:rsidRPr="00C44BF3">
              <w:rPr>
                <w:rFonts w:ascii="Times New Roman" w:hAnsi="Times New Roman" w:cs="Times New Roman"/>
                <w:szCs w:val="24"/>
              </w:rPr>
              <w:t xml:space="preserve"> </w:t>
            </w:r>
            <w:r w:rsidR="00FC4A9A" w:rsidRPr="00C44BF3">
              <w:rPr>
                <w:rFonts w:ascii="Times New Roman" w:hAnsi="Times New Roman" w:cs="Times New Roman"/>
                <w:szCs w:val="24"/>
              </w:rPr>
              <w:t>+</w:t>
            </w:r>
            <w:r w:rsidR="00300B09" w:rsidRPr="00C44BF3">
              <w:rPr>
                <w:rFonts w:ascii="Times New Roman" w:hAnsi="Times New Roman" w:cs="Times New Roman"/>
                <w:szCs w:val="24"/>
              </w:rPr>
              <w:t xml:space="preserve"> </w:t>
            </w:r>
            <w:r w:rsidR="00FC4A9A" w:rsidRPr="00C44BF3">
              <w:rPr>
                <w:rFonts w:ascii="Times New Roman" w:hAnsi="Times New Roman" w:cs="Times New Roman"/>
                <w:szCs w:val="24"/>
              </w:rPr>
              <w:t>x%</w:t>
            </w:r>
            <w:r w:rsidR="005970D3" w:rsidRPr="00C44BF3">
              <w:rPr>
                <w:rFonts w:ascii="Times New Roman" w:hAnsi="Times New Roman" w:cs="Times New Roman"/>
                <w:szCs w:val="24"/>
              </w:rPr>
              <w:t>”</w:t>
            </w:r>
            <w:r w:rsidR="009C5069" w:rsidRPr="00C44BF3">
              <w:rPr>
                <w:rFonts w:ascii="Times New Roman" w:hAnsi="Times New Roman" w:cs="Times New Roman"/>
                <w:szCs w:val="24"/>
              </w:rPr>
              <w:t xml:space="preserve"> and the </w:t>
            </w:r>
            <w:r w:rsidR="00FC4A9A" w:rsidRPr="00C44BF3">
              <w:rPr>
                <w:rFonts w:ascii="Times New Roman" w:hAnsi="Times New Roman" w:cs="Times New Roman"/>
                <w:szCs w:val="24"/>
              </w:rPr>
              <w:t xml:space="preserve">risk-free rate </w:t>
            </w:r>
            <w:r w:rsidR="00B304E6" w:rsidRPr="00C44BF3">
              <w:rPr>
                <w:rFonts w:ascii="Times New Roman" w:hAnsi="Times New Roman" w:cs="Times New Roman"/>
                <w:szCs w:val="24"/>
              </w:rPr>
              <w:t>cannot be considered a spread component for IRRBB purposes.</w:t>
            </w:r>
          </w:p>
        </w:tc>
      </w:tr>
      <w:tr w:rsidR="00670AA0" w:rsidRPr="00C44BF3" w:rsidTr="00161317">
        <w:tc>
          <w:tcPr>
            <w:tcW w:w="709" w:type="dxa"/>
          </w:tcPr>
          <w:p w:rsidR="00670AA0" w:rsidRPr="00C44BF3" w:rsidRDefault="00300B09">
            <w:pPr>
              <w:rPr>
                <w:rFonts w:ascii="Times New Roman" w:hAnsi="Times New Roman" w:cs="Times New Roman"/>
                <w:szCs w:val="24"/>
                <w:lang w:val="en-GB"/>
              </w:rPr>
            </w:pPr>
            <w:r w:rsidRPr="00C44BF3">
              <w:rPr>
                <w:rFonts w:ascii="Times New Roman" w:hAnsi="Times New Roman" w:cs="Times New Roman"/>
                <w:szCs w:val="24"/>
                <w:lang w:val="en-GB"/>
              </w:rPr>
              <w:lastRenderedPageBreak/>
              <w:t>2</w:t>
            </w:r>
            <w:r w:rsidR="00C44E62" w:rsidRPr="00C44BF3">
              <w:rPr>
                <w:rFonts w:ascii="Times New Roman" w:hAnsi="Times New Roman" w:cs="Times New Roman"/>
                <w:szCs w:val="24"/>
                <w:lang w:val="en-GB"/>
              </w:rPr>
              <w:t>4</w:t>
            </w:r>
          </w:p>
        </w:tc>
        <w:tc>
          <w:tcPr>
            <w:tcW w:w="3260" w:type="dxa"/>
          </w:tcPr>
          <w:p w:rsidR="00670AA0" w:rsidRPr="00C44BF3" w:rsidRDefault="00B55FC1" w:rsidP="001B35E7">
            <w:pPr>
              <w:jc w:val="both"/>
              <w:rPr>
                <w:rFonts w:ascii="Times New Roman" w:hAnsi="Times New Roman" w:cs="Times New Roman"/>
                <w:szCs w:val="24"/>
              </w:rPr>
            </w:pPr>
            <w:r w:rsidRPr="00C44BF3">
              <w:rPr>
                <w:rFonts w:ascii="Times New Roman" w:hAnsi="Times New Roman" w:cs="Times New Roman"/>
                <w:szCs w:val="24"/>
              </w:rPr>
              <w:t xml:space="preserve">How should option positions for </w:t>
            </w:r>
            <w:r w:rsidR="001B35E7">
              <w:rPr>
                <w:rFonts w:ascii="Times New Roman" w:hAnsi="Times New Roman" w:cs="Times New Roman"/>
                <w:szCs w:val="24"/>
              </w:rPr>
              <w:t>i</w:t>
            </w:r>
            <w:r w:rsidR="001B35E7" w:rsidRPr="00C44BF3">
              <w:rPr>
                <w:rFonts w:ascii="Times New Roman" w:hAnsi="Times New Roman" w:cs="Times New Roman"/>
                <w:szCs w:val="24"/>
              </w:rPr>
              <w:t xml:space="preserve">tem </w:t>
            </w:r>
            <w:r w:rsidRPr="00C44BF3">
              <w:rPr>
                <w:rFonts w:ascii="Times New Roman" w:hAnsi="Times New Roman" w:cs="Times New Roman"/>
                <w:szCs w:val="24"/>
              </w:rPr>
              <w:t xml:space="preserve">14 on </w:t>
            </w:r>
            <w:r w:rsidR="001B35E7">
              <w:rPr>
                <w:rFonts w:ascii="Times New Roman" w:hAnsi="Times New Roman" w:cs="Times New Roman"/>
                <w:szCs w:val="24"/>
              </w:rPr>
              <w:t>f</w:t>
            </w:r>
            <w:r w:rsidR="001B35E7" w:rsidRPr="00C44BF3">
              <w:rPr>
                <w:rFonts w:ascii="Times New Roman" w:hAnsi="Times New Roman" w:cs="Times New Roman"/>
                <w:szCs w:val="24"/>
              </w:rPr>
              <w:t xml:space="preserve">orm </w:t>
            </w:r>
            <w:r w:rsidRPr="00C44BF3">
              <w:rPr>
                <w:rFonts w:ascii="Times New Roman" w:hAnsi="Times New Roman" w:cs="Times New Roman"/>
                <w:szCs w:val="24"/>
              </w:rPr>
              <w:t>3 of MA(BS)12A be calculated and reported?</w:t>
            </w:r>
          </w:p>
        </w:tc>
        <w:tc>
          <w:tcPr>
            <w:tcW w:w="9923" w:type="dxa"/>
          </w:tcPr>
          <w:p w:rsidR="0097495B" w:rsidRPr="00C44BF3" w:rsidRDefault="0097495B" w:rsidP="006C74B3">
            <w:pPr>
              <w:jc w:val="both"/>
              <w:rPr>
                <w:rFonts w:ascii="Times New Roman" w:hAnsi="Times New Roman" w:cs="Times New Roman"/>
                <w:szCs w:val="24"/>
                <w:lang w:val="en-GB"/>
              </w:rPr>
            </w:pPr>
            <w:r w:rsidRPr="00C44BF3">
              <w:rPr>
                <w:rFonts w:ascii="Times New Roman" w:hAnsi="Times New Roman" w:cs="Times New Roman"/>
                <w:szCs w:val="24"/>
                <w:lang w:val="en-GB"/>
              </w:rPr>
              <w:t xml:space="preserve">To report the option positions under </w:t>
            </w:r>
            <w:r w:rsidR="001B35E7">
              <w:rPr>
                <w:rFonts w:ascii="Times New Roman" w:hAnsi="Times New Roman" w:cs="Times New Roman"/>
                <w:szCs w:val="24"/>
                <w:lang w:val="en-GB"/>
              </w:rPr>
              <w:t>i</w:t>
            </w:r>
            <w:r w:rsidR="001B35E7" w:rsidRPr="00C44BF3">
              <w:rPr>
                <w:rFonts w:ascii="Times New Roman" w:hAnsi="Times New Roman" w:cs="Times New Roman"/>
                <w:szCs w:val="24"/>
                <w:lang w:val="en-GB"/>
              </w:rPr>
              <w:t xml:space="preserve">tem </w:t>
            </w:r>
            <w:r w:rsidRPr="00C44BF3">
              <w:rPr>
                <w:rFonts w:ascii="Times New Roman" w:hAnsi="Times New Roman" w:cs="Times New Roman"/>
                <w:szCs w:val="24"/>
                <w:lang w:val="en-GB"/>
              </w:rPr>
              <w:t xml:space="preserve">14 on </w:t>
            </w:r>
            <w:r w:rsidR="001B35E7">
              <w:rPr>
                <w:rFonts w:ascii="Times New Roman" w:hAnsi="Times New Roman" w:cs="Times New Roman"/>
                <w:szCs w:val="24"/>
                <w:lang w:val="en-GB"/>
              </w:rPr>
              <w:t>f</w:t>
            </w:r>
            <w:r w:rsidR="001B35E7" w:rsidRPr="00C44BF3">
              <w:rPr>
                <w:rFonts w:ascii="Times New Roman" w:hAnsi="Times New Roman" w:cs="Times New Roman"/>
                <w:szCs w:val="24"/>
                <w:lang w:val="en-GB"/>
              </w:rPr>
              <w:t xml:space="preserve">orm </w:t>
            </w:r>
            <w:r w:rsidRPr="00C44BF3">
              <w:rPr>
                <w:rFonts w:ascii="Times New Roman" w:hAnsi="Times New Roman" w:cs="Times New Roman"/>
                <w:szCs w:val="24"/>
                <w:lang w:val="en-GB"/>
              </w:rPr>
              <w:t>3 of MA(BS)12A, AIs follow a two-step procedure:</w:t>
            </w:r>
          </w:p>
          <w:p w:rsidR="0097495B" w:rsidRPr="00C44BF3" w:rsidRDefault="0097495B" w:rsidP="006C74B3">
            <w:pPr>
              <w:pStyle w:val="ListParagraph"/>
              <w:widowControl w:val="0"/>
              <w:numPr>
                <w:ilvl w:val="0"/>
                <w:numId w:val="5"/>
              </w:numPr>
              <w:spacing w:after="0" w:line="240" w:lineRule="auto"/>
              <w:contextualSpacing w:val="0"/>
              <w:jc w:val="both"/>
              <w:rPr>
                <w:rFonts w:ascii="Times New Roman" w:hAnsi="Times New Roman" w:cs="Times New Roman"/>
                <w:sz w:val="24"/>
                <w:szCs w:val="24"/>
              </w:rPr>
            </w:pPr>
            <w:r w:rsidRPr="00C44BF3">
              <w:rPr>
                <w:rFonts w:ascii="Times New Roman" w:hAnsi="Times New Roman" w:cs="Times New Roman"/>
                <w:sz w:val="24"/>
                <w:szCs w:val="24"/>
              </w:rPr>
              <w:t>A position is included in the ‘Long’ column (14. a.) if the AI has bought/own</w:t>
            </w:r>
            <w:r w:rsidR="00981A20" w:rsidRPr="00C44BF3">
              <w:rPr>
                <w:rFonts w:ascii="Times New Roman" w:hAnsi="Times New Roman" w:cs="Times New Roman"/>
                <w:sz w:val="24"/>
                <w:szCs w:val="24"/>
              </w:rPr>
              <w:t>s</w:t>
            </w:r>
            <w:r w:rsidRPr="00C44BF3">
              <w:rPr>
                <w:rFonts w:ascii="Times New Roman" w:hAnsi="Times New Roman" w:cs="Times New Roman"/>
                <w:sz w:val="24"/>
                <w:szCs w:val="24"/>
              </w:rPr>
              <w:t xml:space="preserve"> the options and in the ‘Short’ column (14. b.) if the AI has sold/provided the options.</w:t>
            </w:r>
          </w:p>
          <w:p w:rsidR="0097495B" w:rsidRPr="00C44BF3" w:rsidRDefault="0097495B" w:rsidP="006C74B3">
            <w:pPr>
              <w:pStyle w:val="ListParagraph"/>
              <w:widowControl w:val="0"/>
              <w:numPr>
                <w:ilvl w:val="0"/>
                <w:numId w:val="5"/>
              </w:numPr>
              <w:spacing w:after="0" w:line="240" w:lineRule="auto"/>
              <w:contextualSpacing w:val="0"/>
              <w:jc w:val="both"/>
              <w:rPr>
                <w:rFonts w:ascii="Times New Roman" w:hAnsi="Times New Roman" w:cs="Times New Roman"/>
                <w:sz w:val="24"/>
                <w:szCs w:val="24"/>
              </w:rPr>
            </w:pPr>
            <w:r w:rsidRPr="00C44BF3">
              <w:rPr>
                <w:rFonts w:ascii="Times New Roman" w:hAnsi="Times New Roman" w:cs="Times New Roman"/>
                <w:sz w:val="24"/>
                <w:szCs w:val="24"/>
              </w:rPr>
              <w:t xml:space="preserve">Option-implied underlying </w:t>
            </w:r>
            <w:r w:rsidR="000803D7" w:rsidRPr="00C44BF3">
              <w:rPr>
                <w:rFonts w:ascii="Times New Roman" w:hAnsi="Times New Roman" w:cs="Times New Roman"/>
                <w:sz w:val="24"/>
                <w:szCs w:val="24"/>
              </w:rPr>
              <w:t>cash flow</w:t>
            </w:r>
            <w:r w:rsidRPr="00C44BF3">
              <w:rPr>
                <w:rFonts w:ascii="Times New Roman" w:hAnsi="Times New Roman" w:cs="Times New Roman"/>
                <w:sz w:val="24"/>
                <w:szCs w:val="24"/>
              </w:rPr>
              <w:t xml:space="preserve">s that are long (i.e. those from call options) are entered with a positive sign, and option-implied underlying </w:t>
            </w:r>
            <w:r w:rsidR="000803D7" w:rsidRPr="00C44BF3">
              <w:rPr>
                <w:rFonts w:ascii="Times New Roman" w:hAnsi="Times New Roman" w:cs="Times New Roman"/>
                <w:sz w:val="24"/>
                <w:szCs w:val="24"/>
              </w:rPr>
              <w:t>cash flow</w:t>
            </w:r>
            <w:r w:rsidRPr="00C44BF3">
              <w:rPr>
                <w:rFonts w:ascii="Times New Roman" w:hAnsi="Times New Roman" w:cs="Times New Roman"/>
                <w:sz w:val="24"/>
                <w:szCs w:val="24"/>
              </w:rPr>
              <w:t xml:space="preserve">s that are short (i.e. those from put options) are entered with a negative sign. </w:t>
            </w:r>
            <w:r w:rsidR="002442BD" w:rsidRPr="00C44BF3">
              <w:rPr>
                <w:rFonts w:ascii="Times New Roman" w:hAnsi="Times New Roman" w:cs="Times New Roman"/>
                <w:sz w:val="24"/>
                <w:szCs w:val="24"/>
              </w:rPr>
              <w:br/>
            </w:r>
          </w:p>
          <w:p w:rsidR="0097495B" w:rsidRPr="00C44BF3" w:rsidRDefault="0097495B" w:rsidP="006C74B3">
            <w:pPr>
              <w:jc w:val="both"/>
              <w:rPr>
                <w:rFonts w:ascii="Times New Roman" w:hAnsi="Times New Roman" w:cs="Times New Roman"/>
                <w:szCs w:val="24"/>
                <w:lang w:val="en-GB"/>
              </w:rPr>
            </w:pPr>
            <w:r w:rsidRPr="00C44BF3">
              <w:rPr>
                <w:rFonts w:ascii="Times New Roman" w:hAnsi="Times New Roman" w:cs="Times New Roman"/>
                <w:szCs w:val="24"/>
                <w:lang w:val="en-GB"/>
              </w:rPr>
              <w:t xml:space="preserve">Note that: </w:t>
            </w:r>
          </w:p>
          <w:p w:rsidR="0097495B" w:rsidRPr="00C44BF3" w:rsidRDefault="0097495B" w:rsidP="006C74B3">
            <w:pPr>
              <w:pStyle w:val="ListParagraph"/>
              <w:widowControl w:val="0"/>
              <w:numPr>
                <w:ilvl w:val="0"/>
                <w:numId w:val="6"/>
              </w:numPr>
              <w:spacing w:after="0" w:line="240" w:lineRule="auto"/>
              <w:contextualSpacing w:val="0"/>
              <w:jc w:val="both"/>
              <w:rPr>
                <w:rFonts w:ascii="Times New Roman" w:hAnsi="Times New Roman" w:cs="Times New Roman"/>
                <w:sz w:val="24"/>
                <w:szCs w:val="24"/>
              </w:rPr>
            </w:pPr>
            <w:r w:rsidRPr="00C44BF3">
              <w:rPr>
                <w:rFonts w:ascii="Times New Roman" w:hAnsi="Times New Roman" w:cs="Times New Roman"/>
                <w:sz w:val="24"/>
                <w:szCs w:val="24"/>
                <w:u w:val="single"/>
              </w:rPr>
              <w:t>within</w:t>
            </w:r>
            <w:r w:rsidRPr="00C44BF3">
              <w:rPr>
                <w:rFonts w:ascii="Times New Roman" w:hAnsi="Times New Roman" w:cs="Times New Roman"/>
                <w:sz w:val="24"/>
                <w:szCs w:val="24"/>
              </w:rPr>
              <w:t xml:space="preserve"> each column in row (T), netting between contracts is permitted, and the AI can enter a positive or negative number (depending on the portfolio positions). For example, a </w:t>
            </w:r>
            <w:r w:rsidRPr="00C44BF3">
              <w:rPr>
                <w:rFonts w:ascii="Times New Roman" w:hAnsi="Times New Roman" w:cs="Times New Roman"/>
                <w:sz w:val="24"/>
                <w:szCs w:val="24"/>
                <w:u w:val="single"/>
              </w:rPr>
              <w:t>positive number in column 14.a</w:t>
            </w:r>
            <w:r w:rsidRPr="00C44BF3">
              <w:rPr>
                <w:rFonts w:ascii="Times New Roman" w:hAnsi="Times New Roman" w:cs="Times New Roman"/>
                <w:sz w:val="24"/>
                <w:szCs w:val="24"/>
              </w:rPr>
              <w:t xml:space="preserve"> indicates a net long </w:t>
            </w:r>
            <w:r w:rsidR="005970D3" w:rsidRPr="00C44BF3">
              <w:rPr>
                <w:rFonts w:ascii="Times New Roman" w:hAnsi="Times New Roman" w:cs="Times New Roman"/>
                <w:sz w:val="24"/>
                <w:szCs w:val="24"/>
              </w:rPr>
              <w:t xml:space="preserve">cash flow </w:t>
            </w:r>
            <w:r w:rsidRPr="00C44BF3">
              <w:rPr>
                <w:rFonts w:ascii="Times New Roman" w:hAnsi="Times New Roman" w:cs="Times New Roman"/>
                <w:sz w:val="24"/>
                <w:szCs w:val="24"/>
              </w:rPr>
              <w:t xml:space="preserve">position (by delta equivalent) of all options bought/owned by the bank (the opposite holds for a negative sign). A </w:t>
            </w:r>
            <w:r w:rsidRPr="00C44BF3">
              <w:rPr>
                <w:rFonts w:ascii="Times New Roman" w:hAnsi="Times New Roman" w:cs="Times New Roman"/>
                <w:sz w:val="24"/>
                <w:szCs w:val="24"/>
                <w:u w:val="single"/>
              </w:rPr>
              <w:t>positive number in column 14.b</w:t>
            </w:r>
            <w:r w:rsidRPr="00C44BF3">
              <w:rPr>
                <w:rFonts w:ascii="Times New Roman" w:hAnsi="Times New Roman" w:cs="Times New Roman"/>
                <w:sz w:val="24"/>
                <w:szCs w:val="24"/>
              </w:rPr>
              <w:t xml:space="preserve"> indicates a net short </w:t>
            </w:r>
            <w:r w:rsidR="005970D3" w:rsidRPr="00C44BF3">
              <w:rPr>
                <w:rFonts w:ascii="Times New Roman" w:hAnsi="Times New Roman" w:cs="Times New Roman"/>
                <w:sz w:val="24"/>
                <w:szCs w:val="24"/>
              </w:rPr>
              <w:t xml:space="preserve">cash flow </w:t>
            </w:r>
            <w:r w:rsidRPr="00C44BF3">
              <w:rPr>
                <w:rFonts w:ascii="Times New Roman" w:hAnsi="Times New Roman" w:cs="Times New Roman"/>
                <w:sz w:val="24"/>
                <w:szCs w:val="24"/>
              </w:rPr>
              <w:t xml:space="preserve">position (by delta equivalent) of all options </w:t>
            </w:r>
            <w:r w:rsidR="00953DC2" w:rsidRPr="00C44BF3">
              <w:rPr>
                <w:rFonts w:ascii="Times New Roman" w:hAnsi="Times New Roman" w:cs="Times New Roman"/>
                <w:sz w:val="24"/>
                <w:szCs w:val="24"/>
              </w:rPr>
              <w:t>sold</w:t>
            </w:r>
            <w:r w:rsidRPr="00C44BF3">
              <w:rPr>
                <w:rFonts w:ascii="Times New Roman" w:hAnsi="Times New Roman" w:cs="Times New Roman"/>
                <w:sz w:val="24"/>
                <w:szCs w:val="24"/>
              </w:rPr>
              <w:t>/provided by the bank (the opposite holds for a negative sign).</w:t>
            </w:r>
          </w:p>
          <w:p w:rsidR="0097495B" w:rsidRPr="00C44BF3" w:rsidRDefault="0097495B" w:rsidP="006C74B3">
            <w:pPr>
              <w:pStyle w:val="ListParagraph"/>
              <w:widowControl w:val="0"/>
              <w:numPr>
                <w:ilvl w:val="0"/>
                <w:numId w:val="6"/>
              </w:numPr>
              <w:spacing w:after="0" w:line="240" w:lineRule="auto"/>
              <w:contextualSpacing w:val="0"/>
              <w:jc w:val="both"/>
              <w:rPr>
                <w:rFonts w:ascii="Times New Roman" w:hAnsi="Times New Roman" w:cs="Times New Roman"/>
                <w:sz w:val="24"/>
                <w:szCs w:val="24"/>
              </w:rPr>
            </w:pPr>
            <w:r w:rsidRPr="00C44BF3">
              <w:rPr>
                <w:rFonts w:ascii="Times New Roman" w:hAnsi="Times New Roman" w:cs="Times New Roman"/>
                <w:sz w:val="24"/>
                <w:szCs w:val="24"/>
              </w:rPr>
              <w:lastRenderedPageBreak/>
              <w:t>the options may differ in characteristics of the underlying (bond type, maturity, issuer, coupon etc.) as well as characteristics of the contracts themselves (strike, American/European type option, date of exercise</w:t>
            </w:r>
            <w:r w:rsidR="005970D3" w:rsidRPr="00C44BF3">
              <w:rPr>
                <w:rFonts w:ascii="Times New Roman" w:hAnsi="Times New Roman" w:cs="Times New Roman"/>
                <w:sz w:val="24"/>
                <w:szCs w:val="24"/>
              </w:rPr>
              <w:t>,</w:t>
            </w:r>
            <w:r w:rsidRPr="00C44BF3">
              <w:rPr>
                <w:rFonts w:ascii="Times New Roman" w:hAnsi="Times New Roman" w:cs="Times New Roman"/>
                <w:sz w:val="24"/>
                <w:szCs w:val="24"/>
              </w:rPr>
              <w:t xml:space="preserve"> etc.).</w:t>
            </w:r>
          </w:p>
          <w:p w:rsidR="00981A20" w:rsidRPr="00C44BF3" w:rsidRDefault="00981A20" w:rsidP="00981A20">
            <w:pPr>
              <w:pStyle w:val="ListParagraph"/>
              <w:widowControl w:val="0"/>
              <w:spacing w:after="0" w:line="240" w:lineRule="auto"/>
              <w:ind w:left="360"/>
              <w:contextualSpacing w:val="0"/>
              <w:jc w:val="both"/>
              <w:rPr>
                <w:rFonts w:ascii="Times New Roman" w:hAnsi="Times New Roman" w:cs="Times New Roman"/>
                <w:sz w:val="24"/>
                <w:szCs w:val="24"/>
              </w:rPr>
            </w:pPr>
          </w:p>
          <w:p w:rsidR="00571CE1" w:rsidRPr="00C44BF3" w:rsidRDefault="0097495B" w:rsidP="006C74B3">
            <w:pPr>
              <w:jc w:val="both"/>
              <w:rPr>
                <w:rFonts w:ascii="Times New Roman" w:hAnsi="Times New Roman" w:cs="Times New Roman"/>
                <w:szCs w:val="24"/>
                <w:lang w:val="en-GB"/>
              </w:rPr>
            </w:pPr>
            <w:r w:rsidRPr="00C44BF3">
              <w:rPr>
                <w:rFonts w:ascii="Times New Roman" w:hAnsi="Times New Roman" w:cs="Times New Roman"/>
                <w:szCs w:val="24"/>
                <w:lang w:val="en-GB"/>
              </w:rPr>
              <w:t xml:space="preserve">As an example, consider an AI has </w:t>
            </w:r>
          </w:p>
          <w:p w:rsidR="00571CE1" w:rsidRPr="00C44BF3" w:rsidRDefault="00571CE1" w:rsidP="006C74B3">
            <w:pPr>
              <w:pStyle w:val="ListParagraph"/>
              <w:numPr>
                <w:ilvl w:val="0"/>
                <w:numId w:val="7"/>
              </w:numPr>
              <w:jc w:val="both"/>
              <w:rPr>
                <w:rFonts w:ascii="Times New Roman" w:hAnsi="Times New Roman" w:cs="Times New Roman"/>
                <w:sz w:val="24"/>
                <w:szCs w:val="24"/>
              </w:rPr>
            </w:pPr>
            <w:r w:rsidRPr="00C44BF3">
              <w:rPr>
                <w:rFonts w:ascii="Times New Roman" w:hAnsi="Times New Roman" w:cs="Times New Roman"/>
                <w:sz w:val="24"/>
                <w:szCs w:val="24"/>
              </w:rPr>
              <w:t>bought call options on bonds from company A (total delta equivalent value USD 20 million),</w:t>
            </w:r>
          </w:p>
          <w:p w:rsidR="0097495B" w:rsidRPr="00C44BF3" w:rsidRDefault="0097495B" w:rsidP="006C74B3">
            <w:pPr>
              <w:pStyle w:val="ListParagraph"/>
              <w:widowControl w:val="0"/>
              <w:numPr>
                <w:ilvl w:val="0"/>
                <w:numId w:val="7"/>
              </w:numPr>
              <w:spacing w:after="0" w:line="240" w:lineRule="auto"/>
              <w:contextualSpacing w:val="0"/>
              <w:jc w:val="both"/>
              <w:rPr>
                <w:rFonts w:ascii="Times New Roman" w:hAnsi="Times New Roman" w:cs="Times New Roman"/>
                <w:sz w:val="24"/>
                <w:szCs w:val="24"/>
              </w:rPr>
            </w:pPr>
            <w:r w:rsidRPr="00C44BF3">
              <w:rPr>
                <w:rFonts w:ascii="Times New Roman" w:hAnsi="Times New Roman" w:cs="Times New Roman"/>
                <w:sz w:val="24"/>
                <w:szCs w:val="24"/>
              </w:rPr>
              <w:t xml:space="preserve">bought put options on US government bonds (total delta equivalent value USD </w:t>
            </w:r>
            <w:r w:rsidR="00571CE1" w:rsidRPr="00C44BF3">
              <w:rPr>
                <w:rFonts w:ascii="Times New Roman" w:hAnsi="Times New Roman" w:cs="Times New Roman"/>
                <w:sz w:val="24"/>
                <w:szCs w:val="24"/>
              </w:rPr>
              <w:t>−</w:t>
            </w:r>
            <w:r w:rsidRPr="00C44BF3">
              <w:rPr>
                <w:rFonts w:ascii="Times New Roman" w:hAnsi="Times New Roman" w:cs="Times New Roman"/>
                <w:sz w:val="24"/>
                <w:szCs w:val="24"/>
              </w:rPr>
              <w:t xml:space="preserve">100 million), </w:t>
            </w:r>
          </w:p>
          <w:p w:rsidR="00571CE1" w:rsidRPr="00C44BF3" w:rsidRDefault="00571CE1" w:rsidP="006C74B3">
            <w:pPr>
              <w:pStyle w:val="ListParagraph"/>
              <w:widowControl w:val="0"/>
              <w:numPr>
                <w:ilvl w:val="0"/>
                <w:numId w:val="7"/>
              </w:numPr>
              <w:spacing w:after="0" w:line="240" w:lineRule="auto"/>
              <w:contextualSpacing w:val="0"/>
              <w:jc w:val="both"/>
              <w:rPr>
                <w:rFonts w:ascii="Times New Roman" w:hAnsi="Times New Roman" w:cs="Times New Roman"/>
                <w:sz w:val="24"/>
                <w:szCs w:val="24"/>
              </w:rPr>
            </w:pPr>
            <w:r w:rsidRPr="00C44BF3">
              <w:rPr>
                <w:rFonts w:ascii="Times New Roman" w:hAnsi="Times New Roman" w:cs="Times New Roman"/>
                <w:sz w:val="24"/>
                <w:szCs w:val="24"/>
              </w:rPr>
              <w:t>sold call options on US government bonds (total delta equivalent value USD 70 million), and</w:t>
            </w:r>
          </w:p>
          <w:p w:rsidR="0097495B" w:rsidRPr="00C44BF3" w:rsidRDefault="0097495B" w:rsidP="006C74B3">
            <w:pPr>
              <w:pStyle w:val="ListParagraph"/>
              <w:widowControl w:val="0"/>
              <w:numPr>
                <w:ilvl w:val="0"/>
                <w:numId w:val="7"/>
              </w:numPr>
              <w:spacing w:after="0" w:line="240" w:lineRule="auto"/>
              <w:contextualSpacing w:val="0"/>
              <w:jc w:val="both"/>
              <w:rPr>
                <w:rFonts w:ascii="Times New Roman" w:hAnsi="Times New Roman" w:cs="Times New Roman"/>
                <w:sz w:val="24"/>
                <w:szCs w:val="24"/>
              </w:rPr>
            </w:pPr>
            <w:r w:rsidRPr="00C44BF3">
              <w:rPr>
                <w:rFonts w:ascii="Times New Roman" w:hAnsi="Times New Roman" w:cs="Times New Roman"/>
                <w:sz w:val="24"/>
                <w:szCs w:val="24"/>
              </w:rPr>
              <w:t xml:space="preserve">sold put options on bonds from Company B (total delta equivalent value USD </w:t>
            </w:r>
            <w:r w:rsidR="00571CE1" w:rsidRPr="00C44BF3">
              <w:rPr>
                <w:rFonts w:ascii="Times New Roman" w:hAnsi="Times New Roman" w:cs="Times New Roman"/>
                <w:sz w:val="24"/>
                <w:szCs w:val="24"/>
              </w:rPr>
              <w:t>−</w:t>
            </w:r>
            <w:r w:rsidRPr="00C44BF3">
              <w:rPr>
                <w:rFonts w:ascii="Times New Roman" w:hAnsi="Times New Roman" w:cs="Times New Roman"/>
                <w:sz w:val="24"/>
                <w:szCs w:val="24"/>
              </w:rPr>
              <w:t>30 million).</w:t>
            </w:r>
            <w:r w:rsidR="002442BD" w:rsidRPr="00C44BF3">
              <w:rPr>
                <w:rFonts w:ascii="Times New Roman" w:hAnsi="Times New Roman" w:cs="Times New Roman"/>
                <w:sz w:val="24"/>
                <w:szCs w:val="24"/>
              </w:rPr>
              <w:br/>
            </w:r>
          </w:p>
          <w:p w:rsidR="0097495B" w:rsidRPr="00C44BF3" w:rsidRDefault="0097495B" w:rsidP="006C74B3">
            <w:pPr>
              <w:jc w:val="both"/>
              <w:rPr>
                <w:rFonts w:ascii="Times New Roman" w:hAnsi="Times New Roman" w:cs="Times New Roman"/>
                <w:szCs w:val="24"/>
                <w:lang w:val="en-GB"/>
              </w:rPr>
            </w:pPr>
            <w:r w:rsidRPr="00C44BF3">
              <w:rPr>
                <w:rFonts w:ascii="Times New Roman" w:hAnsi="Times New Roman" w:cs="Times New Roman"/>
                <w:szCs w:val="24"/>
                <w:lang w:val="en-GB"/>
              </w:rPr>
              <w:t>An overview of option reporting including positions A to D is displayed in the following table:</w:t>
            </w:r>
          </w:p>
          <w:tbl>
            <w:tblPr>
              <w:tblW w:w="9620" w:type="dxa"/>
              <w:tblInd w:w="13" w:type="dxa"/>
              <w:tblLayout w:type="fixed"/>
              <w:tblCellMar>
                <w:left w:w="28" w:type="dxa"/>
                <w:right w:w="28" w:type="dxa"/>
              </w:tblCellMar>
              <w:tblLook w:val="04A0" w:firstRow="1" w:lastRow="0" w:firstColumn="1" w:lastColumn="0" w:noHBand="0" w:noVBand="1"/>
            </w:tblPr>
            <w:tblGrid>
              <w:gridCol w:w="960"/>
              <w:gridCol w:w="1177"/>
              <w:gridCol w:w="3643"/>
              <w:gridCol w:w="3840"/>
            </w:tblGrid>
            <w:tr w:rsidR="0097495B" w:rsidRPr="00C44BF3" w:rsidTr="0097495B">
              <w:trPr>
                <w:trHeight w:val="264"/>
              </w:trPr>
              <w:tc>
                <w:tcPr>
                  <w:tcW w:w="960" w:type="dxa"/>
                  <w:tcBorders>
                    <w:top w:val="single" w:sz="8" w:space="0" w:color="auto"/>
                    <w:left w:val="single" w:sz="8" w:space="0" w:color="auto"/>
                    <w:bottom w:val="nil"/>
                    <w:right w:val="nil"/>
                  </w:tcBorders>
                  <w:noWrap/>
                  <w:vAlign w:val="center"/>
                  <w:hideMark/>
                </w:tcPr>
                <w:p w:rsidR="0097495B" w:rsidRPr="00C44BF3" w:rsidRDefault="0097495B" w:rsidP="006C74B3">
                  <w:pPr>
                    <w:widowControl/>
                    <w:jc w:val="both"/>
                    <w:rPr>
                      <w:rFonts w:ascii="Times New Roman" w:eastAsia="新細明體" w:hAnsi="Times New Roman" w:cs="Times New Roman"/>
                      <w:b/>
                      <w:color w:val="000000"/>
                      <w:kern w:val="0"/>
                      <w:szCs w:val="24"/>
                    </w:rPr>
                  </w:pPr>
                  <w:r w:rsidRPr="00C44BF3">
                    <w:rPr>
                      <w:rFonts w:ascii="Times New Roman" w:hAnsi="Times New Roman" w:cs="Times New Roman"/>
                      <w:noProof/>
                      <w:szCs w:val="24"/>
                    </w:rPr>
                    <mc:AlternateContent>
                      <mc:Choice Requires="wps">
                        <w:drawing>
                          <wp:anchor distT="0" distB="0" distL="114300" distR="114300" simplePos="0" relativeHeight="251659264" behindDoc="0" locked="0" layoutInCell="1" allowOverlap="1" wp14:anchorId="16C9F278" wp14:editId="5C67A26F">
                            <wp:simplePos x="0" y="0"/>
                            <wp:positionH relativeFrom="column">
                              <wp:posOffset>-23495</wp:posOffset>
                            </wp:positionH>
                            <wp:positionV relativeFrom="paragraph">
                              <wp:posOffset>-12700</wp:posOffset>
                            </wp:positionV>
                            <wp:extent cx="1234440" cy="480060"/>
                            <wp:effectExtent l="0" t="0" r="22860" b="34290"/>
                            <wp:wrapNone/>
                            <wp:docPr id="2" name="Straight Connector 2"/>
                            <wp:cNvGraphicFramePr/>
                            <a:graphic xmlns:a="http://schemas.openxmlformats.org/drawingml/2006/main">
                              <a:graphicData uri="http://schemas.microsoft.com/office/word/2010/wordprocessingShape">
                                <wps:wsp>
                                  <wps:cNvCnPr/>
                                  <wps:spPr>
                                    <a:xfrm flipH="1" flipV="1">
                                      <a:off x="0" y="0"/>
                                      <a:ext cx="1234440" cy="480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1pt" to="95.35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" strokecolor="black [3040]"/>
                        </w:pict>
                      </mc:Fallback>
                    </mc:AlternateContent>
                  </w:r>
                  <w:r w:rsidRPr="00C44BF3">
                    <w:rPr>
                      <w:rFonts w:ascii="Times New Roman" w:eastAsia="新細明體" w:hAnsi="Times New Roman" w:cs="Times New Roman"/>
                      <w:b/>
                      <w:color w:val="000000"/>
                      <w:kern w:val="0"/>
                      <w:szCs w:val="24"/>
                    </w:rPr>
                    <w:t xml:space="preserve">　</w:t>
                  </w:r>
                </w:p>
              </w:tc>
              <w:tc>
                <w:tcPr>
                  <w:tcW w:w="1177" w:type="dxa"/>
                  <w:tcBorders>
                    <w:top w:val="single" w:sz="8" w:space="0" w:color="auto"/>
                    <w:left w:val="nil"/>
                    <w:bottom w:val="nil"/>
                    <w:right w:val="single" w:sz="8" w:space="0" w:color="auto"/>
                  </w:tcBorders>
                  <w:noWrap/>
                  <w:vAlign w:val="center"/>
                  <w:hideMark/>
                </w:tcPr>
                <w:p w:rsidR="0097495B" w:rsidRPr="00C44BF3" w:rsidRDefault="0097495B" w:rsidP="006C74B3">
                  <w:pPr>
                    <w:widowControl/>
                    <w:jc w:val="both"/>
                    <w:rPr>
                      <w:rFonts w:ascii="Times New Roman" w:eastAsia="新細明體" w:hAnsi="Times New Roman" w:cs="Times New Roman"/>
                      <w:b/>
                      <w:color w:val="000000"/>
                      <w:kern w:val="0"/>
                      <w:szCs w:val="24"/>
                    </w:rPr>
                  </w:pPr>
                  <w:r w:rsidRPr="00C44BF3">
                    <w:rPr>
                      <w:rFonts w:ascii="Times New Roman" w:eastAsia="新細明體" w:hAnsi="Times New Roman" w:cs="Times New Roman"/>
                      <w:b/>
                      <w:color w:val="000000"/>
                      <w:kern w:val="0"/>
                      <w:szCs w:val="24"/>
                    </w:rPr>
                    <w:t>Cash</w:t>
                  </w:r>
                  <w:r w:rsidR="000803D7" w:rsidRPr="00C44BF3">
                    <w:rPr>
                      <w:rFonts w:ascii="Times New Roman" w:eastAsia="新細明體" w:hAnsi="Times New Roman" w:cs="Times New Roman"/>
                      <w:b/>
                      <w:color w:val="000000"/>
                      <w:kern w:val="0"/>
                      <w:szCs w:val="24"/>
                    </w:rPr>
                    <w:t xml:space="preserve"> </w:t>
                  </w:r>
                  <w:r w:rsidRPr="00C44BF3">
                    <w:rPr>
                      <w:rFonts w:ascii="Times New Roman" w:eastAsia="新細明體" w:hAnsi="Times New Roman" w:cs="Times New Roman"/>
                      <w:b/>
                      <w:color w:val="000000"/>
                      <w:kern w:val="0"/>
                      <w:szCs w:val="24"/>
                    </w:rPr>
                    <w:t>flow</w:t>
                  </w:r>
                </w:p>
              </w:tc>
              <w:tc>
                <w:tcPr>
                  <w:tcW w:w="3643" w:type="dxa"/>
                  <w:vMerge w:val="restart"/>
                  <w:tcBorders>
                    <w:top w:val="single" w:sz="4" w:space="0" w:color="auto"/>
                    <w:left w:val="nil"/>
                    <w:bottom w:val="single" w:sz="4" w:space="0" w:color="auto"/>
                    <w:right w:val="single" w:sz="4" w:space="0" w:color="auto"/>
                  </w:tcBorders>
                  <w:noWrap/>
                  <w:hideMark/>
                </w:tcPr>
                <w:p w:rsidR="0097495B" w:rsidRPr="00C44BF3" w:rsidRDefault="0097495B" w:rsidP="006C74B3">
                  <w:pPr>
                    <w:widowControl/>
                    <w:jc w:val="both"/>
                    <w:rPr>
                      <w:rFonts w:ascii="Times New Roman" w:eastAsia="新細明體" w:hAnsi="Times New Roman" w:cs="Times New Roman"/>
                      <w:b/>
                      <w:color w:val="000000"/>
                      <w:kern w:val="0"/>
                      <w:szCs w:val="24"/>
                    </w:rPr>
                  </w:pPr>
                  <w:r w:rsidRPr="00C44BF3">
                    <w:rPr>
                      <w:rFonts w:ascii="Times New Roman" w:eastAsia="新細明體" w:hAnsi="Times New Roman" w:cs="Times New Roman"/>
                      <w:b/>
                      <w:color w:val="000000"/>
                      <w:kern w:val="0"/>
                      <w:szCs w:val="24"/>
                    </w:rPr>
                    <w:t>Long</w:t>
                  </w:r>
                </w:p>
              </w:tc>
              <w:tc>
                <w:tcPr>
                  <w:tcW w:w="3840" w:type="dxa"/>
                  <w:vMerge w:val="restart"/>
                  <w:tcBorders>
                    <w:top w:val="single" w:sz="4" w:space="0" w:color="auto"/>
                    <w:left w:val="single" w:sz="4" w:space="0" w:color="auto"/>
                    <w:bottom w:val="single" w:sz="4" w:space="0" w:color="auto"/>
                    <w:right w:val="single" w:sz="4" w:space="0" w:color="auto"/>
                  </w:tcBorders>
                  <w:noWrap/>
                  <w:hideMark/>
                </w:tcPr>
                <w:p w:rsidR="0097495B" w:rsidRPr="00C44BF3" w:rsidRDefault="0097495B" w:rsidP="006C74B3">
                  <w:pPr>
                    <w:widowControl/>
                    <w:jc w:val="both"/>
                    <w:rPr>
                      <w:rFonts w:ascii="Times New Roman" w:eastAsia="新細明體" w:hAnsi="Times New Roman" w:cs="Times New Roman"/>
                      <w:b/>
                      <w:color w:val="000000"/>
                      <w:kern w:val="0"/>
                      <w:szCs w:val="24"/>
                    </w:rPr>
                  </w:pPr>
                  <w:r w:rsidRPr="00C44BF3">
                    <w:rPr>
                      <w:rFonts w:ascii="Times New Roman" w:eastAsia="新細明體" w:hAnsi="Times New Roman" w:cs="Times New Roman"/>
                      <w:b/>
                      <w:color w:val="000000"/>
                      <w:kern w:val="0"/>
                      <w:szCs w:val="24"/>
                    </w:rPr>
                    <w:t>Short</w:t>
                  </w:r>
                </w:p>
              </w:tc>
            </w:tr>
            <w:tr w:rsidR="0097495B" w:rsidRPr="00C44BF3" w:rsidTr="0097495B">
              <w:trPr>
                <w:trHeight w:val="276"/>
              </w:trPr>
              <w:tc>
                <w:tcPr>
                  <w:tcW w:w="960" w:type="dxa"/>
                  <w:tcBorders>
                    <w:top w:val="nil"/>
                    <w:left w:val="single" w:sz="8" w:space="0" w:color="auto"/>
                    <w:bottom w:val="single" w:sz="8" w:space="0" w:color="auto"/>
                    <w:right w:val="nil"/>
                  </w:tcBorders>
                  <w:noWrap/>
                  <w:vAlign w:val="center"/>
                  <w:hideMark/>
                </w:tcPr>
                <w:p w:rsidR="0097495B" w:rsidRPr="00C44BF3" w:rsidRDefault="0097495B" w:rsidP="006C74B3">
                  <w:pPr>
                    <w:widowControl/>
                    <w:jc w:val="both"/>
                    <w:rPr>
                      <w:rFonts w:ascii="Times New Roman" w:eastAsia="新細明體" w:hAnsi="Times New Roman" w:cs="Times New Roman"/>
                      <w:b/>
                      <w:color w:val="000000"/>
                      <w:kern w:val="0"/>
                      <w:szCs w:val="24"/>
                    </w:rPr>
                  </w:pPr>
                  <w:r w:rsidRPr="00C44BF3">
                    <w:rPr>
                      <w:rFonts w:ascii="Times New Roman" w:eastAsia="新細明體" w:hAnsi="Times New Roman" w:cs="Times New Roman"/>
                      <w:b/>
                      <w:color w:val="000000"/>
                      <w:kern w:val="0"/>
                      <w:szCs w:val="24"/>
                    </w:rPr>
                    <w:t>Option</w:t>
                  </w:r>
                </w:p>
              </w:tc>
              <w:tc>
                <w:tcPr>
                  <w:tcW w:w="1177" w:type="dxa"/>
                  <w:tcBorders>
                    <w:top w:val="nil"/>
                    <w:left w:val="nil"/>
                    <w:bottom w:val="single" w:sz="8" w:space="0" w:color="auto"/>
                    <w:right w:val="single" w:sz="8" w:space="0" w:color="auto"/>
                  </w:tcBorders>
                  <w:noWrap/>
                  <w:vAlign w:val="center"/>
                  <w:hideMark/>
                </w:tcPr>
                <w:p w:rsidR="0097495B" w:rsidRPr="00C44BF3" w:rsidRDefault="0097495B" w:rsidP="006C74B3">
                  <w:pPr>
                    <w:widowControl/>
                    <w:jc w:val="both"/>
                    <w:rPr>
                      <w:rFonts w:ascii="Times New Roman" w:eastAsia="新細明體" w:hAnsi="Times New Roman" w:cs="Times New Roman"/>
                      <w:b/>
                      <w:color w:val="000000"/>
                      <w:kern w:val="0"/>
                      <w:szCs w:val="24"/>
                    </w:rPr>
                  </w:pPr>
                  <w:r w:rsidRPr="00C44BF3">
                    <w:rPr>
                      <w:rFonts w:ascii="Times New Roman" w:eastAsia="新細明體" w:hAnsi="Times New Roman" w:cs="Times New Roman"/>
                      <w:b/>
                      <w:color w:val="000000"/>
                      <w:kern w:val="0"/>
                      <w:szCs w:val="24"/>
                    </w:rPr>
                    <w:t xml:space="preserve">　</w:t>
                  </w:r>
                </w:p>
              </w:tc>
              <w:tc>
                <w:tcPr>
                  <w:tcW w:w="3643" w:type="dxa"/>
                  <w:vMerge/>
                  <w:tcBorders>
                    <w:top w:val="single" w:sz="4" w:space="0" w:color="auto"/>
                    <w:left w:val="nil"/>
                    <w:bottom w:val="single" w:sz="4" w:space="0" w:color="auto"/>
                    <w:right w:val="single" w:sz="4" w:space="0" w:color="auto"/>
                  </w:tcBorders>
                  <w:vAlign w:val="center"/>
                  <w:hideMark/>
                </w:tcPr>
                <w:p w:rsidR="0097495B" w:rsidRPr="00C44BF3" w:rsidRDefault="0097495B" w:rsidP="006C74B3">
                  <w:pPr>
                    <w:widowControl/>
                    <w:jc w:val="both"/>
                    <w:rPr>
                      <w:rFonts w:ascii="Times New Roman" w:eastAsia="新細明體" w:hAnsi="Times New Roman" w:cs="Times New Roman"/>
                      <w:b/>
                      <w:color w:val="000000"/>
                      <w:kern w:val="0"/>
                      <w:szCs w:val="24"/>
                    </w:rPr>
                  </w:pPr>
                </w:p>
              </w:tc>
              <w:tc>
                <w:tcPr>
                  <w:tcW w:w="3840" w:type="dxa"/>
                  <w:vMerge/>
                  <w:tcBorders>
                    <w:top w:val="single" w:sz="4" w:space="0" w:color="auto"/>
                    <w:left w:val="single" w:sz="4" w:space="0" w:color="auto"/>
                    <w:bottom w:val="single" w:sz="4" w:space="0" w:color="auto"/>
                    <w:right w:val="single" w:sz="4" w:space="0" w:color="auto"/>
                  </w:tcBorders>
                  <w:vAlign w:val="center"/>
                  <w:hideMark/>
                </w:tcPr>
                <w:p w:rsidR="0097495B" w:rsidRPr="00C44BF3" w:rsidRDefault="0097495B" w:rsidP="006C74B3">
                  <w:pPr>
                    <w:widowControl/>
                    <w:jc w:val="both"/>
                    <w:rPr>
                      <w:rFonts w:ascii="Times New Roman" w:eastAsia="新細明體" w:hAnsi="Times New Roman" w:cs="Times New Roman"/>
                      <w:b/>
                      <w:color w:val="000000"/>
                      <w:kern w:val="0"/>
                      <w:szCs w:val="24"/>
                    </w:rPr>
                  </w:pPr>
                </w:p>
              </w:tc>
            </w:tr>
            <w:tr w:rsidR="0097495B" w:rsidRPr="00C44BF3" w:rsidTr="0097495B">
              <w:trPr>
                <w:trHeight w:val="1584"/>
              </w:trPr>
              <w:tc>
                <w:tcPr>
                  <w:tcW w:w="2137" w:type="dxa"/>
                  <w:gridSpan w:val="2"/>
                  <w:tcBorders>
                    <w:top w:val="nil"/>
                    <w:left w:val="single" w:sz="4" w:space="0" w:color="auto"/>
                    <w:bottom w:val="single" w:sz="4" w:space="0" w:color="auto"/>
                    <w:right w:val="single" w:sz="4" w:space="0" w:color="auto"/>
                  </w:tcBorders>
                  <w:noWrap/>
                  <w:vAlign w:val="center"/>
                  <w:hideMark/>
                </w:tcPr>
                <w:p w:rsidR="0097495B" w:rsidRPr="00C44BF3" w:rsidRDefault="0097495B" w:rsidP="006C74B3">
                  <w:pPr>
                    <w:widowControl/>
                    <w:jc w:val="both"/>
                    <w:rPr>
                      <w:rFonts w:ascii="Times New Roman" w:eastAsia="新細明體" w:hAnsi="Times New Roman" w:cs="Times New Roman"/>
                      <w:b/>
                      <w:color w:val="000000"/>
                      <w:kern w:val="0"/>
                      <w:szCs w:val="24"/>
                    </w:rPr>
                  </w:pPr>
                  <w:r w:rsidRPr="00C44BF3">
                    <w:rPr>
                      <w:rFonts w:ascii="Times New Roman" w:eastAsia="新細明體" w:hAnsi="Times New Roman" w:cs="Times New Roman"/>
                      <w:b/>
                      <w:color w:val="000000"/>
                      <w:kern w:val="0"/>
                      <w:szCs w:val="24"/>
                    </w:rPr>
                    <w:t>Bought/owned (14.a)</w:t>
                  </w:r>
                </w:p>
              </w:tc>
              <w:tc>
                <w:tcPr>
                  <w:tcW w:w="3643" w:type="dxa"/>
                  <w:tcBorders>
                    <w:top w:val="nil"/>
                    <w:left w:val="nil"/>
                    <w:bottom w:val="single" w:sz="4" w:space="0" w:color="auto"/>
                    <w:right w:val="single" w:sz="4" w:space="0" w:color="auto"/>
                  </w:tcBorders>
                  <w:vAlign w:val="center"/>
                  <w:hideMark/>
                </w:tcPr>
                <w:p w:rsidR="0097495B" w:rsidRPr="00C44BF3" w:rsidRDefault="0097495B" w:rsidP="006C74B3">
                  <w:pPr>
                    <w:widowControl/>
                    <w:jc w:val="both"/>
                    <w:rPr>
                      <w:rFonts w:ascii="Times New Roman" w:eastAsia="新細明體" w:hAnsi="Times New Roman" w:cs="Times New Roman"/>
                      <w:color w:val="000000"/>
                      <w:kern w:val="0"/>
                      <w:szCs w:val="24"/>
                    </w:rPr>
                  </w:pPr>
                  <w:r w:rsidRPr="00C44BF3">
                    <w:rPr>
                      <w:rFonts w:ascii="Times New Roman" w:eastAsia="新細明體" w:hAnsi="Times New Roman" w:cs="Times New Roman"/>
                      <w:color w:val="000000"/>
                      <w:kern w:val="0"/>
                      <w:szCs w:val="24"/>
                    </w:rPr>
                    <w:t>Value entered in 14.a has a positive sign</w:t>
                  </w:r>
                  <w:r w:rsidRPr="00C44BF3">
                    <w:rPr>
                      <w:rFonts w:ascii="Times New Roman" w:eastAsia="新細明體" w:hAnsi="Times New Roman" w:cs="Times New Roman"/>
                      <w:color w:val="000000"/>
                      <w:kern w:val="0"/>
                      <w:szCs w:val="24"/>
                    </w:rPr>
                    <w:br/>
                  </w:r>
                  <w:r w:rsidRPr="00C44BF3">
                    <w:rPr>
                      <w:rFonts w:ascii="Times New Roman" w:eastAsia="新細明體" w:hAnsi="Times New Roman" w:cs="Times New Roman"/>
                      <w:color w:val="000000"/>
                      <w:kern w:val="0"/>
                      <w:szCs w:val="24"/>
                    </w:rPr>
                    <w:br/>
                    <w:t xml:space="preserve">[Bought call, case </w:t>
                  </w:r>
                  <w:r w:rsidR="00571CE1" w:rsidRPr="00C44BF3">
                    <w:rPr>
                      <w:rFonts w:ascii="Times New Roman" w:eastAsia="新細明體" w:hAnsi="Times New Roman" w:cs="Times New Roman"/>
                      <w:color w:val="000000"/>
                      <w:kern w:val="0"/>
                      <w:szCs w:val="24"/>
                    </w:rPr>
                    <w:t xml:space="preserve">A </w:t>
                  </w:r>
                  <w:r w:rsidRPr="00C44BF3">
                    <w:rPr>
                      <w:rFonts w:ascii="Times New Roman" w:eastAsia="新細明體" w:hAnsi="Times New Roman" w:cs="Times New Roman"/>
                      <w:color w:val="000000"/>
                      <w:kern w:val="0"/>
                      <w:szCs w:val="24"/>
                    </w:rPr>
                    <w:t>from above: USD 20 million]</w:t>
                  </w:r>
                </w:p>
              </w:tc>
              <w:tc>
                <w:tcPr>
                  <w:tcW w:w="3840" w:type="dxa"/>
                  <w:tcBorders>
                    <w:top w:val="nil"/>
                    <w:left w:val="nil"/>
                    <w:bottom w:val="single" w:sz="4" w:space="0" w:color="auto"/>
                    <w:right w:val="single" w:sz="4" w:space="0" w:color="auto"/>
                  </w:tcBorders>
                  <w:vAlign w:val="center"/>
                  <w:hideMark/>
                </w:tcPr>
                <w:p w:rsidR="0097495B" w:rsidRPr="00C44BF3" w:rsidRDefault="0097495B" w:rsidP="006C74B3">
                  <w:pPr>
                    <w:widowControl/>
                    <w:jc w:val="both"/>
                    <w:rPr>
                      <w:rFonts w:ascii="Times New Roman" w:eastAsia="新細明體" w:hAnsi="Times New Roman" w:cs="Times New Roman"/>
                      <w:color w:val="000000"/>
                      <w:kern w:val="0"/>
                      <w:szCs w:val="24"/>
                    </w:rPr>
                  </w:pPr>
                  <w:r w:rsidRPr="00C44BF3">
                    <w:rPr>
                      <w:rFonts w:ascii="Times New Roman" w:eastAsia="新細明體" w:hAnsi="Times New Roman" w:cs="Times New Roman"/>
                      <w:color w:val="000000"/>
                      <w:kern w:val="0"/>
                      <w:szCs w:val="24"/>
                    </w:rPr>
                    <w:t>Value entered in 14.a has a negative sign</w:t>
                  </w:r>
                  <w:r w:rsidRPr="00C44BF3">
                    <w:rPr>
                      <w:rFonts w:ascii="Times New Roman" w:eastAsia="新細明體" w:hAnsi="Times New Roman" w:cs="Times New Roman"/>
                      <w:color w:val="000000"/>
                      <w:kern w:val="0"/>
                      <w:szCs w:val="24"/>
                    </w:rPr>
                    <w:br/>
                  </w:r>
                  <w:r w:rsidRPr="00C44BF3">
                    <w:rPr>
                      <w:rFonts w:ascii="Times New Roman" w:eastAsia="新細明體" w:hAnsi="Times New Roman" w:cs="Times New Roman"/>
                      <w:color w:val="000000"/>
                      <w:kern w:val="0"/>
                      <w:szCs w:val="24"/>
                    </w:rPr>
                    <w:br/>
                    <w:t xml:space="preserve">[Bought put, case </w:t>
                  </w:r>
                  <w:r w:rsidR="00571CE1" w:rsidRPr="00C44BF3">
                    <w:rPr>
                      <w:rFonts w:ascii="Times New Roman" w:eastAsia="新細明體" w:hAnsi="Times New Roman" w:cs="Times New Roman"/>
                      <w:color w:val="000000"/>
                      <w:kern w:val="0"/>
                      <w:szCs w:val="24"/>
                    </w:rPr>
                    <w:t xml:space="preserve">B </w:t>
                  </w:r>
                  <w:r w:rsidRPr="00C44BF3">
                    <w:rPr>
                      <w:rFonts w:ascii="Times New Roman" w:eastAsia="新細明體" w:hAnsi="Times New Roman" w:cs="Times New Roman"/>
                      <w:color w:val="000000"/>
                      <w:kern w:val="0"/>
                      <w:szCs w:val="24"/>
                    </w:rPr>
                    <w:t xml:space="preserve">from above: USD </w:t>
                  </w:r>
                  <w:r w:rsidR="00571CE1" w:rsidRPr="00C44BF3">
                    <w:rPr>
                      <w:rFonts w:ascii="Times New Roman" w:eastAsia="新細明體" w:hAnsi="Times New Roman" w:cs="Times New Roman"/>
                      <w:color w:val="000000"/>
                      <w:kern w:val="0"/>
                      <w:szCs w:val="24"/>
                    </w:rPr>
                    <w:t>−</w:t>
                  </w:r>
                  <w:r w:rsidRPr="00C44BF3">
                    <w:rPr>
                      <w:rFonts w:ascii="Times New Roman" w:eastAsia="新細明體" w:hAnsi="Times New Roman" w:cs="Times New Roman"/>
                      <w:color w:val="000000"/>
                      <w:kern w:val="0"/>
                      <w:szCs w:val="24"/>
                    </w:rPr>
                    <w:t>100 million]</w:t>
                  </w:r>
                </w:p>
              </w:tc>
            </w:tr>
            <w:tr w:rsidR="0097495B" w:rsidRPr="00C44BF3" w:rsidTr="0097495B">
              <w:trPr>
                <w:trHeight w:val="1584"/>
              </w:trPr>
              <w:tc>
                <w:tcPr>
                  <w:tcW w:w="2137" w:type="dxa"/>
                  <w:gridSpan w:val="2"/>
                  <w:tcBorders>
                    <w:top w:val="single" w:sz="4" w:space="0" w:color="auto"/>
                    <w:left w:val="single" w:sz="4" w:space="0" w:color="auto"/>
                    <w:bottom w:val="single" w:sz="4" w:space="0" w:color="auto"/>
                    <w:right w:val="single" w:sz="4" w:space="0" w:color="auto"/>
                  </w:tcBorders>
                  <w:noWrap/>
                  <w:vAlign w:val="center"/>
                  <w:hideMark/>
                </w:tcPr>
                <w:p w:rsidR="0097495B" w:rsidRPr="00C44BF3" w:rsidRDefault="0097495B" w:rsidP="006C74B3">
                  <w:pPr>
                    <w:widowControl/>
                    <w:jc w:val="both"/>
                    <w:rPr>
                      <w:rFonts w:ascii="Times New Roman" w:eastAsia="新細明體" w:hAnsi="Times New Roman" w:cs="Times New Roman"/>
                      <w:b/>
                      <w:color w:val="000000"/>
                      <w:kern w:val="0"/>
                      <w:szCs w:val="24"/>
                    </w:rPr>
                  </w:pPr>
                  <w:r w:rsidRPr="00C44BF3">
                    <w:rPr>
                      <w:rFonts w:ascii="Times New Roman" w:eastAsia="新細明體" w:hAnsi="Times New Roman" w:cs="Times New Roman"/>
                      <w:b/>
                      <w:color w:val="000000"/>
                      <w:kern w:val="0"/>
                      <w:szCs w:val="24"/>
                    </w:rPr>
                    <w:t>Sold/provided (14.b)</w:t>
                  </w:r>
                </w:p>
              </w:tc>
              <w:tc>
                <w:tcPr>
                  <w:tcW w:w="3643" w:type="dxa"/>
                  <w:tcBorders>
                    <w:top w:val="nil"/>
                    <w:left w:val="nil"/>
                    <w:bottom w:val="single" w:sz="4" w:space="0" w:color="auto"/>
                    <w:right w:val="single" w:sz="4" w:space="0" w:color="auto"/>
                  </w:tcBorders>
                  <w:vAlign w:val="center"/>
                  <w:hideMark/>
                </w:tcPr>
                <w:p w:rsidR="0097495B" w:rsidRPr="00C44BF3" w:rsidRDefault="0097495B" w:rsidP="006C74B3">
                  <w:pPr>
                    <w:widowControl/>
                    <w:jc w:val="both"/>
                    <w:rPr>
                      <w:rFonts w:ascii="Times New Roman" w:eastAsia="新細明體" w:hAnsi="Times New Roman" w:cs="Times New Roman"/>
                      <w:color w:val="000000"/>
                      <w:kern w:val="0"/>
                      <w:szCs w:val="24"/>
                    </w:rPr>
                  </w:pPr>
                  <w:r w:rsidRPr="00C44BF3">
                    <w:rPr>
                      <w:rFonts w:ascii="Times New Roman" w:eastAsia="新細明體" w:hAnsi="Times New Roman" w:cs="Times New Roman"/>
                      <w:color w:val="000000"/>
                      <w:kern w:val="0"/>
                      <w:szCs w:val="24"/>
                    </w:rPr>
                    <w:t>Value entered in 14.b has a positive sign</w:t>
                  </w:r>
                  <w:r w:rsidRPr="00C44BF3">
                    <w:rPr>
                      <w:rFonts w:ascii="Times New Roman" w:eastAsia="新細明體" w:hAnsi="Times New Roman" w:cs="Times New Roman"/>
                      <w:color w:val="000000"/>
                      <w:kern w:val="0"/>
                      <w:szCs w:val="24"/>
                    </w:rPr>
                    <w:br/>
                  </w:r>
                  <w:r w:rsidRPr="00C44BF3">
                    <w:rPr>
                      <w:rFonts w:ascii="Times New Roman" w:eastAsia="新細明體" w:hAnsi="Times New Roman" w:cs="Times New Roman"/>
                      <w:color w:val="000000"/>
                      <w:kern w:val="0"/>
                      <w:szCs w:val="24"/>
                    </w:rPr>
                    <w:br/>
                    <w:t xml:space="preserve">[Sold call, case </w:t>
                  </w:r>
                  <w:r w:rsidR="00571CE1" w:rsidRPr="00C44BF3">
                    <w:rPr>
                      <w:rFonts w:ascii="Times New Roman" w:eastAsia="新細明體" w:hAnsi="Times New Roman" w:cs="Times New Roman"/>
                      <w:color w:val="000000"/>
                      <w:kern w:val="0"/>
                      <w:szCs w:val="24"/>
                    </w:rPr>
                    <w:t xml:space="preserve">C </w:t>
                  </w:r>
                  <w:r w:rsidRPr="00C44BF3">
                    <w:rPr>
                      <w:rFonts w:ascii="Times New Roman" w:eastAsia="新細明體" w:hAnsi="Times New Roman" w:cs="Times New Roman"/>
                      <w:color w:val="000000"/>
                      <w:kern w:val="0"/>
                      <w:szCs w:val="24"/>
                    </w:rPr>
                    <w:t xml:space="preserve">from above: USD </w:t>
                  </w:r>
                  <w:r w:rsidRPr="00C44BF3">
                    <w:rPr>
                      <w:rFonts w:ascii="Times New Roman" w:eastAsia="新細明體" w:hAnsi="Times New Roman" w:cs="Times New Roman"/>
                      <w:color w:val="000000"/>
                      <w:kern w:val="0"/>
                      <w:szCs w:val="24"/>
                    </w:rPr>
                    <w:lastRenderedPageBreak/>
                    <w:t>70 million]</w:t>
                  </w:r>
                </w:p>
              </w:tc>
              <w:tc>
                <w:tcPr>
                  <w:tcW w:w="3840" w:type="dxa"/>
                  <w:tcBorders>
                    <w:top w:val="nil"/>
                    <w:left w:val="nil"/>
                    <w:bottom w:val="single" w:sz="4" w:space="0" w:color="auto"/>
                    <w:right w:val="single" w:sz="4" w:space="0" w:color="auto"/>
                  </w:tcBorders>
                  <w:vAlign w:val="center"/>
                  <w:hideMark/>
                </w:tcPr>
                <w:p w:rsidR="0097495B" w:rsidRPr="00C44BF3" w:rsidRDefault="0097495B" w:rsidP="006C74B3">
                  <w:pPr>
                    <w:widowControl/>
                    <w:jc w:val="both"/>
                    <w:rPr>
                      <w:rFonts w:ascii="Times New Roman" w:eastAsia="新細明體" w:hAnsi="Times New Roman" w:cs="Times New Roman"/>
                      <w:color w:val="000000"/>
                      <w:kern w:val="0"/>
                      <w:szCs w:val="24"/>
                    </w:rPr>
                  </w:pPr>
                  <w:r w:rsidRPr="00C44BF3">
                    <w:rPr>
                      <w:rFonts w:ascii="Times New Roman" w:eastAsia="新細明體" w:hAnsi="Times New Roman" w:cs="Times New Roman"/>
                      <w:color w:val="000000"/>
                      <w:kern w:val="0"/>
                      <w:szCs w:val="24"/>
                    </w:rPr>
                    <w:lastRenderedPageBreak/>
                    <w:t>Value entered in 14.b has a negative sign</w:t>
                  </w:r>
                  <w:r w:rsidRPr="00C44BF3">
                    <w:rPr>
                      <w:rFonts w:ascii="Times New Roman" w:eastAsia="新細明體" w:hAnsi="Times New Roman" w:cs="Times New Roman"/>
                      <w:color w:val="000000"/>
                      <w:kern w:val="0"/>
                      <w:szCs w:val="24"/>
                    </w:rPr>
                    <w:br/>
                  </w:r>
                  <w:r w:rsidRPr="00C44BF3">
                    <w:rPr>
                      <w:rFonts w:ascii="Times New Roman" w:eastAsia="新細明體" w:hAnsi="Times New Roman" w:cs="Times New Roman"/>
                      <w:color w:val="000000"/>
                      <w:kern w:val="0"/>
                      <w:szCs w:val="24"/>
                    </w:rPr>
                    <w:br/>
                    <w:t xml:space="preserve">[Sold put, case </w:t>
                  </w:r>
                  <w:r w:rsidR="00571CE1" w:rsidRPr="00C44BF3">
                    <w:rPr>
                      <w:rFonts w:ascii="Times New Roman" w:eastAsia="新細明體" w:hAnsi="Times New Roman" w:cs="Times New Roman"/>
                      <w:color w:val="000000"/>
                      <w:kern w:val="0"/>
                      <w:szCs w:val="24"/>
                    </w:rPr>
                    <w:t xml:space="preserve">D </w:t>
                  </w:r>
                  <w:r w:rsidRPr="00C44BF3">
                    <w:rPr>
                      <w:rFonts w:ascii="Times New Roman" w:eastAsia="新細明體" w:hAnsi="Times New Roman" w:cs="Times New Roman"/>
                      <w:color w:val="000000"/>
                      <w:kern w:val="0"/>
                      <w:szCs w:val="24"/>
                    </w:rPr>
                    <w:t xml:space="preserve">from above: USD </w:t>
                  </w:r>
                  <w:r w:rsidR="00571CE1" w:rsidRPr="00C44BF3">
                    <w:rPr>
                      <w:rFonts w:ascii="Times New Roman" w:eastAsia="新細明體" w:hAnsi="Times New Roman" w:cs="Times New Roman"/>
                      <w:color w:val="000000"/>
                      <w:kern w:val="0"/>
                      <w:szCs w:val="24"/>
                    </w:rPr>
                    <w:lastRenderedPageBreak/>
                    <w:t>−</w:t>
                  </w:r>
                  <w:r w:rsidRPr="00C44BF3">
                    <w:rPr>
                      <w:rFonts w:ascii="Times New Roman" w:eastAsia="新細明體" w:hAnsi="Times New Roman" w:cs="Times New Roman"/>
                      <w:color w:val="000000"/>
                      <w:kern w:val="0"/>
                      <w:szCs w:val="24"/>
                    </w:rPr>
                    <w:t>30 million]</w:t>
                  </w:r>
                </w:p>
              </w:tc>
            </w:tr>
          </w:tbl>
          <w:p w:rsidR="0097495B" w:rsidRPr="00C44BF3" w:rsidRDefault="0097495B" w:rsidP="006C74B3">
            <w:pPr>
              <w:jc w:val="both"/>
              <w:rPr>
                <w:rFonts w:ascii="Times New Roman" w:hAnsi="Times New Roman" w:cs="Times New Roman"/>
                <w:szCs w:val="24"/>
                <w:lang w:val="en-GB"/>
              </w:rPr>
            </w:pPr>
          </w:p>
          <w:p w:rsidR="0097495B" w:rsidRPr="00C44BF3" w:rsidRDefault="0097495B" w:rsidP="006C74B3">
            <w:pPr>
              <w:jc w:val="both"/>
              <w:rPr>
                <w:rFonts w:ascii="Times New Roman" w:hAnsi="Times New Roman" w:cs="Times New Roman"/>
                <w:szCs w:val="24"/>
                <w:lang w:val="en-GB"/>
              </w:rPr>
            </w:pPr>
            <w:r w:rsidRPr="00C44BF3">
              <w:rPr>
                <w:rFonts w:ascii="Times New Roman" w:hAnsi="Times New Roman" w:cs="Times New Roman"/>
                <w:szCs w:val="24"/>
                <w:lang w:val="en-GB"/>
              </w:rPr>
              <w:t xml:space="preserve">The figure to be reported in row ‘Total Options (T)’ under column 14.a is USD </w:t>
            </w:r>
            <w:r w:rsidR="004810E8" w:rsidRPr="00C44BF3">
              <w:rPr>
                <w:rFonts w:ascii="Times New Roman" w:hAnsi="Times New Roman" w:cs="Times New Roman"/>
                <w:szCs w:val="24"/>
                <w:lang w:val="en-GB"/>
              </w:rPr>
              <w:t>−</w:t>
            </w:r>
            <w:r w:rsidRPr="00C44BF3">
              <w:rPr>
                <w:rFonts w:ascii="Times New Roman" w:hAnsi="Times New Roman" w:cs="Times New Roman"/>
                <w:szCs w:val="24"/>
                <w:lang w:val="en-GB"/>
              </w:rPr>
              <w:t xml:space="preserve">80 million (the sum of USD </w:t>
            </w:r>
            <w:r w:rsidR="004810E8" w:rsidRPr="00C44BF3">
              <w:rPr>
                <w:rFonts w:ascii="Times New Roman" w:hAnsi="Times New Roman" w:cs="Times New Roman"/>
                <w:szCs w:val="24"/>
                <w:lang w:val="en-GB"/>
              </w:rPr>
              <w:t>−</w:t>
            </w:r>
            <w:r w:rsidRPr="00C44BF3">
              <w:rPr>
                <w:rFonts w:ascii="Times New Roman" w:hAnsi="Times New Roman" w:cs="Times New Roman"/>
                <w:szCs w:val="24"/>
                <w:lang w:val="en-GB"/>
              </w:rPr>
              <w:t>100 million and USD 20 million).</w:t>
            </w:r>
          </w:p>
          <w:p w:rsidR="0097495B" w:rsidRPr="00C44BF3" w:rsidRDefault="0097495B" w:rsidP="006C74B3">
            <w:pPr>
              <w:jc w:val="both"/>
              <w:rPr>
                <w:rFonts w:ascii="Times New Roman" w:hAnsi="Times New Roman" w:cs="Times New Roman"/>
                <w:szCs w:val="24"/>
                <w:lang w:val="en-GB"/>
              </w:rPr>
            </w:pPr>
            <w:r w:rsidRPr="00C44BF3">
              <w:rPr>
                <w:rFonts w:ascii="Times New Roman" w:hAnsi="Times New Roman" w:cs="Times New Roman"/>
                <w:szCs w:val="24"/>
                <w:lang w:val="en-GB"/>
              </w:rPr>
              <w:t xml:space="preserve">The number to be reported in row ‘Total Options (T)’ under column 14.b is USD 40 million (the sum of USD </w:t>
            </w:r>
            <w:r w:rsidR="004810E8" w:rsidRPr="00C44BF3">
              <w:rPr>
                <w:rFonts w:ascii="Times New Roman" w:hAnsi="Times New Roman" w:cs="Times New Roman"/>
                <w:szCs w:val="24"/>
                <w:lang w:val="en-GB"/>
              </w:rPr>
              <w:t>−</w:t>
            </w:r>
            <w:r w:rsidRPr="00C44BF3">
              <w:rPr>
                <w:rFonts w:ascii="Times New Roman" w:hAnsi="Times New Roman" w:cs="Times New Roman"/>
                <w:szCs w:val="24"/>
                <w:lang w:val="en-GB"/>
              </w:rPr>
              <w:t xml:space="preserve">30 million and USD 70 million). </w:t>
            </w:r>
          </w:p>
          <w:p w:rsidR="00670AA0" w:rsidRPr="00C44BF3" w:rsidRDefault="0097495B" w:rsidP="00E3070B">
            <w:pPr>
              <w:jc w:val="both"/>
              <w:rPr>
                <w:rFonts w:ascii="Times New Roman" w:hAnsi="Times New Roman" w:cs="Times New Roman"/>
                <w:szCs w:val="24"/>
              </w:rPr>
            </w:pPr>
            <w:r w:rsidRPr="00C44BF3">
              <w:rPr>
                <w:rFonts w:ascii="Times New Roman" w:hAnsi="Times New Roman" w:cs="Times New Roman"/>
                <w:szCs w:val="24"/>
                <w:lang w:val="en-GB"/>
              </w:rPr>
              <w:t xml:space="preserve">The total net (delta equivalent) option position in columns 14.a and 14.b therefore indicates a short exposure of USD 120 million (USD </w:t>
            </w:r>
            <w:r w:rsidR="004810E8" w:rsidRPr="00C44BF3">
              <w:rPr>
                <w:rFonts w:ascii="Times New Roman" w:hAnsi="Times New Roman" w:cs="Times New Roman"/>
                <w:szCs w:val="24"/>
                <w:lang w:val="en-GB"/>
              </w:rPr>
              <w:t>−</w:t>
            </w:r>
            <w:r w:rsidRPr="00C44BF3">
              <w:rPr>
                <w:rFonts w:ascii="Times New Roman" w:hAnsi="Times New Roman" w:cs="Times New Roman"/>
                <w:szCs w:val="24"/>
                <w:lang w:val="en-GB"/>
              </w:rPr>
              <w:t xml:space="preserve">80 million </w:t>
            </w:r>
            <w:r w:rsidR="004810E8" w:rsidRPr="00C44BF3">
              <w:rPr>
                <w:rFonts w:ascii="Times New Roman" w:hAnsi="Times New Roman" w:cs="Times New Roman"/>
                <w:szCs w:val="24"/>
                <w:lang w:val="en-GB"/>
              </w:rPr>
              <w:t>−</w:t>
            </w:r>
            <w:r w:rsidRPr="00C44BF3">
              <w:rPr>
                <w:rFonts w:ascii="Times New Roman" w:hAnsi="Times New Roman" w:cs="Times New Roman"/>
                <w:szCs w:val="24"/>
                <w:lang w:val="en-GB"/>
              </w:rPr>
              <w:t xml:space="preserve"> USD 40 million).</w:t>
            </w:r>
          </w:p>
        </w:tc>
      </w:tr>
      <w:tr w:rsidR="00D73C29" w:rsidRPr="00C44BF3" w:rsidTr="00161317">
        <w:tc>
          <w:tcPr>
            <w:tcW w:w="709" w:type="dxa"/>
          </w:tcPr>
          <w:p w:rsidR="00D73C29" w:rsidRPr="00C44BF3" w:rsidRDefault="00300B09">
            <w:pPr>
              <w:rPr>
                <w:rFonts w:ascii="Times New Roman" w:hAnsi="Times New Roman" w:cs="Times New Roman"/>
                <w:szCs w:val="24"/>
              </w:rPr>
            </w:pPr>
            <w:r w:rsidRPr="00C44BF3">
              <w:rPr>
                <w:rFonts w:ascii="Times New Roman" w:hAnsi="Times New Roman" w:cs="Times New Roman"/>
                <w:szCs w:val="24"/>
              </w:rPr>
              <w:lastRenderedPageBreak/>
              <w:t>2</w:t>
            </w:r>
            <w:r w:rsidR="00C44E62" w:rsidRPr="00C44BF3">
              <w:rPr>
                <w:rFonts w:ascii="Times New Roman" w:hAnsi="Times New Roman" w:cs="Times New Roman"/>
                <w:szCs w:val="24"/>
              </w:rPr>
              <w:t>5</w:t>
            </w:r>
          </w:p>
        </w:tc>
        <w:tc>
          <w:tcPr>
            <w:tcW w:w="3260" w:type="dxa"/>
          </w:tcPr>
          <w:p w:rsidR="00D73C29" w:rsidRPr="00C44BF3" w:rsidRDefault="00E27F4C" w:rsidP="001B35E7">
            <w:pPr>
              <w:jc w:val="both"/>
              <w:rPr>
                <w:rFonts w:ascii="Times New Roman" w:hAnsi="Times New Roman" w:cs="Times New Roman"/>
                <w:szCs w:val="24"/>
                <w:lang w:val="en-GB"/>
              </w:rPr>
            </w:pPr>
            <w:r w:rsidRPr="00C44BF3">
              <w:rPr>
                <w:rFonts w:ascii="Times New Roman" w:hAnsi="Times New Roman" w:cs="Times New Roman"/>
                <w:szCs w:val="24"/>
                <w:lang w:val="en-GB"/>
              </w:rPr>
              <w:t>Are</w:t>
            </w:r>
            <w:r w:rsidR="005723D9" w:rsidRPr="00C44BF3">
              <w:rPr>
                <w:rFonts w:ascii="Times New Roman" w:hAnsi="Times New Roman" w:cs="Times New Roman"/>
                <w:szCs w:val="24"/>
                <w:lang w:val="en-GB"/>
              </w:rPr>
              <w:t xml:space="preserve"> there any </w:t>
            </w:r>
            <w:r w:rsidR="00D73C29" w:rsidRPr="00C44BF3">
              <w:rPr>
                <w:rFonts w:ascii="Times New Roman" w:hAnsi="Times New Roman" w:cs="Times New Roman"/>
                <w:szCs w:val="24"/>
                <w:lang w:val="en-GB"/>
              </w:rPr>
              <w:t>example</w:t>
            </w:r>
            <w:r w:rsidR="005723D9" w:rsidRPr="00C44BF3">
              <w:rPr>
                <w:rFonts w:ascii="Times New Roman" w:hAnsi="Times New Roman" w:cs="Times New Roman"/>
                <w:szCs w:val="24"/>
                <w:lang w:val="en-GB"/>
              </w:rPr>
              <w:t>s</w:t>
            </w:r>
            <w:r w:rsidR="00D73C29" w:rsidRPr="00C44BF3">
              <w:rPr>
                <w:rFonts w:ascii="Times New Roman" w:hAnsi="Times New Roman" w:cs="Times New Roman"/>
                <w:szCs w:val="24"/>
                <w:lang w:val="en-GB"/>
              </w:rPr>
              <w:t xml:space="preserve"> </w:t>
            </w:r>
            <w:r w:rsidR="005723D9" w:rsidRPr="00C44BF3">
              <w:rPr>
                <w:rFonts w:ascii="Times New Roman" w:hAnsi="Times New Roman" w:cs="Times New Roman"/>
                <w:szCs w:val="24"/>
                <w:lang w:val="en-GB"/>
              </w:rPr>
              <w:t xml:space="preserve">showing the calculations for </w:t>
            </w:r>
            <w:r w:rsidR="001B35E7">
              <w:rPr>
                <w:rFonts w:ascii="Times New Roman" w:hAnsi="Times New Roman" w:cs="Times New Roman"/>
                <w:szCs w:val="24"/>
                <w:lang w:val="en-GB"/>
              </w:rPr>
              <w:t>f</w:t>
            </w:r>
            <w:r w:rsidR="001B35E7" w:rsidRPr="00C44BF3">
              <w:rPr>
                <w:rFonts w:ascii="Times New Roman" w:hAnsi="Times New Roman" w:cs="Times New Roman"/>
                <w:szCs w:val="24"/>
                <w:lang w:val="en-GB"/>
              </w:rPr>
              <w:t xml:space="preserve">orm </w:t>
            </w:r>
            <w:r w:rsidR="005723D9" w:rsidRPr="00C44BF3">
              <w:rPr>
                <w:rFonts w:ascii="Times New Roman" w:hAnsi="Times New Roman" w:cs="Times New Roman"/>
                <w:szCs w:val="24"/>
                <w:lang w:val="en-GB"/>
              </w:rPr>
              <w:t>4 of MA(BS)12A</w:t>
            </w:r>
            <w:r w:rsidR="00D73C29" w:rsidRPr="00C44BF3">
              <w:rPr>
                <w:rFonts w:ascii="Times New Roman" w:hAnsi="Times New Roman" w:cs="Times New Roman"/>
                <w:szCs w:val="24"/>
                <w:lang w:val="en-GB"/>
              </w:rPr>
              <w:t>?</w:t>
            </w:r>
          </w:p>
        </w:tc>
        <w:tc>
          <w:tcPr>
            <w:tcW w:w="9923" w:type="dxa"/>
          </w:tcPr>
          <w:p w:rsidR="00D73C29" w:rsidRPr="00C44BF3" w:rsidRDefault="005723D9" w:rsidP="00E3070B">
            <w:pPr>
              <w:jc w:val="both"/>
              <w:rPr>
                <w:rFonts w:ascii="Times New Roman" w:hAnsi="Times New Roman" w:cs="Times New Roman"/>
                <w:szCs w:val="24"/>
                <w:lang w:val="en-GB"/>
              </w:rPr>
            </w:pPr>
            <w:r w:rsidRPr="00C44BF3">
              <w:rPr>
                <w:rFonts w:ascii="Times New Roman" w:hAnsi="Times New Roman" w:cs="Times New Roman"/>
                <w:szCs w:val="24"/>
                <w:lang w:val="en-GB"/>
              </w:rPr>
              <w:t>Some calculation examples are</w:t>
            </w:r>
            <w:r w:rsidR="00D73C29" w:rsidRPr="00C44BF3">
              <w:rPr>
                <w:rFonts w:ascii="Times New Roman" w:hAnsi="Times New Roman" w:cs="Times New Roman"/>
                <w:szCs w:val="24"/>
                <w:lang w:val="en-GB"/>
              </w:rPr>
              <w:t xml:space="preserve"> provided in the attached Excel file:</w:t>
            </w:r>
          </w:p>
          <w:bookmarkStart w:id="1" w:name="_MON_1636374491"/>
          <w:bookmarkEnd w:id="1"/>
          <w:p w:rsidR="00D73C29" w:rsidRPr="00C44BF3" w:rsidRDefault="00855B45" w:rsidP="00A86BC0">
            <w:pPr>
              <w:jc w:val="both"/>
              <w:rPr>
                <w:rFonts w:ascii="Times New Roman" w:hAnsi="Times New Roman" w:cs="Times New Roman"/>
                <w:szCs w:val="24"/>
                <w:lang w:val="en-GB"/>
              </w:rPr>
            </w:pPr>
            <w:r>
              <w:rPr>
                <w:rFonts w:ascii="Times New Roman" w:hAnsi="Times New Roman" w:cs="Times New Roman"/>
                <w:szCs w:val="24"/>
                <w:highlight w:val="yellow"/>
                <w:lang w:val="en-GB"/>
              </w:rPr>
              <w:object w:dxaOrig="1532" w:dyaOrig="9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5pt;height:46.4pt" o:ole="">
                  <v:imagedata r:id="rId9" o:title=""/>
                </v:shape>
                <o:OLEObject Type="Embed" ProgID="Excel.Sheet.12" ShapeID="_x0000_i1025" DrawAspect="Icon" ObjectID="_1636443132" r:id="rId10"/>
              </w:object>
            </w:r>
            <w:r w:rsidR="004258DD" w:rsidRPr="00855B45">
              <w:rPr>
                <w:rFonts w:ascii="Times New Roman" w:hAnsi="Times New Roman" w:cs="Times New Roman"/>
                <w:szCs w:val="24"/>
                <w:highlight w:val="yellow"/>
                <w:lang w:val="en-GB"/>
              </w:rPr>
              <w:t>(C</w:t>
            </w:r>
            <w:r w:rsidR="008963A5" w:rsidRPr="00855B45">
              <w:rPr>
                <w:rFonts w:ascii="Times New Roman" w:hAnsi="Times New Roman" w:cs="Times New Roman"/>
                <w:szCs w:val="24"/>
                <w:highlight w:val="yellow"/>
                <w:lang w:val="en-GB"/>
              </w:rPr>
              <w:t xml:space="preserve">alculations </w:t>
            </w:r>
            <w:r w:rsidR="00A86BC0" w:rsidRPr="00855B45">
              <w:rPr>
                <w:rFonts w:ascii="Times New Roman" w:hAnsi="Times New Roman" w:cs="Times New Roman"/>
                <w:szCs w:val="24"/>
                <w:highlight w:val="yellow"/>
                <w:lang w:val="en-GB"/>
              </w:rPr>
              <w:t xml:space="preserve">for </w:t>
            </w:r>
            <w:r w:rsidR="008963A5" w:rsidRPr="00855B45">
              <w:rPr>
                <w:rFonts w:ascii="Times New Roman" w:hAnsi="Times New Roman" w:cs="Times New Roman"/>
                <w:szCs w:val="24"/>
                <w:highlight w:val="yellow"/>
                <w:lang w:val="en-GB"/>
              </w:rPr>
              <w:t>item 19 on form 4 (basis risk) have been updated.</w:t>
            </w:r>
            <w:r w:rsidR="004258DD" w:rsidRPr="00855B45">
              <w:rPr>
                <w:rFonts w:ascii="Times New Roman" w:hAnsi="Times New Roman" w:cs="Times New Roman"/>
                <w:szCs w:val="24"/>
                <w:highlight w:val="yellow"/>
                <w:lang w:val="en-GB"/>
              </w:rPr>
              <w:t>)</w:t>
            </w:r>
          </w:p>
        </w:tc>
      </w:tr>
      <w:tr w:rsidR="00E27F4C" w:rsidRPr="00C44BF3" w:rsidTr="00161317">
        <w:tc>
          <w:tcPr>
            <w:tcW w:w="709" w:type="dxa"/>
          </w:tcPr>
          <w:p w:rsidR="00E27F4C" w:rsidRPr="00C44BF3" w:rsidRDefault="00300B09">
            <w:pPr>
              <w:rPr>
                <w:rFonts w:ascii="Times New Roman" w:hAnsi="Times New Roman" w:cs="Times New Roman"/>
                <w:szCs w:val="24"/>
                <w:lang w:val="en-GB"/>
              </w:rPr>
            </w:pPr>
            <w:r w:rsidRPr="00C44BF3">
              <w:rPr>
                <w:rFonts w:ascii="Times New Roman" w:hAnsi="Times New Roman" w:cs="Times New Roman"/>
                <w:szCs w:val="24"/>
                <w:lang w:val="en-GB"/>
              </w:rPr>
              <w:t>2</w:t>
            </w:r>
            <w:r w:rsidR="00C44E62" w:rsidRPr="00C44BF3">
              <w:rPr>
                <w:rFonts w:ascii="Times New Roman" w:hAnsi="Times New Roman" w:cs="Times New Roman"/>
                <w:szCs w:val="24"/>
                <w:lang w:val="en-GB"/>
              </w:rPr>
              <w:t>6</w:t>
            </w:r>
          </w:p>
        </w:tc>
        <w:tc>
          <w:tcPr>
            <w:tcW w:w="3260" w:type="dxa"/>
          </w:tcPr>
          <w:p w:rsidR="00E27F4C" w:rsidRPr="00C44BF3" w:rsidDel="005723D9" w:rsidRDefault="00E50F53" w:rsidP="001B35E7">
            <w:pPr>
              <w:jc w:val="both"/>
              <w:rPr>
                <w:rFonts w:ascii="Times New Roman" w:hAnsi="Times New Roman" w:cs="Times New Roman"/>
                <w:szCs w:val="24"/>
              </w:rPr>
            </w:pPr>
            <w:r w:rsidRPr="00C44BF3">
              <w:rPr>
                <w:rFonts w:ascii="Times New Roman" w:hAnsi="Times New Roman" w:cs="Times New Roman"/>
                <w:szCs w:val="24"/>
              </w:rPr>
              <w:t>What are</w:t>
            </w:r>
            <w:r w:rsidR="00E27F4C" w:rsidRPr="00C44BF3">
              <w:rPr>
                <w:rFonts w:ascii="Times New Roman" w:hAnsi="Times New Roman" w:cs="Times New Roman"/>
                <w:szCs w:val="24"/>
              </w:rPr>
              <w:t xml:space="preserve"> the size</w:t>
            </w:r>
            <w:r w:rsidRPr="00C44BF3">
              <w:rPr>
                <w:rFonts w:ascii="Times New Roman" w:hAnsi="Times New Roman" w:cs="Times New Roman"/>
                <w:szCs w:val="24"/>
              </w:rPr>
              <w:t>s</w:t>
            </w:r>
            <w:r w:rsidR="00E27F4C" w:rsidRPr="00C44BF3">
              <w:rPr>
                <w:rFonts w:ascii="Times New Roman" w:hAnsi="Times New Roman" w:cs="Times New Roman"/>
                <w:szCs w:val="24"/>
              </w:rPr>
              <w:t xml:space="preserve"> of interest rate shocks for </w:t>
            </w:r>
            <w:r w:rsidRPr="00C44BF3">
              <w:rPr>
                <w:rFonts w:ascii="Times New Roman" w:hAnsi="Times New Roman" w:cs="Times New Roman"/>
                <w:szCs w:val="24"/>
              </w:rPr>
              <w:t>currencies not covered i</w:t>
            </w:r>
            <w:r w:rsidR="006148C5" w:rsidRPr="00C44BF3">
              <w:rPr>
                <w:rFonts w:ascii="Times New Roman" w:hAnsi="Times New Roman" w:cs="Times New Roman"/>
                <w:szCs w:val="24"/>
              </w:rPr>
              <w:t xml:space="preserve">n </w:t>
            </w:r>
            <w:r w:rsidR="001B35E7">
              <w:rPr>
                <w:rFonts w:ascii="Times New Roman" w:hAnsi="Times New Roman" w:cs="Times New Roman"/>
                <w:szCs w:val="24"/>
              </w:rPr>
              <w:t>s</w:t>
            </w:r>
            <w:r w:rsidR="001B35E7" w:rsidRPr="00C44BF3">
              <w:rPr>
                <w:rFonts w:ascii="Times New Roman" w:hAnsi="Times New Roman" w:cs="Times New Roman"/>
                <w:szCs w:val="24"/>
              </w:rPr>
              <w:t xml:space="preserve">ection </w:t>
            </w:r>
            <w:r w:rsidR="006148C5" w:rsidRPr="00C44BF3">
              <w:rPr>
                <w:rFonts w:ascii="Times New Roman" w:hAnsi="Times New Roman" w:cs="Times New Roman"/>
                <w:szCs w:val="24"/>
              </w:rPr>
              <w:t>5.3 of SPM IR-1</w:t>
            </w:r>
            <w:r w:rsidR="00E27F4C" w:rsidRPr="00C44BF3">
              <w:rPr>
                <w:rFonts w:ascii="Times New Roman" w:hAnsi="Times New Roman" w:cs="Times New Roman"/>
                <w:szCs w:val="24"/>
              </w:rPr>
              <w:t>?</w:t>
            </w:r>
          </w:p>
        </w:tc>
        <w:tc>
          <w:tcPr>
            <w:tcW w:w="9923" w:type="dxa"/>
          </w:tcPr>
          <w:p w:rsidR="00E27F4C" w:rsidRPr="00C44BF3" w:rsidRDefault="00981A20" w:rsidP="00B10F3D">
            <w:pPr>
              <w:jc w:val="both"/>
              <w:rPr>
                <w:rFonts w:ascii="Times New Roman" w:hAnsi="Times New Roman" w:cs="Times New Roman"/>
                <w:szCs w:val="24"/>
              </w:rPr>
            </w:pPr>
            <w:r w:rsidRPr="00C44BF3">
              <w:rPr>
                <w:rFonts w:ascii="Times New Roman" w:hAnsi="Times New Roman" w:cs="Times New Roman"/>
                <w:szCs w:val="24"/>
              </w:rPr>
              <w:t xml:space="preserve">For </w:t>
            </w:r>
            <w:r w:rsidR="00C17041" w:rsidRPr="00C44BF3">
              <w:rPr>
                <w:rFonts w:ascii="Times New Roman" w:hAnsi="Times New Roman" w:cs="Times New Roman"/>
                <w:szCs w:val="24"/>
              </w:rPr>
              <w:t xml:space="preserve">the </w:t>
            </w:r>
            <w:r w:rsidR="00B10F3D" w:rsidRPr="00C44BF3">
              <w:rPr>
                <w:rFonts w:ascii="Times New Roman" w:hAnsi="Times New Roman" w:cs="Times New Roman"/>
                <w:szCs w:val="24"/>
              </w:rPr>
              <w:t xml:space="preserve">MOP </w:t>
            </w:r>
            <w:r w:rsidRPr="00C44BF3">
              <w:rPr>
                <w:rFonts w:ascii="Times New Roman" w:hAnsi="Times New Roman" w:cs="Times New Roman"/>
                <w:szCs w:val="24"/>
              </w:rPr>
              <w:t xml:space="preserve">the same interest rate shocks as for the HKD apply. For all other currencies not covered in SPM IR-1, </w:t>
            </w:r>
            <w:r w:rsidR="00B10F3D" w:rsidRPr="00C44BF3">
              <w:rPr>
                <w:rFonts w:ascii="Times New Roman" w:hAnsi="Times New Roman" w:cs="Times New Roman"/>
                <w:szCs w:val="24"/>
              </w:rPr>
              <w:t xml:space="preserve">for the time being, </w:t>
            </w:r>
            <w:r w:rsidRPr="00C44BF3">
              <w:rPr>
                <w:rFonts w:ascii="Times New Roman" w:hAnsi="Times New Roman" w:cs="Times New Roman"/>
                <w:szCs w:val="24"/>
              </w:rPr>
              <w:t xml:space="preserve">the </w:t>
            </w:r>
            <w:r w:rsidR="00B10F3D" w:rsidRPr="00C44BF3">
              <w:rPr>
                <w:rFonts w:ascii="Times New Roman" w:hAnsi="Times New Roman" w:cs="Times New Roman"/>
                <w:szCs w:val="24"/>
              </w:rPr>
              <w:t xml:space="preserve">applicable </w:t>
            </w:r>
            <w:r w:rsidRPr="00C44BF3">
              <w:rPr>
                <w:rFonts w:ascii="Times New Roman" w:hAnsi="Times New Roman" w:cs="Times New Roman"/>
                <w:szCs w:val="24"/>
              </w:rPr>
              <w:t>interest rate shocks are 500 bp, 400 bp, and 300 bp for the short, parallel, and long-term interest rate shocks, respectively. The HKMA may provide further updates for specific currencies in future updates of the FAQ.</w:t>
            </w:r>
          </w:p>
          <w:p w:rsidR="002433C7" w:rsidRPr="00C44BF3" w:rsidRDefault="002433C7" w:rsidP="00B10F3D">
            <w:pPr>
              <w:jc w:val="both"/>
              <w:rPr>
                <w:rFonts w:ascii="Times New Roman" w:hAnsi="Times New Roman" w:cs="Times New Roman"/>
                <w:szCs w:val="24"/>
              </w:rPr>
            </w:pPr>
          </w:p>
          <w:p w:rsidR="002433C7" w:rsidRPr="00C44BF3" w:rsidDel="005723D9" w:rsidRDefault="002433C7" w:rsidP="00C61226">
            <w:pPr>
              <w:autoSpaceDE w:val="0"/>
              <w:autoSpaceDN w:val="0"/>
              <w:adjustRightInd w:val="0"/>
              <w:jc w:val="both"/>
              <w:rPr>
                <w:rFonts w:ascii="Times New Roman" w:hAnsi="Times New Roman" w:cs="Times New Roman"/>
                <w:szCs w:val="24"/>
              </w:rPr>
            </w:pPr>
            <w:r w:rsidRPr="00C44BF3">
              <w:rPr>
                <w:rFonts w:ascii="Times New Roman" w:hAnsi="Times New Roman" w:cs="Times New Roman"/>
                <w:szCs w:val="24"/>
                <w:highlight w:val="yellow"/>
              </w:rPr>
              <w:t xml:space="preserve">Positions in silver and other precious metals (except gold) need not be reported. For the purpose of reporting positions in gold in MA(BS)12A, the interest rates as well as the interest rate shocks are </w:t>
            </w:r>
            <w:r w:rsidRPr="00C44BF3">
              <w:rPr>
                <w:rFonts w:ascii="Times New Roman" w:hAnsi="Times New Roman" w:cs="Times New Roman"/>
                <w:szCs w:val="24"/>
                <w:highlight w:val="yellow"/>
              </w:rPr>
              <w:lastRenderedPageBreak/>
              <w:t>zero for all tim</w:t>
            </w:r>
            <w:r w:rsidR="00EE2024" w:rsidRPr="00C44BF3">
              <w:rPr>
                <w:rFonts w:ascii="Times New Roman" w:hAnsi="Times New Roman" w:cs="Times New Roman"/>
                <w:szCs w:val="24"/>
                <w:highlight w:val="yellow"/>
              </w:rPr>
              <w:t>e bands</w:t>
            </w:r>
            <w:r w:rsidRPr="00C44BF3">
              <w:rPr>
                <w:rFonts w:ascii="Times New Roman" w:hAnsi="Times New Roman" w:cs="Times New Roman"/>
                <w:szCs w:val="24"/>
                <w:highlight w:val="yellow"/>
              </w:rPr>
              <w:t>.</w:t>
            </w:r>
          </w:p>
        </w:tc>
      </w:tr>
      <w:tr w:rsidR="00ED15DB" w:rsidRPr="00C44BF3" w:rsidTr="00161317">
        <w:tc>
          <w:tcPr>
            <w:tcW w:w="709" w:type="dxa"/>
          </w:tcPr>
          <w:p w:rsidR="00ED15DB" w:rsidRPr="00C44BF3" w:rsidRDefault="00ED15DB">
            <w:pPr>
              <w:rPr>
                <w:rFonts w:ascii="Times New Roman" w:hAnsi="Times New Roman" w:cs="Times New Roman"/>
                <w:szCs w:val="24"/>
                <w:lang w:val="en-GB"/>
              </w:rPr>
            </w:pPr>
            <w:r w:rsidRPr="00C44BF3">
              <w:rPr>
                <w:rFonts w:ascii="Times New Roman" w:hAnsi="Times New Roman" w:cs="Times New Roman"/>
                <w:szCs w:val="24"/>
                <w:lang w:val="en-GB"/>
              </w:rPr>
              <w:lastRenderedPageBreak/>
              <w:t>2</w:t>
            </w:r>
            <w:r w:rsidR="00C44E62" w:rsidRPr="00C44BF3">
              <w:rPr>
                <w:rFonts w:ascii="Times New Roman" w:hAnsi="Times New Roman" w:cs="Times New Roman"/>
                <w:szCs w:val="24"/>
                <w:lang w:val="en-GB"/>
              </w:rPr>
              <w:t>7</w:t>
            </w:r>
          </w:p>
        </w:tc>
        <w:tc>
          <w:tcPr>
            <w:tcW w:w="3260" w:type="dxa"/>
          </w:tcPr>
          <w:p w:rsidR="00ED15DB" w:rsidRPr="00C44BF3" w:rsidRDefault="00ED15DB" w:rsidP="00953DC2">
            <w:pPr>
              <w:jc w:val="both"/>
              <w:rPr>
                <w:rFonts w:ascii="Times New Roman" w:hAnsi="Times New Roman" w:cs="Times New Roman"/>
                <w:szCs w:val="24"/>
              </w:rPr>
            </w:pPr>
            <w:r w:rsidRPr="00C44BF3">
              <w:rPr>
                <w:rFonts w:ascii="Times New Roman" w:hAnsi="Times New Roman" w:cs="Times New Roman"/>
                <w:szCs w:val="24"/>
              </w:rPr>
              <w:t xml:space="preserve">Do all AIs have to apply the definition of retail loans provided in section 5.2 of the SPM IR-1 irrespective of whether they follow the </w:t>
            </w:r>
            <w:r w:rsidR="00953DC2" w:rsidRPr="00C44BF3">
              <w:rPr>
                <w:rFonts w:ascii="Times New Roman" w:hAnsi="Times New Roman" w:cs="Times New Roman"/>
                <w:szCs w:val="24"/>
              </w:rPr>
              <w:t xml:space="preserve">standardised </w:t>
            </w:r>
            <w:r w:rsidRPr="00C44BF3">
              <w:rPr>
                <w:rFonts w:ascii="Times New Roman" w:hAnsi="Times New Roman" w:cs="Times New Roman"/>
                <w:szCs w:val="24"/>
              </w:rPr>
              <w:t>or internal ratings based approach for credit risk?</w:t>
            </w:r>
          </w:p>
        </w:tc>
        <w:tc>
          <w:tcPr>
            <w:tcW w:w="9923" w:type="dxa"/>
          </w:tcPr>
          <w:p w:rsidR="00ED15DB" w:rsidRPr="00C44BF3" w:rsidRDefault="00ED15DB" w:rsidP="00953DC2">
            <w:pPr>
              <w:pStyle w:val="ListParagraph"/>
              <w:ind w:left="0"/>
              <w:jc w:val="both"/>
              <w:rPr>
                <w:rFonts w:ascii="Times New Roman" w:hAnsi="Times New Roman" w:cs="Times New Roman"/>
                <w:kern w:val="2"/>
                <w:sz w:val="24"/>
                <w:szCs w:val="24"/>
                <w:lang w:val="en-US"/>
              </w:rPr>
            </w:pPr>
            <w:r w:rsidRPr="00C44BF3">
              <w:rPr>
                <w:rFonts w:ascii="Times New Roman" w:hAnsi="Times New Roman" w:cs="Times New Roman"/>
                <w:kern w:val="2"/>
                <w:sz w:val="24"/>
                <w:szCs w:val="24"/>
                <w:lang w:val="en-US"/>
              </w:rPr>
              <w:t xml:space="preserve">To ensure comparability of IRRBB data and consistent reporting standards, all AIs, irrespective of whether they follow the </w:t>
            </w:r>
            <w:r w:rsidR="00953DC2" w:rsidRPr="00C44BF3">
              <w:rPr>
                <w:rFonts w:ascii="Times New Roman" w:hAnsi="Times New Roman" w:cs="Times New Roman"/>
                <w:kern w:val="2"/>
                <w:sz w:val="24"/>
                <w:szCs w:val="24"/>
                <w:lang w:val="en-US"/>
              </w:rPr>
              <w:t xml:space="preserve">standardised </w:t>
            </w:r>
            <w:r w:rsidRPr="00C44BF3">
              <w:rPr>
                <w:rFonts w:ascii="Times New Roman" w:hAnsi="Times New Roman" w:cs="Times New Roman"/>
                <w:kern w:val="2"/>
                <w:sz w:val="24"/>
                <w:szCs w:val="24"/>
                <w:lang w:val="en-US"/>
              </w:rPr>
              <w:t>or internal ratings based approach for credit risk, must apply the definition of retail loans provided in section 5.2 of the SPM IR-1.</w:t>
            </w:r>
          </w:p>
        </w:tc>
      </w:tr>
      <w:tr w:rsidR="00C44E62" w:rsidRPr="00C44BF3" w:rsidTr="00161317">
        <w:tc>
          <w:tcPr>
            <w:tcW w:w="709" w:type="dxa"/>
          </w:tcPr>
          <w:p w:rsidR="00C44E62" w:rsidRPr="00C44BF3" w:rsidRDefault="00C44E62">
            <w:pPr>
              <w:rPr>
                <w:rFonts w:ascii="Times New Roman" w:hAnsi="Times New Roman" w:cs="Times New Roman"/>
                <w:szCs w:val="24"/>
              </w:rPr>
            </w:pPr>
            <w:r w:rsidRPr="00C44BF3">
              <w:rPr>
                <w:rFonts w:ascii="Times New Roman" w:hAnsi="Times New Roman" w:cs="Times New Roman"/>
                <w:szCs w:val="24"/>
                <w:lang w:val="en-GB"/>
              </w:rPr>
              <w:t>28</w:t>
            </w:r>
          </w:p>
        </w:tc>
        <w:tc>
          <w:tcPr>
            <w:tcW w:w="3260" w:type="dxa"/>
          </w:tcPr>
          <w:p w:rsidR="00C44E62" w:rsidRPr="00C44BF3" w:rsidRDefault="00C44E62" w:rsidP="006C74B3">
            <w:pPr>
              <w:pStyle w:val="ListParagraph"/>
              <w:ind w:left="0"/>
              <w:jc w:val="both"/>
              <w:rPr>
                <w:rFonts w:ascii="Times New Roman" w:hAnsi="Times New Roman" w:cs="Times New Roman"/>
                <w:sz w:val="24"/>
                <w:szCs w:val="24"/>
              </w:rPr>
            </w:pPr>
            <w:r w:rsidRPr="00C44BF3">
              <w:rPr>
                <w:rFonts w:ascii="Times New Roman" w:hAnsi="Times New Roman" w:cs="Times New Roman"/>
                <w:sz w:val="24"/>
                <w:szCs w:val="24"/>
              </w:rPr>
              <w:t>Is there an acceptable simpler methodology, besides using the delta adjusted notional, for determining the option position in the calculation of significant currencies?</w:t>
            </w:r>
          </w:p>
        </w:tc>
        <w:tc>
          <w:tcPr>
            <w:tcW w:w="9923" w:type="dxa"/>
          </w:tcPr>
          <w:p w:rsidR="00C44E62" w:rsidRPr="00C44BF3" w:rsidRDefault="00C44E62" w:rsidP="00B10F3D">
            <w:pPr>
              <w:pStyle w:val="ListParagraph"/>
              <w:ind w:left="0"/>
              <w:jc w:val="both"/>
              <w:rPr>
                <w:rFonts w:ascii="Times New Roman" w:hAnsi="Times New Roman" w:cs="Times New Roman"/>
                <w:kern w:val="2"/>
                <w:sz w:val="24"/>
                <w:szCs w:val="24"/>
                <w:lang w:val="en-US"/>
              </w:rPr>
            </w:pPr>
            <w:r w:rsidRPr="00C44BF3">
              <w:rPr>
                <w:rFonts w:ascii="Times New Roman" w:hAnsi="Times New Roman" w:cs="Times New Roman"/>
                <w:sz w:val="24"/>
                <w:szCs w:val="24"/>
              </w:rPr>
              <w:t>AIs may use the notional amount instead of delta-adjusted notional for option positions, or other simpler methodologies which are considered prudent enough by the HKMA, in the calculation to determine significant currencies. However, we would like to point out that even though we may allow for a simpler but more prudent methodology for the special case of option positions calculation in the significant currency determination, we expect AIs to be able to calculate the delta</w:t>
            </w:r>
            <w:r w:rsidR="00B10F3D" w:rsidRPr="00C44BF3">
              <w:rPr>
                <w:rFonts w:ascii="Times New Roman" w:hAnsi="Times New Roman" w:cs="Times New Roman"/>
                <w:sz w:val="24"/>
                <w:szCs w:val="24"/>
              </w:rPr>
              <w:t>-</w:t>
            </w:r>
            <w:r w:rsidRPr="00C44BF3">
              <w:rPr>
                <w:rFonts w:ascii="Times New Roman" w:hAnsi="Times New Roman" w:cs="Times New Roman"/>
                <w:sz w:val="24"/>
                <w:szCs w:val="24"/>
              </w:rPr>
              <w:t xml:space="preserve"> adjusted notional of all their option positions</w:t>
            </w:r>
            <w:r w:rsidR="00B10F3D" w:rsidRPr="00C44BF3">
              <w:rPr>
                <w:rFonts w:ascii="Times New Roman" w:hAnsi="Times New Roman" w:cs="Times New Roman"/>
                <w:sz w:val="24"/>
                <w:szCs w:val="24"/>
              </w:rPr>
              <w:t xml:space="preserve">. </w:t>
            </w:r>
          </w:p>
        </w:tc>
      </w:tr>
      <w:tr w:rsidR="00C44E62" w:rsidRPr="00C44BF3" w:rsidTr="00161317">
        <w:tc>
          <w:tcPr>
            <w:tcW w:w="709" w:type="dxa"/>
          </w:tcPr>
          <w:p w:rsidR="00C44E62" w:rsidRPr="00C44BF3" w:rsidRDefault="00C44E62">
            <w:pPr>
              <w:rPr>
                <w:rFonts w:ascii="Times New Roman" w:hAnsi="Times New Roman" w:cs="Times New Roman"/>
                <w:szCs w:val="24"/>
              </w:rPr>
            </w:pPr>
            <w:r w:rsidRPr="00C44BF3">
              <w:rPr>
                <w:rFonts w:ascii="Times New Roman" w:hAnsi="Times New Roman" w:cs="Times New Roman"/>
                <w:szCs w:val="24"/>
              </w:rPr>
              <w:t>29</w:t>
            </w:r>
          </w:p>
        </w:tc>
        <w:tc>
          <w:tcPr>
            <w:tcW w:w="3260" w:type="dxa"/>
          </w:tcPr>
          <w:p w:rsidR="00C44E62" w:rsidRPr="00C44BF3" w:rsidRDefault="00C44E62">
            <w:pPr>
              <w:pStyle w:val="ListParagraph"/>
              <w:ind w:left="0"/>
              <w:jc w:val="both"/>
              <w:rPr>
                <w:rFonts w:ascii="Times New Roman" w:hAnsi="Times New Roman" w:cs="Times New Roman"/>
                <w:kern w:val="2"/>
                <w:sz w:val="24"/>
                <w:szCs w:val="24"/>
                <w:lang w:val="en-US"/>
              </w:rPr>
            </w:pPr>
            <w:r w:rsidRPr="00C44BF3">
              <w:rPr>
                <w:rFonts w:ascii="Times New Roman" w:hAnsi="Times New Roman" w:cs="Times New Roman"/>
                <w:kern w:val="2"/>
                <w:sz w:val="24"/>
                <w:szCs w:val="24"/>
                <w:lang w:val="en-US"/>
              </w:rPr>
              <w:t>How do off-balance sheet positions, which are underlying items 10 to 15 in the return, enter the calculation of significant currencies?</w:t>
            </w:r>
          </w:p>
        </w:tc>
        <w:tc>
          <w:tcPr>
            <w:tcW w:w="9923" w:type="dxa"/>
          </w:tcPr>
          <w:p w:rsidR="00C44E62" w:rsidRPr="00C44BF3" w:rsidRDefault="00C44E62">
            <w:pPr>
              <w:pStyle w:val="ListParagraph"/>
              <w:ind w:left="0"/>
              <w:jc w:val="both"/>
              <w:rPr>
                <w:rFonts w:ascii="Times New Roman" w:hAnsi="Times New Roman" w:cs="Times New Roman"/>
                <w:kern w:val="2"/>
                <w:sz w:val="24"/>
                <w:szCs w:val="24"/>
                <w:lang w:val="en-US"/>
              </w:rPr>
            </w:pPr>
            <w:r w:rsidRPr="00C44BF3">
              <w:rPr>
                <w:rFonts w:ascii="Times New Roman" w:hAnsi="Times New Roman" w:cs="Times New Roman"/>
                <w:kern w:val="2"/>
                <w:sz w:val="24"/>
                <w:szCs w:val="24"/>
                <w:lang w:val="en-US"/>
              </w:rPr>
              <w:t xml:space="preserve">According to paragraph 9 of the completion instructions, the off-balance sheet positions, which enter the significant currency calculation, are defined as the sum (gross of long and short positions) of the notional principals (covered in items 10-13 and 15) as well as the delta-adjusted notional values (covered in item 14) of all relevant interest rate-sensitive off-balance sheet contracts. Each off-balance sheet position enters the significant currency calculation of an individual currency at most once, however, an off-balance sheet position can enter the significance calculation for more </w:t>
            </w:r>
            <w:r w:rsidRPr="00C44BF3">
              <w:rPr>
                <w:rFonts w:ascii="Times New Roman" w:hAnsi="Times New Roman" w:cs="Times New Roman"/>
                <w:kern w:val="2"/>
                <w:sz w:val="24"/>
                <w:szCs w:val="24"/>
                <w:lang w:val="en-US"/>
              </w:rPr>
              <w:lastRenderedPageBreak/>
              <w:t>than one currency (for example, in the case of a foreign exchange contract, which involves two currencies).</w:t>
            </w:r>
          </w:p>
        </w:tc>
      </w:tr>
      <w:tr w:rsidR="00C37261" w:rsidRPr="00C44BF3" w:rsidTr="00161317">
        <w:tc>
          <w:tcPr>
            <w:tcW w:w="709" w:type="dxa"/>
          </w:tcPr>
          <w:p w:rsidR="00C37261" w:rsidRPr="00C44BF3" w:rsidRDefault="00C37261" w:rsidP="00C37261">
            <w:pPr>
              <w:rPr>
                <w:rFonts w:ascii="Times New Roman" w:hAnsi="Times New Roman" w:cs="Times New Roman"/>
                <w:szCs w:val="24"/>
                <w:lang w:val="en-GB"/>
              </w:rPr>
            </w:pPr>
            <w:r w:rsidRPr="00C44BF3">
              <w:rPr>
                <w:rFonts w:ascii="Times New Roman" w:hAnsi="Times New Roman" w:cs="Times New Roman"/>
                <w:szCs w:val="24"/>
                <w:highlight w:val="yellow"/>
              </w:rPr>
              <w:lastRenderedPageBreak/>
              <w:t>3</w:t>
            </w:r>
            <w:r w:rsidRPr="00DB7A53">
              <w:rPr>
                <w:rFonts w:ascii="Times New Roman" w:hAnsi="Times New Roman" w:cs="Times New Roman"/>
                <w:szCs w:val="24"/>
                <w:highlight w:val="yellow"/>
              </w:rPr>
              <w:t>0</w:t>
            </w:r>
          </w:p>
        </w:tc>
        <w:tc>
          <w:tcPr>
            <w:tcW w:w="3260" w:type="dxa"/>
          </w:tcPr>
          <w:p w:rsidR="00C37261" w:rsidRPr="00C44BF3" w:rsidRDefault="00C37261" w:rsidP="00CD5736">
            <w:pPr>
              <w:pStyle w:val="ListParagraph"/>
              <w:ind w:left="0"/>
              <w:jc w:val="both"/>
              <w:rPr>
                <w:rFonts w:ascii="Times New Roman" w:hAnsi="Times New Roman" w:cs="Times New Roman"/>
                <w:kern w:val="2"/>
                <w:sz w:val="24"/>
                <w:szCs w:val="24"/>
                <w:highlight w:val="yellow"/>
                <w:lang w:val="en-US"/>
              </w:rPr>
            </w:pPr>
            <w:r w:rsidRPr="00C44BF3">
              <w:rPr>
                <w:rFonts w:ascii="Times New Roman" w:hAnsi="Times New Roman" w:cs="Times New Roman"/>
                <w:kern w:val="2"/>
                <w:sz w:val="24"/>
                <w:szCs w:val="24"/>
                <w:highlight w:val="yellow"/>
                <w:lang w:val="en-US"/>
              </w:rPr>
              <w:t>How should prime rate loans subject to floors be reported?</w:t>
            </w:r>
          </w:p>
        </w:tc>
        <w:tc>
          <w:tcPr>
            <w:tcW w:w="9923" w:type="dxa"/>
          </w:tcPr>
          <w:p w:rsidR="00C37261" w:rsidRPr="00C44BF3" w:rsidRDefault="00C37261" w:rsidP="00F545A0">
            <w:pPr>
              <w:pStyle w:val="ListParagraph"/>
              <w:ind w:left="0"/>
              <w:jc w:val="both"/>
              <w:rPr>
                <w:rFonts w:ascii="Times New Roman" w:hAnsi="Times New Roman" w:cs="Times New Roman"/>
                <w:kern w:val="2"/>
                <w:sz w:val="24"/>
                <w:szCs w:val="24"/>
                <w:highlight w:val="yellow"/>
              </w:rPr>
            </w:pPr>
            <w:r w:rsidRPr="00C44BF3">
              <w:rPr>
                <w:rFonts w:ascii="Times New Roman" w:hAnsi="Times New Roman" w:cs="Times New Roman"/>
                <w:sz w:val="24"/>
                <w:szCs w:val="24"/>
                <w:highlight w:val="yellow"/>
              </w:rPr>
              <w:t>Prime rate loans subject to floors should be reported as a managed rate asset. The optionality introduced by the floor can be ignored for reporting and calculations under both economic value and earnings perspectives.</w:t>
            </w:r>
          </w:p>
        </w:tc>
      </w:tr>
      <w:tr w:rsidR="00C37261" w:rsidRPr="00C44BF3" w:rsidTr="00161317">
        <w:tc>
          <w:tcPr>
            <w:tcW w:w="709" w:type="dxa"/>
          </w:tcPr>
          <w:p w:rsidR="00C37261" w:rsidRPr="00C44BF3" w:rsidRDefault="00C37261" w:rsidP="00C37261">
            <w:pPr>
              <w:pStyle w:val="ListParagraph"/>
              <w:ind w:left="0"/>
              <w:jc w:val="both"/>
              <w:rPr>
                <w:rFonts w:ascii="Times New Roman" w:hAnsi="Times New Roman" w:cs="Times New Roman"/>
                <w:kern w:val="2"/>
                <w:sz w:val="24"/>
                <w:szCs w:val="24"/>
                <w:highlight w:val="yellow"/>
                <w:lang w:val="en-US"/>
              </w:rPr>
            </w:pPr>
            <w:r w:rsidRPr="00C44BF3">
              <w:rPr>
                <w:rFonts w:ascii="Times New Roman" w:hAnsi="Times New Roman" w:cs="Times New Roman"/>
                <w:kern w:val="2"/>
                <w:sz w:val="24"/>
                <w:szCs w:val="24"/>
                <w:highlight w:val="yellow"/>
              </w:rPr>
              <w:t>31</w:t>
            </w:r>
          </w:p>
        </w:tc>
        <w:tc>
          <w:tcPr>
            <w:tcW w:w="3260" w:type="dxa"/>
          </w:tcPr>
          <w:p w:rsidR="00C37261" w:rsidRPr="00C44BF3" w:rsidRDefault="00C37261" w:rsidP="00C73F6C">
            <w:pPr>
              <w:pStyle w:val="ListParagraph"/>
              <w:ind w:left="0"/>
              <w:jc w:val="both"/>
              <w:rPr>
                <w:rFonts w:ascii="Times New Roman" w:hAnsi="Times New Roman" w:cs="Times New Roman"/>
                <w:kern w:val="2"/>
                <w:sz w:val="24"/>
                <w:szCs w:val="24"/>
                <w:highlight w:val="yellow"/>
                <w:lang w:val="en-US"/>
              </w:rPr>
            </w:pPr>
            <w:r w:rsidRPr="00C44BF3">
              <w:rPr>
                <w:rFonts w:ascii="Times New Roman" w:hAnsi="Times New Roman" w:cs="Times New Roman"/>
                <w:sz w:val="24"/>
                <w:szCs w:val="24"/>
                <w:highlight w:val="yellow"/>
              </w:rPr>
              <w:t>How should an AI report EVE changes for currency option positions?</w:t>
            </w:r>
          </w:p>
        </w:tc>
        <w:tc>
          <w:tcPr>
            <w:tcW w:w="9923" w:type="dxa"/>
          </w:tcPr>
          <w:p w:rsidR="00C37261" w:rsidRPr="00C44BF3" w:rsidRDefault="00C37261" w:rsidP="00C61226">
            <w:pPr>
              <w:autoSpaceDE w:val="0"/>
              <w:autoSpaceDN w:val="0"/>
              <w:adjustRightInd w:val="0"/>
              <w:jc w:val="both"/>
              <w:rPr>
                <w:rFonts w:ascii="Times New Roman" w:hAnsi="Times New Roman" w:cs="Times New Roman"/>
                <w:szCs w:val="24"/>
                <w:highlight w:val="yellow"/>
              </w:rPr>
            </w:pPr>
            <w:r w:rsidRPr="00C44BF3">
              <w:rPr>
                <w:rFonts w:ascii="Times New Roman" w:hAnsi="Times New Roman" w:cs="Times New Roman"/>
                <w:szCs w:val="24"/>
                <w:highlight w:val="yellow"/>
              </w:rPr>
              <w:t xml:space="preserve">In addition to the modeled increase in the option’s volatility (see </w:t>
            </w:r>
            <w:r w:rsidR="008963A5">
              <w:rPr>
                <w:rFonts w:ascii="Times New Roman" w:hAnsi="Times New Roman" w:cs="Times New Roman"/>
                <w:szCs w:val="24"/>
                <w:highlight w:val="yellow"/>
              </w:rPr>
              <w:t>p</w:t>
            </w:r>
            <w:r w:rsidR="008963A5" w:rsidRPr="00C44BF3">
              <w:rPr>
                <w:rFonts w:ascii="Times New Roman" w:hAnsi="Times New Roman" w:cs="Times New Roman"/>
                <w:szCs w:val="24"/>
                <w:highlight w:val="yellow"/>
              </w:rPr>
              <w:t xml:space="preserve">aragraph </w:t>
            </w:r>
            <w:r w:rsidRPr="00C44BF3">
              <w:rPr>
                <w:rFonts w:ascii="Times New Roman" w:hAnsi="Times New Roman" w:cs="Times New Roman"/>
                <w:szCs w:val="24"/>
                <w:highlight w:val="yellow"/>
              </w:rPr>
              <w:t>43 of MA(BS)12</w:t>
            </w:r>
            <w:r w:rsidR="00C61226">
              <w:rPr>
                <w:rFonts w:ascii="Times New Roman" w:hAnsi="Times New Roman" w:cs="Times New Roman"/>
                <w:szCs w:val="24"/>
                <w:highlight w:val="yellow"/>
              </w:rPr>
              <w:t>A</w:t>
            </w:r>
            <w:r w:rsidRPr="00C44BF3">
              <w:rPr>
                <w:rFonts w:ascii="Times New Roman" w:hAnsi="Times New Roman" w:cs="Times New Roman"/>
                <w:szCs w:val="24"/>
                <w:highlight w:val="yellow"/>
              </w:rPr>
              <w:t>), an AI should shock the involved currencies’ interest rate curves separately to obtain two different value changes of the same underlying option and report the values under the respective currencies of MA(BS)12A.</w:t>
            </w:r>
          </w:p>
          <w:p w:rsidR="00C37261" w:rsidRPr="00C44BF3" w:rsidRDefault="00C37261" w:rsidP="00C73F6C">
            <w:pPr>
              <w:pStyle w:val="ListParagraph"/>
              <w:ind w:left="0"/>
              <w:jc w:val="both"/>
              <w:rPr>
                <w:rFonts w:ascii="Times New Roman" w:hAnsi="Times New Roman" w:cs="Times New Roman"/>
                <w:kern w:val="2"/>
                <w:sz w:val="24"/>
                <w:szCs w:val="24"/>
                <w:highlight w:val="yellow"/>
                <w:lang w:val="en-US"/>
              </w:rPr>
            </w:pPr>
          </w:p>
        </w:tc>
      </w:tr>
      <w:tr w:rsidR="002F11E0" w:rsidRPr="00C44BF3" w:rsidTr="00161317">
        <w:tc>
          <w:tcPr>
            <w:tcW w:w="709" w:type="dxa"/>
          </w:tcPr>
          <w:p w:rsidR="002F11E0" w:rsidRPr="00C44BF3" w:rsidRDefault="002F11E0" w:rsidP="00C37261">
            <w:pPr>
              <w:pStyle w:val="ListParagraph"/>
              <w:ind w:left="0"/>
              <w:jc w:val="both"/>
              <w:rPr>
                <w:rFonts w:ascii="Times New Roman" w:hAnsi="Times New Roman" w:cs="Times New Roman"/>
                <w:kern w:val="2"/>
                <w:sz w:val="24"/>
                <w:szCs w:val="24"/>
                <w:highlight w:val="yellow"/>
              </w:rPr>
            </w:pPr>
            <w:r>
              <w:rPr>
                <w:rFonts w:ascii="Times New Roman" w:hAnsi="Times New Roman" w:cs="Times New Roman"/>
                <w:kern w:val="2"/>
                <w:sz w:val="24"/>
                <w:szCs w:val="24"/>
                <w:highlight w:val="yellow"/>
              </w:rPr>
              <w:t>32</w:t>
            </w:r>
          </w:p>
        </w:tc>
        <w:tc>
          <w:tcPr>
            <w:tcW w:w="3260" w:type="dxa"/>
          </w:tcPr>
          <w:p w:rsidR="002F11E0" w:rsidRPr="00C44BF3" w:rsidRDefault="002F11E0" w:rsidP="008963A5">
            <w:pPr>
              <w:pStyle w:val="ListParagraph"/>
              <w:ind w:left="0"/>
              <w:jc w:val="both"/>
              <w:rPr>
                <w:rFonts w:ascii="Times New Roman" w:hAnsi="Times New Roman" w:cs="Times New Roman"/>
                <w:sz w:val="24"/>
                <w:szCs w:val="24"/>
                <w:highlight w:val="yellow"/>
              </w:rPr>
            </w:pPr>
            <w:r>
              <w:rPr>
                <w:rFonts w:ascii="Times New Roman" w:hAnsi="Times New Roman" w:cs="Times New Roman"/>
                <w:sz w:val="24"/>
                <w:szCs w:val="24"/>
                <w:highlight w:val="yellow"/>
              </w:rPr>
              <w:t>How does the yield of a zero</w:t>
            </w:r>
            <w:r w:rsidR="008963A5">
              <w:rPr>
                <w:rFonts w:ascii="Times New Roman" w:hAnsi="Times New Roman" w:cs="Times New Roman"/>
                <w:sz w:val="24"/>
                <w:szCs w:val="24"/>
                <w:highlight w:val="yellow"/>
              </w:rPr>
              <w:t>-</w:t>
            </w:r>
            <w:r>
              <w:rPr>
                <w:rFonts w:ascii="Times New Roman" w:hAnsi="Times New Roman" w:cs="Times New Roman"/>
                <w:sz w:val="24"/>
                <w:szCs w:val="24"/>
                <w:highlight w:val="yellow"/>
              </w:rPr>
              <w:t>coupon bond enter the weighted average yield/</w:t>
            </w:r>
            <w:r w:rsidR="00A04B55">
              <w:rPr>
                <w:rFonts w:ascii="Times New Roman" w:hAnsi="Times New Roman" w:cs="Times New Roman"/>
                <w:sz w:val="24"/>
                <w:szCs w:val="24"/>
                <w:highlight w:val="yellow"/>
              </w:rPr>
              <w:t xml:space="preserve">interest </w:t>
            </w:r>
            <w:r>
              <w:rPr>
                <w:rFonts w:ascii="Times New Roman" w:hAnsi="Times New Roman" w:cs="Times New Roman"/>
                <w:sz w:val="24"/>
                <w:szCs w:val="24"/>
                <w:highlight w:val="yellow"/>
              </w:rPr>
              <w:t>cost calculations for MA(BS)12A and MA(BS)12B</w:t>
            </w:r>
            <w:r w:rsidR="00F96D8D">
              <w:rPr>
                <w:rFonts w:ascii="Times New Roman" w:hAnsi="Times New Roman" w:cs="Times New Roman"/>
                <w:sz w:val="24"/>
                <w:szCs w:val="24"/>
                <w:highlight w:val="yellow"/>
              </w:rPr>
              <w:t>?</w:t>
            </w:r>
          </w:p>
        </w:tc>
        <w:tc>
          <w:tcPr>
            <w:tcW w:w="9923" w:type="dxa"/>
          </w:tcPr>
          <w:p w:rsidR="002F11E0" w:rsidRPr="001D7C22" w:rsidRDefault="00503E6D" w:rsidP="00363942">
            <w:pPr>
              <w:autoSpaceDE w:val="0"/>
              <w:autoSpaceDN w:val="0"/>
              <w:adjustRightInd w:val="0"/>
              <w:jc w:val="both"/>
              <w:rPr>
                <w:rFonts w:ascii="Times New Roman" w:hAnsi="Times New Roman" w:cs="Times New Roman"/>
                <w:szCs w:val="24"/>
                <w:highlight w:val="yellow"/>
                <w:lang w:val="en-GB"/>
              </w:rPr>
            </w:pPr>
            <w:r w:rsidRPr="001D7C22">
              <w:rPr>
                <w:rFonts w:ascii="Times New Roman" w:hAnsi="Times New Roman" w:cs="Times New Roman"/>
                <w:kern w:val="0"/>
                <w:highlight w:val="yellow"/>
                <w:lang w:val="en-GB"/>
              </w:rPr>
              <w:t>The yield (or implicit yield) of the zero-coupon bond when it</w:t>
            </w:r>
            <w:r w:rsidR="00D22333" w:rsidRPr="001D7C22">
              <w:rPr>
                <w:rFonts w:ascii="Times New Roman" w:hAnsi="Times New Roman" w:cs="Times New Roman"/>
                <w:kern w:val="0"/>
                <w:highlight w:val="yellow"/>
                <w:lang w:val="en-GB"/>
              </w:rPr>
              <w:t xml:space="preserve"> is</w:t>
            </w:r>
            <w:r w:rsidRPr="001D7C22">
              <w:rPr>
                <w:rFonts w:ascii="Times New Roman" w:hAnsi="Times New Roman" w:cs="Times New Roman"/>
                <w:kern w:val="0"/>
                <w:highlight w:val="yellow"/>
                <w:lang w:val="en-GB"/>
              </w:rPr>
              <w:t xml:space="preserve"> </w:t>
            </w:r>
            <w:r w:rsidR="00D22333" w:rsidRPr="001D7C22">
              <w:rPr>
                <w:rFonts w:ascii="Times New Roman" w:hAnsi="Times New Roman" w:cs="Times New Roman"/>
                <w:kern w:val="0"/>
                <w:highlight w:val="yellow"/>
                <w:lang w:val="en-GB"/>
              </w:rPr>
              <w:t xml:space="preserve">recognised on </w:t>
            </w:r>
            <w:r w:rsidRPr="001D7C22">
              <w:rPr>
                <w:rFonts w:ascii="Times New Roman" w:hAnsi="Times New Roman" w:cs="Times New Roman"/>
                <w:kern w:val="0"/>
                <w:highlight w:val="yellow"/>
                <w:lang w:val="en-GB"/>
              </w:rPr>
              <w:t xml:space="preserve">the </w:t>
            </w:r>
            <w:r w:rsidR="00CD0EBF" w:rsidRPr="001D7C22">
              <w:rPr>
                <w:rFonts w:ascii="Times New Roman" w:hAnsi="Times New Roman" w:cs="Times New Roman"/>
                <w:kern w:val="0"/>
                <w:highlight w:val="yellow"/>
                <w:lang w:val="en-GB"/>
              </w:rPr>
              <w:t xml:space="preserve">AI’s balance sheet </w:t>
            </w:r>
            <w:r w:rsidRPr="001D7C22">
              <w:rPr>
                <w:rFonts w:ascii="Times New Roman" w:hAnsi="Times New Roman" w:cs="Times New Roman"/>
                <w:kern w:val="0"/>
                <w:highlight w:val="yellow"/>
                <w:lang w:val="en-GB"/>
              </w:rPr>
              <w:t>should be used for the total weighted average yield / interest cost calculations for MA(BS)12A (columns 1.c. and 5.c.) and MA(BS)12B (column 1.c.). For multiple acquisitions or short sales of the same issue, the average yield (or implicit yield) of the zero-coupon bond weighted based on the notional values should be used.</w:t>
            </w:r>
          </w:p>
        </w:tc>
      </w:tr>
    </w:tbl>
    <w:p w:rsidR="00F16930" w:rsidRPr="00C44BF3" w:rsidRDefault="00F16930">
      <w:pPr>
        <w:rPr>
          <w:rFonts w:ascii="Times New Roman" w:hAnsi="Times New Roman" w:cs="Times New Roman"/>
          <w:szCs w:val="24"/>
        </w:rPr>
      </w:pPr>
    </w:p>
    <w:sectPr w:rsidR="00F16930" w:rsidRPr="00C44BF3" w:rsidSect="00FF1BFF">
      <w:footerReference w:type="default" r:id="rId11"/>
      <w:pgSz w:w="16838" w:h="11906" w:orient="landscape"/>
      <w:pgMar w:top="1800" w:right="1440" w:bottom="1800" w:left="144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75E5" w:rsidRDefault="00E975E5" w:rsidP="00AE1714">
      <w:r>
        <w:separator/>
      </w:r>
    </w:p>
  </w:endnote>
  <w:endnote w:type="continuationSeparator" w:id="0">
    <w:p w:rsidR="00E975E5" w:rsidRDefault="00E975E5" w:rsidP="00AE1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6013602"/>
      <w:docPartObj>
        <w:docPartGallery w:val="Page Numbers (Bottom of Page)"/>
        <w:docPartUnique/>
      </w:docPartObj>
    </w:sdtPr>
    <w:sdtEndPr>
      <w:rPr>
        <w:noProof/>
      </w:rPr>
    </w:sdtEndPr>
    <w:sdtContent>
      <w:p w:rsidR="00FD29EF" w:rsidRDefault="00FD29EF">
        <w:pPr>
          <w:pStyle w:val="Footer"/>
          <w:jc w:val="right"/>
        </w:pPr>
        <w:r>
          <w:fldChar w:fldCharType="begin"/>
        </w:r>
        <w:r>
          <w:instrText xml:space="preserve"> PAGE   \* MERGEFORMAT </w:instrText>
        </w:r>
        <w:r>
          <w:fldChar w:fldCharType="separate"/>
        </w:r>
        <w:r w:rsidR="007B00D5">
          <w:rPr>
            <w:noProof/>
          </w:rPr>
          <w:t>1</w:t>
        </w:r>
        <w:r>
          <w:rPr>
            <w:noProof/>
          </w:rPr>
          <w:fldChar w:fldCharType="end"/>
        </w:r>
      </w:p>
    </w:sdtContent>
  </w:sdt>
  <w:p w:rsidR="00FD29EF" w:rsidRDefault="00FD29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75E5" w:rsidRDefault="00E975E5" w:rsidP="00AE1714">
      <w:r>
        <w:separator/>
      </w:r>
    </w:p>
  </w:footnote>
  <w:footnote w:type="continuationSeparator" w:id="0">
    <w:p w:rsidR="00E975E5" w:rsidRDefault="00E975E5" w:rsidP="00AE17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75F8E"/>
    <w:multiLevelType w:val="hybridMultilevel"/>
    <w:tmpl w:val="A1FCEC2C"/>
    <w:lvl w:ilvl="0" w:tplc="CAF6B82A">
      <w:start w:val="1"/>
      <w:numFmt w:val="upperLetter"/>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
    <w:nsid w:val="22BE071F"/>
    <w:multiLevelType w:val="hybridMultilevel"/>
    <w:tmpl w:val="A80EB4AA"/>
    <w:lvl w:ilvl="0" w:tplc="7382BF74">
      <w:start w:val="1"/>
      <w:numFmt w:val="upperLetter"/>
      <w:lvlText w:val="%1."/>
      <w:lvlJc w:val="left"/>
      <w:pPr>
        <w:ind w:left="360" w:hanging="360"/>
      </w:pPr>
      <w:rPr>
        <w:rFonts w:ascii="Times New Roman" w:eastAsiaTheme="minorEastAsia" w:hAnsi="Times New Roman" w:cs="Times New Roman"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2">
    <w:nsid w:val="269C6098"/>
    <w:multiLevelType w:val="hybridMultilevel"/>
    <w:tmpl w:val="707CE530"/>
    <w:lvl w:ilvl="0" w:tplc="7C72BBFE">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
    <w:nsid w:val="41883305"/>
    <w:multiLevelType w:val="hybridMultilevel"/>
    <w:tmpl w:val="0736169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588C36E5"/>
    <w:multiLevelType w:val="hybridMultilevel"/>
    <w:tmpl w:val="F948E866"/>
    <w:lvl w:ilvl="0" w:tplc="54BABCD6">
      <w:numFmt w:val="bullet"/>
      <w:lvlText w:val="-"/>
      <w:lvlJc w:val="left"/>
      <w:pPr>
        <w:ind w:left="360" w:hanging="360"/>
      </w:pPr>
      <w:rPr>
        <w:rFonts w:ascii="Calibri" w:eastAsiaTheme="minorEastAsia" w:hAnsi="Calibri" w:cstheme="minorBidi"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5">
    <w:nsid w:val="6DC61BA5"/>
    <w:multiLevelType w:val="hybridMultilevel"/>
    <w:tmpl w:val="2BA47AC8"/>
    <w:lvl w:ilvl="0" w:tplc="067AF3EC">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781F1D8C"/>
    <w:multiLevelType w:val="hybridMultilevel"/>
    <w:tmpl w:val="39B89924"/>
    <w:lvl w:ilvl="0" w:tplc="6380AC58">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78300989"/>
    <w:multiLevelType w:val="hybridMultilevel"/>
    <w:tmpl w:val="CB8088EC"/>
    <w:lvl w:ilvl="0" w:tplc="9E989C3A">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6"/>
  </w:num>
  <w:num w:numId="3">
    <w:abstractNumId w:val="7"/>
  </w:num>
  <w:num w:numId="4">
    <w:abstractNumId w:val="5"/>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
    <w:lvlOverride w:ilvl="0">
      <w:startOverride w:val="1"/>
    </w:lvlOverride>
    <w:lvlOverride w:ilvl="1"/>
    <w:lvlOverride w:ilvl="2"/>
    <w:lvlOverride w:ilvl="3"/>
    <w:lvlOverride w:ilvl="4"/>
    <w:lvlOverride w:ilvl="5"/>
    <w:lvlOverride w:ilvl="6"/>
    <w:lvlOverride w:ilvl="7"/>
    <w:lvlOverride w:ilvl="8"/>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79"/>
  <w:bordersDoNotSurroundHeader/>
  <w:bordersDoNotSurroundFooter/>
  <w:defaultTabStop w:val="480"/>
  <w:hyphenationZone w:val="425"/>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930"/>
    <w:rsid w:val="000040E2"/>
    <w:rsid w:val="000272FC"/>
    <w:rsid w:val="000803D7"/>
    <w:rsid w:val="00087783"/>
    <w:rsid w:val="0008782B"/>
    <w:rsid w:val="00090867"/>
    <w:rsid w:val="000916A0"/>
    <w:rsid w:val="000B78F7"/>
    <w:rsid w:val="000C4021"/>
    <w:rsid w:val="000C621D"/>
    <w:rsid w:val="000D7DD9"/>
    <w:rsid w:val="000E32E1"/>
    <w:rsid w:val="00126D83"/>
    <w:rsid w:val="00161317"/>
    <w:rsid w:val="001641DE"/>
    <w:rsid w:val="0016646B"/>
    <w:rsid w:val="00181EB3"/>
    <w:rsid w:val="001956A7"/>
    <w:rsid w:val="001B17D6"/>
    <w:rsid w:val="001B35E7"/>
    <w:rsid w:val="001D7C22"/>
    <w:rsid w:val="001E7278"/>
    <w:rsid w:val="00212446"/>
    <w:rsid w:val="002433C7"/>
    <w:rsid w:val="002442BD"/>
    <w:rsid w:val="00244AF2"/>
    <w:rsid w:val="00256545"/>
    <w:rsid w:val="0026410C"/>
    <w:rsid w:val="00286234"/>
    <w:rsid w:val="002A1646"/>
    <w:rsid w:val="002A6089"/>
    <w:rsid w:val="002C1861"/>
    <w:rsid w:val="002D2629"/>
    <w:rsid w:val="002D2DED"/>
    <w:rsid w:val="002D5BBF"/>
    <w:rsid w:val="002F0BA9"/>
    <w:rsid w:val="002F11E0"/>
    <w:rsid w:val="002F375C"/>
    <w:rsid w:val="002F483A"/>
    <w:rsid w:val="002F5664"/>
    <w:rsid w:val="00300B09"/>
    <w:rsid w:val="0030512D"/>
    <w:rsid w:val="00310A21"/>
    <w:rsid w:val="003235D1"/>
    <w:rsid w:val="00356676"/>
    <w:rsid w:val="00363942"/>
    <w:rsid w:val="00370080"/>
    <w:rsid w:val="00382479"/>
    <w:rsid w:val="00383400"/>
    <w:rsid w:val="00395CBE"/>
    <w:rsid w:val="003D05E8"/>
    <w:rsid w:val="003E6197"/>
    <w:rsid w:val="00401A55"/>
    <w:rsid w:val="004148BF"/>
    <w:rsid w:val="004258DD"/>
    <w:rsid w:val="00427F2F"/>
    <w:rsid w:val="00431607"/>
    <w:rsid w:val="00454F5B"/>
    <w:rsid w:val="00461C0A"/>
    <w:rsid w:val="004810E8"/>
    <w:rsid w:val="004A215F"/>
    <w:rsid w:val="004C6839"/>
    <w:rsid w:val="004F6D84"/>
    <w:rsid w:val="00503E6D"/>
    <w:rsid w:val="00526FFE"/>
    <w:rsid w:val="005325CC"/>
    <w:rsid w:val="005353ED"/>
    <w:rsid w:val="00566B13"/>
    <w:rsid w:val="00571CE1"/>
    <w:rsid w:val="005723D9"/>
    <w:rsid w:val="0058382E"/>
    <w:rsid w:val="005970D3"/>
    <w:rsid w:val="005A5745"/>
    <w:rsid w:val="005B11A0"/>
    <w:rsid w:val="005B6F92"/>
    <w:rsid w:val="005E4761"/>
    <w:rsid w:val="00612832"/>
    <w:rsid w:val="006148C5"/>
    <w:rsid w:val="006327C0"/>
    <w:rsid w:val="00634877"/>
    <w:rsid w:val="00634E4F"/>
    <w:rsid w:val="00670AA0"/>
    <w:rsid w:val="00673C5E"/>
    <w:rsid w:val="00683A77"/>
    <w:rsid w:val="006901B4"/>
    <w:rsid w:val="00696D16"/>
    <w:rsid w:val="006B5630"/>
    <w:rsid w:val="006C74B3"/>
    <w:rsid w:val="006F179C"/>
    <w:rsid w:val="007205C7"/>
    <w:rsid w:val="007278B0"/>
    <w:rsid w:val="00733360"/>
    <w:rsid w:val="00752035"/>
    <w:rsid w:val="00753A33"/>
    <w:rsid w:val="007773BD"/>
    <w:rsid w:val="00795A7E"/>
    <w:rsid w:val="007B00D5"/>
    <w:rsid w:val="007C4026"/>
    <w:rsid w:val="007D67A9"/>
    <w:rsid w:val="007E31C1"/>
    <w:rsid w:val="007F2075"/>
    <w:rsid w:val="007F79AE"/>
    <w:rsid w:val="00830ADB"/>
    <w:rsid w:val="00842127"/>
    <w:rsid w:val="00846453"/>
    <w:rsid w:val="00847CE9"/>
    <w:rsid w:val="00855B45"/>
    <w:rsid w:val="008952ED"/>
    <w:rsid w:val="008963A5"/>
    <w:rsid w:val="008B33C7"/>
    <w:rsid w:val="008D03A2"/>
    <w:rsid w:val="008D17C2"/>
    <w:rsid w:val="008D5887"/>
    <w:rsid w:val="00903598"/>
    <w:rsid w:val="00924A0D"/>
    <w:rsid w:val="0093114D"/>
    <w:rsid w:val="00953DC2"/>
    <w:rsid w:val="00963B7C"/>
    <w:rsid w:val="0097495B"/>
    <w:rsid w:val="00981A20"/>
    <w:rsid w:val="00990558"/>
    <w:rsid w:val="00995BDA"/>
    <w:rsid w:val="009B6A2E"/>
    <w:rsid w:val="009C03CC"/>
    <w:rsid w:val="009C1600"/>
    <w:rsid w:val="009C5069"/>
    <w:rsid w:val="009C5950"/>
    <w:rsid w:val="009F48E7"/>
    <w:rsid w:val="00A004AE"/>
    <w:rsid w:val="00A022FE"/>
    <w:rsid w:val="00A04B55"/>
    <w:rsid w:val="00A11427"/>
    <w:rsid w:val="00A15ED6"/>
    <w:rsid w:val="00A256C8"/>
    <w:rsid w:val="00A34741"/>
    <w:rsid w:val="00A4155A"/>
    <w:rsid w:val="00A45ADE"/>
    <w:rsid w:val="00A56F28"/>
    <w:rsid w:val="00A57891"/>
    <w:rsid w:val="00A74564"/>
    <w:rsid w:val="00A85BEF"/>
    <w:rsid w:val="00A86BC0"/>
    <w:rsid w:val="00AB1675"/>
    <w:rsid w:val="00AC58FE"/>
    <w:rsid w:val="00AE1714"/>
    <w:rsid w:val="00AE2542"/>
    <w:rsid w:val="00AE5C53"/>
    <w:rsid w:val="00AF3E50"/>
    <w:rsid w:val="00B014DD"/>
    <w:rsid w:val="00B10F3D"/>
    <w:rsid w:val="00B304E6"/>
    <w:rsid w:val="00B32489"/>
    <w:rsid w:val="00B43FE8"/>
    <w:rsid w:val="00B5438F"/>
    <w:rsid w:val="00B553B6"/>
    <w:rsid w:val="00B55FC1"/>
    <w:rsid w:val="00B61857"/>
    <w:rsid w:val="00B81AE7"/>
    <w:rsid w:val="00B8753B"/>
    <w:rsid w:val="00B90784"/>
    <w:rsid w:val="00BA1FD1"/>
    <w:rsid w:val="00BC5F0C"/>
    <w:rsid w:val="00BC6FF7"/>
    <w:rsid w:val="00BE308F"/>
    <w:rsid w:val="00C17041"/>
    <w:rsid w:val="00C37261"/>
    <w:rsid w:val="00C42F50"/>
    <w:rsid w:val="00C44BF3"/>
    <w:rsid w:val="00C44E62"/>
    <w:rsid w:val="00C61226"/>
    <w:rsid w:val="00C62268"/>
    <w:rsid w:val="00C73F6C"/>
    <w:rsid w:val="00C95DED"/>
    <w:rsid w:val="00CA2C20"/>
    <w:rsid w:val="00CA2DC0"/>
    <w:rsid w:val="00CA4A35"/>
    <w:rsid w:val="00CB6488"/>
    <w:rsid w:val="00CC6D1C"/>
    <w:rsid w:val="00CD0EBF"/>
    <w:rsid w:val="00CD5736"/>
    <w:rsid w:val="00CE0D73"/>
    <w:rsid w:val="00CE157B"/>
    <w:rsid w:val="00CF6899"/>
    <w:rsid w:val="00D10D5D"/>
    <w:rsid w:val="00D11313"/>
    <w:rsid w:val="00D22333"/>
    <w:rsid w:val="00D55016"/>
    <w:rsid w:val="00D73C29"/>
    <w:rsid w:val="00D77249"/>
    <w:rsid w:val="00DA677A"/>
    <w:rsid w:val="00DB2640"/>
    <w:rsid w:val="00DB7A53"/>
    <w:rsid w:val="00DC79A0"/>
    <w:rsid w:val="00DD3266"/>
    <w:rsid w:val="00E003C5"/>
    <w:rsid w:val="00E066E9"/>
    <w:rsid w:val="00E2030D"/>
    <w:rsid w:val="00E27F4C"/>
    <w:rsid w:val="00E3070B"/>
    <w:rsid w:val="00E30852"/>
    <w:rsid w:val="00E35BD5"/>
    <w:rsid w:val="00E50F53"/>
    <w:rsid w:val="00E64AE5"/>
    <w:rsid w:val="00E70B60"/>
    <w:rsid w:val="00E72177"/>
    <w:rsid w:val="00E90649"/>
    <w:rsid w:val="00E975E5"/>
    <w:rsid w:val="00EA5610"/>
    <w:rsid w:val="00EB5FAD"/>
    <w:rsid w:val="00EB6E84"/>
    <w:rsid w:val="00ED15DB"/>
    <w:rsid w:val="00ED3129"/>
    <w:rsid w:val="00ED472F"/>
    <w:rsid w:val="00ED4C83"/>
    <w:rsid w:val="00EE2024"/>
    <w:rsid w:val="00EE680F"/>
    <w:rsid w:val="00F16930"/>
    <w:rsid w:val="00F17649"/>
    <w:rsid w:val="00F234D1"/>
    <w:rsid w:val="00F419AB"/>
    <w:rsid w:val="00F545A0"/>
    <w:rsid w:val="00F64429"/>
    <w:rsid w:val="00F76190"/>
    <w:rsid w:val="00F8636A"/>
    <w:rsid w:val="00F87404"/>
    <w:rsid w:val="00F96D8D"/>
    <w:rsid w:val="00FC238E"/>
    <w:rsid w:val="00FC4A9A"/>
    <w:rsid w:val="00FD2286"/>
    <w:rsid w:val="00FD29EF"/>
    <w:rsid w:val="00FE3EA4"/>
    <w:rsid w:val="00FF1BF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61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7E31C1"/>
    <w:pPr>
      <w:widowControl/>
      <w:spacing w:after="200" w:line="276" w:lineRule="auto"/>
      <w:ind w:left="720"/>
      <w:contextualSpacing/>
    </w:pPr>
    <w:rPr>
      <w:kern w:val="0"/>
      <w:sz w:val="22"/>
      <w:lang w:val="en-GB"/>
    </w:rPr>
  </w:style>
  <w:style w:type="character" w:customStyle="1" w:styleId="ListParagraphChar">
    <w:name w:val="List Paragraph Char"/>
    <w:link w:val="ListParagraph"/>
    <w:uiPriority w:val="34"/>
    <w:locked/>
    <w:rsid w:val="007E31C1"/>
    <w:rPr>
      <w:kern w:val="0"/>
      <w:sz w:val="22"/>
      <w:lang w:val="en-GB"/>
    </w:rPr>
  </w:style>
  <w:style w:type="paragraph" w:styleId="BodyText">
    <w:name w:val="Body Text"/>
    <w:basedOn w:val="Normal"/>
    <w:link w:val="BodyTextChar"/>
    <w:rsid w:val="00BC5F0C"/>
    <w:pPr>
      <w:widowControl/>
      <w:spacing w:after="240"/>
    </w:pPr>
    <w:rPr>
      <w:rFonts w:ascii="Arial" w:eastAsia="新細明體" w:hAnsi="Arial" w:cs="Times New Roman"/>
      <w:kern w:val="0"/>
      <w:sz w:val="20"/>
      <w:szCs w:val="20"/>
      <w:lang w:val="x-none" w:eastAsia="en-US"/>
    </w:rPr>
  </w:style>
  <w:style w:type="character" w:customStyle="1" w:styleId="BodyTextChar">
    <w:name w:val="Body Text Char"/>
    <w:basedOn w:val="DefaultParagraphFont"/>
    <w:link w:val="BodyText"/>
    <w:rsid w:val="00BC5F0C"/>
    <w:rPr>
      <w:rFonts w:ascii="Arial" w:eastAsia="新細明體" w:hAnsi="Arial" w:cs="Times New Roman"/>
      <w:kern w:val="0"/>
      <w:sz w:val="20"/>
      <w:szCs w:val="20"/>
      <w:lang w:val="x-none" w:eastAsia="en-US"/>
    </w:rPr>
  </w:style>
  <w:style w:type="paragraph" w:customStyle="1" w:styleId="Default">
    <w:name w:val="Default"/>
    <w:rsid w:val="00AF3E50"/>
    <w:pPr>
      <w:autoSpaceDE w:val="0"/>
      <w:autoSpaceDN w:val="0"/>
      <w:adjustRightInd w:val="0"/>
    </w:pPr>
    <w:rPr>
      <w:rFonts w:ascii="Calibri" w:eastAsia="新細明體" w:hAnsi="Calibri" w:cs="Calibri"/>
      <w:color w:val="000000"/>
      <w:kern w:val="0"/>
      <w:szCs w:val="24"/>
      <w:lang w:eastAsia="en-US"/>
    </w:rPr>
  </w:style>
  <w:style w:type="paragraph" w:styleId="BalloonText">
    <w:name w:val="Balloon Text"/>
    <w:basedOn w:val="Normal"/>
    <w:link w:val="BalloonTextChar"/>
    <w:uiPriority w:val="99"/>
    <w:semiHidden/>
    <w:unhideWhenUsed/>
    <w:rsid w:val="00A56F28"/>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A56F28"/>
    <w:rPr>
      <w:rFonts w:asciiTheme="majorHAnsi" w:eastAsiaTheme="majorEastAsia" w:hAnsiTheme="majorHAnsi" w:cstheme="majorBidi"/>
      <w:sz w:val="16"/>
      <w:szCs w:val="16"/>
    </w:rPr>
  </w:style>
  <w:style w:type="paragraph" w:styleId="FootnoteText">
    <w:name w:val="footnote text"/>
    <w:basedOn w:val="Normal"/>
    <w:link w:val="FootnoteTextChar"/>
    <w:semiHidden/>
    <w:unhideWhenUsed/>
    <w:rsid w:val="00AE1714"/>
    <w:pPr>
      <w:snapToGrid w:val="0"/>
    </w:pPr>
    <w:rPr>
      <w:sz w:val="20"/>
      <w:szCs w:val="20"/>
    </w:rPr>
  </w:style>
  <w:style w:type="character" w:customStyle="1" w:styleId="FootnoteTextChar">
    <w:name w:val="Footnote Text Char"/>
    <w:basedOn w:val="DefaultParagraphFont"/>
    <w:link w:val="FootnoteText"/>
    <w:uiPriority w:val="99"/>
    <w:semiHidden/>
    <w:rsid w:val="00AE1714"/>
    <w:rPr>
      <w:sz w:val="20"/>
      <w:szCs w:val="20"/>
    </w:rPr>
  </w:style>
  <w:style w:type="character" w:styleId="FootnoteReference">
    <w:name w:val="footnote reference"/>
    <w:basedOn w:val="DefaultParagraphFont"/>
    <w:semiHidden/>
    <w:unhideWhenUsed/>
    <w:rsid w:val="00AE1714"/>
    <w:rPr>
      <w:vertAlign w:val="superscript"/>
    </w:rPr>
  </w:style>
  <w:style w:type="character" w:styleId="CommentReference">
    <w:name w:val="annotation reference"/>
    <w:basedOn w:val="DefaultParagraphFont"/>
    <w:uiPriority w:val="99"/>
    <w:semiHidden/>
    <w:unhideWhenUsed/>
    <w:rsid w:val="00A57891"/>
    <w:rPr>
      <w:sz w:val="16"/>
      <w:szCs w:val="16"/>
    </w:rPr>
  </w:style>
  <w:style w:type="paragraph" w:styleId="CommentText">
    <w:name w:val="annotation text"/>
    <w:basedOn w:val="Normal"/>
    <w:link w:val="CommentTextChar"/>
    <w:uiPriority w:val="99"/>
    <w:semiHidden/>
    <w:unhideWhenUsed/>
    <w:rsid w:val="00A57891"/>
    <w:rPr>
      <w:sz w:val="20"/>
      <w:szCs w:val="20"/>
    </w:rPr>
  </w:style>
  <w:style w:type="character" w:customStyle="1" w:styleId="CommentTextChar">
    <w:name w:val="Comment Text Char"/>
    <w:basedOn w:val="DefaultParagraphFont"/>
    <w:link w:val="CommentText"/>
    <w:uiPriority w:val="99"/>
    <w:semiHidden/>
    <w:rsid w:val="00A57891"/>
    <w:rPr>
      <w:sz w:val="20"/>
      <w:szCs w:val="20"/>
    </w:rPr>
  </w:style>
  <w:style w:type="paragraph" w:styleId="CommentSubject">
    <w:name w:val="annotation subject"/>
    <w:basedOn w:val="CommentText"/>
    <w:next w:val="CommentText"/>
    <w:link w:val="CommentSubjectChar"/>
    <w:uiPriority w:val="99"/>
    <w:semiHidden/>
    <w:unhideWhenUsed/>
    <w:rsid w:val="00A57891"/>
    <w:rPr>
      <w:b/>
      <w:bCs/>
    </w:rPr>
  </w:style>
  <w:style w:type="character" w:customStyle="1" w:styleId="CommentSubjectChar">
    <w:name w:val="Comment Subject Char"/>
    <w:basedOn w:val="CommentTextChar"/>
    <w:link w:val="CommentSubject"/>
    <w:uiPriority w:val="99"/>
    <w:semiHidden/>
    <w:rsid w:val="00A57891"/>
    <w:rPr>
      <w:b/>
      <w:bCs/>
      <w:sz w:val="20"/>
      <w:szCs w:val="20"/>
    </w:rPr>
  </w:style>
  <w:style w:type="paragraph" w:styleId="Revision">
    <w:name w:val="Revision"/>
    <w:hidden/>
    <w:uiPriority w:val="99"/>
    <w:semiHidden/>
    <w:rsid w:val="00E27F4C"/>
  </w:style>
  <w:style w:type="table" w:customStyle="1" w:styleId="TableGrid1">
    <w:name w:val="Table Grid1"/>
    <w:basedOn w:val="TableNormal"/>
    <w:next w:val="TableGrid"/>
    <w:uiPriority w:val="59"/>
    <w:rsid w:val="008B33C7"/>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148C5"/>
    <w:rPr>
      <w:color w:val="0000FF"/>
      <w:u w:val="single"/>
    </w:rPr>
  </w:style>
  <w:style w:type="character" w:styleId="PlaceholderText">
    <w:name w:val="Placeholder Text"/>
    <w:basedOn w:val="DefaultParagraphFont"/>
    <w:uiPriority w:val="99"/>
    <w:semiHidden/>
    <w:rsid w:val="005970D3"/>
    <w:rPr>
      <w:color w:val="808080"/>
    </w:rPr>
  </w:style>
  <w:style w:type="paragraph" w:styleId="Header">
    <w:name w:val="header"/>
    <w:basedOn w:val="Normal"/>
    <w:link w:val="HeaderChar"/>
    <w:uiPriority w:val="99"/>
    <w:unhideWhenUsed/>
    <w:rsid w:val="00FD29EF"/>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FD29EF"/>
    <w:rPr>
      <w:sz w:val="20"/>
      <w:szCs w:val="20"/>
    </w:rPr>
  </w:style>
  <w:style w:type="paragraph" w:styleId="Footer">
    <w:name w:val="footer"/>
    <w:basedOn w:val="Normal"/>
    <w:link w:val="FooterChar"/>
    <w:uiPriority w:val="99"/>
    <w:unhideWhenUsed/>
    <w:rsid w:val="00FD29EF"/>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FD29EF"/>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61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7E31C1"/>
    <w:pPr>
      <w:widowControl/>
      <w:spacing w:after="200" w:line="276" w:lineRule="auto"/>
      <w:ind w:left="720"/>
      <w:contextualSpacing/>
    </w:pPr>
    <w:rPr>
      <w:kern w:val="0"/>
      <w:sz w:val="22"/>
      <w:lang w:val="en-GB"/>
    </w:rPr>
  </w:style>
  <w:style w:type="character" w:customStyle="1" w:styleId="ListParagraphChar">
    <w:name w:val="List Paragraph Char"/>
    <w:link w:val="ListParagraph"/>
    <w:uiPriority w:val="34"/>
    <w:locked/>
    <w:rsid w:val="007E31C1"/>
    <w:rPr>
      <w:kern w:val="0"/>
      <w:sz w:val="22"/>
      <w:lang w:val="en-GB"/>
    </w:rPr>
  </w:style>
  <w:style w:type="paragraph" w:styleId="BodyText">
    <w:name w:val="Body Text"/>
    <w:basedOn w:val="Normal"/>
    <w:link w:val="BodyTextChar"/>
    <w:rsid w:val="00BC5F0C"/>
    <w:pPr>
      <w:widowControl/>
      <w:spacing w:after="240"/>
    </w:pPr>
    <w:rPr>
      <w:rFonts w:ascii="Arial" w:eastAsia="新細明體" w:hAnsi="Arial" w:cs="Times New Roman"/>
      <w:kern w:val="0"/>
      <w:sz w:val="20"/>
      <w:szCs w:val="20"/>
      <w:lang w:val="x-none" w:eastAsia="en-US"/>
    </w:rPr>
  </w:style>
  <w:style w:type="character" w:customStyle="1" w:styleId="BodyTextChar">
    <w:name w:val="Body Text Char"/>
    <w:basedOn w:val="DefaultParagraphFont"/>
    <w:link w:val="BodyText"/>
    <w:rsid w:val="00BC5F0C"/>
    <w:rPr>
      <w:rFonts w:ascii="Arial" w:eastAsia="新細明體" w:hAnsi="Arial" w:cs="Times New Roman"/>
      <w:kern w:val="0"/>
      <w:sz w:val="20"/>
      <w:szCs w:val="20"/>
      <w:lang w:val="x-none" w:eastAsia="en-US"/>
    </w:rPr>
  </w:style>
  <w:style w:type="paragraph" w:customStyle="1" w:styleId="Default">
    <w:name w:val="Default"/>
    <w:rsid w:val="00AF3E50"/>
    <w:pPr>
      <w:autoSpaceDE w:val="0"/>
      <w:autoSpaceDN w:val="0"/>
      <w:adjustRightInd w:val="0"/>
    </w:pPr>
    <w:rPr>
      <w:rFonts w:ascii="Calibri" w:eastAsia="新細明體" w:hAnsi="Calibri" w:cs="Calibri"/>
      <w:color w:val="000000"/>
      <w:kern w:val="0"/>
      <w:szCs w:val="24"/>
      <w:lang w:eastAsia="en-US"/>
    </w:rPr>
  </w:style>
  <w:style w:type="paragraph" w:styleId="BalloonText">
    <w:name w:val="Balloon Text"/>
    <w:basedOn w:val="Normal"/>
    <w:link w:val="BalloonTextChar"/>
    <w:uiPriority w:val="99"/>
    <w:semiHidden/>
    <w:unhideWhenUsed/>
    <w:rsid w:val="00A56F28"/>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A56F28"/>
    <w:rPr>
      <w:rFonts w:asciiTheme="majorHAnsi" w:eastAsiaTheme="majorEastAsia" w:hAnsiTheme="majorHAnsi" w:cstheme="majorBidi"/>
      <w:sz w:val="16"/>
      <w:szCs w:val="16"/>
    </w:rPr>
  </w:style>
  <w:style w:type="paragraph" w:styleId="FootnoteText">
    <w:name w:val="footnote text"/>
    <w:basedOn w:val="Normal"/>
    <w:link w:val="FootnoteTextChar"/>
    <w:semiHidden/>
    <w:unhideWhenUsed/>
    <w:rsid w:val="00AE1714"/>
    <w:pPr>
      <w:snapToGrid w:val="0"/>
    </w:pPr>
    <w:rPr>
      <w:sz w:val="20"/>
      <w:szCs w:val="20"/>
    </w:rPr>
  </w:style>
  <w:style w:type="character" w:customStyle="1" w:styleId="FootnoteTextChar">
    <w:name w:val="Footnote Text Char"/>
    <w:basedOn w:val="DefaultParagraphFont"/>
    <w:link w:val="FootnoteText"/>
    <w:uiPriority w:val="99"/>
    <w:semiHidden/>
    <w:rsid w:val="00AE1714"/>
    <w:rPr>
      <w:sz w:val="20"/>
      <w:szCs w:val="20"/>
    </w:rPr>
  </w:style>
  <w:style w:type="character" w:styleId="FootnoteReference">
    <w:name w:val="footnote reference"/>
    <w:basedOn w:val="DefaultParagraphFont"/>
    <w:semiHidden/>
    <w:unhideWhenUsed/>
    <w:rsid w:val="00AE1714"/>
    <w:rPr>
      <w:vertAlign w:val="superscript"/>
    </w:rPr>
  </w:style>
  <w:style w:type="character" w:styleId="CommentReference">
    <w:name w:val="annotation reference"/>
    <w:basedOn w:val="DefaultParagraphFont"/>
    <w:uiPriority w:val="99"/>
    <w:semiHidden/>
    <w:unhideWhenUsed/>
    <w:rsid w:val="00A57891"/>
    <w:rPr>
      <w:sz w:val="16"/>
      <w:szCs w:val="16"/>
    </w:rPr>
  </w:style>
  <w:style w:type="paragraph" w:styleId="CommentText">
    <w:name w:val="annotation text"/>
    <w:basedOn w:val="Normal"/>
    <w:link w:val="CommentTextChar"/>
    <w:uiPriority w:val="99"/>
    <w:semiHidden/>
    <w:unhideWhenUsed/>
    <w:rsid w:val="00A57891"/>
    <w:rPr>
      <w:sz w:val="20"/>
      <w:szCs w:val="20"/>
    </w:rPr>
  </w:style>
  <w:style w:type="character" w:customStyle="1" w:styleId="CommentTextChar">
    <w:name w:val="Comment Text Char"/>
    <w:basedOn w:val="DefaultParagraphFont"/>
    <w:link w:val="CommentText"/>
    <w:uiPriority w:val="99"/>
    <w:semiHidden/>
    <w:rsid w:val="00A57891"/>
    <w:rPr>
      <w:sz w:val="20"/>
      <w:szCs w:val="20"/>
    </w:rPr>
  </w:style>
  <w:style w:type="paragraph" w:styleId="CommentSubject">
    <w:name w:val="annotation subject"/>
    <w:basedOn w:val="CommentText"/>
    <w:next w:val="CommentText"/>
    <w:link w:val="CommentSubjectChar"/>
    <w:uiPriority w:val="99"/>
    <w:semiHidden/>
    <w:unhideWhenUsed/>
    <w:rsid w:val="00A57891"/>
    <w:rPr>
      <w:b/>
      <w:bCs/>
    </w:rPr>
  </w:style>
  <w:style w:type="character" w:customStyle="1" w:styleId="CommentSubjectChar">
    <w:name w:val="Comment Subject Char"/>
    <w:basedOn w:val="CommentTextChar"/>
    <w:link w:val="CommentSubject"/>
    <w:uiPriority w:val="99"/>
    <w:semiHidden/>
    <w:rsid w:val="00A57891"/>
    <w:rPr>
      <w:b/>
      <w:bCs/>
      <w:sz w:val="20"/>
      <w:szCs w:val="20"/>
    </w:rPr>
  </w:style>
  <w:style w:type="paragraph" w:styleId="Revision">
    <w:name w:val="Revision"/>
    <w:hidden/>
    <w:uiPriority w:val="99"/>
    <w:semiHidden/>
    <w:rsid w:val="00E27F4C"/>
  </w:style>
  <w:style w:type="table" w:customStyle="1" w:styleId="TableGrid1">
    <w:name w:val="Table Grid1"/>
    <w:basedOn w:val="TableNormal"/>
    <w:next w:val="TableGrid"/>
    <w:uiPriority w:val="59"/>
    <w:rsid w:val="008B33C7"/>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148C5"/>
    <w:rPr>
      <w:color w:val="0000FF"/>
      <w:u w:val="single"/>
    </w:rPr>
  </w:style>
  <w:style w:type="character" w:styleId="PlaceholderText">
    <w:name w:val="Placeholder Text"/>
    <w:basedOn w:val="DefaultParagraphFont"/>
    <w:uiPriority w:val="99"/>
    <w:semiHidden/>
    <w:rsid w:val="005970D3"/>
    <w:rPr>
      <w:color w:val="808080"/>
    </w:rPr>
  </w:style>
  <w:style w:type="paragraph" w:styleId="Header">
    <w:name w:val="header"/>
    <w:basedOn w:val="Normal"/>
    <w:link w:val="HeaderChar"/>
    <w:uiPriority w:val="99"/>
    <w:unhideWhenUsed/>
    <w:rsid w:val="00FD29EF"/>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FD29EF"/>
    <w:rPr>
      <w:sz w:val="20"/>
      <w:szCs w:val="20"/>
    </w:rPr>
  </w:style>
  <w:style w:type="paragraph" w:styleId="Footer">
    <w:name w:val="footer"/>
    <w:basedOn w:val="Normal"/>
    <w:link w:val="FooterChar"/>
    <w:uiPriority w:val="99"/>
    <w:unhideWhenUsed/>
    <w:rsid w:val="00FD29EF"/>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FD29E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package" Target="embeddings/Microsoft_Excel_Worksheet1.xlsx"/><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244539-14C8-4BEB-897D-09343B4A4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3164</Words>
  <Characters>18039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Hong Kong Monetary Authority</Company>
  <LinksUpToDate>false</LinksUpToDate>
  <CharactersWithSpaces>21161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Bluhm, Marcel</dc:creator>
  <cp:lastModifiedBy>CHEUNG Ka-yi, Cathy</cp:lastModifiedBy>
  <cp:revision>2</cp:revision>
  <cp:lastPrinted>2019-02-04T06:37:00Z</cp:lastPrinted>
  <dcterms:created xsi:type="dcterms:W3CDTF">2019-11-28T02:46:00Z</dcterms:created>
  <dcterms:modified xsi:type="dcterms:W3CDTF">2019-11-28T02:46:00Z</dcterms:modified>
</cp:coreProperties>
</file>