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BFB" w:rsidRDefault="00170A6F" w:rsidP="00F65032">
      <w:pPr>
        <w:pStyle w:val="Heading1"/>
        <w:numPr>
          <w:ilvl w:val="0"/>
          <w:numId w:val="0"/>
        </w:numPr>
      </w:pPr>
      <w:r>
        <w:t>RESPONSE TO CONSULTATION</w:t>
      </w:r>
      <w:r w:rsidR="001E27FF">
        <w:t xml:space="preserve"> PAPER</w:t>
      </w:r>
    </w:p>
    <w:p w:rsidR="00D93A87" w:rsidRPr="00C61D79" w:rsidRDefault="00D93A87" w:rsidP="00F65032">
      <w:pPr>
        <w:pStyle w:val="BodyText1"/>
        <w:numPr>
          <w:ilvl w:val="0"/>
          <w:numId w:val="0"/>
        </w:numPr>
        <w:rPr>
          <w:b/>
          <w:color w:val="FF0000"/>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 (</w:t>
      </w:r>
      <w:proofErr w:type="spellStart"/>
      <w:r w:rsidRPr="00C61D79">
        <w:rPr>
          <w:b/>
          <w:color w:val="FF0000"/>
          <w:lang w:eastAsia="en-SG"/>
        </w:rPr>
        <w:t>i</w:t>
      </w:r>
      <w:proofErr w:type="spellEnd"/>
      <w:r w:rsidRPr="00C61D79">
        <w:rPr>
          <w:b/>
          <w:color w:val="FF0000"/>
          <w:lang w:eastAsia="en-SG"/>
        </w:rPr>
        <w:t xml:space="preserve">) </w:t>
      </w:r>
      <w:r>
        <w:rPr>
          <w:b/>
          <w:color w:val="FF0000"/>
          <w:lang w:eastAsia="en-SG"/>
        </w:rPr>
        <w:t>their</w:t>
      </w:r>
      <w:r w:rsidRPr="00C61D79">
        <w:rPr>
          <w:b/>
          <w:color w:val="FF0000"/>
          <w:lang w:eastAsia="en-SG"/>
        </w:rPr>
        <w:t xml:space="preserve"> whole submission or part of it, or (ii) </w:t>
      </w:r>
      <w:r>
        <w:rPr>
          <w:b/>
          <w:color w:val="FF0000"/>
          <w:lang w:eastAsia="en-SG"/>
        </w:rPr>
        <w:t>their</w:t>
      </w:r>
      <w:r w:rsidRPr="00C61D79">
        <w:rPr>
          <w:b/>
          <w:color w:val="FF0000"/>
          <w:lang w:eastAsia="en-SG"/>
        </w:rPr>
        <w:t xml:space="preserve"> identity, or 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In addition, MAS reserves the right not to publish any submission received where MAS considers it not in the public interest to do so, such as where the submission appears to be libellous or offensive.</w:t>
      </w:r>
    </w:p>
    <w:tbl>
      <w:tblPr>
        <w:tblStyle w:val="TableGrid"/>
        <w:tblW w:w="0" w:type="auto"/>
        <w:tblLook w:val="04A0" w:firstRow="1" w:lastRow="0" w:firstColumn="1" w:lastColumn="0" w:noHBand="0" w:noVBand="1"/>
      </w:tblPr>
      <w:tblGrid>
        <w:gridCol w:w="3189"/>
        <w:gridCol w:w="5470"/>
      </w:tblGrid>
      <w:tr w:rsidR="001E27FF" w:rsidTr="005D46F4">
        <w:tc>
          <w:tcPr>
            <w:tcW w:w="3227" w:type="dxa"/>
            <w:vAlign w:val="center"/>
          </w:tcPr>
          <w:p w:rsidR="001E27FF" w:rsidRPr="001E27FF" w:rsidRDefault="001E27FF" w:rsidP="00F65032">
            <w:pPr>
              <w:pStyle w:val="BodyText1"/>
              <w:numPr>
                <w:ilvl w:val="0"/>
                <w:numId w:val="0"/>
              </w:numPr>
              <w:jc w:val="left"/>
              <w:rPr>
                <w:b/>
              </w:rPr>
            </w:pPr>
            <w:r w:rsidRPr="001E27FF">
              <w:rPr>
                <w:b/>
              </w:rPr>
              <w:t>Consultation topic:</w:t>
            </w:r>
          </w:p>
        </w:tc>
        <w:tc>
          <w:tcPr>
            <w:tcW w:w="5658" w:type="dxa"/>
            <w:vAlign w:val="center"/>
          </w:tcPr>
          <w:p w:rsidR="005D46F4" w:rsidRDefault="00115516" w:rsidP="00F65032">
            <w:pPr>
              <w:pStyle w:val="BodyText1"/>
              <w:numPr>
                <w:ilvl w:val="0"/>
                <w:numId w:val="0"/>
              </w:numPr>
              <w:jc w:val="left"/>
            </w:pPr>
            <w:r>
              <w:t>Proposed E-payments User Protection Guidelines</w:t>
            </w:r>
          </w:p>
        </w:tc>
      </w:tr>
      <w:tr w:rsidR="00170A6F" w:rsidTr="005D46F4">
        <w:tc>
          <w:tcPr>
            <w:tcW w:w="3227" w:type="dxa"/>
            <w:vAlign w:val="center"/>
          </w:tcPr>
          <w:p w:rsidR="00170A6F" w:rsidRPr="00170A6F" w:rsidRDefault="00170A6F" w:rsidP="00F65032">
            <w:pPr>
              <w:pStyle w:val="BodyText1"/>
              <w:numPr>
                <w:ilvl w:val="0"/>
                <w:numId w:val="0"/>
              </w:numPr>
              <w:jc w:val="left"/>
              <w:rPr>
                <w:b/>
              </w:rPr>
            </w:pPr>
            <w:r w:rsidRPr="00170A6F">
              <w:rPr>
                <w:b/>
              </w:rPr>
              <w:t>Name</w:t>
            </w:r>
            <w:r w:rsidRPr="00170A6F">
              <w:rPr>
                <w:b/>
                <w:vertAlign w:val="superscript"/>
              </w:rPr>
              <w:t>1</w:t>
            </w:r>
            <w:r w:rsidRPr="00170A6F">
              <w:rPr>
                <w:b/>
              </w:rPr>
              <w:t xml:space="preserve">/Organisation: </w:t>
            </w:r>
          </w:p>
          <w:p w:rsidR="00170A6F" w:rsidRPr="00170A6F" w:rsidRDefault="00170A6F" w:rsidP="00F65032">
            <w:pPr>
              <w:pStyle w:val="BodyText1"/>
              <w:numPr>
                <w:ilvl w:val="0"/>
                <w:numId w:val="0"/>
              </w:numPr>
              <w:jc w:val="left"/>
            </w:pPr>
            <w:r w:rsidRPr="00170A6F">
              <w:rPr>
                <w:sz w:val="20"/>
                <w:vertAlign w:val="superscript"/>
              </w:rPr>
              <w:t>1</w:t>
            </w:r>
            <w:r w:rsidRPr="00170A6F">
              <w:rPr>
                <w:sz w:val="20"/>
              </w:rPr>
              <w:t>if responding in a personal capacity</w:t>
            </w:r>
          </w:p>
        </w:tc>
        <w:tc>
          <w:tcPr>
            <w:tcW w:w="5658" w:type="dxa"/>
            <w:vAlign w:val="center"/>
          </w:tcPr>
          <w:p w:rsidR="00170A6F" w:rsidRDefault="00170A6F" w:rsidP="00F65032">
            <w:pPr>
              <w:pStyle w:val="BodyText1"/>
              <w:numPr>
                <w:ilvl w:val="0"/>
                <w:numId w:val="0"/>
              </w:numPr>
              <w:jc w:val="left"/>
            </w:pPr>
          </w:p>
        </w:tc>
      </w:tr>
      <w:tr w:rsidR="001E27FF" w:rsidTr="005D46F4">
        <w:tc>
          <w:tcPr>
            <w:tcW w:w="3227" w:type="dxa"/>
            <w:vAlign w:val="center"/>
          </w:tcPr>
          <w:p w:rsidR="001E27FF" w:rsidRDefault="001E27FF" w:rsidP="00F65032">
            <w:pPr>
              <w:pStyle w:val="BodyText1"/>
              <w:numPr>
                <w:ilvl w:val="0"/>
                <w:numId w:val="0"/>
              </w:numPr>
              <w:jc w:val="left"/>
              <w:rPr>
                <w:b/>
              </w:rPr>
            </w:pPr>
            <w:r>
              <w:rPr>
                <w:b/>
              </w:rPr>
              <w:t>Conta</w:t>
            </w:r>
            <w:r w:rsidR="007214F1">
              <w:rPr>
                <w:b/>
              </w:rPr>
              <w:t>ct number for any clarification</w:t>
            </w:r>
            <w:r>
              <w:rPr>
                <w:b/>
              </w:rPr>
              <w:t>:</w:t>
            </w:r>
          </w:p>
        </w:tc>
        <w:tc>
          <w:tcPr>
            <w:tcW w:w="5658" w:type="dxa"/>
            <w:vAlign w:val="center"/>
          </w:tcPr>
          <w:p w:rsidR="001E27FF" w:rsidRDefault="001E27FF" w:rsidP="00F65032">
            <w:pPr>
              <w:pStyle w:val="BodyText1"/>
              <w:numPr>
                <w:ilvl w:val="0"/>
                <w:numId w:val="0"/>
              </w:numPr>
              <w:jc w:val="left"/>
            </w:pPr>
          </w:p>
        </w:tc>
      </w:tr>
      <w:tr w:rsidR="00085A73" w:rsidTr="005D46F4">
        <w:tc>
          <w:tcPr>
            <w:tcW w:w="3227" w:type="dxa"/>
            <w:vAlign w:val="center"/>
          </w:tcPr>
          <w:p w:rsidR="00085A73" w:rsidRPr="00170A6F" w:rsidRDefault="00085A73" w:rsidP="00F65032">
            <w:pPr>
              <w:pStyle w:val="BodyText1"/>
              <w:numPr>
                <w:ilvl w:val="0"/>
                <w:numId w:val="0"/>
              </w:numPr>
              <w:jc w:val="left"/>
              <w:rPr>
                <w:b/>
              </w:rPr>
            </w:pPr>
            <w:r>
              <w:rPr>
                <w:b/>
              </w:rPr>
              <w:t>Email address</w:t>
            </w:r>
            <w:r w:rsidR="007214F1">
              <w:rPr>
                <w:b/>
              </w:rPr>
              <w:t xml:space="preserve"> for any clarification</w:t>
            </w:r>
            <w:r>
              <w:rPr>
                <w:b/>
              </w:rPr>
              <w:t>:</w:t>
            </w:r>
          </w:p>
        </w:tc>
        <w:tc>
          <w:tcPr>
            <w:tcW w:w="5658" w:type="dxa"/>
            <w:vAlign w:val="center"/>
          </w:tcPr>
          <w:p w:rsidR="00085A73" w:rsidRDefault="00085A73" w:rsidP="00F65032">
            <w:pPr>
              <w:pStyle w:val="BodyText1"/>
              <w:numPr>
                <w:ilvl w:val="0"/>
                <w:numId w:val="0"/>
              </w:numPr>
              <w:jc w:val="left"/>
            </w:pPr>
          </w:p>
        </w:tc>
      </w:tr>
      <w:tr w:rsidR="00170A6F" w:rsidTr="00085A73">
        <w:tc>
          <w:tcPr>
            <w:tcW w:w="8885" w:type="dxa"/>
            <w:gridSpan w:val="2"/>
            <w:shd w:val="clear" w:color="auto" w:fill="D9D9D9" w:themeFill="background1" w:themeFillShade="D9"/>
          </w:tcPr>
          <w:p w:rsidR="00170A6F" w:rsidRPr="00F65032" w:rsidRDefault="00170A6F" w:rsidP="00F65032">
            <w:pPr>
              <w:jc w:val="center"/>
              <w:rPr>
                <w:b/>
                <w:sz w:val="24"/>
                <w:lang w:val="en-GB"/>
              </w:rPr>
            </w:pPr>
            <w:r w:rsidRPr="00F65032">
              <w:rPr>
                <w:b/>
                <w:sz w:val="24"/>
              </w:rPr>
              <w:t>Confidentiality</w:t>
            </w:r>
          </w:p>
        </w:tc>
      </w:tr>
      <w:tr w:rsidR="00170A6F" w:rsidTr="00170A6F">
        <w:tc>
          <w:tcPr>
            <w:tcW w:w="3227" w:type="dxa"/>
          </w:tcPr>
          <w:p w:rsidR="00170A6F" w:rsidRDefault="00170A6F" w:rsidP="00F65032">
            <w:pPr>
              <w:pStyle w:val="BodyText1"/>
              <w:numPr>
                <w:ilvl w:val="0"/>
                <w:numId w:val="0"/>
              </w:numPr>
            </w:pPr>
            <w:r>
              <w:t xml:space="preserve">I wish to keep </w:t>
            </w:r>
            <w:r w:rsidR="00261144">
              <w:t>the following confidential</w:t>
            </w:r>
            <w:r>
              <w:t>:</w:t>
            </w:r>
            <w:r w:rsidR="00261144">
              <w:t xml:space="preserve"> </w:t>
            </w:r>
          </w:p>
        </w:tc>
        <w:tc>
          <w:tcPr>
            <w:tcW w:w="5658" w:type="dxa"/>
          </w:tcPr>
          <w:p w:rsidR="00170A6F" w:rsidRPr="00F65032" w:rsidRDefault="00170A6F" w:rsidP="00F65032">
            <w:pPr>
              <w:rPr>
                <w:lang w:val="en-GB"/>
              </w:rPr>
            </w:pPr>
          </w:p>
          <w:p w:rsidR="00085A73" w:rsidRDefault="00085A73" w:rsidP="00F65032">
            <w:pPr>
              <w:rPr>
                <w:lang w:val="en-GB"/>
              </w:rPr>
            </w:pPr>
          </w:p>
          <w:p w:rsidR="00085A73" w:rsidRDefault="00085A73" w:rsidP="00F65032">
            <w:pPr>
              <w:rPr>
                <w:lang w:val="en-GB"/>
              </w:rPr>
            </w:pPr>
          </w:p>
          <w:p w:rsidR="00085A73" w:rsidRDefault="00085A73" w:rsidP="00F65032">
            <w:pPr>
              <w:rPr>
                <w:lang w:val="en-GB"/>
              </w:rPr>
            </w:pPr>
          </w:p>
          <w:p w:rsidR="001E27FF" w:rsidRDefault="001E27FF" w:rsidP="00F65032">
            <w:pPr>
              <w:rPr>
                <w:i/>
                <w:sz w:val="20"/>
                <w:lang w:val="en-GB"/>
              </w:rPr>
            </w:pPr>
          </w:p>
          <w:p w:rsidR="00085A73" w:rsidRPr="00F65032" w:rsidRDefault="00085A73" w:rsidP="00F65032">
            <w:pPr>
              <w:rPr>
                <w:i/>
                <w:lang w:val="en-GB"/>
              </w:rPr>
            </w:pPr>
            <w:r w:rsidRPr="00F65032">
              <w:rPr>
                <w:i/>
                <w:sz w:val="20"/>
                <w:lang w:val="en-GB"/>
              </w:rPr>
              <w:t xml:space="preserve">(Please </w:t>
            </w:r>
            <w:r w:rsidR="007214F1">
              <w:rPr>
                <w:i/>
                <w:sz w:val="20"/>
                <w:lang w:val="en-GB"/>
              </w:rPr>
              <w:t>indicate any part</w:t>
            </w:r>
            <w:r w:rsidR="001E27FF" w:rsidRPr="00F65032">
              <w:rPr>
                <w:i/>
                <w:sz w:val="20"/>
                <w:lang w:val="en-GB"/>
              </w:rPr>
              <w:t xml:space="preserve"> of your submission you would like to be kept confidential, or if you would like your identity to be kept confidential. Your contact information will not be published.</w:t>
            </w:r>
            <w:r w:rsidRPr="00F65032">
              <w:rPr>
                <w:i/>
                <w:sz w:val="20"/>
                <w:lang w:val="en-GB"/>
              </w:rPr>
              <w:t>)</w:t>
            </w:r>
          </w:p>
        </w:tc>
      </w:tr>
    </w:tbl>
    <w:p w:rsidR="00170BFB" w:rsidRDefault="00170BFB" w:rsidP="00F65032">
      <w:pPr>
        <w:pStyle w:val="BodyText1"/>
        <w:numPr>
          <w:ilvl w:val="0"/>
          <w:numId w:val="0"/>
        </w:numPr>
      </w:pPr>
    </w:p>
    <w:p w:rsidR="00E52202" w:rsidRPr="00F65032" w:rsidRDefault="00E52202" w:rsidP="00F65032">
      <w:pPr>
        <w:rPr>
          <w:b/>
          <w:sz w:val="24"/>
          <w:lang w:val="en-GB"/>
        </w:rPr>
      </w:pPr>
      <w:r w:rsidRPr="00F65032">
        <w:rPr>
          <w:b/>
        </w:rPr>
        <w:br w:type="page"/>
      </w:r>
    </w:p>
    <w:p w:rsidR="00085A73" w:rsidRDefault="00085A73" w:rsidP="00F65032">
      <w:pPr>
        <w:pStyle w:val="BodyText1"/>
        <w:numPr>
          <w:ilvl w:val="0"/>
          <w:numId w:val="0"/>
        </w:numPr>
        <w:rPr>
          <w:b/>
        </w:rPr>
      </w:pPr>
      <w:r w:rsidRPr="00085A73">
        <w:rPr>
          <w:b/>
        </w:rPr>
        <w:lastRenderedPageBreak/>
        <w:t>General comments:</w:t>
      </w:r>
    </w:p>
    <w:p w:rsidR="00FC0B2C" w:rsidRDefault="00FC0B2C" w:rsidP="00F65032">
      <w:pPr>
        <w:pStyle w:val="BodyText1"/>
        <w:numPr>
          <w:ilvl w:val="0"/>
          <w:numId w:val="0"/>
        </w:numPr>
        <w:rPr>
          <w:b/>
        </w:rPr>
      </w:pPr>
    </w:p>
    <w:p w:rsidR="00FC0B2C" w:rsidRDefault="00FC0B2C" w:rsidP="00F65032">
      <w:pPr>
        <w:pStyle w:val="BodyText1"/>
        <w:numPr>
          <w:ilvl w:val="0"/>
          <w:numId w:val="0"/>
        </w:numPr>
        <w:rPr>
          <w:b/>
        </w:rPr>
      </w:pPr>
    </w:p>
    <w:p w:rsidR="007214F1" w:rsidRDefault="00FC0B2C" w:rsidP="00F65032">
      <w:pPr>
        <w:pStyle w:val="BodyText1"/>
        <w:numPr>
          <w:ilvl w:val="0"/>
          <w:numId w:val="0"/>
        </w:numPr>
        <w:rPr>
          <w:b/>
          <w:lang w:val="en-SG"/>
        </w:rPr>
      </w:pPr>
      <w:r w:rsidRPr="00FC0B2C">
        <w:rPr>
          <w:b/>
          <w:lang w:val="en-SG"/>
        </w:rPr>
        <w:t xml:space="preserve">Question 1. </w:t>
      </w:r>
      <w:bookmarkStart w:id="0" w:name="_Toc497141185"/>
      <w:r w:rsidR="008F56E5">
        <w:rPr>
          <w:b/>
          <w:u w:val="single"/>
          <w:lang w:val="en-SG"/>
        </w:rPr>
        <w:t>Scope of Application</w:t>
      </w:r>
      <w:r w:rsidRPr="00FC0B2C">
        <w:rPr>
          <w:b/>
          <w:lang w:val="en-SG"/>
        </w:rPr>
        <w:t xml:space="preserve"> </w:t>
      </w:r>
    </w:p>
    <w:p w:rsidR="00FC0B2C" w:rsidRPr="00FC0B2C" w:rsidRDefault="008F56E5" w:rsidP="00F65032">
      <w:pPr>
        <w:pStyle w:val="BodyText1"/>
        <w:numPr>
          <w:ilvl w:val="0"/>
          <w:numId w:val="0"/>
        </w:numPr>
        <w:rPr>
          <w:b/>
          <w:lang w:val="en-SG"/>
        </w:rPr>
      </w:pPr>
      <w:r w:rsidRPr="008F56E5">
        <w:rPr>
          <w:rFonts w:cstheme="minorHAnsi"/>
          <w:b/>
          <w:szCs w:val="24"/>
        </w:rPr>
        <w:t>MAS seeks comments on the scope of payment transactions, protected accounts, account users, and responsible FIs selected for protection under these Guidelines, and whether other types of payment transactions, payment accounts, users of payment services, and FIs should also be within the ambit of these Guidelines. MAS also seeks views on whether this set of Guidelines achieves the intended effect of increasing consumer confidence in the use of e-payments and encouraging the wider adoption by the public of e-payments in Singapore</w:t>
      </w:r>
      <w:r w:rsidRPr="00541C9F">
        <w:rPr>
          <w:rFonts w:cstheme="minorHAnsi"/>
          <w:szCs w:val="24"/>
        </w:rPr>
        <w:t>.</w:t>
      </w:r>
      <w:bookmarkEnd w:id="0"/>
    </w:p>
    <w:p w:rsidR="00FC0B2C" w:rsidRDefault="00FC0B2C" w:rsidP="00F65032">
      <w:pPr>
        <w:pStyle w:val="BodyText1"/>
        <w:numPr>
          <w:ilvl w:val="0"/>
          <w:numId w:val="0"/>
        </w:numPr>
      </w:pPr>
      <w:r>
        <w:t>&lt;Please fill in your response to each question in the blank space below the question.&gt;</w:t>
      </w:r>
    </w:p>
    <w:p w:rsidR="00FC0B2C" w:rsidRDefault="00FC0B2C"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Question 2.</w:t>
      </w:r>
      <w:r w:rsidRPr="00F65032">
        <w:rPr>
          <w:b/>
        </w:rPr>
        <w:tab/>
      </w:r>
      <w:r w:rsidR="008F56E5">
        <w:rPr>
          <w:b/>
          <w:u w:val="single"/>
        </w:rPr>
        <w:t>Definitions</w:t>
      </w:r>
    </w:p>
    <w:p w:rsidR="00F65032" w:rsidRPr="008F56E5" w:rsidRDefault="008F56E5" w:rsidP="00F65032">
      <w:pPr>
        <w:pStyle w:val="BodyText1"/>
        <w:numPr>
          <w:ilvl w:val="0"/>
          <w:numId w:val="0"/>
        </w:numPr>
        <w:rPr>
          <w:b/>
        </w:rPr>
      </w:pPr>
      <w:r w:rsidRPr="008F56E5">
        <w:rPr>
          <w:rFonts w:cstheme="minorHAnsi"/>
          <w:b/>
          <w:szCs w:val="24"/>
        </w:rPr>
        <w:t>MAS seeks comments on the proposed definitions to be used in these Guidelines, in particular, whether they are sufficiently clear and suitable. If you propose a different definition for the same term that is from another legislation or paper, please cite the full title of the legislation or paper and the specific provision in that legislation or paper where the term is defined. Please also let us have your views on whether these guidelines should also cover accounts that are not protected accounts but are linked to protected accounts</w:t>
      </w:r>
      <w:r w:rsidRPr="008F56E5">
        <w:rPr>
          <w:rStyle w:val="FootnoteReference"/>
          <w:rFonts w:cstheme="minorHAnsi"/>
          <w:b/>
          <w:szCs w:val="24"/>
        </w:rPr>
        <w:footnoteReference w:id="1"/>
      </w:r>
      <w:r w:rsidRPr="008F56E5">
        <w:rPr>
          <w:rFonts w:cstheme="minorHAnsi"/>
          <w:b/>
          <w:szCs w:val="24"/>
        </w:rPr>
        <w:t>, and if so, in what way.</w:t>
      </w:r>
    </w:p>
    <w:p w:rsidR="00F65032" w:rsidRDefault="00F65032" w:rsidP="00F65032">
      <w:pPr>
        <w:pStyle w:val="BodyText1"/>
        <w:numPr>
          <w:ilvl w:val="0"/>
          <w:numId w:val="0"/>
        </w:numPr>
        <w:rPr>
          <w:b/>
        </w:rPr>
      </w:pPr>
    </w:p>
    <w:p w:rsidR="00CD5A67" w:rsidRDefault="00CD5A67" w:rsidP="00F65032">
      <w:pPr>
        <w:pStyle w:val="BodyText1"/>
        <w:numPr>
          <w:ilvl w:val="0"/>
          <w:numId w:val="0"/>
        </w:numPr>
        <w:rPr>
          <w:b/>
        </w:rPr>
      </w:pPr>
    </w:p>
    <w:p w:rsidR="00CD5A67" w:rsidRDefault="00CD5A67">
      <w:pPr>
        <w:rPr>
          <w:b/>
          <w:sz w:val="24"/>
          <w:lang w:val="en-GB"/>
        </w:rPr>
      </w:pPr>
      <w:r>
        <w:rPr>
          <w:b/>
        </w:rPr>
        <w:br w:type="page"/>
      </w:r>
    </w:p>
    <w:p w:rsidR="007214F1" w:rsidRDefault="00F65032" w:rsidP="00F65032">
      <w:pPr>
        <w:pStyle w:val="BodyText1"/>
        <w:numPr>
          <w:ilvl w:val="0"/>
          <w:numId w:val="0"/>
        </w:numPr>
        <w:rPr>
          <w:b/>
        </w:rPr>
      </w:pPr>
      <w:r w:rsidRPr="00F65032">
        <w:rPr>
          <w:b/>
        </w:rPr>
        <w:lastRenderedPageBreak/>
        <w:t>Question 3.</w:t>
      </w:r>
      <w:r w:rsidRPr="00F65032">
        <w:rPr>
          <w:b/>
        </w:rPr>
        <w:tab/>
      </w:r>
      <w:r w:rsidR="008F56E5" w:rsidRPr="008F56E5">
        <w:rPr>
          <w:b/>
          <w:u w:val="single"/>
        </w:rPr>
        <w:t>Where the account holder is not liable for any loss</w:t>
      </w:r>
    </w:p>
    <w:p w:rsidR="00F65032" w:rsidRPr="008F56E5" w:rsidRDefault="008F56E5" w:rsidP="00F65032">
      <w:pPr>
        <w:pStyle w:val="BodyText1"/>
        <w:numPr>
          <w:ilvl w:val="0"/>
          <w:numId w:val="0"/>
        </w:numPr>
        <w:rPr>
          <w:rFonts w:cstheme="minorHAnsi"/>
          <w:b/>
          <w:szCs w:val="24"/>
        </w:rPr>
      </w:pPr>
      <w:r w:rsidRPr="008F56E5">
        <w:rPr>
          <w:rFonts w:cstheme="minorHAnsi"/>
          <w:b/>
          <w:szCs w:val="24"/>
        </w:rPr>
        <w:t>MAS seeks comments on the scope of the “no liability” situations, and whether there are more situations that the Guidelines should cater for under the “no liability” category.</w:t>
      </w:r>
      <w:r w:rsidR="00F65032" w:rsidRPr="008F56E5">
        <w:rPr>
          <w:rFonts w:cstheme="minorHAnsi"/>
          <w:b/>
          <w:szCs w:val="24"/>
        </w:rPr>
        <w:tab/>
      </w:r>
    </w:p>
    <w:p w:rsidR="00F65032" w:rsidRDefault="00F65032" w:rsidP="00F65032">
      <w:pPr>
        <w:pStyle w:val="BodyText1"/>
        <w:numPr>
          <w:ilvl w:val="0"/>
          <w:numId w:val="0"/>
        </w:numPr>
        <w:rPr>
          <w:b/>
        </w:rPr>
      </w:pPr>
    </w:p>
    <w:p w:rsidR="00CD5A67" w:rsidRPr="00F65032" w:rsidRDefault="00CD5A67"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Quest</w:t>
      </w:r>
      <w:r w:rsidR="007214F1">
        <w:rPr>
          <w:b/>
        </w:rPr>
        <w:t>ion 4.</w:t>
      </w:r>
      <w:r w:rsidR="007214F1">
        <w:rPr>
          <w:b/>
        </w:rPr>
        <w:tab/>
      </w:r>
      <w:r w:rsidR="008F56E5" w:rsidRPr="008F56E5">
        <w:rPr>
          <w:rFonts w:cstheme="minorHAnsi"/>
          <w:b/>
          <w:szCs w:val="24"/>
          <w:u w:val="single"/>
        </w:rPr>
        <w:t>Where the account holder’s liability is capped</w:t>
      </w:r>
    </w:p>
    <w:p w:rsidR="00F65032" w:rsidRDefault="008F56E5" w:rsidP="00F65032">
      <w:pPr>
        <w:pStyle w:val="BodyText1"/>
        <w:numPr>
          <w:ilvl w:val="0"/>
          <w:numId w:val="0"/>
        </w:numPr>
        <w:rPr>
          <w:b/>
        </w:rPr>
      </w:pPr>
      <w:r w:rsidRPr="008F56E5">
        <w:rPr>
          <w:rFonts w:cstheme="minorHAnsi"/>
          <w:b/>
          <w:szCs w:val="24"/>
        </w:rPr>
        <w:t xml:space="preserve">MAS seeks comments on the scope of the “limited liability” situations, and whether there are more situations that the Guidelines should cater for under this category. MAS also seeks views on whether the S$100 liability cap is </w:t>
      </w:r>
      <w:r>
        <w:rPr>
          <w:rFonts w:cstheme="minorHAnsi"/>
          <w:b/>
          <w:szCs w:val="24"/>
        </w:rPr>
        <w:t>appropriate.</w:t>
      </w:r>
      <w:r w:rsidR="00F65032">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Question 5.</w:t>
      </w:r>
      <w:r w:rsidRPr="00F65032">
        <w:rPr>
          <w:b/>
        </w:rPr>
        <w:tab/>
      </w:r>
      <w:r w:rsidR="008F56E5" w:rsidRPr="008F56E5">
        <w:rPr>
          <w:rFonts w:cstheme="minorHAnsi"/>
          <w:b/>
          <w:szCs w:val="24"/>
          <w:u w:val="single"/>
        </w:rPr>
        <w:t>Where the account holder is liable for actual loss</w:t>
      </w:r>
    </w:p>
    <w:p w:rsidR="00F65032" w:rsidRPr="008F56E5" w:rsidRDefault="008F56E5" w:rsidP="00F65032">
      <w:pPr>
        <w:pStyle w:val="BodyText1"/>
        <w:numPr>
          <w:ilvl w:val="0"/>
          <w:numId w:val="0"/>
        </w:numPr>
        <w:rPr>
          <w:b/>
        </w:rPr>
      </w:pPr>
      <w:r w:rsidRPr="008F56E5">
        <w:rPr>
          <w:rFonts w:cstheme="minorHAnsi"/>
          <w:b/>
          <w:szCs w:val="24"/>
        </w:rPr>
        <w:t>MAS seeks comments on the scope of the “actual loss” situations, and whether there are more situations that the Guidelines should cater for under the “actual loss” category, given the intent that these Guidelines should encourage the use of e-</w:t>
      </w:r>
      <w:proofErr w:type="gramStart"/>
      <w:r w:rsidRPr="008F56E5">
        <w:rPr>
          <w:rFonts w:cstheme="minorHAnsi"/>
          <w:b/>
          <w:szCs w:val="24"/>
        </w:rPr>
        <w:t>payments</w:t>
      </w:r>
      <w:proofErr w:type="gramEnd"/>
      <w:r w:rsidR="00F65032" w:rsidRPr="008F56E5">
        <w:rPr>
          <w:b/>
        </w:rPr>
        <w:t>.</w:t>
      </w:r>
      <w:r w:rsidR="00F65032" w:rsidRPr="008F56E5">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Question 6.</w:t>
      </w:r>
      <w:r w:rsidRPr="00F65032">
        <w:rPr>
          <w:b/>
        </w:rPr>
        <w:tab/>
      </w:r>
      <w:r w:rsidR="008F56E5" w:rsidRPr="008F56E5">
        <w:rPr>
          <w:rFonts w:cstheme="minorHAnsi"/>
          <w:b/>
          <w:szCs w:val="24"/>
          <w:u w:val="single"/>
        </w:rPr>
        <w:t>Liability for losses arising from unauthorised transactions</w:t>
      </w:r>
    </w:p>
    <w:p w:rsidR="00F65032" w:rsidRPr="008F56E5" w:rsidRDefault="008F56E5" w:rsidP="00F65032">
      <w:pPr>
        <w:pStyle w:val="BodyText1"/>
        <w:numPr>
          <w:ilvl w:val="0"/>
          <w:numId w:val="0"/>
        </w:numPr>
        <w:rPr>
          <w:rFonts w:cstheme="minorHAnsi"/>
          <w:b/>
          <w:szCs w:val="24"/>
        </w:rPr>
      </w:pPr>
      <w:r w:rsidRPr="008F56E5">
        <w:rPr>
          <w:rFonts w:cstheme="minorHAnsi"/>
          <w:b/>
          <w:szCs w:val="24"/>
        </w:rPr>
        <w:t>MAS seeks comments on the overall scope of this Part of the Guidelines and whether there are other significant factors that MAS should consider for this Part.  MAS also seeks comments on whether it would be appropriate for the responsible FI and account holder to go through a dispute resolution process agreed between the responsible FI and the account holder in the unlikely event that paragraphs 4.1, 4.3 and 4.5 do not apply.</w:t>
      </w:r>
    </w:p>
    <w:p w:rsidR="00CD5A67" w:rsidRDefault="00CD5A67" w:rsidP="00F65032">
      <w:pPr>
        <w:pStyle w:val="BodyText1"/>
        <w:numPr>
          <w:ilvl w:val="0"/>
          <w:numId w:val="0"/>
        </w:numPr>
        <w:rPr>
          <w:b/>
        </w:rPr>
      </w:pPr>
    </w:p>
    <w:p w:rsidR="00CD5A67" w:rsidRDefault="00CD5A67" w:rsidP="00F65032">
      <w:pPr>
        <w:pStyle w:val="BodyText1"/>
        <w:numPr>
          <w:ilvl w:val="0"/>
          <w:numId w:val="0"/>
        </w:numPr>
        <w:rPr>
          <w:b/>
        </w:rPr>
      </w:pPr>
    </w:p>
    <w:p w:rsidR="00CD5A67" w:rsidRDefault="00CD5A67">
      <w:pPr>
        <w:rPr>
          <w:b/>
          <w:sz w:val="24"/>
          <w:lang w:val="en-GB"/>
        </w:rPr>
      </w:pPr>
      <w:r>
        <w:rPr>
          <w:b/>
        </w:rPr>
        <w:br w:type="page"/>
      </w:r>
    </w:p>
    <w:p w:rsidR="007214F1" w:rsidRDefault="00F65032" w:rsidP="00F65032">
      <w:pPr>
        <w:pStyle w:val="BodyText1"/>
        <w:numPr>
          <w:ilvl w:val="0"/>
          <w:numId w:val="0"/>
        </w:numPr>
        <w:rPr>
          <w:b/>
        </w:rPr>
      </w:pPr>
      <w:r w:rsidRPr="00F65032">
        <w:rPr>
          <w:b/>
        </w:rPr>
        <w:lastRenderedPageBreak/>
        <w:t>Question 7.</w:t>
      </w:r>
      <w:r w:rsidRPr="00F65032">
        <w:rPr>
          <w:b/>
        </w:rPr>
        <w:tab/>
      </w:r>
      <w:r w:rsidR="008F56E5" w:rsidRPr="00B22063">
        <w:rPr>
          <w:rFonts w:cstheme="minorHAnsi"/>
          <w:b/>
          <w:szCs w:val="24"/>
          <w:u w:val="single"/>
        </w:rPr>
        <w:t>Reporting duties of the account holder</w:t>
      </w:r>
    </w:p>
    <w:p w:rsidR="00F65032" w:rsidRPr="008F56E5" w:rsidRDefault="008F56E5" w:rsidP="00F65032">
      <w:pPr>
        <w:pStyle w:val="BodyText1"/>
        <w:numPr>
          <w:ilvl w:val="0"/>
          <w:numId w:val="0"/>
        </w:numPr>
        <w:rPr>
          <w:rFonts w:cstheme="minorHAnsi"/>
          <w:b/>
          <w:szCs w:val="24"/>
        </w:rPr>
      </w:pPr>
      <w:r w:rsidRPr="008F56E5">
        <w:rPr>
          <w:rFonts w:cstheme="minorHAnsi"/>
          <w:b/>
          <w:szCs w:val="24"/>
        </w:rPr>
        <w:t>MAS seeks comments on the proposed reporting duties of the account holder. In particular, we are interested to know if the reporting duties are sufficient from the point of view of the responsible FI, or if any duty is too onerous for the account holder to take on. We seek views on the respective deadlines proposed in this Part and if your view is that the deadline should be different, please explain in detail with data to support such arguments if possible.  We are also interested to hear from you on whether the account holder should report by the next calendar day instead of the next business day, and whether your operations are ready to support receipt of reports every calendar day. If the next business day is a preferable deadline, please let us have your preferred definition of “business day”</w:t>
      </w:r>
      <w:r>
        <w:rPr>
          <w:rFonts w:cstheme="minorHAnsi"/>
          <w:b/>
          <w:szCs w:val="24"/>
        </w:rPr>
        <w:t>.</w:t>
      </w:r>
    </w:p>
    <w:p w:rsidR="00F65032" w:rsidRDefault="00F65032" w:rsidP="00F65032">
      <w:pPr>
        <w:pStyle w:val="BodyText1"/>
        <w:numPr>
          <w:ilvl w:val="0"/>
          <w:numId w:val="0"/>
        </w:numPr>
        <w:rPr>
          <w:b/>
        </w:rPr>
      </w:pPr>
    </w:p>
    <w:p w:rsidR="00CD5A67" w:rsidRPr="00F65032" w:rsidRDefault="00CD5A67" w:rsidP="00F65032">
      <w:pPr>
        <w:pStyle w:val="BodyText1"/>
        <w:numPr>
          <w:ilvl w:val="0"/>
          <w:numId w:val="0"/>
        </w:numPr>
        <w:rPr>
          <w:b/>
        </w:rPr>
      </w:pPr>
    </w:p>
    <w:p w:rsidR="007214F1" w:rsidRDefault="00F65032" w:rsidP="00F65032">
      <w:pPr>
        <w:pStyle w:val="BodyText1"/>
        <w:numPr>
          <w:ilvl w:val="0"/>
          <w:numId w:val="0"/>
        </w:numPr>
        <w:rPr>
          <w:b/>
        </w:rPr>
      </w:pPr>
      <w:r w:rsidRPr="00F65032">
        <w:rPr>
          <w:b/>
        </w:rPr>
        <w:t>Q</w:t>
      </w:r>
      <w:r w:rsidR="007214F1">
        <w:rPr>
          <w:b/>
        </w:rPr>
        <w:t>uestion 8.</w:t>
      </w:r>
      <w:r w:rsidR="007214F1">
        <w:rPr>
          <w:b/>
        </w:rPr>
        <w:tab/>
      </w:r>
      <w:r w:rsidR="008F56E5" w:rsidRPr="00B22063">
        <w:rPr>
          <w:rFonts w:cstheme="minorHAnsi"/>
          <w:b/>
          <w:szCs w:val="24"/>
          <w:u w:val="single"/>
        </w:rPr>
        <w:t>Duty to protect acce</w:t>
      </w:r>
      <w:r w:rsidR="008F56E5" w:rsidRPr="00B22063">
        <w:rPr>
          <w:rFonts w:cstheme="minorHAnsi"/>
          <w:b/>
          <w:szCs w:val="24"/>
          <w:u w:val="single"/>
        </w:rPr>
        <w:t>ss codes and protected accounts</w:t>
      </w:r>
    </w:p>
    <w:p w:rsidR="00F65032" w:rsidRDefault="00F65032" w:rsidP="00F65032">
      <w:pPr>
        <w:pStyle w:val="BodyText1"/>
        <w:numPr>
          <w:ilvl w:val="0"/>
          <w:numId w:val="0"/>
        </w:numPr>
        <w:rPr>
          <w:b/>
        </w:rPr>
      </w:pPr>
      <w:r w:rsidRPr="00F65032">
        <w:rPr>
          <w:b/>
        </w:rPr>
        <w:t>MAS seeks comments on the other proposed excluded activities, in particular whether the description of the activities is sufficiently clear and whether more activities should be excluded. Please provide clear reasons to substantiate your comments on other activities that in your view should be excluded. Where referring to another jurisdiction’s legislation, please provide us with the full name of the legislation a</w:t>
      </w:r>
      <w:r>
        <w:rPr>
          <w:b/>
        </w:rPr>
        <w:t>nd specific provision number.</w:t>
      </w:r>
      <w:r>
        <w:rPr>
          <w:b/>
        </w:rPr>
        <w:tab/>
      </w:r>
    </w:p>
    <w:p w:rsidR="00F65032" w:rsidRDefault="00F65032" w:rsidP="00F65032">
      <w:pPr>
        <w:pStyle w:val="BodyText1"/>
        <w:numPr>
          <w:ilvl w:val="0"/>
          <w:numId w:val="0"/>
        </w:numPr>
        <w:rPr>
          <w:b/>
        </w:rPr>
      </w:pPr>
    </w:p>
    <w:p w:rsidR="00F65032" w:rsidRPr="00F65032" w:rsidRDefault="00F65032" w:rsidP="00F65032">
      <w:pPr>
        <w:pStyle w:val="BodyText1"/>
        <w:numPr>
          <w:ilvl w:val="0"/>
          <w:numId w:val="0"/>
        </w:numPr>
        <w:rPr>
          <w:b/>
        </w:rPr>
      </w:pPr>
    </w:p>
    <w:p w:rsidR="00F65032" w:rsidRDefault="00F65032" w:rsidP="008F56E5">
      <w:pPr>
        <w:pStyle w:val="BodyText1"/>
        <w:numPr>
          <w:ilvl w:val="0"/>
          <w:numId w:val="0"/>
        </w:numPr>
        <w:rPr>
          <w:b/>
        </w:rPr>
      </w:pPr>
      <w:r w:rsidRPr="00F65032">
        <w:rPr>
          <w:b/>
        </w:rPr>
        <w:t>Questi</w:t>
      </w:r>
      <w:r w:rsidR="007214F1">
        <w:rPr>
          <w:b/>
        </w:rPr>
        <w:t>on 9.</w:t>
      </w:r>
      <w:r w:rsidR="007214F1">
        <w:rPr>
          <w:b/>
        </w:rPr>
        <w:tab/>
      </w:r>
      <w:r w:rsidR="008F56E5" w:rsidRPr="00B22063">
        <w:rPr>
          <w:rFonts w:cstheme="minorHAnsi"/>
          <w:b/>
          <w:szCs w:val="24"/>
          <w:u w:val="single"/>
        </w:rPr>
        <w:t>Information and facilities provided by the responsible FI</w:t>
      </w:r>
    </w:p>
    <w:p w:rsidR="008F56E5" w:rsidRPr="008F56E5" w:rsidRDefault="008F56E5" w:rsidP="00CD5A67">
      <w:pPr>
        <w:pStyle w:val="Questions"/>
        <w:numPr>
          <w:ilvl w:val="0"/>
          <w:numId w:val="0"/>
        </w:numPr>
        <w:spacing w:line="276" w:lineRule="auto"/>
        <w:ind w:hanging="11"/>
        <w:contextualSpacing/>
        <w:jc w:val="both"/>
        <w:rPr>
          <w:rFonts w:cstheme="minorHAnsi"/>
          <w:b/>
          <w:sz w:val="24"/>
          <w:szCs w:val="24"/>
        </w:rPr>
      </w:pPr>
      <w:bookmarkStart w:id="1" w:name="_Toc505616733"/>
      <w:r w:rsidRPr="008F56E5">
        <w:rPr>
          <w:rFonts w:cstheme="minorHAnsi"/>
          <w:b/>
          <w:sz w:val="24"/>
          <w:szCs w:val="24"/>
        </w:rPr>
        <w:t>MAS seeks comments on the proposed transaction notifications, recipient credential information, and reporting channel to be provided by the responsible FI.</w:t>
      </w:r>
      <w:bookmarkEnd w:id="1"/>
      <w:r w:rsidRPr="008F56E5">
        <w:rPr>
          <w:rFonts w:cstheme="minorHAnsi"/>
          <w:b/>
          <w:sz w:val="24"/>
          <w:szCs w:val="24"/>
        </w:rPr>
        <w:t xml:space="preserve"> </w:t>
      </w:r>
    </w:p>
    <w:p w:rsidR="008F56E5" w:rsidRPr="008F56E5" w:rsidRDefault="008F56E5" w:rsidP="008F56E5">
      <w:pPr>
        <w:pStyle w:val="Questions"/>
        <w:numPr>
          <w:ilvl w:val="0"/>
          <w:numId w:val="0"/>
        </w:numPr>
        <w:spacing w:line="276" w:lineRule="auto"/>
        <w:ind w:left="720"/>
        <w:contextualSpacing/>
        <w:jc w:val="both"/>
        <w:rPr>
          <w:rFonts w:cstheme="minorHAnsi"/>
          <w:b/>
          <w:sz w:val="24"/>
          <w:szCs w:val="24"/>
        </w:rPr>
      </w:pPr>
    </w:p>
    <w:p w:rsidR="008F56E5" w:rsidRPr="008F56E5" w:rsidRDefault="008F56E5" w:rsidP="008F56E5">
      <w:pPr>
        <w:pStyle w:val="Questions"/>
        <w:numPr>
          <w:ilvl w:val="0"/>
          <w:numId w:val="0"/>
        </w:numPr>
        <w:spacing w:line="276" w:lineRule="auto"/>
        <w:ind w:left="720"/>
        <w:contextualSpacing/>
        <w:jc w:val="both"/>
        <w:rPr>
          <w:rFonts w:cstheme="minorHAnsi"/>
          <w:b/>
          <w:sz w:val="24"/>
          <w:szCs w:val="24"/>
        </w:rPr>
      </w:pPr>
      <w:bookmarkStart w:id="2" w:name="_Toc505616734"/>
      <w:r w:rsidRPr="008F56E5">
        <w:rPr>
          <w:rFonts w:cstheme="minorHAnsi"/>
          <w:b/>
          <w:sz w:val="24"/>
          <w:szCs w:val="24"/>
        </w:rPr>
        <w:t>Please let us have your views on:</w:t>
      </w:r>
      <w:bookmarkEnd w:id="2"/>
    </w:p>
    <w:p w:rsidR="008F56E5" w:rsidRPr="008F56E5" w:rsidRDefault="008F56E5" w:rsidP="008F56E5">
      <w:pPr>
        <w:pStyle w:val="Questions"/>
        <w:numPr>
          <w:ilvl w:val="0"/>
          <w:numId w:val="29"/>
        </w:numPr>
        <w:spacing w:line="276" w:lineRule="auto"/>
        <w:contextualSpacing/>
        <w:jc w:val="both"/>
        <w:rPr>
          <w:rFonts w:cstheme="minorHAnsi"/>
          <w:b/>
          <w:sz w:val="24"/>
          <w:szCs w:val="24"/>
        </w:rPr>
      </w:pPr>
      <w:bookmarkStart w:id="3" w:name="_Toc505616735"/>
      <w:r w:rsidRPr="008F56E5">
        <w:rPr>
          <w:rFonts w:cstheme="minorHAnsi"/>
          <w:b/>
          <w:sz w:val="24"/>
          <w:szCs w:val="24"/>
        </w:rPr>
        <w:t>Whether the proposed information in the transaction notification is appropriate for the purpose of allowing the account holder to monitor payment transactions;</w:t>
      </w:r>
      <w:bookmarkEnd w:id="3"/>
    </w:p>
    <w:p w:rsidR="008F56E5" w:rsidRPr="008F56E5" w:rsidRDefault="008F56E5" w:rsidP="008F56E5">
      <w:pPr>
        <w:pStyle w:val="Questions"/>
        <w:numPr>
          <w:ilvl w:val="0"/>
          <w:numId w:val="29"/>
        </w:numPr>
        <w:spacing w:line="276" w:lineRule="auto"/>
        <w:contextualSpacing/>
        <w:jc w:val="both"/>
        <w:rPr>
          <w:rFonts w:cstheme="minorHAnsi"/>
          <w:b/>
          <w:sz w:val="24"/>
          <w:szCs w:val="24"/>
        </w:rPr>
      </w:pPr>
      <w:bookmarkStart w:id="4" w:name="_Toc505616736"/>
      <w:r w:rsidRPr="008F56E5">
        <w:rPr>
          <w:rFonts w:cstheme="minorHAnsi"/>
          <w:b/>
          <w:sz w:val="24"/>
          <w:szCs w:val="24"/>
        </w:rPr>
        <w:t>Whether the proposed onscreen information is suitable to minimize account user’s erroneous transactions;</w:t>
      </w:r>
      <w:bookmarkEnd w:id="4"/>
      <w:r w:rsidRPr="008F56E5">
        <w:rPr>
          <w:rFonts w:cstheme="minorHAnsi"/>
          <w:b/>
          <w:sz w:val="24"/>
          <w:szCs w:val="24"/>
        </w:rPr>
        <w:t xml:space="preserve"> </w:t>
      </w:r>
    </w:p>
    <w:p w:rsidR="00CD5A67" w:rsidRDefault="008F56E5" w:rsidP="00CD5A67">
      <w:pPr>
        <w:pStyle w:val="Questions"/>
        <w:numPr>
          <w:ilvl w:val="0"/>
          <w:numId w:val="29"/>
        </w:numPr>
        <w:spacing w:line="276" w:lineRule="auto"/>
        <w:contextualSpacing/>
        <w:jc w:val="both"/>
        <w:rPr>
          <w:rFonts w:cstheme="minorHAnsi"/>
          <w:b/>
          <w:sz w:val="24"/>
          <w:szCs w:val="24"/>
        </w:rPr>
      </w:pPr>
      <w:bookmarkStart w:id="5" w:name="_Toc505616737"/>
      <w:r w:rsidRPr="008F56E5">
        <w:rPr>
          <w:rFonts w:cstheme="minorHAnsi"/>
          <w:b/>
          <w:sz w:val="24"/>
          <w:szCs w:val="24"/>
        </w:rPr>
        <w:t>Whether the proposed characteristics of the reporting channel are suitable in general, and are suitable for your product line; and</w:t>
      </w:r>
      <w:bookmarkStart w:id="6" w:name="_Toc505616738"/>
      <w:bookmarkEnd w:id="5"/>
    </w:p>
    <w:p w:rsidR="00F65032" w:rsidRPr="00CD5A67" w:rsidRDefault="008F56E5" w:rsidP="00CD5A67">
      <w:pPr>
        <w:pStyle w:val="Questions"/>
        <w:numPr>
          <w:ilvl w:val="0"/>
          <w:numId w:val="29"/>
        </w:numPr>
        <w:spacing w:line="276" w:lineRule="auto"/>
        <w:contextualSpacing/>
        <w:jc w:val="both"/>
        <w:rPr>
          <w:rFonts w:cstheme="minorHAnsi"/>
          <w:b/>
          <w:sz w:val="24"/>
          <w:szCs w:val="24"/>
        </w:rPr>
      </w:pPr>
      <w:r w:rsidRPr="00CD5A67">
        <w:rPr>
          <w:rFonts w:cstheme="minorHAnsi"/>
          <w:b/>
          <w:sz w:val="24"/>
          <w:szCs w:val="24"/>
        </w:rPr>
        <w:lastRenderedPageBreak/>
        <w:t>Whether the deadlines proposed are appropriate.</w:t>
      </w:r>
      <w:bookmarkEnd w:id="6"/>
    </w:p>
    <w:p w:rsidR="00F65032" w:rsidRPr="00F65032" w:rsidRDefault="00F65032"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Ques</w:t>
      </w:r>
      <w:r w:rsidR="007214F1">
        <w:rPr>
          <w:b/>
        </w:rPr>
        <w:t>tion 10.</w:t>
      </w:r>
      <w:r w:rsidR="007214F1">
        <w:rPr>
          <w:b/>
        </w:rPr>
        <w:tab/>
      </w:r>
      <w:r w:rsidR="008F56E5" w:rsidRPr="00B22063">
        <w:rPr>
          <w:rFonts w:cstheme="minorHAnsi"/>
          <w:b/>
          <w:szCs w:val="24"/>
          <w:u w:val="single"/>
        </w:rPr>
        <w:t>Claims investigation and outcomes.</w:t>
      </w:r>
    </w:p>
    <w:p w:rsidR="00F65032" w:rsidRDefault="008F56E5" w:rsidP="00F65032">
      <w:pPr>
        <w:pStyle w:val="BodyText1"/>
        <w:numPr>
          <w:ilvl w:val="0"/>
          <w:numId w:val="0"/>
        </w:numPr>
        <w:rPr>
          <w:b/>
        </w:rPr>
      </w:pPr>
      <w:bookmarkStart w:id="7" w:name="_Toc505616739"/>
      <w:r w:rsidRPr="008F56E5">
        <w:rPr>
          <w:rFonts w:cstheme="minorHAnsi"/>
          <w:b/>
          <w:szCs w:val="24"/>
        </w:rPr>
        <w:t>MAS seeks comments on the proposed claims investigation process and proposal to credit the protected account while the claims investigation is ongoing. MAS seeks views on whether the deadlines proposed are appropriate and whether the exclusions from the expectation that the protected account should be credited are adequate. Please also let us know if a list of exceptional circumstances for an extended investigation should be set out in the Guidelines.</w:t>
      </w:r>
      <w:bookmarkEnd w:id="7"/>
      <w:r w:rsidR="00F65032">
        <w:rPr>
          <w:b/>
        </w:rPr>
        <w:tab/>
      </w:r>
    </w:p>
    <w:p w:rsidR="00F65032" w:rsidRDefault="00F65032" w:rsidP="00F65032">
      <w:pPr>
        <w:pStyle w:val="BodyText1"/>
        <w:numPr>
          <w:ilvl w:val="0"/>
          <w:numId w:val="0"/>
        </w:numPr>
        <w:rPr>
          <w:b/>
        </w:rPr>
      </w:pPr>
    </w:p>
    <w:p w:rsidR="008A04E0" w:rsidRDefault="008A04E0" w:rsidP="00F65032">
      <w:pPr>
        <w:pStyle w:val="BodyText1"/>
        <w:numPr>
          <w:ilvl w:val="0"/>
          <w:numId w:val="0"/>
        </w:numPr>
        <w:rPr>
          <w:b/>
        </w:rPr>
      </w:pPr>
    </w:p>
    <w:p w:rsidR="007214F1" w:rsidRDefault="00F65032" w:rsidP="00F65032">
      <w:pPr>
        <w:pStyle w:val="BodyText1"/>
        <w:numPr>
          <w:ilvl w:val="0"/>
          <w:numId w:val="0"/>
        </w:numPr>
        <w:rPr>
          <w:b/>
        </w:rPr>
      </w:pPr>
      <w:r w:rsidRPr="00F65032">
        <w:rPr>
          <w:b/>
        </w:rPr>
        <w:t>Que</w:t>
      </w:r>
      <w:r w:rsidR="007214F1">
        <w:rPr>
          <w:b/>
        </w:rPr>
        <w:t>stion 11.</w:t>
      </w:r>
      <w:r w:rsidR="007214F1">
        <w:rPr>
          <w:b/>
        </w:rPr>
        <w:tab/>
      </w:r>
      <w:r w:rsidR="00B22063" w:rsidRPr="00B22063">
        <w:rPr>
          <w:rFonts w:cstheme="minorHAnsi"/>
          <w:b/>
          <w:szCs w:val="24"/>
          <w:u w:val="single"/>
        </w:rPr>
        <w:t>Specific duties in relation to erroneous transactions</w:t>
      </w:r>
    </w:p>
    <w:p w:rsidR="008F56E5" w:rsidRPr="00B22063" w:rsidRDefault="008F56E5" w:rsidP="008F56E5">
      <w:pPr>
        <w:pStyle w:val="Questions"/>
        <w:numPr>
          <w:ilvl w:val="0"/>
          <w:numId w:val="0"/>
        </w:numPr>
        <w:spacing w:line="276" w:lineRule="auto"/>
        <w:ind w:left="720" w:hanging="720"/>
        <w:contextualSpacing/>
        <w:jc w:val="both"/>
        <w:rPr>
          <w:rFonts w:cstheme="minorHAnsi"/>
          <w:b/>
          <w:sz w:val="24"/>
          <w:szCs w:val="24"/>
        </w:rPr>
      </w:pPr>
      <w:bookmarkStart w:id="8" w:name="_Toc505616740"/>
      <w:r w:rsidRPr="00B22063">
        <w:rPr>
          <w:rFonts w:cstheme="minorHAnsi"/>
          <w:b/>
          <w:sz w:val="24"/>
          <w:szCs w:val="24"/>
        </w:rPr>
        <w:t>MAS seeks comments on the proposed duties of</w:t>
      </w:r>
      <w:bookmarkEnd w:id="8"/>
    </w:p>
    <w:p w:rsidR="008F56E5" w:rsidRPr="00B22063" w:rsidRDefault="008F56E5" w:rsidP="008F56E5">
      <w:pPr>
        <w:pStyle w:val="Questions"/>
        <w:numPr>
          <w:ilvl w:val="0"/>
          <w:numId w:val="30"/>
        </w:numPr>
        <w:spacing w:line="276" w:lineRule="auto"/>
        <w:contextualSpacing/>
        <w:jc w:val="both"/>
        <w:rPr>
          <w:rFonts w:cstheme="minorHAnsi"/>
          <w:b/>
          <w:sz w:val="24"/>
          <w:szCs w:val="24"/>
        </w:rPr>
      </w:pPr>
      <w:bookmarkStart w:id="9" w:name="_Toc505616741"/>
      <w:r w:rsidRPr="00B22063">
        <w:rPr>
          <w:rFonts w:cstheme="minorHAnsi"/>
          <w:b/>
          <w:sz w:val="24"/>
          <w:szCs w:val="24"/>
        </w:rPr>
        <w:t>the responsible FI of the account holder,</w:t>
      </w:r>
      <w:bookmarkEnd w:id="9"/>
      <w:r w:rsidRPr="00B22063">
        <w:rPr>
          <w:rFonts w:cstheme="minorHAnsi"/>
          <w:b/>
          <w:sz w:val="24"/>
          <w:szCs w:val="24"/>
        </w:rPr>
        <w:t xml:space="preserve"> </w:t>
      </w:r>
    </w:p>
    <w:p w:rsidR="008F56E5" w:rsidRPr="00B22063" w:rsidRDefault="008F56E5" w:rsidP="008F56E5">
      <w:pPr>
        <w:pStyle w:val="Questions"/>
        <w:numPr>
          <w:ilvl w:val="0"/>
          <w:numId w:val="30"/>
        </w:numPr>
        <w:spacing w:line="276" w:lineRule="auto"/>
        <w:contextualSpacing/>
        <w:jc w:val="both"/>
        <w:rPr>
          <w:rFonts w:cstheme="minorHAnsi"/>
          <w:b/>
          <w:sz w:val="24"/>
          <w:szCs w:val="24"/>
        </w:rPr>
      </w:pPr>
      <w:bookmarkStart w:id="10" w:name="_Toc505616742"/>
      <w:r w:rsidRPr="00B22063">
        <w:rPr>
          <w:rFonts w:cstheme="minorHAnsi"/>
          <w:b/>
          <w:sz w:val="24"/>
          <w:szCs w:val="24"/>
        </w:rPr>
        <w:t>the responsible FI of the recipient, and</w:t>
      </w:r>
      <w:bookmarkEnd w:id="10"/>
      <w:r w:rsidRPr="00B22063">
        <w:rPr>
          <w:rFonts w:cstheme="minorHAnsi"/>
          <w:b/>
          <w:sz w:val="24"/>
          <w:szCs w:val="24"/>
        </w:rPr>
        <w:t xml:space="preserve"> </w:t>
      </w:r>
    </w:p>
    <w:p w:rsidR="008F56E5" w:rsidRPr="00B22063" w:rsidRDefault="008F56E5" w:rsidP="008F56E5">
      <w:pPr>
        <w:pStyle w:val="Questions"/>
        <w:numPr>
          <w:ilvl w:val="0"/>
          <w:numId w:val="30"/>
        </w:numPr>
        <w:spacing w:line="276" w:lineRule="auto"/>
        <w:contextualSpacing/>
        <w:jc w:val="both"/>
        <w:rPr>
          <w:rFonts w:cstheme="minorHAnsi"/>
          <w:b/>
          <w:sz w:val="24"/>
          <w:szCs w:val="24"/>
        </w:rPr>
      </w:pPr>
      <w:bookmarkStart w:id="11" w:name="_Toc505616743"/>
      <w:r w:rsidRPr="00B22063">
        <w:rPr>
          <w:rFonts w:cstheme="minorHAnsi"/>
          <w:b/>
          <w:sz w:val="24"/>
          <w:szCs w:val="24"/>
        </w:rPr>
        <w:t>the account holder</w:t>
      </w:r>
      <w:bookmarkEnd w:id="11"/>
      <w:r w:rsidRPr="00B22063">
        <w:rPr>
          <w:rFonts w:cstheme="minorHAnsi"/>
          <w:b/>
          <w:sz w:val="24"/>
          <w:szCs w:val="24"/>
        </w:rPr>
        <w:t xml:space="preserve"> </w:t>
      </w:r>
    </w:p>
    <w:p w:rsidR="00F65032" w:rsidRPr="00B22063" w:rsidRDefault="008F56E5" w:rsidP="008F56E5">
      <w:pPr>
        <w:pStyle w:val="BodyText1"/>
        <w:numPr>
          <w:ilvl w:val="0"/>
          <w:numId w:val="0"/>
        </w:numPr>
        <w:rPr>
          <w:b/>
        </w:rPr>
      </w:pPr>
      <w:bookmarkStart w:id="12" w:name="_Toc505616744"/>
      <w:proofErr w:type="gramStart"/>
      <w:r w:rsidRPr="00B22063">
        <w:rPr>
          <w:rFonts w:cstheme="minorHAnsi"/>
          <w:b/>
          <w:szCs w:val="24"/>
        </w:rPr>
        <w:t>in</w:t>
      </w:r>
      <w:proofErr w:type="gramEnd"/>
      <w:r w:rsidRPr="00B22063">
        <w:rPr>
          <w:rFonts w:cstheme="minorHAnsi"/>
          <w:b/>
          <w:szCs w:val="24"/>
        </w:rPr>
        <w:t xml:space="preserve"> relation to erroneous transactions. We also seek views on whether the proposed approach that responsible FIs use reasonable efforts to assist the account holder to recover sums paid to the wrong recipient is appropriate.</w:t>
      </w:r>
      <w:bookmarkEnd w:id="12"/>
      <w:r w:rsidRPr="00B22063">
        <w:rPr>
          <w:rFonts w:cstheme="minorHAnsi"/>
          <w:b/>
          <w:szCs w:val="24"/>
        </w:rPr>
        <w:t xml:space="preserve">  </w:t>
      </w:r>
    </w:p>
    <w:p w:rsidR="008A04E0" w:rsidRDefault="008A04E0" w:rsidP="00F65032">
      <w:pPr>
        <w:pStyle w:val="BodyText1"/>
        <w:numPr>
          <w:ilvl w:val="0"/>
          <w:numId w:val="0"/>
        </w:numPr>
        <w:rPr>
          <w:b/>
        </w:rPr>
      </w:pPr>
    </w:p>
    <w:p w:rsidR="00B22063" w:rsidRPr="00F65032" w:rsidRDefault="00B22063" w:rsidP="00F65032">
      <w:pPr>
        <w:pStyle w:val="BodyText1"/>
        <w:numPr>
          <w:ilvl w:val="0"/>
          <w:numId w:val="0"/>
        </w:numPr>
        <w:rPr>
          <w:b/>
        </w:rPr>
      </w:pPr>
    </w:p>
    <w:p w:rsidR="007214F1" w:rsidRPr="007214F1" w:rsidRDefault="00F65032" w:rsidP="00F65032">
      <w:pPr>
        <w:pStyle w:val="BodyText1"/>
        <w:numPr>
          <w:ilvl w:val="0"/>
          <w:numId w:val="0"/>
        </w:numPr>
        <w:rPr>
          <w:b/>
          <w:u w:val="single"/>
        </w:rPr>
      </w:pPr>
      <w:bookmarkStart w:id="13" w:name="_GoBack"/>
      <w:bookmarkEnd w:id="13"/>
      <w:r w:rsidRPr="00F65032">
        <w:rPr>
          <w:b/>
        </w:rPr>
        <w:t>Question 12.</w:t>
      </w:r>
      <w:r w:rsidRPr="00F65032">
        <w:rPr>
          <w:b/>
        </w:rPr>
        <w:tab/>
      </w:r>
      <w:r w:rsidR="00B22063" w:rsidRPr="00B22063">
        <w:rPr>
          <w:rFonts w:cstheme="minorHAnsi"/>
          <w:b/>
          <w:szCs w:val="24"/>
          <w:u w:val="single"/>
        </w:rPr>
        <w:t>General questions regarding these Guidelines</w:t>
      </w:r>
    </w:p>
    <w:p w:rsidR="00F65032" w:rsidRDefault="008F56E5" w:rsidP="00F65032">
      <w:pPr>
        <w:pStyle w:val="BodyText1"/>
        <w:numPr>
          <w:ilvl w:val="0"/>
          <w:numId w:val="0"/>
        </w:numPr>
        <w:rPr>
          <w:b/>
        </w:rPr>
      </w:pPr>
      <w:bookmarkStart w:id="14" w:name="_Toc505616745"/>
      <w:r w:rsidRPr="00B22063">
        <w:rPr>
          <w:rFonts w:cstheme="minorHAnsi"/>
          <w:b/>
          <w:szCs w:val="24"/>
        </w:rPr>
        <w:t>MAS seeks comments on any aspect of the proposed Guidelines that have not been covered in earlier questions. We also seek input from the insurance industry on solutions that insurers may have to offer in respect of the unauthorised transaction claims. Where possible, please share with us relevant data such as cost to the responsible FIs and timeframe for implementation of the proposed solution</w:t>
      </w:r>
      <w:r w:rsidRPr="00541C9F">
        <w:rPr>
          <w:rFonts w:cstheme="minorHAnsi"/>
          <w:szCs w:val="24"/>
        </w:rPr>
        <w:t>.</w:t>
      </w:r>
      <w:bookmarkEnd w:id="14"/>
      <w:r w:rsidRPr="00541C9F">
        <w:rPr>
          <w:rFonts w:cstheme="minorHAnsi"/>
          <w:szCs w:val="24"/>
        </w:rPr>
        <w:t xml:space="preserve">   </w:t>
      </w:r>
    </w:p>
    <w:sectPr w:rsidR="00F65032" w:rsidSect="00443656">
      <w:footerReference w:type="default" r:id="rId8"/>
      <w:footerReference w:type="first" r:id="rId9"/>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FDA" w:rsidRDefault="00040FDA" w:rsidP="00EA1935">
      <w:r>
        <w:separator/>
      </w:r>
    </w:p>
    <w:p w:rsidR="00040FDA" w:rsidRDefault="00040FDA"/>
  </w:endnote>
  <w:endnote w:type="continuationSeparator" w:id="0">
    <w:p w:rsidR="00040FDA" w:rsidRDefault="00040FDA" w:rsidP="00EA1935">
      <w:r>
        <w:continuationSeparator/>
      </w:r>
    </w:p>
    <w:p w:rsidR="00040FDA" w:rsidRDefault="00040F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509608"/>
      <w:docPartObj>
        <w:docPartGallery w:val="Page Numbers (Bottom of Page)"/>
        <w:docPartUnique/>
      </w:docPartObj>
    </w:sdtPr>
    <w:sdtEndPr>
      <w:rPr>
        <w:noProof/>
      </w:rPr>
    </w:sdtEndPr>
    <w:sdtContent>
      <w:p w:rsidR="001E27FF" w:rsidRDefault="001E27FF">
        <w:pPr>
          <w:pStyle w:val="Footer"/>
          <w:jc w:val="right"/>
        </w:pPr>
        <w:r>
          <w:fldChar w:fldCharType="begin"/>
        </w:r>
        <w:r>
          <w:instrText xml:space="preserve"> PAGE   \* MERGEFORMAT </w:instrText>
        </w:r>
        <w:r>
          <w:fldChar w:fldCharType="separate"/>
        </w:r>
        <w:r w:rsidR="00CD5A67">
          <w:rPr>
            <w:noProof/>
          </w:rPr>
          <w:t>5</w:t>
        </w:r>
        <w:r>
          <w:rPr>
            <w:noProof/>
          </w:rPr>
          <w:fldChar w:fldCharType="end"/>
        </w:r>
      </w:p>
    </w:sdtContent>
  </w:sdt>
  <w:p w:rsidR="001E27FF" w:rsidRPr="001E27FF" w:rsidRDefault="001E27FF" w:rsidP="001E27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D81" w:rsidRPr="000503C5" w:rsidRDefault="00D14D81" w:rsidP="00947A18">
    <w:pPr>
      <w:pStyle w:val="Footer"/>
      <w:pBdr>
        <w:bottom w:val="single" w:sz="4" w:space="1" w:color="auto"/>
      </w:pBdr>
      <w:ind w:right="26"/>
      <w:rPr>
        <w:rFonts w:cs="Calibri"/>
        <w:b/>
      </w:rPr>
    </w:pPr>
  </w:p>
  <w:p w:rsidR="00D14D81" w:rsidRPr="000503C5" w:rsidRDefault="00D14D81" w:rsidP="00947A18">
    <w:pPr>
      <w:pStyle w:val="Footer"/>
      <w:tabs>
        <w:tab w:val="right" w:pos="9000"/>
      </w:tabs>
      <w:ind w:right="26"/>
      <w:rPr>
        <w:rFonts w:cs="Calibri"/>
        <w:bCs/>
        <w:sz w:val="24"/>
      </w:rPr>
    </w:pPr>
  </w:p>
  <w:p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rsidR="00D14D81" w:rsidRPr="000503C5" w:rsidRDefault="00D14D81" w:rsidP="00947A18">
    <w:pPr>
      <w:pStyle w:val="Footer"/>
      <w:jc w:val="both"/>
      <w:rPr>
        <w:rFonts w:cs="Calibri"/>
        <w:bCs/>
        <w:sz w:val="24"/>
      </w:rPr>
    </w:pPr>
  </w:p>
  <w:p w:rsidR="00D14D81" w:rsidRPr="000503C5" w:rsidRDefault="00D14D81" w:rsidP="00947A18">
    <w:pPr>
      <w:pStyle w:val="Footer"/>
      <w:jc w:val="both"/>
      <w:rPr>
        <w:rFonts w:cs="Calibri"/>
        <w:bCs/>
        <w:sz w:val="24"/>
      </w:rPr>
    </w:pPr>
  </w:p>
  <w:p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rsidR="00D14D81" w:rsidRPr="000503C5" w:rsidRDefault="00D14D81" w:rsidP="00947A18">
    <w:pPr>
      <w:pStyle w:val="Footer"/>
      <w:jc w:val="both"/>
      <w:rPr>
        <w:rFonts w:cs="Calibri"/>
        <w:b/>
      </w:rPr>
    </w:pPr>
  </w:p>
  <w:p w:rsidR="00D14D81" w:rsidRPr="000503C5" w:rsidRDefault="00D14D81" w:rsidP="00947A18">
    <w:pPr>
      <w:pStyle w:val="Footer"/>
      <w:jc w:val="center"/>
      <w:rPr>
        <w:rFonts w:cs="Calibri"/>
        <w:sz w:val="20"/>
      </w:rPr>
    </w:pPr>
    <w:r w:rsidRPr="000503C5">
      <w:rPr>
        <w:rFonts w:cs="Calibri"/>
        <w:b/>
        <w:bCs/>
        <w:sz w:val="24"/>
      </w:rPr>
      <w:t>CONFIDENTIAL</w:t>
    </w:r>
  </w:p>
  <w:p w:rsidR="00D14D81" w:rsidRDefault="00D14D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FDA" w:rsidRDefault="00040FDA" w:rsidP="00EA1935">
      <w:r>
        <w:separator/>
      </w:r>
    </w:p>
    <w:p w:rsidR="00040FDA" w:rsidRDefault="00040FDA"/>
  </w:footnote>
  <w:footnote w:type="continuationSeparator" w:id="0">
    <w:p w:rsidR="00040FDA" w:rsidRDefault="00040FDA" w:rsidP="00EA1935">
      <w:r>
        <w:continuationSeparator/>
      </w:r>
    </w:p>
    <w:p w:rsidR="00040FDA" w:rsidRDefault="00040FDA"/>
  </w:footnote>
  <w:footnote w:id="1">
    <w:p w:rsidR="008F56E5" w:rsidRPr="00CA7D25" w:rsidRDefault="008F56E5" w:rsidP="008F56E5">
      <w:pPr>
        <w:pStyle w:val="FootnoteText"/>
        <w:rPr>
          <w:lang w:val="en-US"/>
        </w:rPr>
      </w:pPr>
      <w:r>
        <w:rPr>
          <w:rStyle w:val="FootnoteReference"/>
        </w:rPr>
        <w:footnoteRef/>
      </w:r>
      <w:r>
        <w:t xml:space="preserve"> </w:t>
      </w:r>
      <w:r>
        <w:rPr>
          <w:lang w:val="en-US"/>
        </w:rPr>
        <w:t>For example, some transport stored value cards allow automatic top ups from bank accounts linked to the stored value card.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16C7712"/>
    <w:multiLevelType w:val="hybridMultilevel"/>
    <w:tmpl w:val="3B86F43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F530C04"/>
    <w:multiLevelType w:val="hybridMultilevel"/>
    <w:tmpl w:val="5102451E"/>
    <w:lvl w:ilvl="0" w:tplc="48090001">
      <w:start w:val="1"/>
      <w:numFmt w:val="bullet"/>
      <w:lvlText w:val=""/>
      <w:lvlJc w:val="left"/>
      <w:pPr>
        <w:ind w:left="1463" w:hanging="360"/>
      </w:pPr>
      <w:rPr>
        <w:rFonts w:ascii="Symbol" w:hAnsi="Symbol" w:hint="default"/>
      </w:rPr>
    </w:lvl>
    <w:lvl w:ilvl="1" w:tplc="48090003" w:tentative="1">
      <w:start w:val="1"/>
      <w:numFmt w:val="bullet"/>
      <w:lvlText w:val="o"/>
      <w:lvlJc w:val="left"/>
      <w:pPr>
        <w:ind w:left="2183" w:hanging="360"/>
      </w:pPr>
      <w:rPr>
        <w:rFonts w:ascii="Courier New" w:hAnsi="Courier New" w:cs="Courier New" w:hint="default"/>
      </w:rPr>
    </w:lvl>
    <w:lvl w:ilvl="2" w:tplc="48090005" w:tentative="1">
      <w:start w:val="1"/>
      <w:numFmt w:val="bullet"/>
      <w:lvlText w:val=""/>
      <w:lvlJc w:val="left"/>
      <w:pPr>
        <w:ind w:left="2903" w:hanging="360"/>
      </w:pPr>
      <w:rPr>
        <w:rFonts w:ascii="Wingdings" w:hAnsi="Wingdings" w:hint="default"/>
      </w:rPr>
    </w:lvl>
    <w:lvl w:ilvl="3" w:tplc="48090001" w:tentative="1">
      <w:start w:val="1"/>
      <w:numFmt w:val="bullet"/>
      <w:lvlText w:val=""/>
      <w:lvlJc w:val="left"/>
      <w:pPr>
        <w:ind w:left="3623" w:hanging="360"/>
      </w:pPr>
      <w:rPr>
        <w:rFonts w:ascii="Symbol" w:hAnsi="Symbol" w:hint="default"/>
      </w:rPr>
    </w:lvl>
    <w:lvl w:ilvl="4" w:tplc="48090003" w:tentative="1">
      <w:start w:val="1"/>
      <w:numFmt w:val="bullet"/>
      <w:lvlText w:val="o"/>
      <w:lvlJc w:val="left"/>
      <w:pPr>
        <w:ind w:left="4343" w:hanging="360"/>
      </w:pPr>
      <w:rPr>
        <w:rFonts w:ascii="Courier New" w:hAnsi="Courier New" w:cs="Courier New" w:hint="default"/>
      </w:rPr>
    </w:lvl>
    <w:lvl w:ilvl="5" w:tplc="48090005" w:tentative="1">
      <w:start w:val="1"/>
      <w:numFmt w:val="bullet"/>
      <w:lvlText w:val=""/>
      <w:lvlJc w:val="left"/>
      <w:pPr>
        <w:ind w:left="5063" w:hanging="360"/>
      </w:pPr>
      <w:rPr>
        <w:rFonts w:ascii="Wingdings" w:hAnsi="Wingdings" w:hint="default"/>
      </w:rPr>
    </w:lvl>
    <w:lvl w:ilvl="6" w:tplc="48090001" w:tentative="1">
      <w:start w:val="1"/>
      <w:numFmt w:val="bullet"/>
      <w:lvlText w:val=""/>
      <w:lvlJc w:val="left"/>
      <w:pPr>
        <w:ind w:left="5783" w:hanging="360"/>
      </w:pPr>
      <w:rPr>
        <w:rFonts w:ascii="Symbol" w:hAnsi="Symbol" w:hint="default"/>
      </w:rPr>
    </w:lvl>
    <w:lvl w:ilvl="7" w:tplc="48090003" w:tentative="1">
      <w:start w:val="1"/>
      <w:numFmt w:val="bullet"/>
      <w:lvlText w:val="o"/>
      <w:lvlJc w:val="left"/>
      <w:pPr>
        <w:ind w:left="6503" w:hanging="360"/>
      </w:pPr>
      <w:rPr>
        <w:rFonts w:ascii="Courier New" w:hAnsi="Courier New" w:cs="Courier New" w:hint="default"/>
      </w:rPr>
    </w:lvl>
    <w:lvl w:ilvl="8" w:tplc="48090005" w:tentative="1">
      <w:start w:val="1"/>
      <w:numFmt w:val="bullet"/>
      <w:lvlText w:val=""/>
      <w:lvlJc w:val="left"/>
      <w:pPr>
        <w:ind w:left="7223" w:hanging="360"/>
      </w:pPr>
      <w:rPr>
        <w:rFonts w:ascii="Wingdings" w:hAnsi="Wingdings" w:hint="default"/>
      </w:rPr>
    </w:lvl>
  </w:abstractNum>
  <w:abstractNum w:abstractNumId="8" w15:restartNumberingAfterBreak="0">
    <w:nsid w:val="4BEC5FEB"/>
    <w:multiLevelType w:val="hybridMultilevel"/>
    <w:tmpl w:val="01DA7A1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775C58"/>
    <w:multiLevelType w:val="hybridMultilevel"/>
    <w:tmpl w:val="92483B44"/>
    <w:lvl w:ilvl="0" w:tplc="F2009F30">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13"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12"/>
  </w:num>
  <w:num w:numId="6">
    <w:abstractNumId w:val="15"/>
  </w:num>
  <w:num w:numId="7">
    <w:abstractNumId w:val="4"/>
  </w:num>
  <w:num w:numId="8">
    <w:abstractNumId w:val="2"/>
  </w:num>
  <w:num w:numId="9">
    <w:abstractNumId w:val="13"/>
  </w:num>
  <w:num w:numId="10">
    <w:abstractNumId w:val="11"/>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4"/>
  </w:num>
  <w:num w:numId="25">
    <w:abstractNumId w:val="4"/>
  </w:num>
  <w:num w:numId="26">
    <w:abstractNumId w:val="8"/>
  </w:num>
  <w:num w:numId="27">
    <w:abstractNumId w:val="4"/>
  </w:num>
  <w:num w:numId="28">
    <w:abstractNumId w:val="7"/>
  </w:num>
  <w:num w:numId="29">
    <w:abstractNumId w:val="10"/>
  </w:num>
  <w:num w:numId="30">
    <w:abstractNumId w:val="3"/>
  </w:num>
  <w:num w:numId="31">
    <w:abstractNumId w:val="4"/>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40FDA"/>
    <w:rsid w:val="000463A2"/>
    <w:rsid w:val="000575C9"/>
    <w:rsid w:val="0006453C"/>
    <w:rsid w:val="00085A73"/>
    <w:rsid w:val="000920FE"/>
    <w:rsid w:val="000A5202"/>
    <w:rsid w:val="000C1124"/>
    <w:rsid w:val="000D0EBE"/>
    <w:rsid w:val="000E7595"/>
    <w:rsid w:val="000F48EF"/>
    <w:rsid w:val="000F7438"/>
    <w:rsid w:val="00104C84"/>
    <w:rsid w:val="00115516"/>
    <w:rsid w:val="001231F7"/>
    <w:rsid w:val="0012453B"/>
    <w:rsid w:val="00140720"/>
    <w:rsid w:val="00170A6F"/>
    <w:rsid w:val="00170BFB"/>
    <w:rsid w:val="00175B0F"/>
    <w:rsid w:val="00191DEA"/>
    <w:rsid w:val="001944ED"/>
    <w:rsid w:val="001B686F"/>
    <w:rsid w:val="001B691D"/>
    <w:rsid w:val="001C1D32"/>
    <w:rsid w:val="001D1F2E"/>
    <w:rsid w:val="001E27FF"/>
    <w:rsid w:val="00224D1D"/>
    <w:rsid w:val="00231265"/>
    <w:rsid w:val="002340D9"/>
    <w:rsid w:val="00236E47"/>
    <w:rsid w:val="002374F7"/>
    <w:rsid w:val="00261144"/>
    <w:rsid w:val="00273DC9"/>
    <w:rsid w:val="00284453"/>
    <w:rsid w:val="002B0A10"/>
    <w:rsid w:val="002B79D0"/>
    <w:rsid w:val="002C663D"/>
    <w:rsid w:val="002D6903"/>
    <w:rsid w:val="002D7ED7"/>
    <w:rsid w:val="002E4A49"/>
    <w:rsid w:val="002E7564"/>
    <w:rsid w:val="00366E56"/>
    <w:rsid w:val="00395EB5"/>
    <w:rsid w:val="003960A6"/>
    <w:rsid w:val="003A4E9E"/>
    <w:rsid w:val="003A74A4"/>
    <w:rsid w:val="003B3B76"/>
    <w:rsid w:val="003E0C0D"/>
    <w:rsid w:val="003F1B06"/>
    <w:rsid w:val="0040070E"/>
    <w:rsid w:val="00402E3E"/>
    <w:rsid w:val="0040343A"/>
    <w:rsid w:val="00413623"/>
    <w:rsid w:val="004245DF"/>
    <w:rsid w:val="0043538D"/>
    <w:rsid w:val="00443656"/>
    <w:rsid w:val="00445175"/>
    <w:rsid w:val="0045299E"/>
    <w:rsid w:val="00453656"/>
    <w:rsid w:val="0046386C"/>
    <w:rsid w:val="00472B69"/>
    <w:rsid w:val="0047567C"/>
    <w:rsid w:val="004763F1"/>
    <w:rsid w:val="00495393"/>
    <w:rsid w:val="004D747B"/>
    <w:rsid w:val="004E0F9D"/>
    <w:rsid w:val="004F2DED"/>
    <w:rsid w:val="005149EC"/>
    <w:rsid w:val="0053512D"/>
    <w:rsid w:val="005A1106"/>
    <w:rsid w:val="005C2767"/>
    <w:rsid w:val="005D46F4"/>
    <w:rsid w:val="005E6F20"/>
    <w:rsid w:val="006032E0"/>
    <w:rsid w:val="0062022F"/>
    <w:rsid w:val="00625DDA"/>
    <w:rsid w:val="00637611"/>
    <w:rsid w:val="006504DD"/>
    <w:rsid w:val="00655588"/>
    <w:rsid w:val="006959E7"/>
    <w:rsid w:val="006C12F0"/>
    <w:rsid w:val="006D4570"/>
    <w:rsid w:val="006D7451"/>
    <w:rsid w:val="006E5511"/>
    <w:rsid w:val="006F2019"/>
    <w:rsid w:val="007214F1"/>
    <w:rsid w:val="007329FF"/>
    <w:rsid w:val="0075282E"/>
    <w:rsid w:val="00757E99"/>
    <w:rsid w:val="007A41A7"/>
    <w:rsid w:val="007A75C6"/>
    <w:rsid w:val="007F5F17"/>
    <w:rsid w:val="00801547"/>
    <w:rsid w:val="00813185"/>
    <w:rsid w:val="008158AB"/>
    <w:rsid w:val="00830211"/>
    <w:rsid w:val="008302B9"/>
    <w:rsid w:val="0083648C"/>
    <w:rsid w:val="00845C81"/>
    <w:rsid w:val="00867F04"/>
    <w:rsid w:val="0089787D"/>
    <w:rsid w:val="008A04E0"/>
    <w:rsid w:val="008B5E5F"/>
    <w:rsid w:val="008E590A"/>
    <w:rsid w:val="008F56E5"/>
    <w:rsid w:val="00903282"/>
    <w:rsid w:val="00903DB4"/>
    <w:rsid w:val="00947A18"/>
    <w:rsid w:val="0097719F"/>
    <w:rsid w:val="009A1F19"/>
    <w:rsid w:val="009B5B1E"/>
    <w:rsid w:val="009C1790"/>
    <w:rsid w:val="009F1485"/>
    <w:rsid w:val="009F2517"/>
    <w:rsid w:val="009F2E22"/>
    <w:rsid w:val="00A824F0"/>
    <w:rsid w:val="00A940C5"/>
    <w:rsid w:val="00AA01E6"/>
    <w:rsid w:val="00AA0D5D"/>
    <w:rsid w:val="00AA6C5A"/>
    <w:rsid w:val="00AD3DDF"/>
    <w:rsid w:val="00B00532"/>
    <w:rsid w:val="00B04603"/>
    <w:rsid w:val="00B115A3"/>
    <w:rsid w:val="00B162D2"/>
    <w:rsid w:val="00B22063"/>
    <w:rsid w:val="00B52D64"/>
    <w:rsid w:val="00B639D4"/>
    <w:rsid w:val="00B652FC"/>
    <w:rsid w:val="00B73631"/>
    <w:rsid w:val="00B87796"/>
    <w:rsid w:val="00BA3789"/>
    <w:rsid w:val="00BA693C"/>
    <w:rsid w:val="00BC0735"/>
    <w:rsid w:val="00BE55EB"/>
    <w:rsid w:val="00BE6569"/>
    <w:rsid w:val="00BF1EEB"/>
    <w:rsid w:val="00BF2489"/>
    <w:rsid w:val="00C20B7D"/>
    <w:rsid w:val="00C24FB5"/>
    <w:rsid w:val="00C61D79"/>
    <w:rsid w:val="00C736B7"/>
    <w:rsid w:val="00C8176D"/>
    <w:rsid w:val="00C84745"/>
    <w:rsid w:val="00C9472A"/>
    <w:rsid w:val="00CC0226"/>
    <w:rsid w:val="00CC102C"/>
    <w:rsid w:val="00CC2EAF"/>
    <w:rsid w:val="00CD07F3"/>
    <w:rsid w:val="00CD5A67"/>
    <w:rsid w:val="00CD5BD2"/>
    <w:rsid w:val="00CF7598"/>
    <w:rsid w:val="00D01F0D"/>
    <w:rsid w:val="00D022B1"/>
    <w:rsid w:val="00D14D81"/>
    <w:rsid w:val="00D24488"/>
    <w:rsid w:val="00D52064"/>
    <w:rsid w:val="00D704E9"/>
    <w:rsid w:val="00D7290E"/>
    <w:rsid w:val="00D7670F"/>
    <w:rsid w:val="00D93A87"/>
    <w:rsid w:val="00D94641"/>
    <w:rsid w:val="00DB09D6"/>
    <w:rsid w:val="00DB1019"/>
    <w:rsid w:val="00DB3CA4"/>
    <w:rsid w:val="00DB4605"/>
    <w:rsid w:val="00E01A78"/>
    <w:rsid w:val="00E0468B"/>
    <w:rsid w:val="00E05E73"/>
    <w:rsid w:val="00E52202"/>
    <w:rsid w:val="00E94F9D"/>
    <w:rsid w:val="00E95E65"/>
    <w:rsid w:val="00E978DD"/>
    <w:rsid w:val="00EA1935"/>
    <w:rsid w:val="00EE42FC"/>
    <w:rsid w:val="00EF1988"/>
    <w:rsid w:val="00F02507"/>
    <w:rsid w:val="00F270BB"/>
    <w:rsid w:val="00F308D1"/>
    <w:rsid w:val="00F444DD"/>
    <w:rsid w:val="00F56C2E"/>
    <w:rsid w:val="00F57BDF"/>
    <w:rsid w:val="00F614B1"/>
    <w:rsid w:val="00F65032"/>
    <w:rsid w:val="00FA1275"/>
    <w:rsid w:val="00FA6D94"/>
    <w:rsid w:val="00FB17CF"/>
    <w:rsid w:val="00FB6510"/>
    <w:rsid w:val="00FC0B2C"/>
    <w:rsid w:val="00FD2D86"/>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729047-FC53-48A0-973F-4E06C3AE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Section Title"/>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link w:val="BodyText1Char"/>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 w:type="character" w:customStyle="1" w:styleId="BodyText1Char">
    <w:name w:val="Body Text 1 Char"/>
    <w:basedOn w:val="DefaultParagraphFont"/>
    <w:link w:val="BodyText1"/>
    <w:locked/>
    <w:rsid w:val="008F56E5"/>
    <w:rPr>
      <w:rFonts w:eastAsiaTheme="minorHAnsi"/>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B5496-65C8-453F-96BD-20E028E10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13</TotalTime>
  <Pages>5</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mas_andrewtan</dc:creator>
  <cp:lastModifiedBy>Zhi Min WEI (MAS)</cp:lastModifiedBy>
  <cp:revision>6</cp:revision>
  <dcterms:created xsi:type="dcterms:W3CDTF">2018-02-05T10:35:00Z</dcterms:created>
  <dcterms:modified xsi:type="dcterms:W3CDTF">2018-02-05T10:52:00Z</dcterms:modified>
</cp:coreProperties>
</file>