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Calibri" w:cs="Calibri" w:eastAsia="Calibri" w:hAnsi="Calibri"/>
          <w:b/>
          <w:bCs/>
          <w:color w:val="1F5C8B"/>
          <w:sz w:val="52"/>
          <w:szCs w:val="52"/>
        </w:rPr>
        <w:t xml:space="preserve">LOAN PORTFOLIO RISK &amp;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5C8B"/>
          <w:sz w:val="52"/>
          <w:szCs w:val="52"/>
        </w:rPr>
        <w:t xml:space="preserve">PERFORMANCE DASHBOARD</w:t>
      </w:r>
    </w:p>
    <w:p>
      <w:pPr>
        <w:pBdr>
          <w:bottom w:val="single" w:color="1F5C8B" w:sz="6" w:space="8"/>
        </w:pBd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28"/>
          <w:szCs w:val="28"/>
        </w:rPr>
        <w:t xml:space="preserve">Project Documentation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Shiva Kumar Devatha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 Analyst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Tools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Python (Pandas, NumPy)  ·  SQL (SQLite)  ·  Microsoft Power BI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BFSI — Credit Risk Analytics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Lending Club Loan Data (Kaggle) — 225K records sampled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github.com/shivakumar1507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pBdr>
          <w:bottom w:val="single" w:color="1F5C8B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5C8B"/>
          <w:sz w:val="28"/>
          <w:szCs w:val="28"/>
        </w:rPr>
        <w:t xml:space="preserve">1. PROJECT OVERVIEW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This end-to-end analytics project simulates a real-world BFSI loan risk reporting workflow. Starting from raw Lending Club loan data, the project covers data ingestion, cleaning, feature engineering, SQL-based analysis, and a three-page interactive Power BI dashboard for executive and risk reporting.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1.1 Business Problem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lending institution requires visibility into its loan portfolio to answer the following business questions: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Which loan segments carry the highest default risk?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How does borrower profile — income, employment tenure, and debt burden — correlate with repayment behaviour?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What is the portfolio's recovery rate on defaulted loans?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How has loan volume and default rate trended over time across geographies?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1.2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Build a clean, analysis-ready dataset from raw Lending Club data using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Derive risk-relevant engineered features including default flags, risk tiers, and DTI bands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 10 analytical SQL queries covering portfolio KPIs, risk segmentation, and trend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 a three-page interactive Power BI dashboard with 15+ KPIs and business insights</w:t>
      </w:r>
    </w:p>
    <w:p>
      <w:pPr>
        <w:pBdr>
          <w:bottom w:val="single" w:color="1F5C8B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5C8B"/>
          <w:sz w:val="28"/>
          <w:szCs w:val="28"/>
        </w:rPr>
        <w:t xml:space="preserve">2.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Source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Lending Club Loan Data — Kaggle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Raw Size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1.55 GB  |  2M+ records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Sample Used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10% random sample (np.random.seed=42) — 225,000 records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Time Period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2007 – 2018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Columns Used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22 columns selected from 150+ available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2.1 Key Columns Selected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loan_amnt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Loan amount requested by borrower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grade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LC-assigned risk grade (A through G)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int_rate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Interest rate on the loan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loan_status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Current loan status — basis for default flag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annual_inc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Borrower's self-reported annual income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dti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Debt-to-income ratio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emp_length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Employment length in years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Stated purpose of the loan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addr_state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Borrower's US state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recoveries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Numeric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Post charge-off gross recovery amount</w:t>
            </w:r>
          </w:p>
        </w:tc>
      </w:tr>
    </w:tbl>
    <w:p>
      <w:pPr>
        <w:pBdr>
          <w:bottom w:val="single" w:color="1F5C8B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5C8B"/>
          <w:sz w:val="28"/>
          <w:szCs w:val="28"/>
        </w:rPr>
        <w:t xml:space="preserve">3. METHODOLOGY &amp; WORKFLOW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The project follows a four-phase end-to-end analytics pipeline: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Python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 loading, sampling, cleaning, feature engineering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SQLite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Analytical SQL queries for KPIs and risk segmentation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Power BI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DAX measures, data modelling, dashboard build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GitHub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Documentation, README, project publishing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3.1 Phase 1 — Python: Data Cleaning &amp; Feature Engineering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Data 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Read 10% random sample from 1.55GB CSV using skiprows lambda with np.random.seed(42) for reproducibility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Selected 22 relevant columns from 150+ available, reducing memory footprint by ~85%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Applied outlier filters: annual_inc &lt; $1M and dti &lt; 60 to remove unrealistic records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Cleaning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Interest rate: stripped '%' character, converted to float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Loan term: extracted numeric value (36 or 60) from text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Employment length: mapped text values to numeric scale (0–10, -1 for missing)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Issue date: parsed to datetime, extracted issue_year and issue_month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Text columns: standardised to uppercase and stripped whitespace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Engineered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is_default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 if loan_status = 'Charged Off' or 'Default', else 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risk_tier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Low Risk (A/B), Medium Risk (C/D), High Risk (E/F/G)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dti_band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Binned into 0–10, 10–20, 20–30, 30–40, 40+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income_band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Binned into &lt;40K, 40K–75K, 75K–120K, 120K+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recovery_rate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(recoveries / loan_amnt) × 100, clipped 0–100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emp_stable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 if emp_length_num &gt;= 5 years, else 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net_gain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total_rec_int + recoveries − (loan_amnt − total_rec_prncp)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is_fully_paid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 if loan_status = 'Fully Paid', else 0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3.2 Phase 2 — SQL Analysis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Cleaned data was exported to SQLite (loan_portfolio.db) and queried using DB Browser for SQLite. Ten analytical queries were developed: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Portfolio KPI Summary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Total loans, disbursed amount, avg interest rate, default rate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Default Rate by Grade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Default rate A→G for bar chart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Default Rate by Purpose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Loan purpose ranked by default rate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Monthly Disbursement Trend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Loan volume and default rate by year/month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State-wise Performance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Total loans and default rate per US state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Employment Stability Impact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Default rate by grade × employment stability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Income Band vs Default Rate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Default rate by income band and risk tier matrix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DTI Band Analysis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Default rate across debt-to-income ratio bands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Top 10 High-Risk Segments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Grade × purpose × DTI combinations with highest default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Recovery Rate by Risk Tier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Average recovery rate on defaulted loans by tier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3.3 Phase 3 — Power BI Dashboard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Data loaded from loan_cleaned.csv into Power BI Desktop. DAX measures created for all KPIs. Three report pages built with interactive slicers and cross-filtering enabled.</w:t>
      </w:r>
    </w:p>
    <w:p>
      <w:pPr>
        <w:pBdr>
          <w:bottom w:val="single" w:color="1F5C8B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5C8B"/>
          <w:sz w:val="28"/>
          <w:szCs w:val="28"/>
        </w:rPr>
        <w:t xml:space="preserve">4. DASHBOARD — PAGE BY PAGE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4.1 Page 1 — Executive Summary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Provides a high-level overview of the entire loan portfolio for senior stakeholders.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Business Interpretation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Total Loans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2"/>
                <w:szCs w:val="22"/>
              </w:rPr>
              <w:t xml:space="preserve">225K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Total loan records in the sampled portfolio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Total Disbursed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2"/>
                <w:szCs w:val="22"/>
              </w:rPr>
              <w:t xml:space="preserve">$3.37bn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Aggregate loan amount funded across all years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Default Rate 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2"/>
                <w:szCs w:val="22"/>
              </w:rPr>
              <w:t xml:space="preserve">11.91%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Nearly 1 in 8 loans ended in default or charge-off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Avg Interest Rate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2"/>
                <w:szCs w:val="22"/>
              </w:rPr>
              <w:t xml:space="preserve">13.06%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Average annual rate charged across all loan grades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Recovery Rate 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2"/>
                <w:szCs w:val="22"/>
              </w:rPr>
              <w:t xml:space="preserve">0.96%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Very low post-default recovery — high credit loss exposure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Visuals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Total Disbursed by Year (Line Chart) — Strong growth from 2010, peak in 2018 at $0.8bn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Loan Default Rate by Grade (Bar Chart) — Grade A: 3.36% → Grade G: 40.43%, clear risk gradient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Total Loans by Purpose (Donut Chart) — Debt consolidation dominates at 59.81%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Top 10 States by Loan Disbursement (Bar Chart) — TX leads at $293M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Slicers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risk_tier dropdown — filter all visuals by Low / Medium / High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issue_month range slider — filter by month of loan origination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4.2 Page 2 — Credit Risk Analysis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Deep-dive into risk drivers — designed for risk management and credit teams.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Business Interpretation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Default Rate 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2"/>
                <w:szCs w:val="22"/>
              </w:rPr>
              <w:t xml:space="preserve">11.91%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Overall portfolio default rate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High Risk Loan 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2"/>
                <w:szCs w:val="22"/>
              </w:rPr>
              <w:t xml:space="preserve">8.34%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Share of E/F/G grade loans in portfolio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Avg DTI (Defaulters)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2"/>
                <w:szCs w:val="22"/>
              </w:rPr>
              <w:t xml:space="preserve">19.89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Higher debt burden among defaulters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Avg DTI (Non-Defaulters)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2"/>
                <w:szCs w:val="22"/>
              </w:rPr>
              <w:t xml:space="preserve">18.23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Lower debt burden confirms DTI as risk signal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Visuals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Risk Analysis Matrix (Table) — Income band × risk tier showing default rates; &lt;40K + High Risk peaks at 28.67%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Total Loans by Risk Tier (Treemap) — Low Risk dominates volume; High Risk disproportionate in defaults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Loan Default Rate by DTI Band (Bar Chart) — Default rate rises from 9.12% (0–10) to 15.92% (30–40)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Default Rate % by Employment Stability (Bar Chart) — Unstable 12.30% vs Stable 11.59%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Key Risk Insights (Text Box) — Four narrative insights for non-technical stakeholders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Slicers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grade, income_band, risk_tier — three dropdown slicers for cross-segment filtering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4.3 Page 3 — Portfolio Trends &amp; Geographic Analysis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Time-series and geographic view of portfolio evolution — designed for strategy and compliance teams.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Business Interpretation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Total Disbursed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2"/>
                <w:szCs w:val="22"/>
              </w:rPr>
              <w:t xml:space="preserve">$3.37bn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Full portfolio disbursement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MoM Growth %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2"/>
                <w:szCs w:val="22"/>
              </w:rPr>
              <w:t xml:space="preserve">1.91%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Month-over-month disbursement growth rate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Sum of Recoveries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2"/>
                <w:szCs w:val="22"/>
              </w:rPr>
              <w:t xml:space="preserve">$32.33M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Total recovered on defaulted loans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Avg Loan Rate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2"/>
                <w:szCs w:val="22"/>
              </w:rPr>
              <w:t xml:space="preserve">$15K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Average individual loan amount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Visuals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Risk Tier Distribution Over Years (Area/Ribbon Chart) — Portfolio grew rapidly 2013–2018; Low Risk consistently dominant by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Default Rate % by Issue Year (Area Chart) — High default rate in 2007–2009 (27%), stabilised 2012–2016, near-zero 2018 due to loan recency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State Map (Shape Map) — CA and TX show highest loan concentration; geographic colour-coded by default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Total Loans by Year and Purpose (Stacked Bar) — Debt consolidation share grew consistently year-over-year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Slicers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risk_tier button slicer — Select All / High Risk / Low Risk / Medium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issue_year range slider — 2007 to 2018</w:t>
      </w:r>
    </w:p>
    <w:p>
      <w:pPr>
        <w:pBdr>
          <w:bottom w:val="single" w:color="1F5C8B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5C8B"/>
          <w:sz w:val="28"/>
          <w:szCs w:val="28"/>
        </w:rPr>
        <w:t xml:space="preserve">5. KEY BUSINESS INSIGHTS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5C8B" w:sz="6"/>
              <w:left w:val="single" w:color="1F5C8B" w:sz="6"/>
              <w:bottom w:val="none" w:color="FFFFFF" w:sz="0"/>
              <w:right w:val="none" w:color="FFFFFF" w:sz="0"/>
            </w:tcBorders>
            <w:shd w:fill="EEF4FA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8B"/>
                <w:sz w:val="22"/>
                <w:szCs w:val="22"/>
              </w:rPr>
              <w:t xml:space="preserve">Credit Risk Findings</w:t>
            </w:r>
          </w:p>
        </w:tc>
      </w:tr>
      <w:tr>
        <w:tc>
          <w:tcPr>
            <w:tcBorders>
              <w:top w:val="none" w:color="FFFFFF" w:sz="0"/>
              <w:left w:val="single" w:color="1F5C8B" w:sz="6"/>
              <w:bottom w:val="none" w:color="FFFFFF" w:sz="0"/>
              <w:right w:val="none" w:color="FFFFFF" w:sz="0"/>
            </w:tcBorders>
            <w:shd w:fill="EE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Grade G loans default at 40.43% vs 3.36% for Grade A — a 12x risk differential, confirming loan grade as the strongest single default predictor in the portfolio.</w:t>
            </w:r>
          </w:p>
        </w:tc>
      </w:tr>
      <w:tr>
        <w:tc>
          <w:tcPr>
            <w:tcBorders>
              <w:top w:val="none" w:color="FFFFFF" w:sz="0"/>
              <w:left w:val="single" w:color="1F5C8B" w:sz="6"/>
              <w:bottom w:val="none" w:color="FFFFFF" w:sz="0"/>
              <w:right w:val="none" w:color="FFFFFF" w:sz="0"/>
            </w:tcBorders>
            <w:shd w:fill="EE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Borrowers with DTI between 30–40 default at 15.92% — nearly double the rate of low-DTI borrowers (0–10 band: 9.12%), confirming debt burden as a significant risk driver.</w:t>
            </w:r>
          </w:p>
        </w:tc>
      </w:tr>
      <w:tr>
        <w:tc>
          <w:tcPr>
            <w:tcBorders>
              <w:top w:val="none" w:color="FFFFFF" w:sz="0"/>
              <w:left w:val="single" w:color="1F5C8B" w:sz="6"/>
              <w:bottom w:val="none" w:color="FFFFFF" w:sz="0"/>
              <w:right w:val="none" w:color="FFFFFF" w:sz="0"/>
            </w:tcBorders>
            <w:shd w:fill="EE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Stable employees (5+ years tenure) default at 11.59% vs 12.30% for unstable employees — employment stability provides a measurable but modest protective effect.</w:t>
            </w:r>
          </w:p>
        </w:tc>
      </w:tr>
      <w:tr>
        <w:tc>
          <w:tcPr>
            <w:tcBorders>
              <w:top w:val="none" w:color="FFFFFF" w:sz="0"/>
              <w:left w:val="single" w:color="1F5C8B" w:sz="6"/>
              <w:bottom w:val="none" w:color="FFFFFF" w:sz="0"/>
              <w:right w:val="none" w:color="FFFFFF" w:sz="0"/>
            </w:tcBorders>
            <w:shd w:fill="EE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Income alone is not sufficient as a risk predictor: 120K+ income borrowers in High Risk grade still default at 23.39%, higher than &lt;40K income borrowers in Low Risk grade (7.97%).</w:t>
            </w:r>
          </w:p>
        </w:tc>
      </w:tr>
      <w:tr>
        <w:tc>
          <w:tcPr>
            <w:tcBorders>
              <w:top w:val="none" w:color="FFFFFF" w:sz="0"/>
              <w:left w:val="single" w:color="1F5C8B" w:sz="6"/>
              <w:bottom w:val="single" w:color="1F5C8B" w:sz="6"/>
              <w:right w:val="none" w:color="FFFFFF" w:sz="0"/>
            </w:tcBorders>
            <w:shd w:fill="EEF4FA" w:val="clear"/>
            <w:tcMar>
              <w:top w:type="dxa" w:w="4"/>
              <w:left w:type="dxa" w:w="160"/>
              <w:bottom w:type="dxa" w:w="8"/>
              <w:right w:type="dxa" w:w="160"/>
            </w:tcMar>
          </w:tcPr>
          <w:p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5C8B" w:sz="6"/>
              <w:left w:val="single" w:color="1F5C8B" w:sz="6"/>
              <w:bottom w:val="none" w:color="FFFFFF" w:sz="0"/>
              <w:right w:val="none" w:color="FFFFFF" w:sz="0"/>
            </w:tcBorders>
            <w:shd w:fill="EEF4FA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8B"/>
                <w:sz w:val="22"/>
                <w:szCs w:val="22"/>
              </w:rPr>
              <w:t xml:space="preserve">Portfolio Composition Findings</w:t>
            </w:r>
          </w:p>
        </w:tc>
      </w:tr>
      <w:tr>
        <w:tc>
          <w:tcPr>
            <w:tcBorders>
              <w:top w:val="none" w:color="FFFFFF" w:sz="0"/>
              <w:left w:val="single" w:color="1F5C8B" w:sz="6"/>
              <w:bottom w:val="none" w:color="FFFFFF" w:sz="0"/>
              <w:right w:val="none" w:color="FFFFFF" w:sz="0"/>
            </w:tcBorders>
            <w:shd w:fill="EE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Debt consolidation accounts for 59.81% of all loans by volume — portfolio is heavily concentrated in a single purpose category, representing a concentration risk.</w:t>
            </w:r>
          </w:p>
        </w:tc>
      </w:tr>
      <w:tr>
        <w:tc>
          <w:tcPr>
            <w:tcBorders>
              <w:top w:val="none" w:color="FFFFFF" w:sz="0"/>
              <w:left w:val="single" w:color="1F5C8B" w:sz="6"/>
              <w:bottom w:val="none" w:color="FFFFFF" w:sz="0"/>
              <w:right w:val="none" w:color="FFFFFF" w:sz="0"/>
            </w:tcBorders>
            <w:shd w:fill="EE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High Risk grade loans represent only 8.34% of the portfolio by count but disproportionately drive default losses due to 26–40% default rates.</w:t>
            </w:r>
          </w:p>
        </w:tc>
      </w:tr>
      <w:tr>
        <w:tc>
          <w:tcPr>
            <w:tcBorders>
              <w:top w:val="none" w:color="FFFFFF" w:sz="0"/>
              <w:left w:val="single" w:color="1F5C8B" w:sz="6"/>
              <w:bottom w:val="none" w:color="FFFFFF" w:sz="0"/>
              <w:right w:val="none" w:color="FFFFFF" w:sz="0"/>
            </w:tcBorders>
            <w:shd w:fill="EE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Recovery rate is only 0.96% overall — for every $100 of defaulted principal, less than $1 is recovered, indicating very high net credit loss exposure.</w:t>
            </w:r>
          </w:p>
        </w:tc>
      </w:tr>
      <w:tr>
        <w:tc>
          <w:tcPr>
            <w:tcBorders>
              <w:top w:val="none" w:color="FFFFFF" w:sz="0"/>
              <w:left w:val="single" w:color="1F5C8B" w:sz="6"/>
              <w:bottom w:val="none" w:color="FFFFFF" w:sz="0"/>
              <w:right w:val="none" w:color="FFFFFF" w:sz="0"/>
            </w:tcBorders>
            <w:shd w:fill="EE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Texas ($293M) and California are the top two states by disbursement — geographic concentration in these states warrants state-level risk monitoring.</w:t>
            </w:r>
          </w:p>
        </w:tc>
      </w:tr>
      <w:tr>
        <w:tc>
          <w:tcPr>
            <w:tcBorders>
              <w:top w:val="none" w:color="FFFFFF" w:sz="0"/>
              <w:left w:val="single" w:color="1F5C8B" w:sz="6"/>
              <w:bottom w:val="single" w:color="1F5C8B" w:sz="6"/>
              <w:right w:val="none" w:color="FFFFFF" w:sz="0"/>
            </w:tcBorders>
            <w:shd w:fill="EEF4FA" w:val="clear"/>
            <w:tcMar>
              <w:top w:type="dxa" w:w="4"/>
              <w:left w:type="dxa" w:w="160"/>
              <w:bottom w:type="dxa" w:w="8"/>
              <w:right w:type="dxa" w:w="160"/>
            </w:tcMar>
          </w:tcPr>
          <w:p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5C8B" w:sz="6"/>
              <w:left w:val="single" w:color="1F5C8B" w:sz="6"/>
              <w:bottom w:val="none" w:color="FFFFFF" w:sz="0"/>
              <w:right w:val="none" w:color="FFFFFF" w:sz="0"/>
            </w:tcBorders>
            <w:shd w:fill="EEF4FA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8B"/>
                <w:sz w:val="22"/>
                <w:szCs w:val="22"/>
              </w:rPr>
              <w:t xml:space="preserve">Trend Findings</w:t>
            </w:r>
          </w:p>
        </w:tc>
      </w:tr>
      <w:tr>
        <w:tc>
          <w:tcPr>
            <w:tcBorders>
              <w:top w:val="none" w:color="FFFFFF" w:sz="0"/>
              <w:left w:val="single" w:color="1F5C8B" w:sz="6"/>
              <w:bottom w:val="none" w:color="FFFFFF" w:sz="0"/>
              <w:right w:val="none" w:color="FFFFFF" w:sz="0"/>
            </w:tcBorders>
            <w:shd w:fill="EE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Portfolio grew from near-zero in 2007 to $0.8bn annual disbursement by 2018 — consistent growth driven primarily by debt consolidation and credit card refinancing.</w:t>
            </w:r>
          </w:p>
        </w:tc>
      </w:tr>
      <w:tr>
        <w:tc>
          <w:tcPr>
            <w:tcBorders>
              <w:top w:val="none" w:color="FFFFFF" w:sz="0"/>
              <w:left w:val="single" w:color="1F5C8B" w:sz="6"/>
              <w:bottom w:val="none" w:color="FFFFFF" w:sz="0"/>
              <w:right w:val="none" w:color="FFFFFF" w:sz="0"/>
            </w:tcBorders>
            <w:shd w:fill="EE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Default rate was highest in 2007–2008 (27%) at the time of financial crisis, stabilised around 15% through 2012–2016, and appears near-zero in 2018 — the 2018 drop is a data recency effect, not genuine improvement.</w:t>
            </w:r>
          </w:p>
        </w:tc>
      </w:tr>
      <w:tr>
        <w:tc>
          <w:tcPr>
            <w:tcBorders>
              <w:top w:val="none" w:color="FFFFFF" w:sz="0"/>
              <w:left w:val="single" w:color="1F5C8B" w:sz="6"/>
              <w:bottom w:val="none" w:color="FFFFFF" w:sz="0"/>
              <w:right w:val="none" w:color="FFFFFF" w:sz="0"/>
            </w:tcBorders>
            <w:shd w:fill="EEF4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 Medium Risk loans grew as a share of portfolio from 2013 onwards, suggesting gradual risk appetite expansion during the post-crisis recovery period.</w:t>
            </w:r>
          </w:p>
        </w:tc>
      </w:tr>
      <w:tr>
        <w:tc>
          <w:tcPr>
            <w:tcBorders>
              <w:top w:val="none" w:color="FFFFFF" w:sz="0"/>
              <w:left w:val="single" w:color="1F5C8B" w:sz="6"/>
              <w:bottom w:val="single" w:color="1F5C8B" w:sz="6"/>
              <w:right w:val="none" w:color="FFFFFF" w:sz="0"/>
            </w:tcBorders>
            <w:shd w:fill="EEF4FA" w:val="clear"/>
            <w:tcMar>
              <w:top w:type="dxa" w:w="4"/>
              <w:left w:type="dxa" w:w="160"/>
              <w:bottom w:type="dxa" w:w="8"/>
              <w:right w:type="dxa" w:w="160"/>
            </w:tcMar>
          </w:tcPr>
          <w:p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pBdr>
          <w:bottom w:val="single" w:color="1F5C8B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5C8B"/>
          <w:sz w:val="28"/>
          <w:szCs w:val="28"/>
        </w:rPr>
        <w:t xml:space="preserve">6.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/ Library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3.x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 pipeline scripting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Pandas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 loading, cleaning, transformation, export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NumPy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Vectorised calculations, random sampling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SQLite3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Built-in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Database storage and SQL query execution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DB Browser for SQLite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3.x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SQL query UI and data validation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Microsoft Power BI Desktop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 modelling, DAX measures, dashboard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KPI calculations, conditional formatting, trend measures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GitHub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Version control and project publishing</w:t>
            </w:r>
          </w:p>
        </w:tc>
      </w:tr>
    </w:tbl>
    <w:p>
      <w:pPr>
        <w:pBdr>
          <w:bottom w:val="single" w:color="1F5C8B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5C8B"/>
          <w:sz w:val="28"/>
          <w:szCs w:val="28"/>
        </w:rPr>
        <w:t xml:space="preserve">7.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loan_cleaning.py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Python data cleaning and feature engineering script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loan_queries.sql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10 analytical SQL queries for risk and trend analysis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loan_dax_measures.dax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All Power BI DAX measures reference file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loan_cleaned.csv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Cleaned and engineered dataset (output of Python script)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loan_portfolio.db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SQLite database file with loan_data table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loan_dashboard.pbix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Power BI Desktop project file with all 3 pages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screenshots/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PNG exports of all 3 dashboard pages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README.md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GitHub project README with setup instructions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documentation.docx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This document — full project documentation</w:t>
            </w:r>
          </w:p>
        </w:tc>
      </w:tr>
    </w:tbl>
    <w:p>
      <w:pPr>
        <w:pBdr>
          <w:bottom w:val="single" w:color="1F5C8B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5C8B"/>
          <w:sz w:val="28"/>
          <w:szCs w:val="28"/>
        </w:rPr>
        <w:t xml:space="preserve">8. HOW TO REPRODUCE THIS PROJECT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Step 1 — Download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Visit: https://www.kaggle.com/datasets/wordsforthewise/lending-club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Download the CSV file (~1.55GB) to your local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Update FILE_PATH in loan_cleaning.py to match your download location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Step 2 — Run Python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Open terminal and run: python loan_cleaning.py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Script generates loan_cleaned.csv and loan_portfolio.db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Expected runtime: 2–5 minutes depending on hardware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Step 3 — Run SQL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Open DB Browser for SQLite → Open Database → select loan_portfolio.db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Click Execute SQL tab → paste queries from loan_queries.sql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Note: replace TOP 10 with LIMIT 10 (SQLite syntax difference from SQL Server)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F5C8B"/>
          <w:sz w:val="24"/>
          <w:szCs w:val="24"/>
        </w:rPr>
        <w:t xml:space="preserve">Step 4 — Open Power BI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Open loan_dashboard.pbix in Power BI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If data refresh needed: Home → Refresh → point to loan_cleaned.csv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All DAX measures and relationships are pre-configured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pBdr>
          <w:bottom w:val="single" w:color="1F5C8B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5C8B"/>
          <w:sz w:val="28"/>
          <w:szCs w:val="28"/>
        </w:rPr>
        <w:t xml:space="preserve">9. LIMITATIONS &amp;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10% random sampling: results are representative but not identical to full 2M record analysis. State-level rankings may differ from full dataset.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2018 default rate near zero: loans issued in 2018 have insufficient seasoning time to show defaults — this is a data recency effect, not genuine risk improvement.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DTI 40+ band: smaller sample size in this band — interpret default rate with caution relative to other bands.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Recovery rate (0.96%): this reflects the dataset's reported recovery figures. Actual institutional recovery rates may differ based on collection practices not captured 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US-only dataset: geographic insights apply to the US lending market and should not be generalised to other markets.</w:t>
      </w:r>
    </w:p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pBdr>
          <w:bottom w:val="single" w:color="1F5C8B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F5C8B"/>
          <w:sz w:val="28"/>
          <w:szCs w:val="28"/>
        </w:rPr>
        <w:t xml:space="preserve">10. AUTHOR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Shiva Kumar Devatha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Profile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 Analyst — 2.5 years experience, BFSI domain, TCS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Skills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SQL · Python · Power BI · ETL · TCS BaNCS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LinkedIn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linkedin.com/in/shivakumardevatha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github.com/shivakumar1507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devathashivakumar@gmail.com</w:t>
            </w:r>
          </w:p>
        </w:tc>
      </w:tr>
    </w:tbl>
    <w:p>
      <w:pP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This project was built as part of a personal portfolio to demonstrate end-to-end data analytics capability in the BFSI domain, covering Python data engineering, SQL analytical querying, and Power BI business intelligence reporting.</w:t>
      </w:r>
    </w:p>
    <w:sectPr>
      <w:pgSz w:w="12240" w:h="15840" w:orient="portrait"/>
      <w:pgMar w:top="1080" w:right="1100" w:bottom="108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  <w:lvl w:ilvl="1" w15:tentative="1">
      <w:start w:val="1"/>
      <w:numFmt w:val="bullet"/>
      <w:lvlText w:val="◦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2026-05-31T15:21:21.293Z</dcterms:created>
  <dcterms:modified xsi:type="dcterms:W3CDTF">2026-05-31T15:21:21.310Z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