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Executive Summary</w:t>
      </w:r>
    </w:p>
    <w:p>
      <w:pPr>
        <w:spacing w:after="40"/>
        <w:jc w:val="center"/>
      </w:pPr>
      <w:r>
        <w:rPr>
          <w:i/>
          <w:iCs/>
          <w:sz w:val="26"/>
          <w:szCs w:val="26"/>
        </w:rPr>
        <w:t xml:space="preserve">Factory-to-Customer Shipping Route Efficiency Analysis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Nassau Candy Distributor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for: Government &amp; Regulatory Stakeholders</w:t>
      </w:r>
    </w:p>
    <w:p>
      <w:pPr>
        <w:spacing w:after="400"/>
        <w:jc w:val="center"/>
      </w:pPr>
      <w:r>
        <w:rPr>
          <w:sz w:val="22"/>
          <w:szCs w:val="22"/>
        </w:rPr>
        <w:t xml:space="preserve">Prepared by: Ganesh Gugulothu, IIIT Vadodara</w:t>
      </w:r>
    </w:p>
    <w:p>
      <w:pPr>
        <w:pStyle w:val="Heading1"/>
        <w:spacing w:after="120" w:before="260"/>
      </w:pPr>
      <w:r>
        <w:t xml:space="preserve">Purpose</w:t>
      </w:r>
    </w:p>
    <w:p>
      <w:pPr>
        <w:spacing w:after="160" w:line="276"/>
        <w:jc w:val="both"/>
      </w:pPr>
      <w:r>
        <w:t xml:space="preserve">Nassau Candy Distributor ships candy from five factories to customers across the United States and Canada. This summary presents the outcome of a route-level efficiency analysis conducted on the company's order and shipment records, intended to give stakeholders a clear, non-technical view of where the logistics network performs well and where it does not.</w:t>
      </w:r>
    </w:p>
    <w:p>
      <w:pPr>
        <w:pStyle w:val="Heading1"/>
        <w:spacing w:after="120" w:before="260"/>
      </w:pPr>
      <w:r>
        <w:t xml:space="preserve">Approach</w:t>
      </w:r>
    </w:p>
    <w:p>
      <w:pPr>
        <w:spacing w:after="160" w:line="276"/>
        <w:jc w:val="both"/>
      </w:pPr>
      <w:r>
        <w:t xml:space="preserve">Order and shipment data covering 10,194 shipments (January 2024 to December 2025) was cleaned and enriched with a shipping lead time measure — the number of days between an order being placed and the corresponding shipment leaving. Every product was linked back to the factory that manufactures it using the company's own product-factory reference table, allowing each shipment to be assigned to a specific route: Factory to Customer State. Routes were then ranked, compared across shipping methods, and cross-checked against shipment volume to identify where delays are concentrated rather than incidental.</w:t>
      </w:r>
    </w:p>
    <w:p>
      <w:pPr>
        <w:pStyle w:val="Heading1"/>
        <w:spacing w:after="120" w:before="260"/>
      </w:pPr>
      <w:r>
        <w:t xml:space="preserve">Headline Findings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Two of the five factories — Lot's O' Nuts and Wicked Choccy's — handle roughly 96.5% of all shipments, so overall performance figures are, in practice, mostly a reflection of these two sites.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Standard Class, the most commonly used shipping method, is also the fastest on average. First Class, typically expected to be a premium/faster tier, is the slowest of the four methods — a result that warrants a closer operational look.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Differences between regions are small, but differences between individual states and routes are substantial — some routes run over 300 days slower on average than the fastest comparable route.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Five states — Tennessee, Washington, Georgia, Colorado, and North Carolina — combine higher-than-average shipment volume with higher-than-average delay, making them the clearest candidates for process improvement. Washington is the highest priority given its shipment volume.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Order value has no measurable relationship with shipping speed — larger orders are not shipped any faster or slower than smaller ones.</w:t>
      </w:r>
    </w:p>
    <w:p>
      <w:pPr>
        <w:pStyle w:val="Heading1"/>
        <w:spacing w:after="120" w:before="26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the First Class shipping arrangement, since a premium-labeled service performing worse than standard shipping points to either a carrier issue or a process gap.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Direct process-improvement efforts first at the five bottleneck states identified above, prioritizing Washington given its shipment volume.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Focus logistics audits on the two highest-volume factories, since improvements there affect the large majority of total shipping activity.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 the accuracy of the order-date and ship-date fields against the source system, given the unusually large absolute lead times observed in this export.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Treat this as a recurring review rather than a one-time report — the accompanying dashboard is built to be re-run as new shipment data becomes available.</w:t>
      </w:r>
    </w:p>
    <w:p>
      <w:pPr>
        <w:pStyle w:val="Heading1"/>
        <w:spacing w:after="120" w:before="26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live, filterable Streamlit dashboard covering route efficiency, geographic bottlenecks, ship-mode comparison, and order-level drill-down.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full research paper documenting the data cleaning, methodology, exploratory analysis, and findings behind this summary.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This executive summary, intended for stakeholders who need the headline story without reviewing the underlying analysis directly.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Executive Summary — Nassau Candy Distributor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2026-07-22T06:47:44.652Z</dcterms:created>
  <dcterms:modified xsi:type="dcterms:W3CDTF">2026-07-22T06:47:44.653Z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