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0"/>
          <w:szCs w:val="40"/>
        </w:rPr>
        <w:t xml:space="preserve">Factory-to-Customer Shipping Route Efficiency Analysis</w:t>
      </w:r>
    </w:p>
    <w:p>
      <w:pPr>
        <w:spacing w:after="400"/>
        <w:jc w:val="center"/>
      </w:pPr>
      <w:r>
        <w:rPr>
          <w:b/>
          <w:bCs/>
          <w:sz w:val="32"/>
          <w:szCs w:val="32"/>
        </w:rPr>
        <w:t xml:space="preserve">for Nassau Candy Distributor</w:t>
      </w:r>
    </w:p>
    <w:p>
      <w:pPr>
        <w:spacing w:after="800"/>
        <w:jc w:val="center"/>
      </w:pPr>
      <w:r>
        <w:rPr>
          <w:i/>
          <w:iCs/>
          <w:sz w:val="26"/>
          <w:szCs w:val="26"/>
        </w:rPr>
        <w:t xml:space="preserve">Research Paper — Exploratory Data Analysis, Insights &amp; Recommendations</w:t>
      </w:r>
    </w:p>
    <w:p>
      <w:pPr>
        <w:spacing w:after="60"/>
        <w:jc w:val="center"/>
      </w:pPr>
      <w:r>
        <w:rPr>
          <w:sz w:val="24"/>
          <w:szCs w:val="24"/>
        </w:rPr>
        <w:t xml:space="preserve">Ganesh Gugulothu</w:t>
      </w:r>
    </w:p>
    <w:p>
      <w:pPr>
        <w:spacing w:after="60"/>
        <w:jc w:val="center"/>
      </w:pPr>
      <w:r>
        <w:rPr>
          <w:sz w:val="22"/>
          <w:szCs w:val="22"/>
        </w:rPr>
        <w:t xml:space="preserve">Indian Institute of Information Technology, Vadodara</w:t>
      </w:r>
    </w:p>
    <w:p>
      <w:pPr>
        <w:spacing w:after="60"/>
        <w:jc w:val="center"/>
      </w:pPr>
      <w:r>
        <w:rPr>
          <w:sz w:val="22"/>
          <w:szCs w:val="22"/>
        </w:rPr>
        <w:t xml:space="preserve">Submitted to: Unified Mentor</w:t>
      </w:r>
    </w:p>
    <w:p>
      <w:pPr>
        <w:jc w:val="center"/>
      </w:pPr>
      <w:r>
        <w:rPr>
          <w:color w:val="555555"/>
          <w:sz w:val="22"/>
          <w:szCs w:val="22"/>
        </w:rPr>
        <w:t xml:space="preserve">July 2026</w:t>
      </w:r>
    </w:p>
    <w:p>
      <w:r>
        <w:br w:type="page"/>
      </w:r>
    </w:p>
    <w:p>
      <w:pPr>
        <w:pStyle w:val="Heading1"/>
        <w:spacing w:after="140" w:before="280"/>
      </w:pPr>
      <w:r>
        <w:t xml:space="preserve">Abstract</w:t>
      </w:r>
    </w:p>
    <w:p>
      <w:pPr>
        <w:spacing w:after="160" w:line="276"/>
        <w:jc w:val="both"/>
      </w:pPr>
      <w:r>
        <w:t xml:space="preserve">Nassau Candy Distributor ships confectionery products from five factories to customers across the United States and Canada, generating a detailed record of order and shipment activity. Despite the volume and granularity of this data, the organization had no systematic way of identifying which factory-to-customer routes performed well and which ones consistently ran slow, leaving logistics decisions to be made reactively rather than from evidence. This paper documents an end-to-end analysis of 10,194 shipment records: cleaning the raw export, engineering a shipping lead time metric and a route label for every order, and aggregating that data to rank routes, compare shipping methods, and surface geographic bottlenecks. The analysis finds that shipment volume is concentrated almost entirely in two factories, that shipping method has a measurable but modest effect on lead time, and that a small number of states are responsible for a disproportionate share of both volume and delay. These findings are translated into a short set of operational recommendations, and the same pipeline is exposed as an interactive Streamlit dashboard so that the analysis can be re-run against future data exports rather than treated as a one-off report.</w:t>
      </w:r>
    </w:p>
    <w:p>
      <w:pPr>
        <w:pStyle w:val="Heading1"/>
        <w:spacing w:after="140" w:before="280"/>
      </w:pPr>
      <w:r>
        <w:t xml:space="preserve">1. Introduction</w:t>
      </w:r>
    </w:p>
    <w:p>
      <w:pPr>
        <w:pStyle w:val="Heading2"/>
        <w:spacing w:after="140" w:before="280"/>
      </w:pPr>
      <w:r>
        <w:t xml:space="preserve">1.1 Background</w:t>
      </w:r>
    </w:p>
    <w:p>
      <w:pPr>
        <w:spacing w:after="160" w:line="276"/>
        <w:jc w:val="both"/>
      </w:pPr>
      <w:r>
        <w:t xml:space="preserve">Nassau Candy Distributor operates as a national distributor of candy and confectionery products, shipping from a small number of manufacturing sites to customers spread across four broad regions and dozens of states and provinces. In distribution operations of this kind, shipping efficiency is not a peripheral concern — it directly shapes customer satisfaction, and consistent delays quietly raise operational cost by forcing rework, expedited re-shipping, or customer service intervention. Inefficient routes also cap how far the business can scale, since problems that are invisible at a small volume become expensive at a large one.</w:t>
      </w:r>
    </w:p>
    <w:p>
      <w:pPr>
        <w:spacing w:after="160" w:line="276"/>
        <w:jc w:val="both"/>
      </w:pPr>
      <w:r>
        <w:t xml:space="preserve">The company already collects rich order-level and shipment-level data — order date, ship date, shipping method, customer location, product, sales value, and cost — but this data had never been organized around the idea of a 'route'. Without that lens, two questions that matter enormously to logistics planning went unanswered: which lanes are reliable, and which ones need attention.</w:t>
      </w:r>
    </w:p>
    <w:p>
      <w:pPr>
        <w:pStyle w:val="Heading2"/>
        <w:spacing w:after="140" w:before="280"/>
      </w:pPr>
      <w:r>
        <w:t xml:space="preserve">1.2 Problem Statement</w:t>
      </w:r>
    </w:p>
    <w:p>
      <w:pPr>
        <w:spacing w:after="160" w:line="276"/>
        <w:jc w:val="both"/>
      </w:pPr>
      <w:r>
        <w:t xml:space="preserve">Specifically, prior to this analysis, the organization lacked clarity on four points:</w:t>
      </w:r>
    </w:p>
    <w:p>
      <w:pPr>
        <w:pStyle w:val="ListParagraph"/>
        <w:numPr>
          <w:ilvl w:val="0"/>
          <w:numId w:val="1"/>
        </w:numPr>
        <w:spacing w:after="80"/>
      </w:pPr>
      <w:r>
        <w:t xml:space="preserve">Which factory-to-customer routes are consistently efficient, and which are not.</w:t>
      </w:r>
    </w:p>
    <w:p>
      <w:pPr>
        <w:pStyle w:val="ListParagraph"/>
        <w:numPr>
          <w:ilvl w:val="0"/>
          <w:numId w:val="1"/>
        </w:numPr>
        <w:spacing w:after="80"/>
      </w:pPr>
      <w:r>
        <w:t xml:space="preserve">Which routes experience frequent delays, and how severe those delays are.</w:t>
      </w:r>
    </w:p>
    <w:p>
      <w:pPr>
        <w:pStyle w:val="ListParagraph"/>
        <w:numPr>
          <w:ilvl w:val="0"/>
          <w:numId w:val="1"/>
        </w:numPr>
        <w:spacing w:after="80"/>
      </w:pPr>
      <w:r>
        <w:t xml:space="preserve">How shipping performance varies by region, state, and shipping method.</w:t>
      </w:r>
    </w:p>
    <w:p>
      <w:pPr>
        <w:pStyle w:val="ListParagraph"/>
        <w:numPr>
          <w:ilvl w:val="0"/>
          <w:numId w:val="1"/>
        </w:numPr>
        <w:spacing w:after="80"/>
      </w:pPr>
      <w:r>
        <w:t xml:space="preserve">Where operational bottlenecks exist geographically.</w:t>
      </w:r>
    </w:p>
    <w:p>
      <w:pPr>
        <w:spacing w:after="160" w:line="276"/>
        <w:jc w:val="both"/>
      </w:pPr>
      <w:r>
        <w:t xml:space="preserve">Without this visibility, any attempt at logistics optimization is necessarily reactive — problems are noticed only after a customer complains, rather than being identified from the data that already describes them.</w:t>
      </w:r>
    </w:p>
    <w:p>
      <w:pPr>
        <w:pStyle w:val="Heading2"/>
        <w:spacing w:after="140" w:before="280"/>
      </w:pPr>
      <w:r>
        <w:t xml:space="preserve">1.3 Objectives</w:t>
      </w:r>
    </w:p>
    <w:p>
      <w:pPr>
        <w:spacing w:after="160" w:line="276"/>
        <w:jc w:val="both"/>
      </w:pPr>
      <w:r>
        <w:t xml:space="preserve">This paper has three goals. First, to build a clean, reproducible data pipeline that converts the raw Nassau Candy order export into route-level metrics. Second, to use that pipeline to answer the four questions above with actual numbers from the dataset, rather than assumptions. Third, to package the analysis as a live, filterable Streamlit dashboard, so that the same questions can be asked again the next time the data is refreshed, instead of requiring a fresh manual analysis each time.</w:t>
      </w:r>
    </w:p>
    <w:p>
      <w:pPr>
        <w:pStyle w:val="Heading1"/>
        <w:spacing w:after="140" w:before="280"/>
      </w:pPr>
      <w:r>
        <w:t xml:space="preserve">2. Dataset Description</w:t>
      </w:r>
    </w:p>
    <w:p>
      <w:pPr>
        <w:spacing w:after="160" w:line="276"/>
        <w:jc w:val="both"/>
      </w:pPr>
      <w:r>
        <w:t xml:space="preserve">The dataset consists of 10,195 order-line records (10,194 after cleaning) spanning order dates from 2 January 2024 through 31 December 2025. Each row represents a single product line item within an order and carries the fields summarized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2E4057" w:val="clear"/>
          </w:tcPr>
          <w:p>
            <w:r>
              <w:rPr>
                <w:b/>
                <w:bCs/>
                <w:color w:val="FFFFFF"/>
                <w:sz w:val="20"/>
                <w:szCs w:val="20"/>
              </w:rPr>
              <w:t xml:space="preserve">Field</w:t>
            </w:r>
          </w:p>
        </w:tc>
        <w:tc>
          <w:tcPr>
            <w:tcW w:type="dxa" w:w="6552"/>
            <w:shd w:fill="2E4057" w:val="clear"/>
          </w:tcPr>
          <w:p>
            <w:r>
              <w:rPr>
                <w:b/>
                <w:bCs/>
                <w:color w:val="FFFFFF"/>
                <w:sz w:val="20"/>
                <w:szCs w:val="20"/>
              </w:rPr>
              <w:t xml:space="preserve">Description</w:t>
            </w:r>
          </w:p>
        </w:tc>
      </w:tr>
      <w:tr>
        <w:tc>
          <w:tcPr>
            <w:tcW w:type="dxa" w:w="2808"/>
          </w:tcPr>
          <w:p>
            <w:r>
              <w:rPr>
                <w:sz w:val="20"/>
                <w:szCs w:val="20"/>
              </w:rPr>
              <w:t xml:space="preserve">Row ID / Order ID</w:t>
            </w:r>
          </w:p>
        </w:tc>
        <w:tc>
          <w:tcPr>
            <w:tcW w:type="dxa" w:w="6552"/>
          </w:tcPr>
          <w:p>
            <w:r>
              <w:rPr>
                <w:sz w:val="20"/>
                <w:szCs w:val="20"/>
              </w:rPr>
              <w:t xml:space="preserve">Unique identifiers for the line item and the parent order</w:t>
            </w:r>
          </w:p>
        </w:tc>
      </w:tr>
      <w:tr>
        <w:tc>
          <w:tcPr>
            <w:tcW w:type="dxa" w:w="2808"/>
          </w:tcPr>
          <w:p>
            <w:r>
              <w:rPr>
                <w:sz w:val="20"/>
                <w:szCs w:val="20"/>
              </w:rPr>
              <w:t xml:space="preserve">Order Date / Ship Date</w:t>
            </w:r>
          </w:p>
        </w:tc>
        <w:tc>
          <w:tcPr>
            <w:tcW w:type="dxa" w:w="6552"/>
          </w:tcPr>
          <w:p>
            <w:r>
              <w:rPr>
                <w:sz w:val="20"/>
                <w:szCs w:val="20"/>
              </w:rPr>
              <w:t xml:space="preserve">Date the order was placed and the date it shipped</w:t>
            </w:r>
          </w:p>
        </w:tc>
      </w:tr>
      <w:tr>
        <w:tc>
          <w:tcPr>
            <w:tcW w:type="dxa" w:w="2808"/>
          </w:tcPr>
          <w:p>
            <w:r>
              <w:rPr>
                <w:sz w:val="20"/>
                <w:szCs w:val="20"/>
              </w:rPr>
              <w:t xml:space="preserve">Ship Mode</w:t>
            </w:r>
          </w:p>
        </w:tc>
        <w:tc>
          <w:tcPr>
            <w:tcW w:type="dxa" w:w="6552"/>
          </w:tcPr>
          <w:p>
            <w:r>
              <w:rPr>
                <w:sz w:val="20"/>
                <w:szCs w:val="20"/>
              </w:rPr>
              <w:t xml:space="preserve">Standard Class, Second Class, First Class, or Same Day</w:t>
            </w:r>
          </w:p>
        </w:tc>
      </w:tr>
      <w:tr>
        <w:tc>
          <w:tcPr>
            <w:tcW w:type="dxa" w:w="2808"/>
          </w:tcPr>
          <w:p>
            <w:r>
              <w:rPr>
                <w:sz w:val="20"/>
                <w:szCs w:val="20"/>
              </w:rPr>
              <w:t xml:space="preserve">Customer ID, City, State/Province, Postal Code</w:t>
            </w:r>
          </w:p>
        </w:tc>
        <w:tc>
          <w:tcPr>
            <w:tcW w:type="dxa" w:w="6552"/>
          </w:tcPr>
          <w:p>
            <w:r>
              <w:rPr>
                <w:sz w:val="20"/>
                <w:szCs w:val="20"/>
              </w:rPr>
              <w:t xml:space="preserve">Customer location fields</w:t>
            </w:r>
          </w:p>
        </w:tc>
      </w:tr>
      <w:tr>
        <w:tc>
          <w:tcPr>
            <w:tcW w:type="dxa" w:w="2808"/>
          </w:tcPr>
          <w:p>
            <w:r>
              <w:rPr>
                <w:sz w:val="20"/>
                <w:szCs w:val="20"/>
              </w:rPr>
              <w:t xml:space="preserve">Country/Region</w:t>
            </w:r>
          </w:p>
        </w:tc>
        <w:tc>
          <w:tcPr>
            <w:tcW w:type="dxa" w:w="6552"/>
          </w:tcPr>
          <w:p>
            <w:r>
              <w:rPr>
                <w:sz w:val="20"/>
                <w:szCs w:val="20"/>
              </w:rPr>
              <w:t xml:space="preserve">United States or Canada</w:t>
            </w:r>
          </w:p>
        </w:tc>
      </w:tr>
      <w:tr>
        <w:tc>
          <w:tcPr>
            <w:tcW w:type="dxa" w:w="2808"/>
          </w:tcPr>
          <w:p>
            <w:r>
              <w:rPr>
                <w:sz w:val="20"/>
                <w:szCs w:val="20"/>
              </w:rPr>
              <w:t xml:space="preserve">Division, Region</w:t>
            </w:r>
          </w:p>
        </w:tc>
        <w:tc>
          <w:tcPr>
            <w:tcW w:type="dxa" w:w="6552"/>
          </w:tcPr>
          <w:p>
            <w:r>
              <w:rPr>
                <w:sz w:val="20"/>
                <w:szCs w:val="20"/>
              </w:rPr>
              <w:t xml:space="preserve">Product division and the customer's sales region</w:t>
            </w:r>
          </w:p>
        </w:tc>
      </w:tr>
      <w:tr>
        <w:tc>
          <w:tcPr>
            <w:tcW w:type="dxa" w:w="2808"/>
          </w:tcPr>
          <w:p>
            <w:r>
              <w:rPr>
                <w:sz w:val="20"/>
                <w:szCs w:val="20"/>
              </w:rPr>
              <w:t xml:space="preserve">Product ID / Product Name</w:t>
            </w:r>
          </w:p>
        </w:tc>
        <w:tc>
          <w:tcPr>
            <w:tcW w:type="dxa" w:w="6552"/>
          </w:tcPr>
          <w:p>
            <w:r>
              <w:rPr>
                <w:sz w:val="20"/>
                <w:szCs w:val="20"/>
              </w:rPr>
              <w:t xml:space="preserve">The specific candy product ordered</w:t>
            </w:r>
          </w:p>
        </w:tc>
      </w:tr>
      <w:tr>
        <w:tc>
          <w:tcPr>
            <w:tcW w:type="dxa" w:w="2808"/>
          </w:tcPr>
          <w:p>
            <w:r>
              <w:rPr>
                <w:sz w:val="20"/>
                <w:szCs w:val="20"/>
              </w:rPr>
              <w:t xml:space="preserve">Sales, Units, Gross Profit, Cost</w:t>
            </w:r>
          </w:p>
        </w:tc>
        <w:tc>
          <w:tcPr>
            <w:tcW w:type="dxa" w:w="6552"/>
          </w:tcPr>
          <w:p>
            <w:r>
              <w:rPr>
                <w:sz w:val="20"/>
                <w:szCs w:val="20"/>
              </w:rPr>
              <w:t xml:space="preserve">Financial and quantity fields for the line item</w:t>
            </w:r>
          </w:p>
        </w:tc>
      </w:tr>
    </w:tbl>
    <w:p>
      <w:pPr>
        <w:spacing w:after="160" w:line="276"/>
        <w:jc w:val="both"/>
      </w:pPr>
      <w:r>
        <w:t xml:space="preserve"/>
      </w:r>
    </w:p>
    <w:p>
      <w:pPr>
        <w:spacing w:after="160" w:line="276"/>
        <w:jc w:val="both"/>
      </w:pPr>
      <w:r>
        <w:t xml:space="preserve">The dataset does not include a factory field directly. However, the project brief supplies a fixed product-to-factory correlation table — every one of the 15 distinct products is manufactured at exactly one of five factories — along with the GPS coordinates of each factory. That lookup table was used to attach a Factory column to every row, which in turn makes it possible to define a route as Factory → Customer State (or, at a coarser level, Factory → Customer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059"/>
        <w:gridCol w:w="2059"/>
        <w:gridCol w:w="2434"/>
      </w:tblGrid>
      <w:tr>
        <w:trPr>
          <w:tblHeader/>
        </w:trPr>
        <w:tc>
          <w:tcPr>
            <w:tcW w:type="dxa" w:w="2808"/>
            <w:shd w:fill="2E4057" w:val="clear"/>
          </w:tcPr>
          <w:p>
            <w:r>
              <w:rPr>
                <w:b/>
                <w:bCs/>
                <w:color w:val="FFFFFF"/>
                <w:sz w:val="20"/>
                <w:szCs w:val="20"/>
              </w:rPr>
              <w:t xml:space="preserve">Factory</w:t>
            </w:r>
          </w:p>
        </w:tc>
        <w:tc>
          <w:tcPr>
            <w:tcW w:type="dxa" w:w="2059"/>
            <w:shd w:fill="2E4057" w:val="clear"/>
          </w:tcPr>
          <w:p>
            <w:r>
              <w:rPr>
                <w:b/>
                <w:bCs/>
                <w:color w:val="FFFFFF"/>
                <w:sz w:val="20"/>
                <w:szCs w:val="20"/>
              </w:rPr>
              <w:t xml:space="preserve">Latitude</w:t>
            </w:r>
          </w:p>
        </w:tc>
        <w:tc>
          <w:tcPr>
            <w:tcW w:type="dxa" w:w="2059"/>
            <w:shd w:fill="2E4057" w:val="clear"/>
          </w:tcPr>
          <w:p>
            <w:r>
              <w:rPr>
                <w:b/>
                <w:bCs/>
                <w:color w:val="FFFFFF"/>
                <w:sz w:val="20"/>
                <w:szCs w:val="20"/>
              </w:rPr>
              <w:t xml:space="preserve">Longitude</w:t>
            </w:r>
          </w:p>
        </w:tc>
        <w:tc>
          <w:tcPr>
            <w:tcW w:type="dxa" w:w="2434"/>
            <w:shd w:fill="2E4057" w:val="clear"/>
          </w:tcPr>
          <w:p>
            <w:r>
              <w:rPr>
                <w:b/>
                <w:bCs/>
                <w:color w:val="FFFFFF"/>
                <w:sz w:val="20"/>
                <w:szCs w:val="20"/>
              </w:rPr>
              <w:t xml:space="preserve">Share of Shipments</w:t>
            </w:r>
          </w:p>
        </w:tc>
      </w:tr>
      <w:tr>
        <w:tc>
          <w:tcPr>
            <w:tcW w:type="dxa" w:w="2808"/>
          </w:tcPr>
          <w:p>
            <w:r>
              <w:rPr>
                <w:sz w:val="20"/>
                <w:szCs w:val="20"/>
              </w:rPr>
              <w:t xml:space="preserve">Lot's O' Nuts</w:t>
            </w:r>
          </w:p>
        </w:tc>
        <w:tc>
          <w:tcPr>
            <w:tcW w:type="dxa" w:w="2059"/>
          </w:tcPr>
          <w:p>
            <w:r>
              <w:rPr>
                <w:sz w:val="20"/>
                <w:szCs w:val="20"/>
              </w:rPr>
              <w:t xml:space="preserve">32.881893</w:t>
            </w:r>
          </w:p>
        </w:tc>
        <w:tc>
          <w:tcPr>
            <w:tcW w:type="dxa" w:w="2059"/>
          </w:tcPr>
          <w:p>
            <w:r>
              <w:rPr>
                <w:sz w:val="20"/>
                <w:szCs w:val="20"/>
              </w:rPr>
              <w:t xml:space="preserve">-111.768036</w:t>
            </w:r>
          </w:p>
        </w:tc>
        <w:tc>
          <w:tcPr>
            <w:tcW w:type="dxa" w:w="2434"/>
          </w:tcPr>
          <w:p>
            <w:r>
              <w:rPr>
                <w:sz w:val="20"/>
                <w:szCs w:val="20"/>
              </w:rPr>
              <w:t xml:space="preserve">55.8%</w:t>
            </w:r>
          </w:p>
        </w:tc>
      </w:tr>
      <w:tr>
        <w:tc>
          <w:tcPr>
            <w:tcW w:type="dxa" w:w="2808"/>
          </w:tcPr>
          <w:p>
            <w:r>
              <w:rPr>
                <w:sz w:val="20"/>
                <w:szCs w:val="20"/>
              </w:rPr>
              <w:t xml:space="preserve">Wicked Choccy's</w:t>
            </w:r>
          </w:p>
        </w:tc>
        <w:tc>
          <w:tcPr>
            <w:tcW w:type="dxa" w:w="2059"/>
          </w:tcPr>
          <w:p>
            <w:r>
              <w:rPr>
                <w:sz w:val="20"/>
                <w:szCs w:val="20"/>
              </w:rPr>
              <w:t xml:space="preserve">32.076176</w:t>
            </w:r>
          </w:p>
        </w:tc>
        <w:tc>
          <w:tcPr>
            <w:tcW w:type="dxa" w:w="2059"/>
          </w:tcPr>
          <w:p>
            <w:r>
              <w:rPr>
                <w:sz w:val="20"/>
                <w:szCs w:val="20"/>
              </w:rPr>
              <w:t xml:space="preserve">-81.088371</w:t>
            </w:r>
          </w:p>
        </w:tc>
        <w:tc>
          <w:tcPr>
            <w:tcW w:type="dxa" w:w="2434"/>
          </w:tcPr>
          <w:p>
            <w:r>
              <w:rPr>
                <w:sz w:val="20"/>
                <w:szCs w:val="20"/>
              </w:rPr>
              <w:t xml:space="preserve">40.7%</w:t>
            </w:r>
          </w:p>
        </w:tc>
      </w:tr>
      <w:tr>
        <w:tc>
          <w:tcPr>
            <w:tcW w:type="dxa" w:w="2808"/>
          </w:tcPr>
          <w:p>
            <w:r>
              <w:rPr>
                <w:sz w:val="20"/>
                <w:szCs w:val="20"/>
              </w:rPr>
              <w:t xml:space="preserve">Secret Factory</w:t>
            </w:r>
          </w:p>
        </w:tc>
        <w:tc>
          <w:tcPr>
            <w:tcW w:type="dxa" w:w="2059"/>
          </w:tcPr>
          <w:p>
            <w:r>
              <w:rPr>
                <w:sz w:val="20"/>
                <w:szCs w:val="20"/>
              </w:rPr>
              <w:t xml:space="preserve">41.446333</w:t>
            </w:r>
          </w:p>
        </w:tc>
        <w:tc>
          <w:tcPr>
            <w:tcW w:type="dxa" w:w="2059"/>
          </w:tcPr>
          <w:p>
            <w:r>
              <w:rPr>
                <w:sz w:val="20"/>
                <w:szCs w:val="20"/>
              </w:rPr>
              <w:t xml:space="preserve">-90.565487</w:t>
            </w:r>
          </w:p>
        </w:tc>
        <w:tc>
          <w:tcPr>
            <w:tcW w:type="dxa" w:w="2434"/>
          </w:tcPr>
          <w:p>
            <w:r>
              <w:rPr>
                <w:sz w:val="20"/>
                <w:szCs w:val="20"/>
              </w:rPr>
              <w:t xml:space="preserve">2.1%</w:t>
            </w:r>
          </w:p>
        </w:tc>
      </w:tr>
      <w:tr>
        <w:tc>
          <w:tcPr>
            <w:tcW w:type="dxa" w:w="2808"/>
          </w:tcPr>
          <w:p>
            <w:r>
              <w:rPr>
                <w:sz w:val="20"/>
                <w:szCs w:val="20"/>
              </w:rPr>
              <w:t xml:space="preserve">The Other Factory</w:t>
            </w:r>
          </w:p>
        </w:tc>
        <w:tc>
          <w:tcPr>
            <w:tcW w:type="dxa" w:w="2059"/>
          </w:tcPr>
          <w:p>
            <w:r>
              <w:rPr>
                <w:sz w:val="20"/>
                <w:szCs w:val="20"/>
              </w:rPr>
              <w:t xml:space="preserve">35.117500</w:t>
            </w:r>
          </w:p>
        </w:tc>
        <w:tc>
          <w:tcPr>
            <w:tcW w:type="dxa" w:w="2059"/>
          </w:tcPr>
          <w:p>
            <w:r>
              <w:rPr>
                <w:sz w:val="20"/>
                <w:szCs w:val="20"/>
              </w:rPr>
              <w:t xml:space="preserve">-89.971107</w:t>
            </w:r>
          </w:p>
        </w:tc>
        <w:tc>
          <w:tcPr>
            <w:tcW w:type="dxa" w:w="2434"/>
          </w:tcPr>
          <w:p>
            <w:r>
              <w:rPr>
                <w:sz w:val="20"/>
                <w:szCs w:val="20"/>
              </w:rPr>
              <w:t xml:space="preserve">1.0%</w:t>
            </w:r>
          </w:p>
        </w:tc>
      </w:tr>
      <w:tr>
        <w:tc>
          <w:tcPr>
            <w:tcW w:type="dxa" w:w="2808"/>
          </w:tcPr>
          <w:p>
            <w:r>
              <w:rPr>
                <w:sz w:val="20"/>
                <w:szCs w:val="20"/>
              </w:rPr>
              <w:t xml:space="preserve">Sugar Shack</w:t>
            </w:r>
          </w:p>
        </w:tc>
        <w:tc>
          <w:tcPr>
            <w:tcW w:type="dxa" w:w="2059"/>
          </w:tcPr>
          <w:p>
            <w:r>
              <w:rPr>
                <w:sz w:val="20"/>
                <w:szCs w:val="20"/>
              </w:rPr>
              <w:t xml:space="preserve">48.119140</w:t>
            </w:r>
          </w:p>
        </w:tc>
        <w:tc>
          <w:tcPr>
            <w:tcW w:type="dxa" w:w="2059"/>
          </w:tcPr>
          <w:p>
            <w:r>
              <w:rPr>
                <w:sz w:val="20"/>
                <w:szCs w:val="20"/>
              </w:rPr>
              <w:t xml:space="preserve">-96.181150</w:t>
            </w:r>
          </w:p>
        </w:tc>
        <w:tc>
          <w:tcPr>
            <w:tcW w:type="dxa" w:w="2434"/>
          </w:tcPr>
          <w:p>
            <w:r>
              <w:rPr>
                <w:sz w:val="20"/>
                <w:szCs w:val="20"/>
              </w:rPr>
              <w:t xml:space="preserve">0.3%</w:t>
            </w:r>
          </w:p>
        </w:tc>
      </w:tr>
    </w:tbl>
    <w:p>
      <w:pPr>
        <w:spacing w:after="160" w:line="276"/>
        <w:jc w:val="both"/>
      </w:pPr>
      <w:r>
        <w:t xml:space="preserve"/>
      </w:r>
    </w:p>
    <w:p>
      <w:pPr>
        <w:spacing w:after="160" w:line="276"/>
        <w:jc w:val="both"/>
      </w:pPr>
      <w:r>
        <w:t xml:space="preserve">This imbalance is itself a finding worth noting before any further analysis: the two chocolate-division factories, Lot's O' Nuts and Wicked Choccy's, together account for roughly 96.5% of all shipment volume. Any conclusion drawn about 'overall' shipping performance is, in practice, mostly a statement about these two factories.</w:t>
      </w:r>
    </w:p>
    <w:p>
      <w:pPr>
        <w:pStyle w:val="Heading1"/>
        <w:spacing w:after="140" w:before="280"/>
      </w:pPr>
      <w:r>
        <w:t xml:space="preserve">3. Methodology</w:t>
      </w:r>
    </w:p>
    <w:p>
      <w:pPr>
        <w:pStyle w:val="Heading2"/>
        <w:spacing w:after="140" w:before="280"/>
      </w:pPr>
      <w:r>
        <w:t xml:space="preserve">3.1 Data Cleaning &amp; Validation</w:t>
      </w:r>
    </w:p>
    <w:p>
      <w:pPr>
        <w:spacing w:after="160" w:line="276"/>
        <w:jc w:val="both"/>
      </w:pPr>
      <w:r>
        <w:t xml:space="preserve">Order Date and Ship Date were parsed using day-first date semantics to match the export format. Sales, Units, Gross Profit, and Cost were coerced to numeric types, and any row with a missing value in a core field was dropped. Shipping Lead Time was then computed for every row as Ship Date minus Order Date, in days; rows with a negative lead time — which would imply a shipment left before it was ordered — were removed, though none were found in this particular export (0 rows affected). After cleaning, 10,194 of the original 10,195 rows remained, a retention rate of 99.99%, with the single dropped row attributable to standard missing-field handling rather than any systematic data quality problem.</w:t>
      </w:r>
    </w:p>
    <w:p>
      <w:pPr>
        <w:pStyle w:val="Heading2"/>
        <w:spacing w:after="140" w:before="280"/>
      </w:pPr>
      <w:r>
        <w:t xml:space="preserve">3.2 Feature Engineering</w:t>
      </w:r>
    </w:p>
    <w:p>
      <w:pPr>
        <w:spacing w:after="160" w:line="276"/>
        <w:jc w:val="both"/>
      </w:pPr>
      <w:r>
        <w:t xml:space="preserve">Beyond Lead Time itself, three additional features were engineered for the analysis:</w:t>
      </w:r>
    </w:p>
    <w:p>
      <w:pPr>
        <w:pStyle w:val="ListParagraph"/>
        <w:numPr>
          <w:ilvl w:val="0"/>
          <w:numId w:val="1"/>
        </w:numPr>
        <w:spacing w:after="80"/>
      </w:pPr>
      <w:r>
        <w:t xml:space="preserve">Factory — attached to every row via the product-to-factory lookup table described in Section 2.</w:t>
      </w:r>
    </w:p>
    <w:p>
      <w:pPr>
        <w:pStyle w:val="ListParagraph"/>
        <w:numPr>
          <w:ilvl w:val="0"/>
          <w:numId w:val="1"/>
        </w:numPr>
        <w:spacing w:after="80"/>
      </w:pPr>
      <w:r>
        <w:t xml:space="preserve">Route (State) — the concatenation of Factory and Customer State/Province, e.g. "Lot's O' Nuts -&gt; Texas".</w:t>
      </w:r>
    </w:p>
    <w:p>
      <w:pPr>
        <w:pStyle w:val="ListParagraph"/>
        <w:numPr>
          <w:ilvl w:val="0"/>
          <w:numId w:val="1"/>
        </w:numPr>
        <w:spacing w:after="80"/>
      </w:pPr>
      <w:r>
        <w:t xml:space="preserve">Route (Region) — the coarser concatenation of Factory and Customer Region, used when a state-level route has too few shipments to be statistically meaningful on its own.</w:t>
      </w:r>
    </w:p>
    <w:p>
      <w:pPr>
        <w:pStyle w:val="Heading2"/>
        <w:spacing w:after="140" w:before="280"/>
      </w:pPr>
      <w:r>
        <w:t xml:space="preserve">3.3 Route Definition &amp; Aggregation</w:t>
      </w:r>
    </w:p>
    <w:p>
      <w:pPr>
        <w:spacing w:after="160" w:line="276"/>
        <w:jc w:val="both"/>
      </w:pPr>
      <w:r>
        <w:t xml:space="preserve">Every route was aggregated to produce three summary statistics: total shipment count, mean lead time, and the standard deviation of lead time (a measure of how consistent — or erratic — that route's performance is). A route with a low average lead time but a high standard deviation is arguably less trustworthy than one with a slightly higher average but tight consistency, since the former is harder to plan around even if it is faster on paper.</w:t>
      </w:r>
    </w:p>
    <w:p>
      <w:pPr>
        <w:pStyle w:val="Heading2"/>
        <w:spacing w:after="140" w:before="280"/>
      </w:pPr>
      <w:r>
        <w:t xml:space="preserve">3.4 Efficiency Benchmarking</w:t>
      </w:r>
    </w:p>
    <w:p>
      <w:pPr>
        <w:spacing w:after="160" w:line="276"/>
        <w:jc w:val="both"/>
      </w:pPr>
      <w:r>
        <w:t xml:space="preserve">Routes were ranked from fastest to slowest by mean lead time, restricted to routes with at least 10 shipments so that the ranking is not dominated by routes that only appear once or twice in the data. A normalized Route Efficiency Score was also computed by min-max scaling the average lead time onto a 0–100 range and inverting it, so that a score of 100 represents the fastest route in the current filter selection and 0 the slowest.</w:t>
      </w:r>
    </w:p>
    <w:p>
      <w:pPr>
        <w:pStyle w:val="Heading2"/>
        <w:spacing w:after="140" w:before="280"/>
      </w:pPr>
      <w:r>
        <w:t xml:space="preserve">3.5 Geographic Bottleneck Analysis</w:t>
      </w:r>
    </w:p>
    <w:p>
      <w:pPr>
        <w:spacing w:after="160" w:line="276"/>
        <w:jc w:val="both"/>
      </w:pPr>
      <w:r>
        <w:t xml:space="preserve">A state was flagged as a bottleneck if it simultaneously had above-average shipment volume and above-average lead time relative to all other states. This dual condition matters: a slow but low-volume state is a minor issue, while a slow and high-volume state represents a much larger share of total customer-facing delay, and is therefore worth prioritizing first.</w:t>
      </w:r>
    </w:p>
    <w:p>
      <w:pPr>
        <w:pStyle w:val="Heading2"/>
        <w:spacing w:after="140" w:before="280"/>
      </w:pPr>
      <w:r>
        <w:t xml:space="preserve">3.6 Ship Mode Performance Analysis</w:t>
      </w:r>
    </w:p>
    <w:p>
      <w:pPr>
        <w:spacing w:after="160" w:line="276"/>
        <w:jc w:val="both"/>
      </w:pPr>
      <w:r>
        <w:t xml:space="preserve">The four shipping methods present in the data — Standard Class, Second Class, First Class, and Same Day — were compared on both average lead time and delay frequency, where a shipment is defined as 'delayed' if its lead time exceeds a configurable threshold (set, by default, to the 75th percentile of all lead times in the filtered data). This comparison is descriptive rather than prescriptive: the analysis reports what each mode's historical performance looks like without asserting which mode a manager should prefer, since that decision also depends on cost, which is addressed separately.</w:t>
      </w:r>
    </w:p>
    <w:p>
      <w:pPr>
        <w:pStyle w:val="Heading1"/>
        <w:spacing w:after="140" w:before="280"/>
      </w:pPr>
      <w:r>
        <w:t xml:space="preserve">4. Exploratory Data Analysis &amp; Results</w:t>
      </w:r>
    </w:p>
    <w:p>
      <w:pPr>
        <w:pStyle w:val="Heading2"/>
        <w:spacing w:after="140" w:before="280"/>
      </w:pPr>
      <w:r>
        <w:t xml:space="preserve">4.1 Overall Shipping Performance</w:t>
      </w:r>
    </w:p>
    <w:p>
      <w:pPr>
        <w:spacing w:after="160" w:line="276"/>
        <w:jc w:val="both"/>
      </w:pPr>
      <w:r>
        <w:t xml:space="preserve">Across all 10,194 cleaned records, the average shipping lead time is 1,320.8 days with a standard deviation of 262.4 days, a median of 1,274 days, and a range from 904 to 1,642 days. Using the 75th percentile (1,638 days) as the delay threshold, 21.1% of shipments in the dataset are classified as delayed.</w:t>
      </w:r>
    </w:p>
    <w:p>
      <w:pPr>
        <w:spacing w:after="160" w:line="276"/>
        <w:jc w:val="both"/>
      </w:pPr>
      <w:r>
        <w:t xml:space="preserve">It is worth flagging directly, in the interest of analytical honesty: a lead time measured in the thousands of days is unusually large for a distribution business and almost certainly reflects a data artifact in how the Order Date and Ship Date fields were populated in this export (order dates cluster in 2024–2025 while ship dates cluster several years later). The relative comparisons in this paper — which route is faster than which, which ship mode outperforms which — remain internally valid regardless of this artifact, since the same offset affects the whole dataset. Absolute day counts should be sanity-checked against the source system before being quoted externally.</w:t>
      </w:r>
    </w:p>
    <w:p>
      <w:pPr>
        <w:pStyle w:val="Heading2"/>
        <w:spacing w:after="140" w:before="280"/>
      </w:pPr>
      <w:r>
        <w:t xml:space="preserve">4.2 Ship Mode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059"/>
        <w:gridCol w:w="2434"/>
        <w:gridCol w:w="2059"/>
      </w:tblGrid>
      <w:tr>
        <w:trPr>
          <w:tblHeader/>
        </w:trPr>
        <w:tc>
          <w:tcPr>
            <w:tcW w:type="dxa" w:w="2808"/>
            <w:shd w:fill="2E4057" w:val="clear"/>
          </w:tcPr>
          <w:p>
            <w:r>
              <w:rPr>
                <w:b/>
                <w:bCs/>
                <w:color w:val="FFFFFF"/>
                <w:sz w:val="20"/>
                <w:szCs w:val="20"/>
              </w:rPr>
              <w:t xml:space="preserve">Ship Mode</w:t>
            </w:r>
          </w:p>
        </w:tc>
        <w:tc>
          <w:tcPr>
            <w:tcW w:type="dxa" w:w="2059"/>
            <w:shd w:fill="2E4057" w:val="clear"/>
          </w:tcPr>
          <w:p>
            <w:r>
              <w:rPr>
                <w:b/>
                <w:bCs/>
                <w:color w:val="FFFFFF"/>
                <w:sz w:val="20"/>
                <w:szCs w:val="20"/>
              </w:rPr>
              <w:t xml:space="preserve">Shipments</w:t>
            </w:r>
          </w:p>
        </w:tc>
        <w:tc>
          <w:tcPr>
            <w:tcW w:type="dxa" w:w="2434"/>
            <w:shd w:fill="2E4057" w:val="clear"/>
          </w:tcPr>
          <w:p>
            <w:r>
              <w:rPr>
                <w:b/>
                <w:bCs/>
                <w:color w:val="FFFFFF"/>
                <w:sz w:val="20"/>
                <w:szCs w:val="20"/>
              </w:rPr>
              <w:t xml:space="preserve">Avg Lead Time (days)</w:t>
            </w:r>
          </w:p>
        </w:tc>
        <w:tc>
          <w:tcPr>
            <w:tcW w:type="dxa" w:w="2059"/>
            <w:shd w:fill="2E4057" w:val="clear"/>
          </w:tcPr>
          <w:p>
            <w:r>
              <w:rPr>
                <w:b/>
                <w:bCs/>
                <w:color w:val="FFFFFF"/>
                <w:sz w:val="20"/>
                <w:szCs w:val="20"/>
              </w:rPr>
              <w:t xml:space="preserve">Std Dev</w:t>
            </w:r>
          </w:p>
        </w:tc>
      </w:tr>
      <w:tr>
        <w:tc>
          <w:tcPr>
            <w:tcW w:type="dxa" w:w="2808"/>
          </w:tcPr>
          <w:p>
            <w:r>
              <w:rPr>
                <w:sz w:val="20"/>
                <w:szCs w:val="20"/>
              </w:rPr>
              <w:t xml:space="preserve">Standard Class</w:t>
            </w:r>
          </w:p>
        </w:tc>
        <w:tc>
          <w:tcPr>
            <w:tcW w:type="dxa" w:w="2059"/>
          </w:tcPr>
          <w:p>
            <w:r>
              <w:rPr>
                <w:sz w:val="20"/>
                <w:szCs w:val="20"/>
              </w:rPr>
              <w:t xml:space="preserve">6,120</w:t>
            </w:r>
          </w:p>
        </w:tc>
        <w:tc>
          <w:tcPr>
            <w:tcW w:type="dxa" w:w="2434"/>
          </w:tcPr>
          <w:p>
            <w:r>
              <w:rPr>
                <w:sz w:val="20"/>
                <w:szCs w:val="20"/>
              </w:rPr>
              <w:t xml:space="preserve">1,314.3</w:t>
            </w:r>
          </w:p>
        </w:tc>
        <w:tc>
          <w:tcPr>
            <w:tcW w:type="dxa" w:w="2059"/>
          </w:tcPr>
          <w:p>
            <w:r>
              <w:rPr>
                <w:sz w:val="20"/>
                <w:szCs w:val="20"/>
              </w:rPr>
              <w:t xml:space="preserve">262.4</w:t>
            </w:r>
          </w:p>
        </w:tc>
      </w:tr>
      <w:tr>
        <w:tc>
          <w:tcPr>
            <w:tcW w:type="dxa" w:w="2808"/>
          </w:tcPr>
          <w:p>
            <w:r>
              <w:rPr>
                <w:sz w:val="20"/>
                <w:szCs w:val="20"/>
              </w:rPr>
              <w:t xml:space="preserve">Second Class</w:t>
            </w:r>
          </w:p>
        </w:tc>
        <w:tc>
          <w:tcPr>
            <w:tcW w:type="dxa" w:w="2059"/>
          </w:tcPr>
          <w:p>
            <w:r>
              <w:rPr>
                <w:sz w:val="20"/>
                <w:szCs w:val="20"/>
              </w:rPr>
              <w:t xml:space="preserve">1,979</w:t>
            </w:r>
          </w:p>
        </w:tc>
        <w:tc>
          <w:tcPr>
            <w:tcW w:type="dxa" w:w="2434"/>
          </w:tcPr>
          <w:p>
            <w:r>
              <w:rPr>
                <w:sz w:val="20"/>
                <w:szCs w:val="20"/>
              </w:rPr>
              <w:t xml:space="preserve">1,323.8</w:t>
            </w:r>
          </w:p>
        </w:tc>
        <w:tc>
          <w:tcPr>
            <w:tcW w:type="dxa" w:w="2059"/>
          </w:tcPr>
          <w:p>
            <w:r>
              <w:rPr>
                <w:sz w:val="20"/>
                <w:szCs w:val="20"/>
              </w:rPr>
              <w:t xml:space="preserve">261.8</w:t>
            </w:r>
          </w:p>
        </w:tc>
      </w:tr>
      <w:tr>
        <w:tc>
          <w:tcPr>
            <w:tcW w:type="dxa" w:w="2808"/>
          </w:tcPr>
          <w:p>
            <w:r>
              <w:rPr>
                <w:sz w:val="20"/>
                <w:szCs w:val="20"/>
              </w:rPr>
              <w:t xml:space="preserve">Same Day</w:t>
            </w:r>
          </w:p>
        </w:tc>
        <w:tc>
          <w:tcPr>
            <w:tcW w:type="dxa" w:w="2059"/>
          </w:tcPr>
          <w:p>
            <w:r>
              <w:rPr>
                <w:sz w:val="20"/>
                <w:szCs w:val="20"/>
              </w:rPr>
              <w:t xml:space="preserve">547</w:t>
            </w:r>
          </w:p>
        </w:tc>
        <w:tc>
          <w:tcPr>
            <w:tcW w:type="dxa" w:w="2434"/>
          </w:tcPr>
          <w:p>
            <w:r>
              <w:rPr>
                <w:sz w:val="20"/>
                <w:szCs w:val="20"/>
              </w:rPr>
              <w:t xml:space="preserve">1,333.4</w:t>
            </w:r>
          </w:p>
        </w:tc>
        <w:tc>
          <w:tcPr>
            <w:tcW w:type="dxa" w:w="2059"/>
          </w:tcPr>
          <w:p>
            <w:r>
              <w:rPr>
                <w:sz w:val="20"/>
                <w:szCs w:val="20"/>
              </w:rPr>
              <w:t xml:space="preserve">253.8</w:t>
            </w:r>
          </w:p>
        </w:tc>
      </w:tr>
      <w:tr>
        <w:tc>
          <w:tcPr>
            <w:tcW w:type="dxa" w:w="2808"/>
          </w:tcPr>
          <w:p>
            <w:r>
              <w:rPr>
                <w:sz w:val="20"/>
                <w:szCs w:val="20"/>
              </w:rPr>
              <w:t xml:space="preserve">First Class</w:t>
            </w:r>
          </w:p>
        </w:tc>
        <w:tc>
          <w:tcPr>
            <w:tcW w:type="dxa" w:w="2059"/>
          </w:tcPr>
          <w:p>
            <w:r>
              <w:rPr>
                <w:sz w:val="20"/>
                <w:szCs w:val="20"/>
              </w:rPr>
              <w:t xml:space="preserve">1,548</w:t>
            </w:r>
          </w:p>
        </w:tc>
        <w:tc>
          <w:tcPr>
            <w:tcW w:type="dxa" w:w="2434"/>
          </w:tcPr>
          <w:p>
            <w:r>
              <w:rPr>
                <w:sz w:val="20"/>
                <w:szCs w:val="20"/>
              </w:rPr>
              <w:t xml:space="preserve">1,338.3</w:t>
            </w:r>
          </w:p>
        </w:tc>
        <w:tc>
          <w:tcPr>
            <w:tcW w:type="dxa" w:w="2059"/>
          </w:tcPr>
          <w:p>
            <w:r>
              <w:rPr>
                <w:sz w:val="20"/>
                <w:szCs w:val="20"/>
              </w:rPr>
              <w:t xml:space="preserve">265.6</w:t>
            </w:r>
          </w:p>
        </w:tc>
      </w:tr>
    </w:tbl>
    <w:p>
      <w:pPr>
        <w:spacing w:after="160" w:line="276"/>
        <w:jc w:val="both"/>
      </w:pPr>
      <w:r>
        <w:t xml:space="preserve"/>
      </w:r>
    </w:p>
    <w:p>
      <w:pPr>
        <w:spacing w:after="160" w:line="276"/>
        <w:jc w:val="both"/>
      </w:pPr>
      <w:r>
        <w:t xml:space="preserve">Standard Class is both the highest-volume mode (60% of all shipments) and, on average, the fastest of the four — about 24 days quicker than First Class. This is a counter-intuitive result, since First Class shipping is typically expected to be the faster, premium tier. Two explanations are plausible: either First Class orders are systematically routed through a slower fulfillment path for reasons outside this dataset, or the mode label does not correspond to shipping speed in the way its name implies. Either way, this pattern is specific enough, and large enough in sample size (1,548 shipments), to be worth investigating operationally rather than dismissing as noise.</w:t>
      </w:r>
    </w:p>
    <w:p>
      <w:pPr>
        <w:pStyle w:val="Heading2"/>
        <w:spacing w:after="140" w:before="280"/>
      </w:pPr>
      <w:r>
        <w:t xml:space="preserve">4.3 Regional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2E4057" w:val="clear"/>
          </w:tcPr>
          <w:p>
            <w:r>
              <w:rPr>
                <w:b/>
                <w:bCs/>
                <w:color w:val="FFFFFF"/>
                <w:sz w:val="20"/>
                <w:szCs w:val="20"/>
              </w:rPr>
              <w:t xml:space="preserve">Region</w:t>
            </w:r>
          </w:p>
        </w:tc>
        <w:tc>
          <w:tcPr>
            <w:tcW w:type="dxa" w:w="3089"/>
            <w:shd w:fill="2E4057" w:val="clear"/>
          </w:tcPr>
          <w:p>
            <w:r>
              <w:rPr>
                <w:b/>
                <w:bCs/>
                <w:color w:val="FFFFFF"/>
                <w:sz w:val="20"/>
                <w:szCs w:val="20"/>
              </w:rPr>
              <w:t xml:space="preserve">Shipments</w:t>
            </w:r>
          </w:p>
        </w:tc>
        <w:tc>
          <w:tcPr>
            <w:tcW w:type="dxa" w:w="3089"/>
            <w:shd w:fill="2E4057" w:val="clear"/>
          </w:tcPr>
          <w:p>
            <w:r>
              <w:rPr>
                <w:b/>
                <w:bCs/>
                <w:color w:val="FFFFFF"/>
                <w:sz w:val="20"/>
                <w:szCs w:val="20"/>
              </w:rPr>
              <w:t xml:space="preserve">Avg Lead Time (days)</w:t>
            </w:r>
          </w:p>
        </w:tc>
      </w:tr>
      <w:tr>
        <w:tc>
          <w:tcPr>
            <w:tcW w:type="dxa" w:w="3182"/>
          </w:tcPr>
          <w:p>
            <w:r>
              <w:rPr>
                <w:sz w:val="20"/>
                <w:szCs w:val="20"/>
              </w:rPr>
              <w:t xml:space="preserve">Gulf</w:t>
            </w:r>
          </w:p>
        </w:tc>
        <w:tc>
          <w:tcPr>
            <w:tcW w:type="dxa" w:w="3089"/>
          </w:tcPr>
          <w:p>
            <w:r>
              <w:rPr>
                <w:sz w:val="20"/>
                <w:szCs w:val="20"/>
              </w:rPr>
              <w:t xml:space="preserve">1,620</w:t>
            </w:r>
          </w:p>
        </w:tc>
        <w:tc>
          <w:tcPr>
            <w:tcW w:type="dxa" w:w="3089"/>
          </w:tcPr>
          <w:p>
            <w:r>
              <w:rPr>
                <w:sz w:val="20"/>
                <w:szCs w:val="20"/>
              </w:rPr>
              <w:t xml:space="preserve">1,311.4</w:t>
            </w:r>
          </w:p>
        </w:tc>
      </w:tr>
      <w:tr>
        <w:tc>
          <w:tcPr>
            <w:tcW w:type="dxa" w:w="3182"/>
          </w:tcPr>
          <w:p>
            <w:r>
              <w:rPr>
                <w:sz w:val="20"/>
                <w:szCs w:val="20"/>
              </w:rPr>
              <w:t xml:space="preserve">Pacific</w:t>
            </w:r>
          </w:p>
        </w:tc>
        <w:tc>
          <w:tcPr>
            <w:tcW w:type="dxa" w:w="3089"/>
          </w:tcPr>
          <w:p>
            <w:r>
              <w:rPr>
                <w:sz w:val="20"/>
                <w:szCs w:val="20"/>
              </w:rPr>
              <w:t xml:space="preserve">3,253</w:t>
            </w:r>
          </w:p>
        </w:tc>
        <w:tc>
          <w:tcPr>
            <w:tcW w:type="dxa" w:w="3089"/>
          </w:tcPr>
          <w:p>
            <w:r>
              <w:rPr>
                <w:sz w:val="20"/>
                <w:szCs w:val="20"/>
              </w:rPr>
              <w:t xml:space="preserve">1,322.2</w:t>
            </w:r>
          </w:p>
        </w:tc>
      </w:tr>
      <w:tr>
        <w:tc>
          <w:tcPr>
            <w:tcW w:type="dxa" w:w="3182"/>
          </w:tcPr>
          <w:p>
            <w:r>
              <w:rPr>
                <w:sz w:val="20"/>
                <w:szCs w:val="20"/>
              </w:rPr>
              <w:t xml:space="preserve">Atlantic</w:t>
            </w:r>
          </w:p>
        </w:tc>
        <w:tc>
          <w:tcPr>
            <w:tcW w:type="dxa" w:w="3089"/>
          </w:tcPr>
          <w:p>
            <w:r>
              <w:rPr>
                <w:sz w:val="20"/>
                <w:szCs w:val="20"/>
              </w:rPr>
              <w:t xml:space="preserve">2,986</w:t>
            </w:r>
          </w:p>
        </w:tc>
        <w:tc>
          <w:tcPr>
            <w:tcW w:type="dxa" w:w="3089"/>
          </w:tcPr>
          <w:p>
            <w:r>
              <w:rPr>
                <w:sz w:val="20"/>
                <w:szCs w:val="20"/>
              </w:rPr>
              <w:t xml:space="preserve">1,322.7</w:t>
            </w:r>
          </w:p>
        </w:tc>
      </w:tr>
      <w:tr>
        <w:tc>
          <w:tcPr>
            <w:tcW w:type="dxa" w:w="3182"/>
          </w:tcPr>
          <w:p>
            <w:r>
              <w:rPr>
                <w:sz w:val="20"/>
                <w:szCs w:val="20"/>
              </w:rPr>
              <w:t xml:space="preserve">Interior</w:t>
            </w:r>
          </w:p>
        </w:tc>
        <w:tc>
          <w:tcPr>
            <w:tcW w:type="dxa" w:w="3089"/>
          </w:tcPr>
          <w:p>
            <w:r>
              <w:rPr>
                <w:sz w:val="20"/>
                <w:szCs w:val="20"/>
              </w:rPr>
              <w:t xml:space="preserve">2,335</w:t>
            </w:r>
          </w:p>
        </w:tc>
        <w:tc>
          <w:tcPr>
            <w:tcW w:type="dxa" w:w="3089"/>
          </w:tcPr>
          <w:p>
            <w:r>
              <w:rPr>
                <w:sz w:val="20"/>
                <w:szCs w:val="20"/>
              </w:rPr>
              <w:t xml:space="preserve">1,323.1</w:t>
            </w:r>
          </w:p>
        </w:tc>
      </w:tr>
    </w:tbl>
    <w:p>
      <w:pPr>
        <w:spacing w:after="160" w:line="276"/>
        <w:jc w:val="both"/>
      </w:pPr>
      <w:r>
        <w:t xml:space="preserve"/>
      </w:r>
    </w:p>
    <w:p>
      <w:pPr>
        <w:spacing w:after="160" w:line="276"/>
        <w:jc w:val="both"/>
      </w:pPr>
      <w:r>
        <w:t xml:space="preserve">At the region level, the differences are small — under 12 days between the fastest (Gulf) and slowest (Interior) region — suggesting that region alone is a weak predictor of shipping performance compared to the state-level and route-level variation discussed next.</w:t>
      </w:r>
    </w:p>
    <w:p>
      <w:pPr>
        <w:pStyle w:val="Heading2"/>
        <w:spacing w:after="140" w:before="280"/>
      </w:pPr>
      <w:r>
        <w:t xml:space="preserve">4.4 Route-Level Leaderboard</w:t>
      </w:r>
    </w:p>
    <w:p>
      <w:pPr>
        <w:spacing w:after="160" w:line="276"/>
        <w:jc w:val="both"/>
      </w:pPr>
      <w:r>
        <w:t xml:space="preserve">Restricting to routes with at least 10 shipments (to avoid ranking on statistically thin samples), the fastest and slowest routes are shown in Tables 4 and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246"/>
        <w:gridCol w:w="2808"/>
      </w:tblGrid>
      <w:tr>
        <w:trPr>
          <w:tblHeader/>
        </w:trPr>
        <w:tc>
          <w:tcPr>
            <w:tcW w:type="dxa" w:w="4306"/>
            <w:shd w:fill="2E4057" w:val="clear"/>
          </w:tcPr>
          <w:p>
            <w:r>
              <w:rPr>
                <w:b/>
                <w:bCs/>
                <w:color w:val="FFFFFF"/>
                <w:sz w:val="20"/>
                <w:szCs w:val="20"/>
              </w:rPr>
              <w:t xml:space="preserve">Route</w:t>
            </w:r>
          </w:p>
        </w:tc>
        <w:tc>
          <w:tcPr>
            <w:tcW w:type="dxa" w:w="2246"/>
            <w:shd w:fill="2E4057" w:val="clear"/>
          </w:tcPr>
          <w:p>
            <w:r>
              <w:rPr>
                <w:b/>
                <w:bCs/>
                <w:color w:val="FFFFFF"/>
                <w:sz w:val="20"/>
                <w:szCs w:val="20"/>
              </w:rPr>
              <w:t xml:space="preserve">Shipments</w:t>
            </w:r>
          </w:p>
        </w:tc>
        <w:tc>
          <w:tcPr>
            <w:tcW w:type="dxa" w:w="2808"/>
            <w:shd w:fill="2E4057" w:val="clear"/>
          </w:tcPr>
          <w:p>
            <w:r>
              <w:rPr>
                <w:b/>
                <w:bCs/>
                <w:color w:val="FFFFFF"/>
                <w:sz w:val="20"/>
                <w:szCs w:val="20"/>
              </w:rPr>
              <w:t xml:space="preserve">Avg Lead Time (days)</w:t>
            </w:r>
          </w:p>
        </w:tc>
      </w:tr>
      <w:tr>
        <w:tc>
          <w:tcPr>
            <w:tcW w:type="dxa" w:w="4306"/>
          </w:tcPr>
          <w:p>
            <w:r>
              <w:rPr>
                <w:sz w:val="20"/>
                <w:szCs w:val="20"/>
              </w:rPr>
              <w:t xml:space="preserve">Wicked Choccy's → Nevada</w:t>
            </w:r>
          </w:p>
        </w:tc>
        <w:tc>
          <w:tcPr>
            <w:tcW w:type="dxa" w:w="2246"/>
          </w:tcPr>
          <w:p>
            <w:r>
              <w:rPr>
                <w:sz w:val="20"/>
                <w:szCs w:val="20"/>
              </w:rPr>
              <w:t xml:space="preserve">12</w:t>
            </w:r>
          </w:p>
        </w:tc>
        <w:tc>
          <w:tcPr>
            <w:tcW w:type="dxa" w:w="2808"/>
          </w:tcPr>
          <w:p>
            <w:r>
              <w:rPr>
                <w:sz w:val="20"/>
                <w:szCs w:val="20"/>
              </w:rPr>
              <w:t xml:space="preserve">1,182.3</w:t>
            </w:r>
          </w:p>
        </w:tc>
      </w:tr>
      <w:tr>
        <w:tc>
          <w:tcPr>
            <w:tcW w:type="dxa" w:w="4306"/>
          </w:tcPr>
          <w:p>
            <w:r>
              <w:rPr>
                <w:sz w:val="20"/>
                <w:szCs w:val="20"/>
              </w:rPr>
              <w:t xml:space="preserve">Secret Factory → Texas</w:t>
            </w:r>
          </w:p>
        </w:tc>
        <w:tc>
          <w:tcPr>
            <w:tcW w:type="dxa" w:w="2246"/>
          </w:tcPr>
          <w:p>
            <w:r>
              <w:rPr>
                <w:sz w:val="20"/>
                <w:szCs w:val="20"/>
              </w:rPr>
              <w:t xml:space="preserve">16</w:t>
            </w:r>
          </w:p>
        </w:tc>
        <w:tc>
          <w:tcPr>
            <w:tcW w:type="dxa" w:w="2808"/>
          </w:tcPr>
          <w:p>
            <w:r>
              <w:rPr>
                <w:sz w:val="20"/>
                <w:szCs w:val="20"/>
              </w:rPr>
              <w:t xml:space="preserve">1,227.1</w:t>
            </w:r>
          </w:p>
        </w:tc>
      </w:tr>
      <w:tr>
        <w:tc>
          <w:tcPr>
            <w:tcW w:type="dxa" w:w="4306"/>
          </w:tcPr>
          <w:p>
            <w:r>
              <w:rPr>
                <w:sz w:val="20"/>
                <w:szCs w:val="20"/>
              </w:rPr>
              <w:t xml:space="preserve">Lot's O' Nuts → Virginia</w:t>
            </w:r>
          </w:p>
        </w:tc>
        <w:tc>
          <w:tcPr>
            <w:tcW w:type="dxa" w:w="2246"/>
          </w:tcPr>
          <w:p>
            <w:r>
              <w:rPr>
                <w:sz w:val="20"/>
                <w:szCs w:val="20"/>
              </w:rPr>
              <w:t xml:space="preserve">109</w:t>
            </w:r>
          </w:p>
        </w:tc>
        <w:tc>
          <w:tcPr>
            <w:tcW w:type="dxa" w:w="2808"/>
          </w:tcPr>
          <w:p>
            <w:r>
              <w:rPr>
                <w:sz w:val="20"/>
                <w:szCs w:val="20"/>
              </w:rPr>
              <w:t xml:space="preserve">1,229.5</w:t>
            </w:r>
          </w:p>
        </w:tc>
      </w:tr>
      <w:tr>
        <w:tc>
          <w:tcPr>
            <w:tcW w:type="dxa" w:w="4306"/>
          </w:tcPr>
          <w:p>
            <w:r>
              <w:rPr>
                <w:sz w:val="20"/>
                <w:szCs w:val="20"/>
              </w:rPr>
              <w:t xml:space="preserve">Wicked Choccy's → South Carolina</w:t>
            </w:r>
          </w:p>
        </w:tc>
        <w:tc>
          <w:tcPr>
            <w:tcW w:type="dxa" w:w="2246"/>
          </w:tcPr>
          <w:p>
            <w:r>
              <w:rPr>
                <w:sz w:val="20"/>
                <w:szCs w:val="20"/>
              </w:rPr>
              <w:t xml:space="preserve">19</w:t>
            </w:r>
          </w:p>
        </w:tc>
        <w:tc>
          <w:tcPr>
            <w:tcW w:type="dxa" w:w="2808"/>
          </w:tcPr>
          <w:p>
            <w:r>
              <w:rPr>
                <w:sz w:val="20"/>
                <w:szCs w:val="20"/>
              </w:rPr>
              <w:t xml:space="preserve">1,234.2</w:t>
            </w:r>
          </w:p>
        </w:tc>
      </w:tr>
      <w:tr>
        <w:tc>
          <w:tcPr>
            <w:tcW w:type="dxa" w:w="4306"/>
          </w:tcPr>
          <w:p>
            <w:r>
              <w:rPr>
                <w:sz w:val="20"/>
                <w:szCs w:val="20"/>
              </w:rPr>
              <w:t xml:space="preserve">Lot's O' Nuts → Utah</w:t>
            </w:r>
          </w:p>
        </w:tc>
        <w:tc>
          <w:tcPr>
            <w:tcW w:type="dxa" w:w="2246"/>
          </w:tcPr>
          <w:p>
            <w:r>
              <w:rPr>
                <w:sz w:val="20"/>
                <w:szCs w:val="20"/>
              </w:rPr>
              <w:t xml:space="preserve">29</w:t>
            </w:r>
          </w:p>
        </w:tc>
        <w:tc>
          <w:tcPr>
            <w:tcW w:type="dxa" w:w="2808"/>
          </w:tcPr>
          <w:p>
            <w:r>
              <w:rPr>
                <w:sz w:val="20"/>
                <w:szCs w:val="20"/>
              </w:rPr>
              <w:t xml:space="preserve">1,236.0</w:t>
            </w:r>
          </w:p>
        </w:tc>
      </w:tr>
    </w:tbl>
    <w:p>
      <w:pPr>
        <w:spacing w:after="160" w:line="276"/>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2246"/>
        <w:gridCol w:w="2808"/>
      </w:tblGrid>
      <w:tr>
        <w:trPr>
          <w:tblHeader/>
        </w:trPr>
        <w:tc>
          <w:tcPr>
            <w:tcW w:type="dxa" w:w="4306"/>
            <w:shd w:fill="2E4057" w:val="clear"/>
          </w:tcPr>
          <w:p>
            <w:r>
              <w:rPr>
                <w:b/>
                <w:bCs/>
                <w:color w:val="FFFFFF"/>
                <w:sz w:val="20"/>
                <w:szCs w:val="20"/>
              </w:rPr>
              <w:t xml:space="preserve">Route</w:t>
            </w:r>
          </w:p>
        </w:tc>
        <w:tc>
          <w:tcPr>
            <w:tcW w:type="dxa" w:w="2246"/>
            <w:shd w:fill="2E4057" w:val="clear"/>
          </w:tcPr>
          <w:p>
            <w:r>
              <w:rPr>
                <w:b/>
                <w:bCs/>
                <w:color w:val="FFFFFF"/>
                <w:sz w:val="20"/>
                <w:szCs w:val="20"/>
              </w:rPr>
              <w:t xml:space="preserve">Shipments</w:t>
            </w:r>
          </w:p>
        </w:tc>
        <w:tc>
          <w:tcPr>
            <w:tcW w:type="dxa" w:w="2808"/>
            <w:shd w:fill="2E4057" w:val="clear"/>
          </w:tcPr>
          <w:p>
            <w:r>
              <w:rPr>
                <w:b/>
                <w:bCs/>
                <w:color w:val="FFFFFF"/>
                <w:sz w:val="20"/>
                <w:szCs w:val="20"/>
              </w:rPr>
              <w:t xml:space="preserve">Avg Lead Time (days)</w:t>
            </w:r>
          </w:p>
        </w:tc>
      </w:tr>
      <w:tr>
        <w:tc>
          <w:tcPr>
            <w:tcW w:type="dxa" w:w="4306"/>
          </w:tcPr>
          <w:p>
            <w:r>
              <w:rPr>
                <w:sz w:val="20"/>
                <w:szCs w:val="20"/>
              </w:rPr>
              <w:t xml:space="preserve">Wicked Choccy's → New Mexico</w:t>
            </w:r>
          </w:p>
        </w:tc>
        <w:tc>
          <w:tcPr>
            <w:tcW w:type="dxa" w:w="2246"/>
          </w:tcPr>
          <w:p>
            <w:r>
              <w:rPr>
                <w:sz w:val="20"/>
                <w:szCs w:val="20"/>
              </w:rPr>
              <w:t xml:space="preserve">17</w:t>
            </w:r>
          </w:p>
        </w:tc>
        <w:tc>
          <w:tcPr>
            <w:tcW w:type="dxa" w:w="2808"/>
          </w:tcPr>
          <w:p>
            <w:r>
              <w:rPr>
                <w:sz w:val="20"/>
                <w:szCs w:val="20"/>
              </w:rPr>
              <w:t xml:space="preserve">1,488.9</w:t>
            </w:r>
          </w:p>
        </w:tc>
      </w:tr>
      <w:tr>
        <w:tc>
          <w:tcPr>
            <w:tcW w:type="dxa" w:w="4306"/>
          </w:tcPr>
          <w:p>
            <w:r>
              <w:rPr>
                <w:sz w:val="20"/>
                <w:szCs w:val="20"/>
              </w:rPr>
              <w:t xml:space="preserve">Lot's O' Nuts → Iowa</w:t>
            </w:r>
          </w:p>
        </w:tc>
        <w:tc>
          <w:tcPr>
            <w:tcW w:type="dxa" w:w="2246"/>
          </w:tcPr>
          <w:p>
            <w:r>
              <w:rPr>
                <w:sz w:val="20"/>
                <w:szCs w:val="20"/>
              </w:rPr>
              <w:t xml:space="preserve">16</w:t>
            </w:r>
          </w:p>
        </w:tc>
        <w:tc>
          <w:tcPr>
            <w:tcW w:type="dxa" w:w="2808"/>
          </w:tcPr>
          <w:p>
            <w:r>
              <w:rPr>
                <w:sz w:val="20"/>
                <w:szCs w:val="20"/>
              </w:rPr>
              <w:t xml:space="preserve">1,479.0</w:t>
            </w:r>
          </w:p>
        </w:tc>
      </w:tr>
      <w:tr>
        <w:tc>
          <w:tcPr>
            <w:tcW w:type="dxa" w:w="4306"/>
          </w:tcPr>
          <w:p>
            <w:r>
              <w:rPr>
                <w:sz w:val="20"/>
                <w:szCs w:val="20"/>
              </w:rPr>
              <w:t xml:space="preserve">Secret Factory → Washington</w:t>
            </w:r>
          </w:p>
        </w:tc>
        <w:tc>
          <w:tcPr>
            <w:tcW w:type="dxa" w:w="2246"/>
          </w:tcPr>
          <w:p>
            <w:r>
              <w:rPr>
                <w:sz w:val="20"/>
                <w:szCs w:val="20"/>
              </w:rPr>
              <w:t xml:space="preserve">11</w:t>
            </w:r>
          </w:p>
        </w:tc>
        <w:tc>
          <w:tcPr>
            <w:tcW w:type="dxa" w:w="2808"/>
          </w:tcPr>
          <w:p>
            <w:r>
              <w:rPr>
                <w:sz w:val="20"/>
                <w:szCs w:val="20"/>
              </w:rPr>
              <w:t xml:space="preserve">1,472.4</w:t>
            </w:r>
          </w:p>
        </w:tc>
      </w:tr>
      <w:tr>
        <w:tc>
          <w:tcPr>
            <w:tcW w:type="dxa" w:w="4306"/>
          </w:tcPr>
          <w:p>
            <w:r>
              <w:rPr>
                <w:sz w:val="20"/>
                <w:szCs w:val="20"/>
              </w:rPr>
              <w:t xml:space="preserve">Lot's O' Nuts → New Mexico</w:t>
            </w:r>
          </w:p>
        </w:tc>
        <w:tc>
          <w:tcPr>
            <w:tcW w:type="dxa" w:w="2246"/>
          </w:tcPr>
          <w:p>
            <w:r>
              <w:rPr>
                <w:sz w:val="20"/>
                <w:szCs w:val="20"/>
              </w:rPr>
              <w:t xml:space="preserve">18</w:t>
            </w:r>
          </w:p>
        </w:tc>
        <w:tc>
          <w:tcPr>
            <w:tcW w:type="dxa" w:w="2808"/>
          </w:tcPr>
          <w:p>
            <w:r>
              <w:rPr>
                <w:sz w:val="20"/>
                <w:szCs w:val="20"/>
              </w:rPr>
              <w:t xml:space="preserve">1,456.9</w:t>
            </w:r>
          </w:p>
        </w:tc>
      </w:tr>
      <w:tr>
        <w:tc>
          <w:tcPr>
            <w:tcW w:type="dxa" w:w="4306"/>
          </w:tcPr>
          <w:p>
            <w:r>
              <w:rPr>
                <w:sz w:val="20"/>
                <w:szCs w:val="20"/>
              </w:rPr>
              <w:t xml:space="preserve">Wicked Choccy's → Manitoba</w:t>
            </w:r>
          </w:p>
        </w:tc>
        <w:tc>
          <w:tcPr>
            <w:tcW w:type="dxa" w:w="2246"/>
          </w:tcPr>
          <w:p>
            <w:r>
              <w:rPr>
                <w:sz w:val="20"/>
                <w:szCs w:val="20"/>
              </w:rPr>
              <w:t xml:space="preserve">10</w:t>
            </w:r>
          </w:p>
        </w:tc>
        <w:tc>
          <w:tcPr>
            <w:tcW w:type="dxa" w:w="2808"/>
          </w:tcPr>
          <w:p>
            <w:r>
              <w:rPr>
                <w:sz w:val="20"/>
                <w:szCs w:val="20"/>
              </w:rPr>
              <w:t xml:space="preserve">1,455.6</w:t>
            </w:r>
          </w:p>
        </w:tc>
      </w:tr>
    </w:tbl>
    <w:p>
      <w:pPr>
        <w:spacing w:after="160" w:line="276"/>
        <w:jc w:val="both"/>
      </w:pPr>
      <w:r>
        <w:t xml:space="preserve"/>
      </w:r>
    </w:p>
    <w:p>
      <w:pPr>
        <w:spacing w:after="160" w:line="276"/>
        <w:jc w:val="both"/>
      </w:pPr>
      <w:r>
        <w:t xml:space="preserve">The gap between the fastest and slowest qualifying routes is over 300 days, roughly a 25% swing relative to the dataset-wide average — a materially larger spread than anything visible at the region level, which is exactly why the route-level view, rather than the regional summary, is the right unit of analysis for operational decisions.</w:t>
      </w:r>
    </w:p>
    <w:p>
      <w:pPr>
        <w:pStyle w:val="Heading2"/>
        <w:spacing w:after="140" w:before="280"/>
      </w:pPr>
      <w:r>
        <w:t xml:space="preserve">4.5 Geographic Bottlenecks</w:t>
      </w:r>
    </w:p>
    <w:p>
      <w:pPr>
        <w:spacing w:after="160" w:line="276"/>
        <w:jc w:val="both"/>
      </w:pPr>
      <w:r>
        <w:t xml:space="preserve">Applying the dual criterion from Section 3.5 (above-average shipment volume of 172.8 orders per state and above-average lead time of 1,328.6 days), five states qualify as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shd w:fill="2E4057" w:val="clear"/>
          </w:tcPr>
          <w:p>
            <w:r>
              <w:rPr>
                <w:b/>
                <w:bCs/>
                <w:color w:val="FFFFFF"/>
                <w:sz w:val="20"/>
                <w:szCs w:val="20"/>
              </w:rPr>
              <w:t xml:space="preserve">State</w:t>
            </w:r>
          </w:p>
        </w:tc>
        <w:tc>
          <w:tcPr>
            <w:tcW w:type="dxa" w:w="2808"/>
            <w:shd w:fill="2E4057" w:val="clear"/>
          </w:tcPr>
          <w:p>
            <w:r>
              <w:rPr>
                <w:b/>
                <w:bCs/>
                <w:color w:val="FFFFFF"/>
                <w:sz w:val="20"/>
                <w:szCs w:val="20"/>
              </w:rPr>
              <w:t xml:space="preserve">Shipments</w:t>
            </w:r>
          </w:p>
        </w:tc>
        <w:tc>
          <w:tcPr>
            <w:tcW w:type="dxa" w:w="2808"/>
            <w:shd w:fill="2E4057" w:val="clear"/>
          </w:tcPr>
          <w:p>
            <w:r>
              <w:rPr>
                <w:b/>
                <w:bCs/>
                <w:color w:val="FFFFFF"/>
                <w:sz w:val="20"/>
                <w:szCs w:val="20"/>
              </w:rPr>
              <w:t xml:space="preserve">Avg Lead Time (days)</w:t>
            </w:r>
          </w:p>
        </w:tc>
      </w:tr>
      <w:tr>
        <w:tc>
          <w:tcPr>
            <w:tcW w:type="dxa" w:w="3744"/>
          </w:tcPr>
          <w:p>
            <w:r>
              <w:rPr>
                <w:sz w:val="20"/>
                <w:szCs w:val="20"/>
              </w:rPr>
              <w:t xml:space="preserve">Tennessee</w:t>
            </w:r>
          </w:p>
        </w:tc>
        <w:tc>
          <w:tcPr>
            <w:tcW w:type="dxa" w:w="2808"/>
          </w:tcPr>
          <w:p>
            <w:r>
              <w:rPr>
                <w:sz w:val="20"/>
                <w:szCs w:val="20"/>
              </w:rPr>
              <w:t xml:space="preserve">183</w:t>
            </w:r>
          </w:p>
        </w:tc>
        <w:tc>
          <w:tcPr>
            <w:tcW w:type="dxa" w:w="2808"/>
          </w:tcPr>
          <w:p>
            <w:r>
              <w:rPr>
                <w:sz w:val="20"/>
                <w:szCs w:val="20"/>
              </w:rPr>
              <w:t xml:space="preserve">1,391.5</w:t>
            </w:r>
          </w:p>
        </w:tc>
      </w:tr>
      <w:tr>
        <w:tc>
          <w:tcPr>
            <w:tcW w:type="dxa" w:w="3744"/>
          </w:tcPr>
          <w:p>
            <w:r>
              <w:rPr>
                <w:sz w:val="20"/>
                <w:szCs w:val="20"/>
              </w:rPr>
              <w:t xml:space="preserve">Washington</w:t>
            </w:r>
          </w:p>
        </w:tc>
        <w:tc>
          <w:tcPr>
            <w:tcW w:type="dxa" w:w="2808"/>
          </w:tcPr>
          <w:p>
            <w:r>
              <w:rPr>
                <w:sz w:val="20"/>
                <w:szCs w:val="20"/>
              </w:rPr>
              <w:t xml:space="preserve">506</w:t>
            </w:r>
          </w:p>
        </w:tc>
        <w:tc>
          <w:tcPr>
            <w:tcW w:type="dxa" w:w="2808"/>
          </w:tcPr>
          <w:p>
            <w:r>
              <w:rPr>
                <w:sz w:val="20"/>
                <w:szCs w:val="20"/>
              </w:rPr>
              <w:t xml:space="preserve">1,360.7</w:t>
            </w:r>
          </w:p>
        </w:tc>
      </w:tr>
      <w:tr>
        <w:tc>
          <w:tcPr>
            <w:tcW w:type="dxa" w:w="3744"/>
          </w:tcPr>
          <w:p>
            <w:r>
              <w:rPr>
                <w:sz w:val="20"/>
                <w:szCs w:val="20"/>
              </w:rPr>
              <w:t xml:space="preserve">Georgia</w:t>
            </w:r>
          </w:p>
        </w:tc>
        <w:tc>
          <w:tcPr>
            <w:tcW w:type="dxa" w:w="2808"/>
          </w:tcPr>
          <w:p>
            <w:r>
              <w:rPr>
                <w:sz w:val="20"/>
                <w:szCs w:val="20"/>
              </w:rPr>
              <w:t xml:space="preserve">184</w:t>
            </w:r>
          </w:p>
        </w:tc>
        <w:tc>
          <w:tcPr>
            <w:tcW w:type="dxa" w:w="2808"/>
          </w:tcPr>
          <w:p>
            <w:r>
              <w:rPr>
                <w:sz w:val="20"/>
                <w:szCs w:val="20"/>
              </w:rPr>
              <w:t xml:space="preserve">1,338.6</w:t>
            </w:r>
          </w:p>
        </w:tc>
      </w:tr>
      <w:tr>
        <w:tc>
          <w:tcPr>
            <w:tcW w:type="dxa" w:w="3744"/>
          </w:tcPr>
          <w:p>
            <w:r>
              <w:rPr>
                <w:sz w:val="20"/>
                <w:szCs w:val="20"/>
              </w:rPr>
              <w:t xml:space="preserve">Colorado</w:t>
            </w:r>
          </w:p>
        </w:tc>
        <w:tc>
          <w:tcPr>
            <w:tcW w:type="dxa" w:w="2808"/>
          </w:tcPr>
          <w:p>
            <w:r>
              <w:rPr>
                <w:sz w:val="20"/>
                <w:szCs w:val="20"/>
              </w:rPr>
              <w:t xml:space="preserve">182</w:t>
            </w:r>
          </w:p>
        </w:tc>
        <w:tc>
          <w:tcPr>
            <w:tcW w:type="dxa" w:w="2808"/>
          </w:tcPr>
          <w:p>
            <w:r>
              <w:rPr>
                <w:sz w:val="20"/>
                <w:szCs w:val="20"/>
              </w:rPr>
              <w:t xml:space="preserve">1,337.2</w:t>
            </w:r>
          </w:p>
        </w:tc>
      </w:tr>
      <w:tr>
        <w:tc>
          <w:tcPr>
            <w:tcW w:type="dxa" w:w="3744"/>
          </w:tcPr>
          <w:p>
            <w:r>
              <w:rPr>
                <w:sz w:val="20"/>
                <w:szCs w:val="20"/>
              </w:rPr>
              <w:t xml:space="preserve">North Carolina</w:t>
            </w:r>
          </w:p>
        </w:tc>
        <w:tc>
          <w:tcPr>
            <w:tcW w:type="dxa" w:w="2808"/>
          </w:tcPr>
          <w:p>
            <w:r>
              <w:rPr>
                <w:sz w:val="20"/>
                <w:szCs w:val="20"/>
              </w:rPr>
              <w:t xml:space="preserve">249</w:t>
            </w:r>
          </w:p>
        </w:tc>
        <w:tc>
          <w:tcPr>
            <w:tcW w:type="dxa" w:w="2808"/>
          </w:tcPr>
          <w:p>
            <w:r>
              <w:rPr>
                <w:sz w:val="20"/>
                <w:szCs w:val="20"/>
              </w:rPr>
              <w:t xml:space="preserve">1,334.9</w:t>
            </w:r>
          </w:p>
        </w:tc>
      </w:tr>
    </w:tbl>
    <w:p>
      <w:pPr>
        <w:spacing w:after="160" w:line="276"/>
        <w:jc w:val="both"/>
      </w:pPr>
      <w:r>
        <w:t xml:space="preserve"/>
      </w:r>
    </w:p>
    <w:p>
      <w:pPr>
        <w:spacing w:after="160" w:line="276"/>
        <w:jc w:val="both"/>
      </w:pPr>
      <w:r>
        <w:t xml:space="preserve">Washington stands out in particular: with 506 shipments, it is one of the higher-volume states in the entire dataset, and its lead time is more than 30 days above the state-wide average. Because of its volume, an improvement here would have a larger absolute effect on total customer-facing delay than the same percentage improvement in a lower-volume state like Tennessee or Colorado.</w:t>
      </w:r>
    </w:p>
    <w:p>
      <w:pPr>
        <w:pStyle w:val="Heading2"/>
        <w:spacing w:after="140" w:before="280"/>
      </w:pPr>
      <w:r>
        <w:t xml:space="preserve">4.6 Relationship Between Order Value and Lead Time</w:t>
      </w:r>
    </w:p>
    <w:p>
      <w:pPr>
        <w:spacing w:after="160" w:line="276"/>
        <w:jc w:val="both"/>
      </w:pPr>
      <w:r>
        <w:t xml:space="preserve">A correlation check between Lead Time and the financial fields (Sales, Units, Gross Profit, Cost) found no meaningful relationship in any direction — all four correlation coefficients fall between -0.008 and -0.003, effectively zero. In practical terms, this means larger or more valuable orders are not shipped any faster or slower than smaller ones in this dataset; shipping performance in the current process is not being implicitly prioritized (or deprioritized) by order value.</w:t>
      </w:r>
    </w:p>
    <w:p>
      <w:pPr>
        <w:pStyle w:val="Heading2"/>
        <w:spacing w:after="140" w:before="280"/>
      </w:pPr>
      <w:r>
        <w:t xml:space="preserve">4.7 Divisional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E4057" w:val="clear"/>
          </w:tcPr>
          <w:p>
            <w:r>
              <w:rPr>
                <w:b/>
                <w:bCs/>
                <w:color w:val="FFFFFF"/>
                <w:sz w:val="20"/>
                <w:szCs w:val="20"/>
              </w:rPr>
              <w:t xml:space="preserve">Division</w:t>
            </w:r>
          </w:p>
        </w:tc>
        <w:tc>
          <w:tcPr>
            <w:tcW w:type="dxa" w:w="2340"/>
            <w:shd w:fill="2E4057" w:val="clear"/>
          </w:tcPr>
          <w:p>
            <w:r>
              <w:rPr>
                <w:b/>
                <w:bCs/>
                <w:color w:val="FFFFFF"/>
                <w:sz w:val="20"/>
                <w:szCs w:val="20"/>
              </w:rPr>
              <w:t xml:space="preserve">Shipments</w:t>
            </w:r>
          </w:p>
        </w:tc>
        <w:tc>
          <w:tcPr>
            <w:tcW w:type="dxa" w:w="2340"/>
            <w:shd w:fill="2E4057" w:val="clear"/>
          </w:tcPr>
          <w:p>
            <w:r>
              <w:rPr>
                <w:b/>
                <w:bCs/>
                <w:color w:val="FFFFFF"/>
                <w:sz w:val="20"/>
                <w:szCs w:val="20"/>
              </w:rPr>
              <w:t xml:space="preserve">Total Sales ($)</w:t>
            </w:r>
          </w:p>
        </w:tc>
        <w:tc>
          <w:tcPr>
            <w:tcW w:type="dxa" w:w="2340"/>
            <w:shd w:fill="2E4057" w:val="clear"/>
          </w:tcPr>
          <w:p>
            <w:r>
              <w:rPr>
                <w:b/>
                <w:bCs/>
                <w:color w:val="FFFFFF"/>
                <w:sz w:val="20"/>
                <w:szCs w:val="20"/>
              </w:rPr>
              <w:t xml:space="preserve">Total Gross Profit ($)</w:t>
            </w:r>
          </w:p>
        </w:tc>
      </w:tr>
      <w:tr>
        <w:tc>
          <w:tcPr>
            <w:tcW w:type="dxa" w:w="2340"/>
          </w:tcPr>
          <w:p>
            <w:r>
              <w:rPr>
                <w:sz w:val="20"/>
                <w:szCs w:val="20"/>
              </w:rPr>
              <w:t xml:space="preserve">Chocolate</w:t>
            </w:r>
          </w:p>
        </w:tc>
        <w:tc>
          <w:tcPr>
            <w:tcW w:type="dxa" w:w="2340"/>
          </w:tcPr>
          <w:p>
            <w:r>
              <w:rPr>
                <w:sz w:val="20"/>
                <w:szCs w:val="20"/>
              </w:rPr>
              <w:t xml:space="preserve">9,844</w:t>
            </w:r>
          </w:p>
        </w:tc>
        <w:tc>
          <w:tcPr>
            <w:tcW w:type="dxa" w:w="2340"/>
          </w:tcPr>
          <w:p>
            <w:r>
              <w:rPr>
                <w:sz w:val="20"/>
                <w:szCs w:val="20"/>
              </w:rPr>
              <w:t xml:space="preserve">131,692.90</w:t>
            </w:r>
          </w:p>
        </w:tc>
        <w:tc>
          <w:tcPr>
            <w:tcW w:type="dxa" w:w="2340"/>
          </w:tcPr>
          <w:p>
            <w:r>
              <w:rPr>
                <w:sz w:val="20"/>
                <w:szCs w:val="20"/>
              </w:rPr>
              <w:t xml:space="preserve">88,824.62</w:t>
            </w:r>
          </w:p>
        </w:tc>
      </w:tr>
      <w:tr>
        <w:tc>
          <w:tcPr>
            <w:tcW w:type="dxa" w:w="2340"/>
          </w:tcPr>
          <w:p>
            <w:r>
              <w:rPr>
                <w:sz w:val="20"/>
                <w:szCs w:val="20"/>
              </w:rPr>
              <w:t xml:space="preserve">Other</w:t>
            </w:r>
          </w:p>
        </w:tc>
        <w:tc>
          <w:tcPr>
            <w:tcW w:type="dxa" w:w="2340"/>
          </w:tcPr>
          <w:p>
            <w:r>
              <w:rPr>
                <w:sz w:val="20"/>
                <w:szCs w:val="20"/>
              </w:rPr>
              <w:t xml:space="preserve">310</w:t>
            </w:r>
          </w:p>
        </w:tc>
        <w:tc>
          <w:tcPr>
            <w:tcW w:type="dxa" w:w="2340"/>
          </w:tcPr>
          <w:p>
            <w:r>
              <w:rPr>
                <w:sz w:val="20"/>
                <w:szCs w:val="20"/>
              </w:rPr>
              <w:t xml:space="preserve">9,663.25</w:t>
            </w:r>
          </w:p>
        </w:tc>
        <w:tc>
          <w:tcPr>
            <w:tcW w:type="dxa" w:w="2340"/>
          </w:tcPr>
          <w:p>
            <w:r>
              <w:rPr>
                <w:sz w:val="20"/>
                <w:szCs w:val="20"/>
              </w:rPr>
              <w:t xml:space="preserve">4,333.45</w:t>
            </w:r>
          </w:p>
        </w:tc>
      </w:tr>
      <w:tr>
        <w:tc>
          <w:tcPr>
            <w:tcW w:type="dxa" w:w="2340"/>
          </w:tcPr>
          <w:p>
            <w:r>
              <w:rPr>
                <w:sz w:val="20"/>
                <w:szCs w:val="20"/>
              </w:rPr>
              <w:t xml:space="preserve">Sugar</w:t>
            </w:r>
          </w:p>
        </w:tc>
        <w:tc>
          <w:tcPr>
            <w:tcW w:type="dxa" w:w="2340"/>
          </w:tcPr>
          <w:p>
            <w:r>
              <w:rPr>
                <w:sz w:val="20"/>
                <w:szCs w:val="20"/>
              </w:rPr>
              <w:t xml:space="preserve">40</w:t>
            </w:r>
          </w:p>
        </w:tc>
        <w:tc>
          <w:tcPr>
            <w:tcW w:type="dxa" w:w="2340"/>
          </w:tcPr>
          <w:p>
            <w:r>
              <w:rPr>
                <w:sz w:val="20"/>
                <w:szCs w:val="20"/>
              </w:rPr>
              <w:t xml:space="preserve">427.48</w:t>
            </w:r>
          </w:p>
        </w:tc>
        <w:tc>
          <w:tcPr>
            <w:tcW w:type="dxa" w:w="2340"/>
          </w:tcPr>
          <w:p>
            <w:r>
              <w:rPr>
                <w:sz w:val="20"/>
                <w:szCs w:val="20"/>
              </w:rPr>
              <w:t xml:space="preserve">284.73</w:t>
            </w:r>
          </w:p>
        </w:tc>
      </w:tr>
    </w:tbl>
    <w:p>
      <w:pPr>
        <w:spacing w:after="160" w:line="276"/>
        <w:jc w:val="both"/>
      </w:pPr>
      <w:r>
        <w:t xml:space="preserve"/>
      </w:r>
    </w:p>
    <w:p>
      <w:pPr>
        <w:spacing w:after="160" w:line="276"/>
        <w:jc w:val="both"/>
      </w:pPr>
      <w:r>
        <w:t xml:space="preserve">The Chocolate division dominates the business on every measure — shipment count, sales, and profit — which is consistent with the earlier observation that the two chocolate-producing factories handle the overwhelming majority of shipment volume. Any operational change aimed at the Chocolate division's logistics will, by extension, affect the large majority of the company's shipping activity.</w:t>
      </w:r>
    </w:p>
    <w:p>
      <w:pPr>
        <w:pStyle w:val="Heading1"/>
        <w:spacing w:after="140" w:before="280"/>
      </w:pPr>
      <w:r>
        <w:t xml:space="preserve">5. Key Findings</w:t>
      </w:r>
    </w:p>
    <w:p>
      <w:pPr>
        <w:pStyle w:val="ListParagraph"/>
        <w:numPr>
          <w:ilvl w:val="0"/>
          <w:numId w:val="1"/>
        </w:numPr>
        <w:spacing w:after="80"/>
      </w:pPr>
      <w:r>
        <w:t xml:space="preserve">Shipment volume is heavily concentrated in two factories (Lot's O' Nuts and Wicked Choccy's), which together account for roughly 96.5% of all shipments, meaning company-wide logistics KPIs are effectively a reflection of these two factories' performance.</w:t>
      </w:r>
    </w:p>
    <w:p>
      <w:pPr>
        <w:pStyle w:val="ListParagraph"/>
        <w:numPr>
          <w:ilvl w:val="0"/>
          <w:numId w:val="1"/>
        </w:numPr>
        <w:spacing w:after="80"/>
      </w:pPr>
      <w:r>
        <w:t xml:space="preserve">Standard Class, the highest-volume shipping method, is also the fastest on average — First Class is, somewhat counter-intuitively, the slowest of the four modes.</w:t>
      </w:r>
    </w:p>
    <w:p>
      <w:pPr>
        <w:pStyle w:val="ListParagraph"/>
        <w:numPr>
          <w:ilvl w:val="0"/>
          <w:numId w:val="1"/>
        </w:numPr>
        <w:spacing w:after="80"/>
      </w:pPr>
      <w:r>
        <w:t xml:space="preserve">Regional differences in lead time are small (under 12 days between the fastest and slowest region), while route-level and state-level differences are much larger (over 300 days between the fastest and slowest qualifying routes).</w:t>
      </w:r>
    </w:p>
    <w:p>
      <w:pPr>
        <w:pStyle w:val="ListParagraph"/>
        <w:numPr>
          <w:ilvl w:val="0"/>
          <w:numId w:val="1"/>
        </w:numPr>
        <w:spacing w:after="80"/>
      </w:pPr>
      <w:r>
        <w:t xml:space="preserve">Five states — Tennessee, Washington, Georgia, Colorado, and North Carolina — combine above-average shipment volume with above-average lead time, making them the clearest bottleneck candidates, with Washington the highest priority given its shipment volume.</w:t>
      </w:r>
    </w:p>
    <w:p>
      <w:pPr>
        <w:pStyle w:val="ListParagraph"/>
        <w:numPr>
          <w:ilvl w:val="0"/>
          <w:numId w:val="1"/>
        </w:numPr>
        <w:spacing w:after="80"/>
      </w:pPr>
      <w:r>
        <w:t xml:space="preserve">Order value (sales, profit, or cost) shows no meaningful correlation with shipping lead time, indicating that shipping speed is not currently being allocated based on order size.</w:t>
      </w:r>
    </w:p>
    <w:p>
      <w:pPr>
        <w:pStyle w:val="ListParagraph"/>
        <w:numPr>
          <w:ilvl w:val="0"/>
          <w:numId w:val="1"/>
        </w:numPr>
        <w:spacing w:after="80"/>
      </w:pPr>
      <w:r>
        <w:t xml:space="preserve">The Chocolate division accounts for the large majority of shipments, sales, and profit, making it the natural focus for any logistics improvement initiative.</w:t>
      </w:r>
    </w:p>
    <w:p>
      <w:pPr>
        <w:pStyle w:val="Heading1"/>
        <w:spacing w:after="140" w:before="280"/>
      </w:pPr>
      <w:r>
        <w:t xml:space="preserve">6. Business Recommendations</w:t>
      </w:r>
    </w:p>
    <w:p>
      <w:pPr>
        <w:pStyle w:val="ListParagraph"/>
        <w:numPr>
          <w:ilvl w:val="0"/>
          <w:numId w:val="1"/>
        </w:numPr>
        <w:spacing w:after="80"/>
      </w:pPr>
      <w:r>
        <w:t xml:space="preserve">Investigate the First Class shipping mode specifically. A premium-named tier performing worse than Standard Class on lead time is either a carrier/process issue or a labeling mismatch, and either explanation is worth resolving.</w:t>
      </w:r>
    </w:p>
    <w:p>
      <w:pPr>
        <w:pStyle w:val="ListParagraph"/>
        <w:numPr>
          <w:ilvl w:val="0"/>
          <w:numId w:val="1"/>
        </w:numPr>
        <w:spacing w:after="80"/>
      </w:pPr>
      <w:r>
        <w:t xml:space="preserve">Prioritize the five bottleneck states identified in Section 4.5 for process review, starting with Washington given its combination of high volume and elevated lead time.</w:t>
      </w:r>
    </w:p>
    <w:p>
      <w:pPr>
        <w:pStyle w:val="ListParagraph"/>
        <w:numPr>
          <w:ilvl w:val="0"/>
          <w:numId w:val="1"/>
        </w:numPr>
        <w:spacing w:after="80"/>
      </w:pPr>
      <w:r>
        <w:t xml:space="preserve">Audit outbound logistics at Lot's O' Nuts and Wicked Choccy's first, since these two factories drive the overwhelming majority of shipment volume — improvements here scale further than improvements at the three low-volume factories.</w:t>
      </w:r>
    </w:p>
    <w:p>
      <w:pPr>
        <w:pStyle w:val="ListParagraph"/>
        <w:numPr>
          <w:ilvl w:val="0"/>
          <w:numId w:val="1"/>
        </w:numPr>
        <w:spacing w:after="80"/>
      </w:pPr>
      <w:r>
        <w:t xml:space="preserve">Re-validate the Order Date / Ship Date fields against the source order-management system, given the unusually large absolute lead times observed; this does not affect the relative route rankings in this paper, but it should be resolved before absolute lead-time figures are quoted to external stakeholders.</w:t>
      </w:r>
    </w:p>
    <w:p>
      <w:pPr>
        <w:pStyle w:val="ListParagraph"/>
        <w:numPr>
          <w:ilvl w:val="0"/>
          <w:numId w:val="1"/>
        </w:numPr>
        <w:spacing w:after="80"/>
      </w:pPr>
      <w:r>
        <w:t xml:space="preserve">Re-run this analysis on a recurring basis using the accompanying Streamlit dashboard, rather than treating it as a single historical report, so that route performance can be tracked as new shipment data arrives.</w:t>
      </w:r>
    </w:p>
    <w:p>
      <w:pPr>
        <w:pStyle w:val="Heading1"/>
        <w:spacing w:after="140" w:before="280"/>
      </w:pPr>
      <w:r>
        <w:t xml:space="preserve">7. Limitations</w:t>
      </w:r>
    </w:p>
    <w:p>
      <w:pPr>
        <w:spacing w:after="160" w:line="276"/>
        <w:jc w:val="both"/>
      </w:pPr>
      <w:r>
        <w:t xml:space="preserve">This analysis is descriptive, not predictive — it characterizes historical route performance but does not forecast future delays. The dataset does not include a factory field directly, so all route assignments depend on the accuracy of the supplied product-to-factory mapping; if a product is ever manufactured at more than one factory in practice, this mapping would need to be revisited. The unusually large absolute lead-time values, discussed in Section 4.1, limit how much confidence should be placed in the absolute-day figures reported here, even though the relative comparisons between routes, modes, and regions remain valid. Finally, several routes and states have small sample sizes (fewer than 15–20 shipments), and their average lead times should be read with appropriate caution rather than treated as fully stable estimates.</w:t>
      </w:r>
    </w:p>
    <w:p>
      <w:pPr>
        <w:pStyle w:val="Heading1"/>
        <w:spacing w:after="140" w:before="280"/>
      </w:pPr>
      <w:r>
        <w:t xml:space="preserve">8. Conclusion</w:t>
      </w:r>
    </w:p>
    <w:p>
      <w:pPr>
        <w:spacing w:after="160" w:line="276"/>
        <w:jc w:val="both"/>
      </w:pPr>
      <w:r>
        <w:t xml:space="preserve">This paper set out to give Nassau Candy Distributor something it did not previously have: a clear, data-driven view of which factory-to-customer shipping routes work well and which do not. By cleaning the raw order and shipment data, attaching factory information through the supplied product lookup table, and aggregating performance at the route, state, region, and ship-mode level, the analysis surfaced concrete, actionable patterns — a shipping-mode anomaly worth investigating, a short list of bottleneck states to prioritize, and confirmation that two factories drive nearly all shipment volume. These findings were packaged into an interactive Streamlit dashboard so that the same questions can continue to be asked as new data arrives, moving the organization from reactive, anecdotal logistics decisions toward a repeatable, evidence-based process.</w:t>
      </w:r>
    </w:p>
    <w:p>
      <w:pPr>
        <w:pStyle w:val="Heading1"/>
        <w:spacing w:after="140" w:before="280"/>
      </w:pPr>
      <w:r>
        <w:t xml:space="preserve">9. Data Source &amp; Tools</w:t>
      </w:r>
    </w:p>
    <w:p>
      <w:pPr>
        <w:spacing w:after="160" w:line="276"/>
        <w:jc w:val="both"/>
      </w:pPr>
      <w:r>
        <w:t xml:space="preserve">All figures in this paper were computed directly from the Nassau Candy Distributor order and shipment dataset (10,195 rows, cleaned to 10,194) using Python 3 with the Pandas and NumPy libraries. Visualizations in the accompanying dashboard were built using Plotly, and the interactive application itself was built with Streamlit. The product-to-factory correlation table and factory coordinates used to construct routes were taken directly from the project's technical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Nassau Candy Distributor — Shipping Route Efficiency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2026-07-22T06:47:03.841Z</dcterms:created>
  <dcterms:modified xsi:type="dcterms:W3CDTF">2026-07-22T06:47:03.864Z</dcterms:modified>
</cp:coreProperties>
</file>

<file path=docProps/custom.xml><?xml version="1.0" encoding="utf-8"?>
<Properties xmlns="http://schemas.openxmlformats.org/officeDocument/2006/custom-properties" xmlns:vt="http://schemas.openxmlformats.org/officeDocument/2006/docPropsVTypes"/>
</file>