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6CDD" w:rsidRPr="00066CDD" w:rsidRDefault="00066CDD" w:rsidP="00066C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6CDD">
        <w:rPr>
          <w:rFonts w:ascii="Times New Roman" w:eastAsia="Times New Roman" w:hAnsi="Times New Roman" w:cs="Times New Roman"/>
          <w:b/>
          <w:bCs/>
          <w:kern w:val="36"/>
          <w:sz w:val="48"/>
          <w:szCs w:val="48"/>
        </w:rPr>
        <w:t>World Population Analysis</w:t>
      </w:r>
    </w:p>
    <w:p w:rsidR="00066CDD" w:rsidRP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b/>
          <w:bCs/>
          <w:sz w:val="24"/>
          <w:szCs w:val="24"/>
        </w:rPr>
        <w:t>By: Shivalika Singh</w:t>
      </w:r>
      <w:r w:rsidRPr="00066CDD">
        <w:rPr>
          <w:rFonts w:ascii="Times New Roman" w:eastAsia="Times New Roman" w:hAnsi="Times New Roman" w:cs="Times New Roman"/>
          <w:sz w:val="24"/>
          <w:szCs w:val="24"/>
        </w:rPr>
        <w:br/>
      </w:r>
      <w:r w:rsidRPr="00066CDD">
        <w:rPr>
          <w:rFonts w:ascii="Times New Roman" w:eastAsia="Times New Roman" w:hAnsi="Times New Roman" w:cs="Times New Roman"/>
          <w:b/>
          <w:bCs/>
          <w:sz w:val="24"/>
          <w:szCs w:val="24"/>
        </w:rPr>
        <w:t>Domain:</w:t>
      </w:r>
      <w:r w:rsidRPr="00066CDD">
        <w:rPr>
          <w:rFonts w:ascii="Times New Roman" w:eastAsia="Times New Roman" w:hAnsi="Times New Roman" w:cs="Times New Roman"/>
          <w:sz w:val="24"/>
          <w:szCs w:val="24"/>
        </w:rPr>
        <w:t xml:space="preserve"> Finance Analyst</w:t>
      </w:r>
      <w:r w:rsidRPr="00066CDD">
        <w:rPr>
          <w:rFonts w:ascii="Times New Roman" w:eastAsia="Times New Roman" w:hAnsi="Times New Roman" w:cs="Times New Roman"/>
          <w:sz w:val="24"/>
          <w:szCs w:val="24"/>
        </w:rPr>
        <w:br/>
      </w:r>
      <w:r w:rsidRPr="00066CDD">
        <w:rPr>
          <w:rFonts w:ascii="Times New Roman" w:eastAsia="Times New Roman" w:hAnsi="Times New Roman" w:cs="Times New Roman"/>
          <w:b/>
          <w:bCs/>
          <w:sz w:val="24"/>
          <w:szCs w:val="24"/>
        </w:rPr>
        <w:t>Tools Used:</w:t>
      </w:r>
      <w:r w:rsidRPr="00066CDD">
        <w:rPr>
          <w:rFonts w:ascii="Times New Roman" w:eastAsia="Times New Roman" w:hAnsi="Times New Roman" w:cs="Times New Roman"/>
          <w:sz w:val="24"/>
          <w:szCs w:val="24"/>
        </w:rPr>
        <w:t xml:space="preserve"> Microsoft Excel, MySQL, Power BI</w:t>
      </w:r>
    </w:p>
    <w:p w:rsidR="00066CDD"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pict>
          <v:rect id="_x0000_i1025" style="width:0;height:1.5pt" o:hralign="center" o:hrstd="t" o:hr="t" fillcolor="#a0a0a0" stroked="f"/>
        </w:pict>
      </w:r>
    </w:p>
    <w:p w:rsidR="00066CDD" w:rsidRPr="00066CDD" w:rsidRDefault="00066CDD" w:rsidP="00066CDD">
      <w:pPr>
        <w:spacing w:before="100" w:beforeAutospacing="1" w:after="100" w:afterAutospacing="1" w:line="240" w:lineRule="auto"/>
        <w:outlineLvl w:val="1"/>
        <w:rPr>
          <w:rFonts w:ascii="Times New Roman" w:eastAsia="Times New Roman" w:hAnsi="Times New Roman" w:cs="Times New Roman"/>
          <w:b/>
          <w:bCs/>
          <w:sz w:val="36"/>
          <w:szCs w:val="36"/>
        </w:rPr>
      </w:pPr>
      <w:r w:rsidRPr="00066CDD">
        <w:rPr>
          <w:rFonts w:ascii="Times New Roman" w:eastAsia="Times New Roman" w:hAnsi="Times New Roman" w:cs="Times New Roman"/>
          <w:b/>
          <w:bCs/>
          <w:sz w:val="36"/>
          <w:szCs w:val="36"/>
        </w:rPr>
        <w:t>Executive Summary</w:t>
      </w:r>
    </w:p>
    <w:p w:rsidR="00066CDD" w:rsidRP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This project focuses on the analytical study of the world population across multiple decades. Using global population data, the goal was to understand growth patterns, identify the fastest and slowest-growing countries, compute key metrics like growth rate and CAGR, and visually represent the findings. The analysis supports deeper understanding of demographic changes and their implications on global economic and financial systems.</w:t>
      </w:r>
    </w:p>
    <w:p w:rsid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Through a structured workflow involving data cleaning, transformation using SQL, modeling and calculations in Excel, and interactive insights using Power BI dashboards, this study successfully highlights major trends and provides actionable conclusions.</w:t>
      </w:r>
    </w:p>
    <w:p w:rsidR="00066CDD" w:rsidRPr="00066CDD" w:rsidRDefault="00066CDD" w:rsidP="00066CDD">
      <w:pPr>
        <w:spacing w:before="100" w:beforeAutospacing="1" w:after="100" w:afterAutospacing="1" w:line="240" w:lineRule="auto"/>
        <w:rPr>
          <w:rFonts w:ascii="Times New Roman" w:eastAsia="Times New Roman" w:hAnsi="Times New Roman" w:cs="Times New Roman"/>
          <w:b/>
          <w:bCs/>
          <w:sz w:val="36"/>
          <w:szCs w:val="36"/>
          <w:u w:val="single"/>
        </w:rPr>
      </w:pPr>
      <w:r w:rsidRPr="00066CDD">
        <w:rPr>
          <w:rFonts w:ascii="Times New Roman" w:eastAsia="Times New Roman" w:hAnsi="Times New Roman" w:cs="Times New Roman"/>
          <w:b/>
          <w:bCs/>
          <w:sz w:val="36"/>
          <w:szCs w:val="36"/>
          <w:u w:val="single"/>
        </w:rPr>
        <w:t xml:space="preserve">About Dataset </w:t>
      </w:r>
    </w:p>
    <w:p w:rsidR="00066CDD" w:rsidRPr="00066CDD" w:rsidRDefault="00066CDD" w:rsidP="00066CDD">
      <w:pPr>
        <w:spacing w:before="100" w:beforeAutospacing="1" w:after="100" w:afterAutospacing="1" w:line="240" w:lineRule="auto"/>
        <w:rPr>
          <w:rFonts w:ascii="Times New Roman" w:eastAsia="Times New Roman" w:hAnsi="Times New Roman" w:cs="Times New Roman"/>
          <w:sz w:val="24"/>
          <w:szCs w:val="24"/>
          <w:u w:val="single"/>
        </w:rPr>
      </w:pPr>
      <w:r w:rsidRPr="00066CDD">
        <w:rPr>
          <w:rFonts w:ascii="Times New Roman" w:eastAsia="Times New Roman" w:hAnsi="Times New Roman" w:cs="Times New Roman"/>
          <w:sz w:val="24"/>
          <w:szCs w:val="24"/>
          <w:u w:val="single"/>
        </w:rPr>
        <w:t>Context</w:t>
      </w:r>
    </w:p>
    <w:p w:rsidR="00066CDD" w:rsidRP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The current US Census Bureau world population estimate in June 2019 shows that the current global population is 7,577,130,400 people on earth, which far exceeds the world population of 7.2 billion in 2015. Our own estimate based on UN data shows the world's population surpassing 7.7 billion.</w:t>
      </w:r>
    </w:p>
    <w:p w:rsidR="00066CDD" w:rsidRP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China is the most populous country in the world with a population exceeding 1.4 billion. It is one of just two countries with a population of more than 1 billion, with India being the second. As of 2018, India has a population of over 1.355 billion people, and its population</w:t>
      </w:r>
      <w:r>
        <w:rPr>
          <w:rFonts w:ascii="Times New Roman" w:eastAsia="Times New Roman" w:hAnsi="Times New Roman" w:cs="Times New Roman"/>
          <w:sz w:val="24"/>
          <w:szCs w:val="24"/>
        </w:rPr>
        <w:t xml:space="preserve"> </w:t>
      </w:r>
      <w:r w:rsidRPr="00066CDD">
        <w:rPr>
          <w:rFonts w:ascii="Times New Roman" w:eastAsia="Times New Roman" w:hAnsi="Times New Roman" w:cs="Times New Roman"/>
          <w:sz w:val="24"/>
          <w:szCs w:val="24"/>
        </w:rPr>
        <w:t>growth is expected to continue through at least 2050. By the year 2030, the</w:t>
      </w:r>
    </w:p>
    <w:p w:rsidR="00066CDD" w:rsidRP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country of India is expected to become the most populous country in the world. This is because India’s population will grow, while China is projected to see a loss in population.</w:t>
      </w:r>
    </w:p>
    <w:p w:rsidR="00066CDD" w:rsidRP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The following 11 countries that are the most populous in the</w:t>
      </w:r>
      <w:r>
        <w:rPr>
          <w:rFonts w:ascii="Times New Roman" w:eastAsia="Times New Roman" w:hAnsi="Times New Roman" w:cs="Times New Roman"/>
          <w:sz w:val="24"/>
          <w:szCs w:val="24"/>
        </w:rPr>
        <w:t xml:space="preserve"> </w:t>
      </w:r>
      <w:r w:rsidRPr="00066CDD">
        <w:rPr>
          <w:rFonts w:ascii="Times New Roman" w:eastAsia="Times New Roman" w:hAnsi="Times New Roman" w:cs="Times New Roman"/>
          <w:sz w:val="24"/>
          <w:szCs w:val="24"/>
        </w:rPr>
        <w:t>world each have populations exceeding 100 million. These include the United States, Indonesia, Brazil, Pakistan, Nigeria, Bangladesh, Russia, Mexico, Japan, Ethiopia, and the Philippines. Of these nations, all are expected to continue to grow except Russia and Japan, which will see their populations drop by 2030 before falling again significantly by 2050.</w:t>
      </w:r>
    </w:p>
    <w:p w:rsidR="00066CDD" w:rsidRP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lastRenderedPageBreak/>
        <w:t>Many other nations have populations of at least one million, while there are also countries that have just thousands. The smallest population in the world can be found in Vatican City, where only 801 people reside.</w:t>
      </w:r>
    </w:p>
    <w:p w:rsidR="00066CDD" w:rsidRP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In 2018, the world’s population growth rate was 1.12%. Every five years since the 1970s, the population growth rate has continued to fall. The world’s population is expected to continue to grow larger but at a much slower pace. By 2030, the population will exceed 8 billion. In 2040, this number will grow to more than 9 billion. In 2055, the number will rise to over 10 billion, and another billion people won’t be added until near the end of the century. The current annual population growth estimates from the United Nations are in the millions - estimating that over 80 million new lives are added each year.</w:t>
      </w:r>
    </w:p>
    <w:p w:rsidR="00066CDD" w:rsidRP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This population growth will be significantly impacted by nine specific countries which are situated to contribute to the population growing more quickly than other nations. These nations include the Democratic</w:t>
      </w:r>
      <w:r>
        <w:rPr>
          <w:rFonts w:ascii="Times New Roman" w:eastAsia="Times New Roman" w:hAnsi="Times New Roman" w:cs="Times New Roman"/>
          <w:sz w:val="24"/>
          <w:szCs w:val="24"/>
        </w:rPr>
        <w:t xml:space="preserve"> </w:t>
      </w:r>
      <w:r w:rsidRPr="00066CDD">
        <w:rPr>
          <w:rFonts w:ascii="Times New Roman" w:eastAsia="Times New Roman" w:hAnsi="Times New Roman" w:cs="Times New Roman"/>
          <w:sz w:val="24"/>
          <w:szCs w:val="24"/>
        </w:rPr>
        <w:t>Republic of the Congo, Ethiopia, India, Indonesia, Nigeria, Pakistan, Uganda, the United Republic of Tanzania, and the United States of America. Particularly of interest, India is on track to overtake China's position as the most populous country by 2030. Additionally, multiple nations within Africa are expected to double their populations before fertility rates begin to slow entirely.</w:t>
      </w:r>
    </w:p>
    <w:p w:rsidR="00066CDD"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pict>
          <v:rect id="_x0000_i1026" style="width:0;height:1.5pt" o:hralign="center" o:hrstd="t" o:hr="t" fillcolor="#a0a0a0" stroked="f"/>
        </w:pict>
      </w:r>
    </w:p>
    <w:p w:rsidR="00066CDD" w:rsidRPr="00066CDD" w:rsidRDefault="00066CDD" w:rsidP="00066CDD">
      <w:pPr>
        <w:spacing w:before="100" w:beforeAutospacing="1" w:after="100" w:afterAutospacing="1" w:line="240" w:lineRule="auto"/>
        <w:outlineLvl w:val="1"/>
        <w:rPr>
          <w:rFonts w:ascii="Times New Roman" w:eastAsia="Times New Roman" w:hAnsi="Times New Roman" w:cs="Times New Roman"/>
          <w:b/>
          <w:bCs/>
          <w:sz w:val="36"/>
          <w:szCs w:val="36"/>
        </w:rPr>
      </w:pPr>
      <w:r w:rsidRPr="00066CDD">
        <w:rPr>
          <w:rFonts w:ascii="Times New Roman" w:eastAsia="Times New Roman" w:hAnsi="Times New Roman" w:cs="Times New Roman"/>
          <w:b/>
          <w:bCs/>
          <w:sz w:val="36"/>
          <w:szCs w:val="36"/>
        </w:rPr>
        <w:t>Project Objectives</w:t>
      </w:r>
    </w:p>
    <w:p w:rsidR="00066CDD" w:rsidRPr="00066CDD" w:rsidRDefault="00066CDD" w:rsidP="00066C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To evaluate world population growth over different decades.</w:t>
      </w:r>
    </w:p>
    <w:p w:rsidR="00066CDD" w:rsidRPr="00066CDD" w:rsidRDefault="00066CDD" w:rsidP="00066C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To calculate growth rates and observe trend movements globally.</w:t>
      </w:r>
    </w:p>
    <w:p w:rsidR="00066CDD" w:rsidRPr="00066CDD" w:rsidRDefault="00066CDD" w:rsidP="00066C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To analyze top and bottom countries based on population growth.</w:t>
      </w:r>
    </w:p>
    <w:p w:rsidR="00066CDD" w:rsidRPr="00066CDD" w:rsidRDefault="00066CDD" w:rsidP="00066C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To implement forecasting models for future projections.</w:t>
      </w:r>
    </w:p>
    <w:p w:rsidR="00066CDD" w:rsidRPr="00066CDD" w:rsidRDefault="00066CDD" w:rsidP="00066C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To build interactive visual representations for better interpretation.</w:t>
      </w:r>
    </w:p>
    <w:p w:rsidR="00066CDD"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pict>
          <v:rect id="_x0000_i1027" style="width:0;height:1.5pt" o:hralign="center" o:hrstd="t" o:hr="t" fillcolor="#a0a0a0" stroked="f"/>
        </w:pict>
      </w:r>
    </w:p>
    <w:p w:rsidR="00066CDD" w:rsidRPr="00066CDD" w:rsidRDefault="00066CDD" w:rsidP="00066CDD">
      <w:pPr>
        <w:spacing w:before="100" w:beforeAutospacing="1" w:after="100" w:afterAutospacing="1" w:line="240" w:lineRule="auto"/>
        <w:outlineLvl w:val="1"/>
        <w:rPr>
          <w:rFonts w:ascii="Times New Roman" w:eastAsia="Times New Roman" w:hAnsi="Times New Roman" w:cs="Times New Roman"/>
          <w:b/>
          <w:bCs/>
          <w:sz w:val="36"/>
          <w:szCs w:val="36"/>
        </w:rPr>
      </w:pPr>
      <w:r w:rsidRPr="00066CDD">
        <w:rPr>
          <w:rFonts w:ascii="Times New Roman" w:eastAsia="Times New Roman" w:hAnsi="Times New Roman" w:cs="Times New Roman"/>
          <w:b/>
          <w:bCs/>
          <w:sz w:val="36"/>
          <w:szCs w:val="36"/>
        </w:rPr>
        <w:t>Data Overview</w:t>
      </w:r>
    </w:p>
    <w:p w:rsidR="00066CDD" w:rsidRP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The dataset contained:</w:t>
      </w:r>
    </w:p>
    <w:p w:rsidR="00066CDD" w:rsidRPr="00066CDD" w:rsidRDefault="00066CDD" w:rsidP="00066C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Year-wise world population figures (1970–2022)</w:t>
      </w:r>
    </w:p>
    <w:p w:rsidR="00066CDD" w:rsidRPr="00066CDD" w:rsidRDefault="00066CDD" w:rsidP="00066C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Population values for 225+ countries</w:t>
      </w:r>
    </w:p>
    <w:p w:rsidR="00066CDD" w:rsidRPr="00066CDD" w:rsidRDefault="00066CDD" w:rsidP="00066C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Decade-based intervals for trend analysis</w:t>
      </w:r>
    </w:p>
    <w:p w:rsidR="00066CDD"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pict>
          <v:rect id="_x0000_i1028" style="width:0;height:1.5pt" o:hralign="center" o:hrstd="t" o:hr="t" fillcolor="#a0a0a0" stroked="f"/>
        </w:pict>
      </w:r>
    </w:p>
    <w:p w:rsidR="00066CDD" w:rsidRDefault="00066CDD" w:rsidP="00066CDD">
      <w:pPr>
        <w:spacing w:before="100" w:beforeAutospacing="1" w:after="100" w:afterAutospacing="1" w:line="240" w:lineRule="auto"/>
        <w:outlineLvl w:val="1"/>
        <w:rPr>
          <w:rFonts w:ascii="Times New Roman" w:eastAsia="Times New Roman" w:hAnsi="Times New Roman" w:cs="Times New Roman"/>
          <w:b/>
          <w:bCs/>
          <w:sz w:val="36"/>
          <w:szCs w:val="36"/>
        </w:rPr>
      </w:pPr>
    </w:p>
    <w:p w:rsidR="00066CDD" w:rsidRPr="00066CDD" w:rsidRDefault="00066CDD" w:rsidP="00066CDD">
      <w:pPr>
        <w:spacing w:before="100" w:beforeAutospacing="1" w:after="100" w:afterAutospacing="1" w:line="240" w:lineRule="auto"/>
        <w:outlineLvl w:val="1"/>
        <w:rPr>
          <w:rFonts w:ascii="Times New Roman" w:eastAsia="Times New Roman" w:hAnsi="Times New Roman" w:cs="Times New Roman"/>
          <w:b/>
          <w:bCs/>
          <w:sz w:val="36"/>
          <w:szCs w:val="36"/>
        </w:rPr>
      </w:pPr>
      <w:r w:rsidRPr="00066CDD">
        <w:rPr>
          <w:rFonts w:ascii="Times New Roman" w:eastAsia="Times New Roman" w:hAnsi="Times New Roman" w:cs="Times New Roman"/>
          <w:b/>
          <w:bCs/>
          <w:sz w:val="36"/>
          <w:szCs w:val="36"/>
        </w:rPr>
        <w:lastRenderedPageBreak/>
        <w:t>Tools &amp; Methodology</w:t>
      </w:r>
    </w:p>
    <w:p w:rsidR="00066CDD" w:rsidRPr="00066CDD" w:rsidRDefault="00066CDD" w:rsidP="00066CDD">
      <w:pPr>
        <w:spacing w:before="100" w:beforeAutospacing="1" w:after="100" w:afterAutospacing="1" w:line="240" w:lineRule="auto"/>
        <w:outlineLvl w:val="2"/>
        <w:rPr>
          <w:rFonts w:ascii="Times New Roman" w:eastAsia="Times New Roman" w:hAnsi="Times New Roman" w:cs="Times New Roman"/>
          <w:b/>
          <w:bCs/>
          <w:sz w:val="27"/>
          <w:szCs w:val="27"/>
        </w:rPr>
      </w:pPr>
      <w:r w:rsidRPr="00066CDD">
        <w:rPr>
          <w:rFonts w:ascii="Times New Roman" w:eastAsia="Times New Roman" w:hAnsi="Times New Roman" w:cs="Times New Roman"/>
          <w:b/>
          <w:bCs/>
          <w:sz w:val="27"/>
          <w:szCs w:val="27"/>
        </w:rPr>
        <w:t>1</w:t>
      </w:r>
      <w:r>
        <w:rPr>
          <w:rFonts w:ascii="Times New Roman" w:eastAsia="Times New Roman" w:hAnsi="Times New Roman" w:cs="Times New Roman"/>
          <w:b/>
          <w:bCs/>
          <w:sz w:val="27"/>
          <w:szCs w:val="27"/>
        </w:rPr>
        <w:t xml:space="preserve">  </w:t>
      </w:r>
      <w:r w:rsidRPr="00066CDD">
        <w:rPr>
          <w:rFonts w:ascii="Times New Roman" w:eastAsia="Times New Roman" w:hAnsi="Times New Roman" w:cs="Times New Roman"/>
          <w:b/>
          <w:bCs/>
          <w:sz w:val="27"/>
          <w:szCs w:val="27"/>
        </w:rPr>
        <w:t>Data Cleaning — MySQL</w:t>
      </w:r>
    </w:p>
    <w:p w:rsidR="00066CDD" w:rsidRPr="00066CDD" w:rsidRDefault="00066CDD" w:rsidP="00066C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Imported raw population dataset into SQL for transformation</w:t>
      </w:r>
    </w:p>
    <w:p w:rsidR="00066CDD" w:rsidRPr="00066CDD" w:rsidRDefault="00066CDD" w:rsidP="00066C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Removed Null/duplicate records</w:t>
      </w:r>
    </w:p>
    <w:p w:rsidR="00066CDD" w:rsidRPr="00066CDD" w:rsidRDefault="00066CDD" w:rsidP="00066C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Filtered relevant columns for analysis</w:t>
      </w:r>
    </w:p>
    <w:p w:rsidR="00066CDD" w:rsidRDefault="00066CDD" w:rsidP="00066C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Structured data into a clean, single-table format</w:t>
      </w:r>
    </w:p>
    <w:p w:rsidR="00EA6175" w:rsidRDefault="00EA6175" w:rsidP="00EA6175">
      <w:pPr>
        <w:spacing w:before="100" w:beforeAutospacing="1" w:after="100" w:afterAutospacing="1" w:line="240" w:lineRule="auto"/>
        <w:rPr>
          <w:rFonts w:ascii="Times New Roman" w:eastAsia="Times New Roman" w:hAnsi="Times New Roman" w:cs="Times New Roman"/>
          <w:sz w:val="24"/>
          <w:szCs w:val="24"/>
        </w:rPr>
      </w:pPr>
    </w:p>
    <w:tbl>
      <w:tblPr>
        <w:tblpPr w:leftFromText="180" w:rightFromText="180" w:vertAnchor="text" w:horzAnchor="margin" w:tblpXSpec="center" w:tblpY="122"/>
        <w:tblW w:w="11272" w:type="dxa"/>
        <w:tblLook w:val="04A0"/>
      </w:tblPr>
      <w:tblGrid>
        <w:gridCol w:w="776"/>
        <w:gridCol w:w="2636"/>
        <w:gridCol w:w="1596"/>
        <w:gridCol w:w="1636"/>
        <w:gridCol w:w="1776"/>
        <w:gridCol w:w="1376"/>
        <w:gridCol w:w="1476"/>
      </w:tblGrid>
      <w:tr w:rsidR="00035FE9" w:rsidRPr="00035FE9" w:rsidTr="00035FE9">
        <w:trPr>
          <w:trHeight w:val="300"/>
        </w:trPr>
        <w:tc>
          <w:tcPr>
            <w:tcW w:w="776" w:type="dxa"/>
            <w:tcBorders>
              <w:top w:val="nil"/>
              <w:left w:val="nil"/>
              <w:bottom w:val="nil"/>
              <w:right w:val="nil"/>
            </w:tcBorders>
            <w:shd w:val="clear" w:color="000000" w:fill="0070C0"/>
            <w:noWrap/>
            <w:vAlign w:val="bottom"/>
            <w:hideMark/>
          </w:tcPr>
          <w:p w:rsidR="00035FE9" w:rsidRPr="00035FE9" w:rsidRDefault="00035FE9" w:rsidP="00035FE9">
            <w:pPr>
              <w:spacing w:after="0" w:line="240" w:lineRule="auto"/>
              <w:rPr>
                <w:rFonts w:ascii="Calibri" w:eastAsia="Times New Roman" w:hAnsi="Calibri" w:cs="Calibri"/>
                <w:b/>
                <w:bCs/>
                <w:color w:val="FFFFFF"/>
                <w:szCs w:val="22"/>
              </w:rPr>
            </w:pPr>
            <w:r w:rsidRPr="00035FE9">
              <w:rPr>
                <w:rFonts w:ascii="Calibri" w:eastAsia="Times New Roman" w:hAnsi="Calibri" w:cs="Calibri"/>
                <w:b/>
                <w:bCs/>
                <w:color w:val="FFFFFF"/>
                <w:szCs w:val="22"/>
              </w:rPr>
              <w:t>Rank</w:t>
            </w:r>
          </w:p>
        </w:tc>
        <w:tc>
          <w:tcPr>
            <w:tcW w:w="2636" w:type="dxa"/>
            <w:tcBorders>
              <w:top w:val="nil"/>
              <w:left w:val="nil"/>
              <w:bottom w:val="nil"/>
              <w:right w:val="nil"/>
            </w:tcBorders>
            <w:shd w:val="clear" w:color="000000" w:fill="0070C0"/>
            <w:noWrap/>
            <w:vAlign w:val="bottom"/>
            <w:hideMark/>
          </w:tcPr>
          <w:p w:rsidR="00035FE9" w:rsidRPr="00035FE9" w:rsidRDefault="00035FE9" w:rsidP="00035FE9">
            <w:pPr>
              <w:spacing w:after="0" w:line="240" w:lineRule="auto"/>
              <w:jc w:val="right"/>
              <w:rPr>
                <w:rFonts w:ascii="Calibri" w:eastAsia="Times New Roman" w:hAnsi="Calibri" w:cs="Calibri"/>
                <w:b/>
                <w:bCs/>
                <w:color w:val="FFFFFF"/>
                <w:szCs w:val="22"/>
              </w:rPr>
            </w:pPr>
            <w:r w:rsidRPr="00035FE9">
              <w:rPr>
                <w:rFonts w:ascii="Calibri" w:eastAsia="Times New Roman" w:hAnsi="Calibri" w:cs="Calibri"/>
                <w:b/>
                <w:bCs/>
                <w:color w:val="FFFFFF"/>
                <w:szCs w:val="22"/>
              </w:rPr>
              <w:t>Country/Territory</w:t>
            </w:r>
          </w:p>
        </w:tc>
        <w:tc>
          <w:tcPr>
            <w:tcW w:w="1596" w:type="dxa"/>
            <w:tcBorders>
              <w:top w:val="nil"/>
              <w:left w:val="nil"/>
              <w:bottom w:val="nil"/>
              <w:right w:val="nil"/>
            </w:tcBorders>
            <w:shd w:val="clear" w:color="000000" w:fill="0070C0"/>
            <w:noWrap/>
            <w:vAlign w:val="bottom"/>
            <w:hideMark/>
          </w:tcPr>
          <w:p w:rsidR="00035FE9" w:rsidRPr="00035FE9" w:rsidRDefault="00035FE9" w:rsidP="00035FE9">
            <w:pPr>
              <w:spacing w:after="0" w:line="240" w:lineRule="auto"/>
              <w:jc w:val="right"/>
              <w:rPr>
                <w:rFonts w:ascii="Calibri" w:eastAsia="Times New Roman" w:hAnsi="Calibri" w:cs="Calibri"/>
                <w:b/>
                <w:bCs/>
                <w:color w:val="FFFFFF"/>
                <w:szCs w:val="22"/>
              </w:rPr>
            </w:pPr>
            <w:r w:rsidRPr="00035FE9">
              <w:rPr>
                <w:rFonts w:ascii="Calibri" w:eastAsia="Times New Roman" w:hAnsi="Calibri" w:cs="Calibri"/>
                <w:b/>
                <w:bCs/>
                <w:color w:val="FFFFFF"/>
                <w:szCs w:val="22"/>
              </w:rPr>
              <w:t>Continent</w:t>
            </w:r>
          </w:p>
        </w:tc>
        <w:tc>
          <w:tcPr>
            <w:tcW w:w="1636" w:type="dxa"/>
            <w:tcBorders>
              <w:top w:val="nil"/>
              <w:left w:val="nil"/>
              <w:bottom w:val="nil"/>
              <w:right w:val="nil"/>
            </w:tcBorders>
            <w:shd w:val="clear" w:color="000000" w:fill="0070C0"/>
            <w:noWrap/>
            <w:vAlign w:val="bottom"/>
            <w:hideMark/>
          </w:tcPr>
          <w:p w:rsidR="00035FE9" w:rsidRPr="00035FE9" w:rsidRDefault="00035FE9" w:rsidP="00035FE9">
            <w:pPr>
              <w:spacing w:after="0" w:line="240" w:lineRule="auto"/>
              <w:jc w:val="right"/>
              <w:rPr>
                <w:rFonts w:ascii="Calibri" w:eastAsia="Times New Roman" w:hAnsi="Calibri" w:cs="Calibri"/>
                <w:b/>
                <w:bCs/>
                <w:color w:val="FFFFFF"/>
                <w:szCs w:val="22"/>
              </w:rPr>
            </w:pPr>
            <w:r w:rsidRPr="00035FE9">
              <w:rPr>
                <w:rFonts w:ascii="Calibri" w:eastAsia="Times New Roman" w:hAnsi="Calibri" w:cs="Calibri"/>
                <w:b/>
                <w:bCs/>
                <w:color w:val="FFFFFF"/>
                <w:szCs w:val="22"/>
              </w:rPr>
              <w:t>1970 Population</w:t>
            </w:r>
          </w:p>
        </w:tc>
        <w:tc>
          <w:tcPr>
            <w:tcW w:w="1776" w:type="dxa"/>
            <w:tcBorders>
              <w:top w:val="nil"/>
              <w:left w:val="nil"/>
              <w:bottom w:val="nil"/>
              <w:right w:val="nil"/>
            </w:tcBorders>
            <w:shd w:val="clear" w:color="000000" w:fill="0070C0"/>
            <w:noWrap/>
            <w:vAlign w:val="bottom"/>
            <w:hideMark/>
          </w:tcPr>
          <w:p w:rsidR="00035FE9" w:rsidRPr="00035FE9" w:rsidRDefault="00035FE9" w:rsidP="00035FE9">
            <w:pPr>
              <w:spacing w:after="0" w:line="240" w:lineRule="auto"/>
              <w:jc w:val="right"/>
              <w:rPr>
                <w:rFonts w:ascii="Calibri" w:eastAsia="Times New Roman" w:hAnsi="Calibri" w:cs="Calibri"/>
                <w:b/>
                <w:bCs/>
                <w:color w:val="FFFFFF"/>
                <w:szCs w:val="22"/>
              </w:rPr>
            </w:pPr>
            <w:r w:rsidRPr="00035FE9">
              <w:rPr>
                <w:rFonts w:ascii="Calibri" w:eastAsia="Times New Roman" w:hAnsi="Calibri" w:cs="Calibri"/>
                <w:b/>
                <w:bCs/>
                <w:color w:val="FFFFFF"/>
                <w:szCs w:val="22"/>
              </w:rPr>
              <w:t>1980 Population</w:t>
            </w:r>
          </w:p>
        </w:tc>
        <w:tc>
          <w:tcPr>
            <w:tcW w:w="137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b/>
                <w:bCs/>
                <w:color w:val="000000"/>
                <w:szCs w:val="22"/>
              </w:rPr>
            </w:pPr>
            <w:r w:rsidRPr="00035FE9">
              <w:rPr>
                <w:rFonts w:ascii="Calibri" w:eastAsia="Times New Roman" w:hAnsi="Calibri" w:cs="Calibri"/>
                <w:b/>
                <w:bCs/>
                <w:color w:val="000000"/>
                <w:szCs w:val="22"/>
              </w:rPr>
              <w:t xml:space="preserve">Growth Rate </w:t>
            </w:r>
          </w:p>
        </w:tc>
        <w:tc>
          <w:tcPr>
            <w:tcW w:w="1476" w:type="dxa"/>
            <w:tcBorders>
              <w:top w:val="nil"/>
              <w:left w:val="nil"/>
              <w:bottom w:val="nil"/>
              <w:right w:val="nil"/>
            </w:tcBorders>
            <w:shd w:val="clear" w:color="000000" w:fill="75923C"/>
            <w:noWrap/>
            <w:vAlign w:val="bottom"/>
            <w:hideMark/>
          </w:tcPr>
          <w:p w:rsidR="00035FE9" w:rsidRPr="00035FE9" w:rsidRDefault="00035FE9" w:rsidP="00035FE9">
            <w:pPr>
              <w:spacing w:after="0" w:line="240" w:lineRule="auto"/>
              <w:jc w:val="right"/>
              <w:rPr>
                <w:rFonts w:ascii="Calibri" w:eastAsia="Times New Roman" w:hAnsi="Calibri" w:cs="Calibri"/>
                <w:b/>
                <w:bCs/>
                <w:color w:val="FFFFFF"/>
                <w:szCs w:val="22"/>
              </w:rPr>
            </w:pPr>
            <w:r w:rsidRPr="00035FE9">
              <w:rPr>
                <w:rFonts w:ascii="Calibri" w:eastAsia="Times New Roman" w:hAnsi="Calibri" w:cs="Calibri"/>
                <w:b/>
                <w:bCs/>
                <w:color w:val="FFFFFF"/>
                <w:szCs w:val="22"/>
              </w:rPr>
              <w:t>CAGR 10 YR</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p>
        </w:tc>
        <w:tc>
          <w:tcPr>
            <w:tcW w:w="2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b/>
                <w:bCs/>
                <w:color w:val="000000"/>
                <w:szCs w:val="22"/>
              </w:rPr>
            </w:pP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b/>
                <w:bCs/>
                <w:color w:val="000000"/>
                <w:szCs w:val="22"/>
              </w:rPr>
            </w:pP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b/>
                <w:bCs/>
                <w:color w:val="000000"/>
                <w:szCs w:val="22"/>
              </w:rPr>
            </w:pPr>
          </w:p>
        </w:tc>
        <w:tc>
          <w:tcPr>
            <w:tcW w:w="13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b/>
                <w:bCs/>
                <w:color w:val="000000"/>
                <w:szCs w:val="22"/>
              </w:rPr>
            </w:pPr>
          </w:p>
        </w:tc>
        <w:tc>
          <w:tcPr>
            <w:tcW w:w="14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b/>
                <w:bCs/>
                <w:color w:val="000000"/>
                <w:szCs w:val="22"/>
              </w:rPr>
            </w:pP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1</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China</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Asia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822,534,450</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982,372,466</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19.43%</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101.79%</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2</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India</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Asia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557,501,301</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696,828,385</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24.99%</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102.26%</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3</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United States</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North America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200,328,340</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223,140,018</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11.39%</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101.08%</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4</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Indonesia</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Asia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115,228,394</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148,177,096</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28.59%</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102.55%</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5</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Pakistan</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Asia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59,290,872</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80,624,057</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35.98%</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103.12%</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6</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Nigeria</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Africa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55,569,264</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72,951,439</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31.28%</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102.76%</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7</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Brazil</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South America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96,369,875</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122,288,383</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26.89%</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102.41%</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8</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Bangladesh</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Asia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67,541,860</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83,929,765</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24.26%</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102.20%</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9</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Russia</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Europe</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130,093,010</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138,257,420</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6.28%</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100.61%</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10</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Mexico</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North America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50,289,306</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67,705,186</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34.63%</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103.02%</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11</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Japan</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Asia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105,416,839</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117,624,196</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11.58%</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101.10%</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12</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Ethiopia</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Africa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28,308,246</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34,945,469</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23.45%</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102.13%</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13</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Philippines</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Asia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37,435,586</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48,419,546</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29.34%</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102.61%</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14</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Egypt</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Africa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34,781,986</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43,748,556</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25.78%</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102.32%</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15</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DR Congo</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Africa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20,151,733</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26,708,686</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32.54%</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102.86%</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16</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Vietnam</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Asia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41,928,849</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52,968,270</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26.33%</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102.36%</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17</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Iran</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Asia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28,449,705</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38,520,664</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35.40%</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103.08%</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18</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Turkey</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Asia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35,540,990</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44,089,069</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24.05%</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102.18%</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19</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Germany</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Europe</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78,294,583</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77,786,703</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-0.65%</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99.93%</w:t>
            </w:r>
          </w:p>
        </w:tc>
      </w:tr>
      <w:tr w:rsidR="00035FE9" w:rsidRPr="00035FE9" w:rsidTr="00035FE9">
        <w:trPr>
          <w:trHeight w:val="300"/>
        </w:trPr>
        <w:tc>
          <w:tcPr>
            <w:tcW w:w="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20</w:t>
            </w:r>
          </w:p>
        </w:tc>
        <w:tc>
          <w:tcPr>
            <w:tcW w:w="2636" w:type="dxa"/>
            <w:tcBorders>
              <w:top w:val="nil"/>
              <w:left w:val="nil"/>
              <w:bottom w:val="nil"/>
              <w:right w:val="nil"/>
            </w:tcBorders>
            <w:shd w:val="clear" w:color="000000" w:fill="DBEEF3"/>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Thailand</w:t>
            </w:r>
          </w:p>
        </w:tc>
        <w:tc>
          <w:tcPr>
            <w:tcW w:w="159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Asia</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35,791,728</w:t>
            </w:r>
          </w:p>
        </w:tc>
        <w:tc>
          <w:tcPr>
            <w:tcW w:w="177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45,737,753</w:t>
            </w:r>
          </w:p>
        </w:tc>
        <w:tc>
          <w:tcPr>
            <w:tcW w:w="1376" w:type="dxa"/>
            <w:tcBorders>
              <w:top w:val="nil"/>
              <w:left w:val="nil"/>
              <w:bottom w:val="nil"/>
              <w:right w:val="nil"/>
            </w:tcBorders>
            <w:shd w:val="clear" w:color="000000" w:fill="E5E0E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27.79%</w:t>
            </w:r>
          </w:p>
        </w:tc>
        <w:tc>
          <w:tcPr>
            <w:tcW w:w="1476" w:type="dxa"/>
            <w:tcBorders>
              <w:top w:val="nil"/>
              <w:left w:val="nil"/>
              <w:bottom w:val="nil"/>
              <w:right w:val="nil"/>
            </w:tcBorders>
            <w:shd w:val="clear" w:color="000000" w:fill="D7E4BC"/>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102.48%</w:t>
            </w:r>
          </w:p>
        </w:tc>
      </w:tr>
    </w:tbl>
    <w:p w:rsidR="00035FE9" w:rsidRDefault="00035FE9" w:rsidP="00EA6175">
      <w:pPr>
        <w:spacing w:before="100" w:beforeAutospacing="1" w:after="100" w:afterAutospacing="1" w:line="240" w:lineRule="auto"/>
        <w:rPr>
          <w:rFonts w:ascii="Times New Roman" w:eastAsia="Times New Roman" w:hAnsi="Times New Roman" w:cs="Times New Roman"/>
          <w:sz w:val="24"/>
          <w:szCs w:val="24"/>
        </w:rPr>
      </w:pPr>
    </w:p>
    <w:p w:rsidR="00035FE9" w:rsidRPr="00066CDD" w:rsidRDefault="00035FE9" w:rsidP="00EA6175">
      <w:pPr>
        <w:spacing w:before="100" w:beforeAutospacing="1" w:after="100" w:afterAutospacing="1" w:line="240" w:lineRule="auto"/>
        <w:rPr>
          <w:rFonts w:ascii="Times New Roman" w:eastAsia="Times New Roman" w:hAnsi="Times New Roman" w:cs="Times New Roman"/>
          <w:sz w:val="24"/>
          <w:szCs w:val="24"/>
        </w:rPr>
      </w:pPr>
    </w:p>
    <w:p w:rsidR="00035FE9" w:rsidRDefault="00035FE9" w:rsidP="00066CDD">
      <w:pPr>
        <w:spacing w:before="100" w:beforeAutospacing="1" w:after="100" w:afterAutospacing="1" w:line="240" w:lineRule="auto"/>
        <w:outlineLvl w:val="2"/>
        <w:rPr>
          <w:rFonts w:ascii="Times New Roman" w:eastAsia="Times New Roman" w:hAnsi="Times New Roman" w:cs="Times New Roman"/>
          <w:b/>
          <w:bCs/>
          <w:sz w:val="27"/>
          <w:szCs w:val="27"/>
        </w:rPr>
      </w:pPr>
    </w:p>
    <w:p w:rsidR="00035FE9" w:rsidRDefault="00035FE9" w:rsidP="00066CDD">
      <w:pPr>
        <w:spacing w:before="100" w:beforeAutospacing="1" w:after="100" w:afterAutospacing="1" w:line="240" w:lineRule="auto"/>
        <w:outlineLvl w:val="2"/>
        <w:rPr>
          <w:rFonts w:ascii="Times New Roman" w:eastAsia="Times New Roman" w:hAnsi="Times New Roman" w:cs="Times New Roman"/>
          <w:b/>
          <w:bCs/>
          <w:sz w:val="27"/>
          <w:szCs w:val="27"/>
        </w:rPr>
      </w:pPr>
    </w:p>
    <w:p w:rsidR="00035FE9" w:rsidRDefault="00035FE9" w:rsidP="00066CDD">
      <w:pPr>
        <w:spacing w:before="100" w:beforeAutospacing="1" w:after="100" w:afterAutospacing="1" w:line="240" w:lineRule="auto"/>
        <w:outlineLvl w:val="2"/>
        <w:rPr>
          <w:rFonts w:ascii="Times New Roman" w:eastAsia="Times New Roman" w:hAnsi="Times New Roman" w:cs="Times New Roman"/>
          <w:b/>
          <w:bCs/>
          <w:sz w:val="27"/>
          <w:szCs w:val="27"/>
        </w:rPr>
      </w:pPr>
    </w:p>
    <w:p w:rsidR="00066CDD" w:rsidRPr="00066CDD" w:rsidRDefault="00066CDD" w:rsidP="00066CDD">
      <w:pPr>
        <w:spacing w:before="100" w:beforeAutospacing="1" w:after="100" w:afterAutospacing="1" w:line="240" w:lineRule="auto"/>
        <w:outlineLvl w:val="2"/>
        <w:rPr>
          <w:rFonts w:ascii="Times New Roman" w:eastAsia="Times New Roman" w:hAnsi="Times New Roman" w:cs="Times New Roman"/>
          <w:b/>
          <w:bCs/>
          <w:sz w:val="27"/>
          <w:szCs w:val="27"/>
        </w:rPr>
      </w:pPr>
      <w:r w:rsidRPr="00066CDD">
        <w:rPr>
          <w:rFonts w:ascii="Times New Roman" w:eastAsia="Times New Roman" w:hAnsi="Times New Roman" w:cs="Times New Roman"/>
          <w:b/>
          <w:bCs/>
          <w:sz w:val="27"/>
          <w:szCs w:val="27"/>
        </w:rPr>
        <w:lastRenderedPageBreak/>
        <w:t>2</w:t>
      </w:r>
      <w:r>
        <w:rPr>
          <w:rFonts w:ascii="Times New Roman" w:eastAsia="Times New Roman" w:hAnsi="Times New Roman" w:cs="Times New Roman"/>
          <w:b/>
          <w:bCs/>
          <w:sz w:val="27"/>
          <w:szCs w:val="27"/>
        </w:rPr>
        <w:t xml:space="preserve">   </w:t>
      </w:r>
      <w:r w:rsidRPr="00066CDD">
        <w:rPr>
          <w:rFonts w:ascii="Times New Roman" w:eastAsia="Times New Roman" w:hAnsi="Times New Roman" w:cs="Times New Roman"/>
          <w:b/>
          <w:bCs/>
          <w:sz w:val="27"/>
          <w:szCs w:val="27"/>
        </w:rPr>
        <w:t>Calculations &amp; Modeling — Excel</w:t>
      </w:r>
    </w:p>
    <w:p w:rsidR="00066CDD" w:rsidRDefault="00066CDD" w:rsidP="00066C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Growth rate calculated year-over-year using</w:t>
      </w:r>
      <w:r>
        <w:rPr>
          <w:rFonts w:ascii="Times New Roman" w:eastAsia="Times New Roman" w:hAnsi="Times New Roman" w:cs="Times New Roman"/>
          <w:sz w:val="24"/>
          <w:szCs w:val="24"/>
        </w:rPr>
        <w:t xml:space="preserve"> this Formula</w:t>
      </w:r>
      <w:r w:rsidRPr="00066CD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rsidR="00066CDD" w:rsidRPr="00066CDD" w:rsidRDefault="00066CDD" w:rsidP="00066CDD">
      <w:pPr>
        <w:pStyle w:val="ListParagraph"/>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Growth Rate=</w:t>
      </w:r>
      <w:r>
        <w:rPr>
          <w:rFonts w:ascii="Times New Roman" w:eastAsia="Times New Roman" w:hAnsi="Times New Roman" w:cs="Times New Roman"/>
          <w:sz w:val="24"/>
          <w:szCs w:val="24"/>
        </w:rPr>
        <w:t xml:space="preserve"> CYP-PYP/PYP</w:t>
      </w:r>
      <w:r w:rsidRPr="00066CDD">
        <w:rPr>
          <w:rFonts w:ascii="Times New Roman" w:eastAsia="Times New Roman" w:hAnsi="Times New Roman" w:cs="Times New Roman"/>
          <w:sz w:val="24"/>
          <w:szCs w:val="24"/>
        </w:rPr>
        <w:t>×100</w:t>
      </w:r>
    </w:p>
    <w:p w:rsidR="00066CDD" w:rsidRPr="00066CDD" w:rsidRDefault="00066CDD" w:rsidP="00066C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CAGR applied on decade intervals for long-term trend measurement</w:t>
      </w:r>
    </w:p>
    <w:p w:rsidR="00066CDD" w:rsidRPr="00066CDD" w:rsidRDefault="00066CDD" w:rsidP="00066C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Sorting and ranking functions used to find:</w:t>
      </w:r>
    </w:p>
    <w:p w:rsidR="00066CDD" w:rsidRPr="00066CDD" w:rsidRDefault="00066CDD" w:rsidP="00066CD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Top 10 highest-growing countries</w:t>
      </w:r>
    </w:p>
    <w:p w:rsidR="00066CDD" w:rsidRDefault="00066CDD" w:rsidP="00066CD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Top 10 lowest-growing countries</w:t>
      </w:r>
    </w:p>
    <w:p w:rsidR="00035FE9" w:rsidRDefault="00035FE9" w:rsidP="00035FE9">
      <w:pPr>
        <w:spacing w:before="100" w:beforeAutospacing="1" w:after="100" w:afterAutospacing="1" w:line="240" w:lineRule="auto"/>
        <w:rPr>
          <w:rFonts w:ascii="Times New Roman" w:eastAsia="Times New Roman" w:hAnsi="Times New Roman" w:cs="Times New Roman"/>
          <w:sz w:val="24"/>
          <w:szCs w:val="24"/>
        </w:rPr>
      </w:pPr>
    </w:p>
    <w:tbl>
      <w:tblPr>
        <w:tblpPr w:leftFromText="180" w:rightFromText="180" w:vertAnchor="text" w:tblpY="1"/>
        <w:tblOverlap w:val="never"/>
        <w:tblW w:w="4436" w:type="dxa"/>
        <w:tblInd w:w="108" w:type="dxa"/>
        <w:tblLook w:val="04A0"/>
      </w:tblPr>
      <w:tblGrid>
        <w:gridCol w:w="1443"/>
        <w:gridCol w:w="1636"/>
        <w:gridCol w:w="1357"/>
      </w:tblGrid>
      <w:tr w:rsidR="00035FE9" w:rsidRPr="00035FE9" w:rsidTr="00035FE9">
        <w:trPr>
          <w:trHeight w:val="300"/>
        </w:trPr>
        <w:tc>
          <w:tcPr>
            <w:tcW w:w="4436" w:type="dxa"/>
            <w:gridSpan w:val="3"/>
            <w:tcBorders>
              <w:top w:val="nil"/>
              <w:left w:val="nil"/>
              <w:bottom w:val="nil"/>
              <w:right w:val="nil"/>
            </w:tcBorders>
            <w:shd w:val="clear" w:color="000000" w:fill="0070C0"/>
            <w:noWrap/>
            <w:vAlign w:val="bottom"/>
            <w:hideMark/>
          </w:tcPr>
          <w:p w:rsidR="00035FE9" w:rsidRPr="00035FE9" w:rsidRDefault="00035FE9" w:rsidP="00035FE9">
            <w:pPr>
              <w:spacing w:after="0" w:line="240" w:lineRule="auto"/>
              <w:jc w:val="center"/>
              <w:rPr>
                <w:rFonts w:ascii="Calibri" w:eastAsia="Times New Roman" w:hAnsi="Calibri" w:cs="Calibri"/>
                <w:b/>
                <w:bCs/>
                <w:color w:val="FFFFFF"/>
                <w:szCs w:val="22"/>
              </w:rPr>
            </w:pPr>
            <w:r w:rsidRPr="00035FE9">
              <w:rPr>
                <w:rFonts w:ascii="Calibri" w:eastAsia="Times New Roman" w:hAnsi="Calibri" w:cs="Calibri"/>
                <w:b/>
                <w:bCs/>
                <w:color w:val="FFFFFF"/>
                <w:szCs w:val="22"/>
              </w:rPr>
              <w:t>CAGR Trend Analysis</w:t>
            </w:r>
          </w:p>
        </w:tc>
      </w:tr>
      <w:tr w:rsidR="00035FE9" w:rsidRPr="00035FE9" w:rsidTr="00035FE9">
        <w:trPr>
          <w:trHeight w:val="300"/>
        </w:trPr>
        <w:tc>
          <w:tcPr>
            <w:tcW w:w="144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p>
        </w:tc>
        <w:tc>
          <w:tcPr>
            <w:tcW w:w="1357"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p>
        </w:tc>
      </w:tr>
      <w:tr w:rsidR="00035FE9" w:rsidRPr="00035FE9" w:rsidTr="00035FE9">
        <w:trPr>
          <w:trHeight w:val="300"/>
        </w:trPr>
        <w:tc>
          <w:tcPr>
            <w:tcW w:w="1443" w:type="dxa"/>
            <w:tcBorders>
              <w:top w:val="nil"/>
              <w:left w:val="nil"/>
              <w:bottom w:val="nil"/>
              <w:right w:val="nil"/>
            </w:tcBorders>
            <w:shd w:val="clear" w:color="000000" w:fill="93CDDD"/>
            <w:hideMark/>
          </w:tcPr>
          <w:p w:rsidR="00035FE9" w:rsidRPr="00035FE9" w:rsidRDefault="00035FE9" w:rsidP="00035FE9">
            <w:pPr>
              <w:spacing w:after="0" w:line="240" w:lineRule="auto"/>
              <w:rPr>
                <w:rFonts w:ascii="Calibri" w:eastAsia="Times New Roman" w:hAnsi="Calibri" w:cs="Calibri"/>
                <w:b/>
                <w:bCs/>
                <w:color w:val="000000"/>
                <w:szCs w:val="22"/>
              </w:rPr>
            </w:pPr>
            <w:r w:rsidRPr="00035FE9">
              <w:rPr>
                <w:rFonts w:ascii="Calibri" w:eastAsia="Times New Roman" w:hAnsi="Calibri" w:cs="Calibri"/>
                <w:b/>
                <w:bCs/>
                <w:color w:val="000000"/>
                <w:szCs w:val="22"/>
              </w:rPr>
              <w:t>Rank</w:t>
            </w:r>
          </w:p>
        </w:tc>
        <w:tc>
          <w:tcPr>
            <w:tcW w:w="1636" w:type="dxa"/>
            <w:vMerge w:val="restart"/>
            <w:tcBorders>
              <w:top w:val="nil"/>
              <w:left w:val="nil"/>
              <w:bottom w:val="nil"/>
              <w:right w:val="nil"/>
            </w:tcBorders>
            <w:shd w:val="clear" w:color="000000" w:fill="93CDDD"/>
            <w:hideMark/>
          </w:tcPr>
          <w:p w:rsidR="00035FE9" w:rsidRPr="00035FE9" w:rsidRDefault="00035FE9" w:rsidP="00035FE9">
            <w:pPr>
              <w:spacing w:after="0" w:line="240" w:lineRule="auto"/>
              <w:jc w:val="center"/>
              <w:rPr>
                <w:rFonts w:ascii="Calibri" w:eastAsia="Times New Roman" w:hAnsi="Calibri" w:cs="Calibri"/>
                <w:b/>
                <w:bCs/>
                <w:color w:val="000000"/>
                <w:szCs w:val="22"/>
              </w:rPr>
            </w:pPr>
            <w:r w:rsidRPr="00035FE9">
              <w:rPr>
                <w:rFonts w:ascii="Calibri" w:eastAsia="Times New Roman" w:hAnsi="Calibri" w:cs="Calibri"/>
                <w:b/>
                <w:bCs/>
                <w:color w:val="000000"/>
                <w:szCs w:val="22"/>
              </w:rPr>
              <w:t>Top 10 Countries</w:t>
            </w:r>
          </w:p>
        </w:tc>
        <w:tc>
          <w:tcPr>
            <w:tcW w:w="1357" w:type="dxa"/>
            <w:vMerge w:val="restart"/>
            <w:tcBorders>
              <w:top w:val="nil"/>
              <w:left w:val="nil"/>
              <w:bottom w:val="nil"/>
              <w:right w:val="nil"/>
            </w:tcBorders>
            <w:shd w:val="clear" w:color="000000" w:fill="93CDDD"/>
            <w:hideMark/>
          </w:tcPr>
          <w:p w:rsidR="00035FE9" w:rsidRPr="00035FE9" w:rsidRDefault="00035FE9" w:rsidP="00035FE9">
            <w:pPr>
              <w:spacing w:after="0" w:line="240" w:lineRule="auto"/>
              <w:jc w:val="center"/>
              <w:rPr>
                <w:rFonts w:ascii="Calibri" w:eastAsia="Times New Roman" w:hAnsi="Calibri" w:cs="Calibri"/>
                <w:b/>
                <w:bCs/>
                <w:color w:val="000000"/>
                <w:szCs w:val="22"/>
              </w:rPr>
            </w:pPr>
            <w:r w:rsidRPr="00035FE9">
              <w:rPr>
                <w:rFonts w:ascii="Calibri" w:eastAsia="Times New Roman" w:hAnsi="Calibri" w:cs="Calibri"/>
                <w:b/>
                <w:bCs/>
                <w:color w:val="000000"/>
                <w:szCs w:val="22"/>
              </w:rPr>
              <w:t>CAGR 52 Years</w:t>
            </w:r>
          </w:p>
        </w:tc>
      </w:tr>
      <w:tr w:rsidR="00035FE9" w:rsidRPr="00035FE9" w:rsidTr="00035FE9">
        <w:trPr>
          <w:trHeight w:val="300"/>
        </w:trPr>
        <w:tc>
          <w:tcPr>
            <w:tcW w:w="1443" w:type="dxa"/>
            <w:tcBorders>
              <w:top w:val="nil"/>
              <w:left w:val="nil"/>
              <w:bottom w:val="nil"/>
              <w:right w:val="nil"/>
            </w:tcBorders>
            <w:shd w:val="clear" w:color="000000" w:fill="93CDDD"/>
            <w:hideMark/>
          </w:tcPr>
          <w:p w:rsidR="00035FE9" w:rsidRPr="00035FE9" w:rsidRDefault="00035FE9" w:rsidP="00035FE9">
            <w:pPr>
              <w:spacing w:after="0" w:line="240" w:lineRule="auto"/>
              <w:rPr>
                <w:rFonts w:ascii="Calibri" w:eastAsia="Times New Roman" w:hAnsi="Calibri" w:cs="Calibri"/>
                <w:b/>
                <w:bCs/>
                <w:color w:val="000000"/>
                <w:szCs w:val="22"/>
              </w:rPr>
            </w:pPr>
            <w:r w:rsidRPr="00035FE9">
              <w:rPr>
                <w:rFonts w:ascii="Calibri" w:eastAsia="Times New Roman" w:hAnsi="Calibri" w:cs="Calibri"/>
                <w:b/>
                <w:bCs/>
                <w:color w:val="000000"/>
                <w:szCs w:val="22"/>
              </w:rPr>
              <w:t> </w:t>
            </w:r>
          </w:p>
        </w:tc>
        <w:tc>
          <w:tcPr>
            <w:tcW w:w="1636" w:type="dxa"/>
            <w:vMerge/>
            <w:tcBorders>
              <w:top w:val="nil"/>
              <w:left w:val="nil"/>
              <w:bottom w:val="nil"/>
              <w:right w:val="nil"/>
            </w:tcBorders>
            <w:vAlign w:val="center"/>
            <w:hideMark/>
          </w:tcPr>
          <w:p w:rsidR="00035FE9" w:rsidRPr="00035FE9" w:rsidRDefault="00035FE9" w:rsidP="00035FE9">
            <w:pPr>
              <w:spacing w:after="0" w:line="240" w:lineRule="auto"/>
              <w:rPr>
                <w:rFonts w:ascii="Calibri" w:eastAsia="Times New Roman" w:hAnsi="Calibri" w:cs="Calibri"/>
                <w:b/>
                <w:bCs/>
                <w:color w:val="000000"/>
                <w:szCs w:val="22"/>
              </w:rPr>
            </w:pPr>
          </w:p>
        </w:tc>
        <w:tc>
          <w:tcPr>
            <w:tcW w:w="1357" w:type="dxa"/>
            <w:vMerge/>
            <w:tcBorders>
              <w:top w:val="nil"/>
              <w:left w:val="nil"/>
              <w:bottom w:val="nil"/>
              <w:right w:val="nil"/>
            </w:tcBorders>
            <w:vAlign w:val="center"/>
            <w:hideMark/>
          </w:tcPr>
          <w:p w:rsidR="00035FE9" w:rsidRPr="00035FE9" w:rsidRDefault="00035FE9" w:rsidP="00035FE9">
            <w:pPr>
              <w:spacing w:after="0" w:line="240" w:lineRule="auto"/>
              <w:rPr>
                <w:rFonts w:ascii="Calibri" w:eastAsia="Times New Roman" w:hAnsi="Calibri" w:cs="Calibri"/>
                <w:b/>
                <w:bCs/>
                <w:color w:val="000000"/>
                <w:szCs w:val="22"/>
              </w:rPr>
            </w:pPr>
          </w:p>
        </w:tc>
      </w:tr>
      <w:tr w:rsidR="00035FE9" w:rsidRPr="00035FE9" w:rsidTr="00035FE9">
        <w:trPr>
          <w:trHeight w:val="300"/>
        </w:trPr>
        <w:tc>
          <w:tcPr>
            <w:tcW w:w="1443" w:type="dxa"/>
            <w:tcBorders>
              <w:top w:val="nil"/>
              <w:left w:val="nil"/>
              <w:bottom w:val="nil"/>
              <w:right w:val="nil"/>
            </w:tcBorders>
            <w:shd w:val="clear" w:color="auto" w:fill="auto"/>
            <w:vAlign w:val="bottom"/>
            <w:hideMark/>
          </w:tcPr>
          <w:p w:rsidR="00035FE9" w:rsidRPr="00035FE9" w:rsidRDefault="00035FE9" w:rsidP="00035FE9">
            <w:pPr>
              <w:spacing w:after="0" w:line="240" w:lineRule="auto"/>
              <w:jc w:val="right"/>
              <w:rPr>
                <w:rFonts w:ascii="Calibri" w:eastAsia="Times New Roman" w:hAnsi="Calibri" w:cs="Calibri"/>
                <w:b/>
                <w:bCs/>
                <w:color w:val="000000"/>
                <w:szCs w:val="22"/>
              </w:rPr>
            </w:pPr>
          </w:p>
        </w:tc>
        <w:tc>
          <w:tcPr>
            <w:tcW w:w="1636" w:type="dxa"/>
            <w:tcBorders>
              <w:top w:val="nil"/>
              <w:left w:val="nil"/>
              <w:bottom w:val="nil"/>
              <w:right w:val="nil"/>
            </w:tcBorders>
            <w:shd w:val="clear" w:color="auto" w:fill="auto"/>
            <w:vAlign w:val="bottom"/>
            <w:hideMark/>
          </w:tcPr>
          <w:p w:rsidR="00035FE9" w:rsidRPr="00035FE9" w:rsidRDefault="00035FE9" w:rsidP="00035FE9">
            <w:pPr>
              <w:spacing w:after="0" w:line="240" w:lineRule="auto"/>
              <w:jc w:val="right"/>
              <w:rPr>
                <w:rFonts w:ascii="Calibri" w:eastAsia="Times New Roman" w:hAnsi="Calibri" w:cs="Calibri"/>
                <w:b/>
                <w:bCs/>
                <w:color w:val="000000"/>
                <w:szCs w:val="22"/>
              </w:rPr>
            </w:pPr>
          </w:p>
        </w:tc>
        <w:tc>
          <w:tcPr>
            <w:tcW w:w="1357" w:type="dxa"/>
            <w:tcBorders>
              <w:top w:val="nil"/>
              <w:left w:val="nil"/>
              <w:bottom w:val="nil"/>
              <w:right w:val="nil"/>
            </w:tcBorders>
            <w:shd w:val="clear" w:color="auto" w:fill="auto"/>
            <w:vAlign w:val="bottom"/>
            <w:hideMark/>
          </w:tcPr>
          <w:p w:rsidR="00035FE9" w:rsidRPr="00035FE9" w:rsidRDefault="00035FE9" w:rsidP="00035FE9">
            <w:pPr>
              <w:spacing w:after="0" w:line="240" w:lineRule="auto"/>
              <w:jc w:val="right"/>
              <w:rPr>
                <w:rFonts w:ascii="Calibri" w:eastAsia="Times New Roman" w:hAnsi="Calibri" w:cs="Calibri"/>
                <w:b/>
                <w:bCs/>
                <w:color w:val="000000"/>
                <w:szCs w:val="22"/>
              </w:rPr>
            </w:pPr>
          </w:p>
        </w:tc>
      </w:tr>
      <w:tr w:rsidR="00035FE9" w:rsidRPr="00035FE9" w:rsidTr="00035FE9">
        <w:trPr>
          <w:trHeight w:val="300"/>
        </w:trPr>
        <w:tc>
          <w:tcPr>
            <w:tcW w:w="144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1</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China</w:t>
            </w:r>
          </w:p>
        </w:tc>
        <w:tc>
          <w:tcPr>
            <w:tcW w:w="1357"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1.06%</w:t>
            </w:r>
          </w:p>
        </w:tc>
      </w:tr>
      <w:tr w:rsidR="00035FE9" w:rsidRPr="00035FE9" w:rsidTr="00035FE9">
        <w:trPr>
          <w:trHeight w:val="300"/>
        </w:trPr>
        <w:tc>
          <w:tcPr>
            <w:tcW w:w="144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2</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India</w:t>
            </w:r>
          </w:p>
        </w:tc>
        <w:tc>
          <w:tcPr>
            <w:tcW w:w="1357"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1.81%</w:t>
            </w:r>
          </w:p>
        </w:tc>
      </w:tr>
      <w:tr w:rsidR="00035FE9" w:rsidRPr="00035FE9" w:rsidTr="00035FE9">
        <w:trPr>
          <w:trHeight w:val="300"/>
        </w:trPr>
        <w:tc>
          <w:tcPr>
            <w:tcW w:w="144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3</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United States</w:t>
            </w:r>
          </w:p>
        </w:tc>
        <w:tc>
          <w:tcPr>
            <w:tcW w:w="1357"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1.01%</w:t>
            </w:r>
          </w:p>
        </w:tc>
      </w:tr>
      <w:tr w:rsidR="00035FE9" w:rsidRPr="00035FE9" w:rsidTr="00035FE9">
        <w:trPr>
          <w:trHeight w:val="300"/>
        </w:trPr>
        <w:tc>
          <w:tcPr>
            <w:tcW w:w="144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4</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Indonesia</w:t>
            </w:r>
          </w:p>
        </w:tc>
        <w:tc>
          <w:tcPr>
            <w:tcW w:w="1357"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1.69%</w:t>
            </w:r>
          </w:p>
        </w:tc>
      </w:tr>
      <w:tr w:rsidR="00035FE9" w:rsidRPr="00035FE9" w:rsidTr="00035FE9">
        <w:trPr>
          <w:trHeight w:val="300"/>
        </w:trPr>
        <w:tc>
          <w:tcPr>
            <w:tcW w:w="144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5</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Pakistan</w:t>
            </w:r>
          </w:p>
        </w:tc>
        <w:tc>
          <w:tcPr>
            <w:tcW w:w="1357"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2.69%</w:t>
            </w:r>
          </w:p>
        </w:tc>
      </w:tr>
      <w:tr w:rsidR="00035FE9" w:rsidRPr="00035FE9" w:rsidTr="00035FE9">
        <w:trPr>
          <w:trHeight w:val="300"/>
        </w:trPr>
        <w:tc>
          <w:tcPr>
            <w:tcW w:w="144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6</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Nigeria</w:t>
            </w:r>
          </w:p>
        </w:tc>
        <w:tc>
          <w:tcPr>
            <w:tcW w:w="1357"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2.67%</w:t>
            </w:r>
          </w:p>
        </w:tc>
      </w:tr>
      <w:tr w:rsidR="00035FE9" w:rsidRPr="00035FE9" w:rsidTr="00035FE9">
        <w:trPr>
          <w:trHeight w:val="300"/>
        </w:trPr>
        <w:tc>
          <w:tcPr>
            <w:tcW w:w="144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7</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Brazil</w:t>
            </w:r>
          </w:p>
        </w:tc>
        <w:tc>
          <w:tcPr>
            <w:tcW w:w="1357"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1.56%</w:t>
            </w:r>
          </w:p>
        </w:tc>
      </w:tr>
      <w:tr w:rsidR="00035FE9" w:rsidRPr="00035FE9" w:rsidTr="00035FE9">
        <w:trPr>
          <w:trHeight w:val="300"/>
        </w:trPr>
        <w:tc>
          <w:tcPr>
            <w:tcW w:w="144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8</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Bangladesh</w:t>
            </w:r>
          </w:p>
        </w:tc>
        <w:tc>
          <w:tcPr>
            <w:tcW w:w="1357"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1.80%</w:t>
            </w:r>
          </w:p>
        </w:tc>
      </w:tr>
      <w:tr w:rsidR="00035FE9" w:rsidRPr="00035FE9" w:rsidTr="00035FE9">
        <w:trPr>
          <w:trHeight w:val="300"/>
        </w:trPr>
        <w:tc>
          <w:tcPr>
            <w:tcW w:w="144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9</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Russia</w:t>
            </w:r>
          </w:p>
        </w:tc>
        <w:tc>
          <w:tcPr>
            <w:tcW w:w="1357"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0.21%</w:t>
            </w:r>
          </w:p>
        </w:tc>
      </w:tr>
      <w:tr w:rsidR="00035FE9" w:rsidRPr="00035FE9" w:rsidTr="00035FE9">
        <w:trPr>
          <w:trHeight w:val="300"/>
        </w:trPr>
        <w:tc>
          <w:tcPr>
            <w:tcW w:w="144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10</w:t>
            </w:r>
          </w:p>
        </w:tc>
        <w:tc>
          <w:tcPr>
            <w:tcW w:w="1636"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Mexico</w:t>
            </w:r>
          </w:p>
        </w:tc>
        <w:tc>
          <w:tcPr>
            <w:tcW w:w="1357"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1.81%</w:t>
            </w:r>
          </w:p>
        </w:tc>
      </w:tr>
    </w:tbl>
    <w:p w:rsidR="00035FE9" w:rsidRDefault="00035FE9" w:rsidP="00035FE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textWrapping" w:clear="all"/>
      </w:r>
    </w:p>
    <w:p w:rsidR="00BC76C2" w:rsidRDefault="005634AF" w:rsidP="00035FE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529965"/>
            <wp:effectExtent l="19050" t="0" r="0" b="0"/>
            <wp:docPr id="13" name="Picture 12" descr="Screenshot (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40).png"/>
                    <pic:cNvPicPr/>
                  </pic:nvPicPr>
                  <pic:blipFill>
                    <a:blip r:embed="rId7"/>
                    <a:stretch>
                      <a:fillRect/>
                    </a:stretch>
                  </pic:blipFill>
                  <pic:spPr>
                    <a:xfrm>
                      <a:off x="0" y="0"/>
                      <a:ext cx="5943600" cy="3529965"/>
                    </a:xfrm>
                    <a:prstGeom prst="rect">
                      <a:avLst/>
                    </a:prstGeom>
                  </pic:spPr>
                </pic:pic>
              </a:graphicData>
            </a:graphic>
          </wp:inline>
        </w:drawing>
      </w:r>
    </w:p>
    <w:p w:rsidR="00035FE9" w:rsidRDefault="00035FE9" w:rsidP="00035FE9">
      <w:pPr>
        <w:spacing w:before="100" w:beforeAutospacing="1" w:after="100" w:afterAutospacing="1" w:line="240" w:lineRule="auto"/>
        <w:rPr>
          <w:rFonts w:ascii="Times New Roman" w:eastAsia="Times New Roman" w:hAnsi="Times New Roman" w:cs="Times New Roman"/>
          <w:sz w:val="24"/>
          <w:szCs w:val="24"/>
        </w:rPr>
      </w:pPr>
      <w:r w:rsidRPr="00035FE9">
        <w:rPr>
          <w:rFonts w:ascii="Times New Roman" w:eastAsia="Times New Roman" w:hAnsi="Times New Roman" w:cs="Times New Roman"/>
          <w:sz w:val="24"/>
          <w:szCs w:val="24"/>
        </w:rPr>
        <w:drawing>
          <wp:inline distT="0" distB="0" distL="0" distR="0">
            <wp:extent cx="4583766" cy="27432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FD6A6A" w:rsidRDefault="00FD6A6A" w:rsidP="00035FE9">
      <w:pPr>
        <w:spacing w:before="100" w:beforeAutospacing="1" w:after="100" w:afterAutospacing="1" w:line="240" w:lineRule="auto"/>
        <w:rPr>
          <w:rFonts w:ascii="Times New Roman" w:eastAsia="Times New Roman" w:hAnsi="Times New Roman" w:cs="Times New Roman"/>
          <w:sz w:val="24"/>
          <w:szCs w:val="24"/>
        </w:rPr>
      </w:pPr>
    </w:p>
    <w:tbl>
      <w:tblPr>
        <w:tblW w:w="6596" w:type="dxa"/>
        <w:tblInd w:w="108" w:type="dxa"/>
        <w:tblLook w:val="04A0"/>
      </w:tblPr>
      <w:tblGrid>
        <w:gridCol w:w="675"/>
        <w:gridCol w:w="1782"/>
        <w:gridCol w:w="1992"/>
        <w:gridCol w:w="2147"/>
      </w:tblGrid>
      <w:tr w:rsidR="00FD6A6A" w:rsidRPr="00FD6A6A" w:rsidTr="00FD6A6A">
        <w:trPr>
          <w:trHeight w:val="300"/>
        </w:trPr>
        <w:tc>
          <w:tcPr>
            <w:tcW w:w="6596" w:type="dxa"/>
            <w:gridSpan w:val="4"/>
            <w:tcBorders>
              <w:top w:val="nil"/>
              <w:left w:val="nil"/>
              <w:bottom w:val="nil"/>
              <w:right w:val="nil"/>
            </w:tcBorders>
            <w:shd w:val="clear" w:color="000000" w:fill="0070C0"/>
            <w:noWrap/>
            <w:vAlign w:val="bottom"/>
            <w:hideMark/>
          </w:tcPr>
          <w:p w:rsidR="00FD6A6A" w:rsidRPr="00FD6A6A" w:rsidRDefault="00FD6A6A" w:rsidP="00FD6A6A">
            <w:pPr>
              <w:spacing w:after="0" w:line="240" w:lineRule="auto"/>
              <w:jc w:val="center"/>
              <w:rPr>
                <w:rFonts w:ascii="Calibri" w:eastAsia="Times New Roman" w:hAnsi="Calibri" w:cs="Calibri"/>
                <w:b/>
                <w:bCs/>
                <w:color w:val="FFFFFF"/>
                <w:szCs w:val="22"/>
              </w:rPr>
            </w:pPr>
            <w:r w:rsidRPr="00FD6A6A">
              <w:rPr>
                <w:rFonts w:ascii="Calibri" w:eastAsia="Times New Roman" w:hAnsi="Calibri" w:cs="Calibri"/>
                <w:b/>
                <w:bCs/>
                <w:color w:val="FFFFFF"/>
                <w:szCs w:val="22"/>
              </w:rPr>
              <w:t>Top Ten Countries Data with Highest Population</w:t>
            </w: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199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2147"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r>
      <w:tr w:rsidR="00FD6A6A" w:rsidRPr="00FD6A6A" w:rsidTr="00FD6A6A">
        <w:trPr>
          <w:trHeight w:val="300"/>
        </w:trPr>
        <w:tc>
          <w:tcPr>
            <w:tcW w:w="675" w:type="dxa"/>
            <w:tcBorders>
              <w:top w:val="nil"/>
              <w:left w:val="nil"/>
              <w:bottom w:val="nil"/>
              <w:right w:val="nil"/>
            </w:tcBorders>
            <w:shd w:val="clear" w:color="000000" w:fill="E5E0EC"/>
            <w:noWrap/>
            <w:vAlign w:val="bottom"/>
            <w:hideMark/>
          </w:tcPr>
          <w:p w:rsidR="00FD6A6A" w:rsidRPr="00FD6A6A" w:rsidRDefault="00FD6A6A" w:rsidP="00FD6A6A">
            <w:pPr>
              <w:spacing w:after="0" w:line="240" w:lineRule="auto"/>
              <w:rPr>
                <w:rFonts w:ascii="Calibri" w:eastAsia="Times New Roman" w:hAnsi="Calibri" w:cs="Calibri"/>
                <w:b/>
                <w:bCs/>
                <w:color w:val="000000"/>
                <w:szCs w:val="22"/>
              </w:rPr>
            </w:pPr>
            <w:r w:rsidRPr="00FD6A6A">
              <w:rPr>
                <w:rFonts w:ascii="Calibri" w:eastAsia="Times New Roman" w:hAnsi="Calibri" w:cs="Calibri"/>
                <w:b/>
                <w:bCs/>
                <w:color w:val="000000"/>
                <w:szCs w:val="22"/>
              </w:rPr>
              <w:t>Rank</w:t>
            </w:r>
          </w:p>
        </w:tc>
        <w:tc>
          <w:tcPr>
            <w:tcW w:w="1782" w:type="dxa"/>
            <w:tcBorders>
              <w:top w:val="nil"/>
              <w:left w:val="nil"/>
              <w:bottom w:val="nil"/>
              <w:right w:val="nil"/>
            </w:tcBorders>
            <w:shd w:val="clear" w:color="000000" w:fill="E5E0EC"/>
            <w:noWrap/>
            <w:vAlign w:val="bottom"/>
            <w:hideMark/>
          </w:tcPr>
          <w:p w:rsidR="00FD6A6A" w:rsidRPr="00FD6A6A" w:rsidRDefault="00FD6A6A" w:rsidP="00FD6A6A">
            <w:pPr>
              <w:spacing w:after="0" w:line="240" w:lineRule="auto"/>
              <w:jc w:val="right"/>
              <w:rPr>
                <w:rFonts w:ascii="Calibri" w:eastAsia="Times New Roman" w:hAnsi="Calibri" w:cs="Calibri"/>
                <w:b/>
                <w:bCs/>
                <w:color w:val="000000"/>
                <w:szCs w:val="22"/>
              </w:rPr>
            </w:pPr>
            <w:r w:rsidRPr="00FD6A6A">
              <w:rPr>
                <w:rFonts w:ascii="Calibri" w:eastAsia="Times New Roman" w:hAnsi="Calibri" w:cs="Calibri"/>
                <w:b/>
                <w:bCs/>
                <w:color w:val="000000"/>
                <w:szCs w:val="22"/>
              </w:rPr>
              <w:t>Country</w:t>
            </w:r>
          </w:p>
        </w:tc>
        <w:tc>
          <w:tcPr>
            <w:tcW w:w="1992" w:type="dxa"/>
            <w:vMerge w:val="restart"/>
            <w:tcBorders>
              <w:top w:val="nil"/>
              <w:left w:val="nil"/>
              <w:bottom w:val="nil"/>
              <w:right w:val="nil"/>
            </w:tcBorders>
            <w:shd w:val="clear" w:color="000000" w:fill="B6DDE8"/>
            <w:vAlign w:val="bottom"/>
            <w:hideMark/>
          </w:tcPr>
          <w:p w:rsidR="00FD6A6A" w:rsidRPr="00FD6A6A" w:rsidRDefault="00FD6A6A" w:rsidP="00FD6A6A">
            <w:pPr>
              <w:spacing w:after="0" w:line="240" w:lineRule="auto"/>
              <w:jc w:val="right"/>
              <w:rPr>
                <w:rFonts w:ascii="Calibri" w:eastAsia="Times New Roman" w:hAnsi="Calibri" w:cs="Calibri"/>
                <w:b/>
                <w:bCs/>
                <w:color w:val="000000"/>
                <w:szCs w:val="22"/>
              </w:rPr>
            </w:pPr>
            <w:r w:rsidRPr="00FD6A6A">
              <w:rPr>
                <w:rFonts w:ascii="Calibri" w:eastAsia="Times New Roman" w:hAnsi="Calibri" w:cs="Calibri"/>
                <w:b/>
                <w:bCs/>
                <w:color w:val="000000"/>
                <w:szCs w:val="22"/>
              </w:rPr>
              <w:t>Initial Population Data 1970</w:t>
            </w:r>
          </w:p>
        </w:tc>
        <w:tc>
          <w:tcPr>
            <w:tcW w:w="2147" w:type="dxa"/>
            <w:vMerge w:val="restart"/>
            <w:tcBorders>
              <w:top w:val="nil"/>
              <w:left w:val="nil"/>
              <w:bottom w:val="nil"/>
              <w:right w:val="nil"/>
            </w:tcBorders>
            <w:shd w:val="clear" w:color="000000" w:fill="E5E0EC"/>
            <w:hideMark/>
          </w:tcPr>
          <w:p w:rsidR="00FD6A6A" w:rsidRPr="00FD6A6A" w:rsidRDefault="00FD6A6A" w:rsidP="00FD6A6A">
            <w:pPr>
              <w:spacing w:after="0" w:line="240" w:lineRule="auto"/>
              <w:jc w:val="right"/>
              <w:rPr>
                <w:rFonts w:ascii="Calibri" w:eastAsia="Times New Roman" w:hAnsi="Calibri" w:cs="Calibri"/>
                <w:b/>
                <w:bCs/>
                <w:color w:val="000000"/>
                <w:szCs w:val="22"/>
              </w:rPr>
            </w:pPr>
            <w:r w:rsidRPr="00FD6A6A">
              <w:rPr>
                <w:rFonts w:ascii="Calibri" w:eastAsia="Times New Roman" w:hAnsi="Calibri" w:cs="Calibri"/>
                <w:b/>
                <w:bCs/>
                <w:color w:val="000000"/>
                <w:szCs w:val="22"/>
              </w:rPr>
              <w:t>Latest Population Data 2022</w:t>
            </w:r>
          </w:p>
        </w:tc>
      </w:tr>
      <w:tr w:rsidR="00FD6A6A" w:rsidRPr="00FD6A6A" w:rsidTr="00FD6A6A">
        <w:trPr>
          <w:trHeight w:val="300"/>
        </w:trPr>
        <w:tc>
          <w:tcPr>
            <w:tcW w:w="675" w:type="dxa"/>
            <w:tcBorders>
              <w:top w:val="nil"/>
              <w:left w:val="nil"/>
              <w:bottom w:val="nil"/>
              <w:right w:val="nil"/>
            </w:tcBorders>
            <w:shd w:val="clear" w:color="000000" w:fill="E5E0EC"/>
            <w:noWrap/>
            <w:vAlign w:val="bottom"/>
            <w:hideMark/>
          </w:tcPr>
          <w:p w:rsidR="00FD6A6A" w:rsidRPr="00FD6A6A" w:rsidRDefault="00FD6A6A" w:rsidP="00FD6A6A">
            <w:pPr>
              <w:spacing w:after="0" w:line="240" w:lineRule="auto"/>
              <w:rPr>
                <w:rFonts w:ascii="Calibri" w:eastAsia="Times New Roman" w:hAnsi="Calibri" w:cs="Calibri"/>
                <w:b/>
                <w:bCs/>
                <w:color w:val="000000"/>
                <w:szCs w:val="22"/>
              </w:rPr>
            </w:pPr>
            <w:r w:rsidRPr="00FD6A6A">
              <w:rPr>
                <w:rFonts w:ascii="Calibri" w:eastAsia="Times New Roman" w:hAnsi="Calibri" w:cs="Calibri"/>
                <w:b/>
                <w:bCs/>
                <w:color w:val="000000"/>
                <w:szCs w:val="22"/>
              </w:rPr>
              <w:t> </w:t>
            </w:r>
          </w:p>
        </w:tc>
        <w:tc>
          <w:tcPr>
            <w:tcW w:w="1782" w:type="dxa"/>
            <w:tcBorders>
              <w:top w:val="nil"/>
              <w:left w:val="nil"/>
              <w:bottom w:val="nil"/>
              <w:right w:val="nil"/>
            </w:tcBorders>
            <w:shd w:val="clear" w:color="000000" w:fill="E5E0EC"/>
            <w:noWrap/>
            <w:vAlign w:val="bottom"/>
            <w:hideMark/>
          </w:tcPr>
          <w:p w:rsidR="00FD6A6A" w:rsidRPr="00FD6A6A" w:rsidRDefault="00FD6A6A" w:rsidP="00FD6A6A">
            <w:pPr>
              <w:spacing w:after="0" w:line="240" w:lineRule="auto"/>
              <w:rPr>
                <w:rFonts w:ascii="Calibri" w:eastAsia="Times New Roman" w:hAnsi="Calibri" w:cs="Calibri"/>
                <w:b/>
                <w:bCs/>
                <w:color w:val="000000"/>
                <w:szCs w:val="22"/>
              </w:rPr>
            </w:pPr>
            <w:r w:rsidRPr="00FD6A6A">
              <w:rPr>
                <w:rFonts w:ascii="Calibri" w:eastAsia="Times New Roman" w:hAnsi="Calibri" w:cs="Calibri"/>
                <w:b/>
                <w:bCs/>
                <w:color w:val="000000"/>
                <w:szCs w:val="22"/>
              </w:rPr>
              <w:t> </w:t>
            </w:r>
          </w:p>
        </w:tc>
        <w:tc>
          <w:tcPr>
            <w:tcW w:w="1992" w:type="dxa"/>
            <w:vMerge/>
            <w:tcBorders>
              <w:top w:val="nil"/>
              <w:left w:val="nil"/>
              <w:bottom w:val="nil"/>
              <w:right w:val="nil"/>
            </w:tcBorders>
            <w:vAlign w:val="center"/>
            <w:hideMark/>
          </w:tcPr>
          <w:p w:rsidR="00FD6A6A" w:rsidRPr="00FD6A6A" w:rsidRDefault="00FD6A6A" w:rsidP="00FD6A6A">
            <w:pPr>
              <w:spacing w:after="0" w:line="240" w:lineRule="auto"/>
              <w:rPr>
                <w:rFonts w:ascii="Calibri" w:eastAsia="Times New Roman" w:hAnsi="Calibri" w:cs="Calibri"/>
                <w:b/>
                <w:bCs/>
                <w:color w:val="000000"/>
                <w:szCs w:val="22"/>
              </w:rPr>
            </w:pPr>
          </w:p>
        </w:tc>
        <w:tc>
          <w:tcPr>
            <w:tcW w:w="2147" w:type="dxa"/>
            <w:vMerge/>
            <w:tcBorders>
              <w:top w:val="nil"/>
              <w:left w:val="nil"/>
              <w:bottom w:val="nil"/>
              <w:right w:val="nil"/>
            </w:tcBorders>
            <w:vAlign w:val="center"/>
            <w:hideMark/>
          </w:tcPr>
          <w:p w:rsidR="00FD6A6A" w:rsidRPr="00FD6A6A" w:rsidRDefault="00FD6A6A" w:rsidP="00FD6A6A">
            <w:pPr>
              <w:spacing w:after="0" w:line="240" w:lineRule="auto"/>
              <w:rPr>
                <w:rFonts w:ascii="Calibri" w:eastAsia="Times New Roman" w:hAnsi="Calibri" w:cs="Calibri"/>
                <w:b/>
                <w:bCs/>
                <w:color w:val="000000"/>
                <w:szCs w:val="22"/>
              </w:rPr>
            </w:pPr>
          </w:p>
        </w:tc>
      </w:tr>
      <w:tr w:rsidR="00FD6A6A" w:rsidRPr="00FD6A6A" w:rsidTr="00FD6A6A">
        <w:trPr>
          <w:trHeight w:val="300"/>
        </w:trPr>
        <w:tc>
          <w:tcPr>
            <w:tcW w:w="675" w:type="dxa"/>
            <w:tcBorders>
              <w:top w:val="nil"/>
              <w:left w:val="nil"/>
              <w:bottom w:val="nil"/>
              <w:right w:val="nil"/>
            </w:tcBorders>
            <w:shd w:val="clear" w:color="000000" w:fill="E5E0EC"/>
            <w:noWrap/>
            <w:vAlign w:val="bottom"/>
            <w:hideMark/>
          </w:tcPr>
          <w:p w:rsidR="00FD6A6A" w:rsidRPr="00FD6A6A" w:rsidRDefault="00FD6A6A" w:rsidP="00FD6A6A">
            <w:pPr>
              <w:spacing w:after="0" w:line="240" w:lineRule="auto"/>
              <w:rPr>
                <w:rFonts w:ascii="Calibri" w:eastAsia="Times New Roman" w:hAnsi="Calibri" w:cs="Calibri"/>
                <w:b/>
                <w:bCs/>
                <w:color w:val="000000"/>
                <w:szCs w:val="22"/>
              </w:rPr>
            </w:pPr>
            <w:r w:rsidRPr="00FD6A6A">
              <w:rPr>
                <w:rFonts w:ascii="Calibri" w:eastAsia="Times New Roman" w:hAnsi="Calibri" w:cs="Calibri"/>
                <w:b/>
                <w:bCs/>
                <w:color w:val="000000"/>
                <w:szCs w:val="22"/>
              </w:rPr>
              <w:t> </w:t>
            </w:r>
          </w:p>
        </w:tc>
        <w:tc>
          <w:tcPr>
            <w:tcW w:w="1782" w:type="dxa"/>
            <w:tcBorders>
              <w:top w:val="nil"/>
              <w:left w:val="nil"/>
              <w:bottom w:val="nil"/>
              <w:right w:val="nil"/>
            </w:tcBorders>
            <w:shd w:val="clear" w:color="000000" w:fill="E5E0EC"/>
            <w:noWrap/>
            <w:vAlign w:val="bottom"/>
            <w:hideMark/>
          </w:tcPr>
          <w:p w:rsidR="00FD6A6A" w:rsidRPr="00FD6A6A" w:rsidRDefault="00FD6A6A" w:rsidP="00FD6A6A">
            <w:pPr>
              <w:spacing w:after="0" w:line="240" w:lineRule="auto"/>
              <w:rPr>
                <w:rFonts w:ascii="Calibri" w:eastAsia="Times New Roman" w:hAnsi="Calibri" w:cs="Calibri"/>
                <w:b/>
                <w:bCs/>
                <w:color w:val="000000"/>
                <w:szCs w:val="22"/>
              </w:rPr>
            </w:pPr>
            <w:r w:rsidRPr="00FD6A6A">
              <w:rPr>
                <w:rFonts w:ascii="Calibri" w:eastAsia="Times New Roman" w:hAnsi="Calibri" w:cs="Calibri"/>
                <w:b/>
                <w:bCs/>
                <w:color w:val="000000"/>
                <w:szCs w:val="22"/>
              </w:rPr>
              <w:t> </w:t>
            </w:r>
          </w:p>
        </w:tc>
        <w:tc>
          <w:tcPr>
            <w:tcW w:w="1992" w:type="dxa"/>
            <w:vMerge/>
            <w:tcBorders>
              <w:top w:val="nil"/>
              <w:left w:val="nil"/>
              <w:bottom w:val="nil"/>
              <w:right w:val="nil"/>
            </w:tcBorders>
            <w:vAlign w:val="center"/>
            <w:hideMark/>
          </w:tcPr>
          <w:p w:rsidR="00FD6A6A" w:rsidRPr="00FD6A6A" w:rsidRDefault="00FD6A6A" w:rsidP="00FD6A6A">
            <w:pPr>
              <w:spacing w:after="0" w:line="240" w:lineRule="auto"/>
              <w:rPr>
                <w:rFonts w:ascii="Calibri" w:eastAsia="Times New Roman" w:hAnsi="Calibri" w:cs="Calibri"/>
                <w:b/>
                <w:bCs/>
                <w:color w:val="000000"/>
                <w:szCs w:val="22"/>
              </w:rPr>
            </w:pPr>
          </w:p>
        </w:tc>
        <w:tc>
          <w:tcPr>
            <w:tcW w:w="2147" w:type="dxa"/>
            <w:vMerge/>
            <w:tcBorders>
              <w:top w:val="nil"/>
              <w:left w:val="nil"/>
              <w:bottom w:val="nil"/>
              <w:right w:val="nil"/>
            </w:tcBorders>
            <w:vAlign w:val="center"/>
            <w:hideMark/>
          </w:tcPr>
          <w:p w:rsidR="00FD6A6A" w:rsidRPr="00FD6A6A" w:rsidRDefault="00FD6A6A" w:rsidP="00FD6A6A">
            <w:pPr>
              <w:spacing w:after="0" w:line="240" w:lineRule="auto"/>
              <w:rPr>
                <w:rFonts w:ascii="Calibri" w:eastAsia="Times New Roman" w:hAnsi="Calibri" w:cs="Calibri"/>
                <w:b/>
                <w:bCs/>
                <w:color w:val="000000"/>
                <w:szCs w:val="22"/>
              </w:rPr>
            </w:pP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199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2147"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lastRenderedPageBreak/>
              <w:t>1</w:t>
            </w: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China</w:t>
            </w:r>
          </w:p>
        </w:tc>
        <w:tc>
          <w:tcPr>
            <w:tcW w:w="199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822,534,450</w:t>
            </w:r>
          </w:p>
        </w:tc>
        <w:tc>
          <w:tcPr>
            <w:tcW w:w="2147"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1,425,887,337</w:t>
            </w: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2</w:t>
            </w: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India</w:t>
            </w:r>
          </w:p>
        </w:tc>
        <w:tc>
          <w:tcPr>
            <w:tcW w:w="199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557,501,301</w:t>
            </w:r>
          </w:p>
        </w:tc>
        <w:tc>
          <w:tcPr>
            <w:tcW w:w="2147"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1,417,173,173</w:t>
            </w: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3</w:t>
            </w: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United States</w:t>
            </w:r>
          </w:p>
        </w:tc>
        <w:tc>
          <w:tcPr>
            <w:tcW w:w="199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200,328,340</w:t>
            </w:r>
          </w:p>
        </w:tc>
        <w:tc>
          <w:tcPr>
            <w:tcW w:w="2147"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338,289,857</w:t>
            </w: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4</w:t>
            </w: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Indonesia</w:t>
            </w:r>
          </w:p>
        </w:tc>
        <w:tc>
          <w:tcPr>
            <w:tcW w:w="199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115,228,394</w:t>
            </w:r>
          </w:p>
        </w:tc>
        <w:tc>
          <w:tcPr>
            <w:tcW w:w="2147"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275,501,339</w:t>
            </w: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5</w:t>
            </w: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Pakistan</w:t>
            </w:r>
          </w:p>
        </w:tc>
        <w:tc>
          <w:tcPr>
            <w:tcW w:w="199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59,290,872</w:t>
            </w:r>
          </w:p>
        </w:tc>
        <w:tc>
          <w:tcPr>
            <w:tcW w:w="2147"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235,824,862</w:t>
            </w: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6</w:t>
            </w: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Nigeria</w:t>
            </w:r>
          </w:p>
        </w:tc>
        <w:tc>
          <w:tcPr>
            <w:tcW w:w="199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55,569,264</w:t>
            </w:r>
          </w:p>
        </w:tc>
        <w:tc>
          <w:tcPr>
            <w:tcW w:w="2147"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218,541,212</w:t>
            </w: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7</w:t>
            </w: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Brazil</w:t>
            </w:r>
          </w:p>
        </w:tc>
        <w:tc>
          <w:tcPr>
            <w:tcW w:w="199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96,369,875</w:t>
            </w:r>
          </w:p>
        </w:tc>
        <w:tc>
          <w:tcPr>
            <w:tcW w:w="2147"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215,313,498</w:t>
            </w: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8</w:t>
            </w: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Bangladesh</w:t>
            </w:r>
          </w:p>
        </w:tc>
        <w:tc>
          <w:tcPr>
            <w:tcW w:w="199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67,541,860</w:t>
            </w:r>
          </w:p>
        </w:tc>
        <w:tc>
          <w:tcPr>
            <w:tcW w:w="2147"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171,186,372</w:t>
            </w: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9</w:t>
            </w: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Russia</w:t>
            </w:r>
          </w:p>
        </w:tc>
        <w:tc>
          <w:tcPr>
            <w:tcW w:w="199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130,093,010</w:t>
            </w:r>
          </w:p>
        </w:tc>
        <w:tc>
          <w:tcPr>
            <w:tcW w:w="2147"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144,713,314</w:t>
            </w: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10</w:t>
            </w: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Mexico</w:t>
            </w:r>
          </w:p>
        </w:tc>
        <w:tc>
          <w:tcPr>
            <w:tcW w:w="199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50,289,306</w:t>
            </w:r>
          </w:p>
        </w:tc>
        <w:tc>
          <w:tcPr>
            <w:tcW w:w="2147"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127,504,125</w:t>
            </w: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199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2147"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b/>
                <w:bCs/>
                <w:color w:val="000000"/>
                <w:szCs w:val="22"/>
              </w:rPr>
            </w:pPr>
            <w:r w:rsidRPr="00FD6A6A">
              <w:rPr>
                <w:rFonts w:ascii="Calibri" w:eastAsia="Times New Roman" w:hAnsi="Calibri" w:cs="Calibri"/>
                <w:b/>
                <w:bCs/>
                <w:color w:val="000000"/>
                <w:szCs w:val="22"/>
              </w:rPr>
              <w:t>Mean</w:t>
            </w:r>
          </w:p>
        </w:tc>
        <w:tc>
          <w:tcPr>
            <w:tcW w:w="1992" w:type="dxa"/>
            <w:tcBorders>
              <w:top w:val="single" w:sz="4" w:space="0" w:color="7030A0"/>
              <w:left w:val="nil"/>
              <w:bottom w:val="single" w:sz="4" w:space="0" w:color="7030A0"/>
              <w:right w:val="nil"/>
            </w:tcBorders>
            <w:shd w:val="clear" w:color="000000" w:fill="B6DDE8"/>
            <w:noWrap/>
            <w:vAlign w:val="bottom"/>
            <w:hideMark/>
          </w:tcPr>
          <w:p w:rsidR="00FD6A6A" w:rsidRPr="00FD6A6A" w:rsidRDefault="00FD6A6A" w:rsidP="00FD6A6A">
            <w:pPr>
              <w:spacing w:after="0" w:line="240" w:lineRule="auto"/>
              <w:jc w:val="right"/>
              <w:rPr>
                <w:rFonts w:ascii="Calibri" w:eastAsia="Times New Roman" w:hAnsi="Calibri" w:cs="Calibri"/>
                <w:b/>
                <w:bCs/>
                <w:color w:val="000000"/>
                <w:szCs w:val="22"/>
              </w:rPr>
            </w:pPr>
            <w:r w:rsidRPr="00FD6A6A">
              <w:rPr>
                <w:rFonts w:ascii="Calibri" w:eastAsia="Times New Roman" w:hAnsi="Calibri" w:cs="Calibri"/>
                <w:b/>
                <w:bCs/>
                <w:color w:val="000000"/>
                <w:szCs w:val="22"/>
              </w:rPr>
              <w:t>215,474,667</w:t>
            </w:r>
          </w:p>
        </w:tc>
        <w:tc>
          <w:tcPr>
            <w:tcW w:w="2147" w:type="dxa"/>
            <w:tcBorders>
              <w:top w:val="single" w:sz="4" w:space="0" w:color="7030A0"/>
              <w:left w:val="nil"/>
              <w:bottom w:val="single" w:sz="4" w:space="0" w:color="7030A0"/>
              <w:right w:val="nil"/>
            </w:tcBorders>
            <w:shd w:val="clear" w:color="000000" w:fill="E5E0EC"/>
            <w:noWrap/>
            <w:vAlign w:val="bottom"/>
            <w:hideMark/>
          </w:tcPr>
          <w:p w:rsidR="00FD6A6A" w:rsidRPr="00FD6A6A" w:rsidRDefault="00FD6A6A" w:rsidP="00FD6A6A">
            <w:pPr>
              <w:spacing w:after="0" w:line="240" w:lineRule="auto"/>
              <w:jc w:val="right"/>
              <w:rPr>
                <w:rFonts w:ascii="Calibri" w:eastAsia="Times New Roman" w:hAnsi="Calibri" w:cs="Calibri"/>
                <w:b/>
                <w:bCs/>
                <w:color w:val="000000"/>
                <w:szCs w:val="22"/>
              </w:rPr>
            </w:pPr>
            <w:r w:rsidRPr="00FD6A6A">
              <w:rPr>
                <w:rFonts w:ascii="Calibri" w:eastAsia="Times New Roman" w:hAnsi="Calibri" w:cs="Calibri"/>
                <w:b/>
                <w:bCs/>
                <w:color w:val="000000"/>
                <w:szCs w:val="22"/>
              </w:rPr>
              <w:t>456,993,509</w:t>
            </w: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b/>
                <w:bCs/>
                <w:color w:val="000000"/>
                <w:szCs w:val="22"/>
              </w:rPr>
            </w:pPr>
            <w:r w:rsidRPr="00FD6A6A">
              <w:rPr>
                <w:rFonts w:ascii="Calibri" w:eastAsia="Times New Roman" w:hAnsi="Calibri" w:cs="Calibri"/>
                <w:b/>
                <w:bCs/>
                <w:color w:val="000000"/>
                <w:szCs w:val="22"/>
              </w:rPr>
              <w:t>Meadian</w:t>
            </w:r>
          </w:p>
        </w:tc>
        <w:tc>
          <w:tcPr>
            <w:tcW w:w="1992" w:type="dxa"/>
            <w:tcBorders>
              <w:top w:val="nil"/>
              <w:left w:val="nil"/>
              <w:bottom w:val="single" w:sz="4" w:space="0" w:color="7030A0"/>
              <w:right w:val="nil"/>
            </w:tcBorders>
            <w:shd w:val="clear" w:color="000000" w:fill="B6DDE8"/>
            <w:noWrap/>
            <w:vAlign w:val="bottom"/>
            <w:hideMark/>
          </w:tcPr>
          <w:p w:rsidR="00FD6A6A" w:rsidRPr="00FD6A6A" w:rsidRDefault="00FD6A6A" w:rsidP="00FD6A6A">
            <w:pPr>
              <w:spacing w:after="0" w:line="240" w:lineRule="auto"/>
              <w:jc w:val="right"/>
              <w:rPr>
                <w:rFonts w:ascii="Calibri" w:eastAsia="Times New Roman" w:hAnsi="Calibri" w:cs="Calibri"/>
                <w:b/>
                <w:bCs/>
                <w:color w:val="000000"/>
                <w:szCs w:val="22"/>
              </w:rPr>
            </w:pPr>
            <w:r w:rsidRPr="00FD6A6A">
              <w:rPr>
                <w:rFonts w:ascii="Calibri" w:eastAsia="Times New Roman" w:hAnsi="Calibri" w:cs="Calibri"/>
                <w:b/>
                <w:bCs/>
                <w:color w:val="000000"/>
                <w:szCs w:val="22"/>
              </w:rPr>
              <w:t>105,799,135</w:t>
            </w:r>
          </w:p>
        </w:tc>
        <w:tc>
          <w:tcPr>
            <w:tcW w:w="2147" w:type="dxa"/>
            <w:tcBorders>
              <w:top w:val="nil"/>
              <w:left w:val="nil"/>
              <w:bottom w:val="single" w:sz="4" w:space="0" w:color="7030A0"/>
              <w:right w:val="nil"/>
            </w:tcBorders>
            <w:shd w:val="clear" w:color="000000" w:fill="E5E0EC"/>
            <w:noWrap/>
            <w:vAlign w:val="bottom"/>
            <w:hideMark/>
          </w:tcPr>
          <w:p w:rsidR="00FD6A6A" w:rsidRPr="00FD6A6A" w:rsidRDefault="00FD6A6A" w:rsidP="00FD6A6A">
            <w:pPr>
              <w:spacing w:after="0" w:line="240" w:lineRule="auto"/>
              <w:jc w:val="right"/>
              <w:rPr>
                <w:rFonts w:ascii="Calibri" w:eastAsia="Times New Roman" w:hAnsi="Calibri" w:cs="Calibri"/>
                <w:b/>
                <w:bCs/>
                <w:color w:val="000000"/>
                <w:szCs w:val="22"/>
              </w:rPr>
            </w:pPr>
            <w:r w:rsidRPr="00FD6A6A">
              <w:rPr>
                <w:rFonts w:ascii="Calibri" w:eastAsia="Times New Roman" w:hAnsi="Calibri" w:cs="Calibri"/>
                <w:b/>
                <w:bCs/>
                <w:color w:val="000000"/>
                <w:szCs w:val="22"/>
              </w:rPr>
              <w:t>227,183,037</w:t>
            </w: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b/>
                <w:bCs/>
                <w:color w:val="FFFFFF"/>
                <w:szCs w:val="22"/>
              </w:rPr>
            </w:pP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b/>
                <w:bCs/>
                <w:szCs w:val="22"/>
              </w:rPr>
            </w:pPr>
            <w:r w:rsidRPr="00FD6A6A">
              <w:rPr>
                <w:rFonts w:ascii="Calibri" w:eastAsia="Times New Roman" w:hAnsi="Calibri" w:cs="Calibri"/>
                <w:b/>
                <w:bCs/>
                <w:szCs w:val="22"/>
              </w:rPr>
              <w:t xml:space="preserve">Min </w:t>
            </w:r>
          </w:p>
        </w:tc>
        <w:tc>
          <w:tcPr>
            <w:tcW w:w="1992" w:type="dxa"/>
            <w:tcBorders>
              <w:top w:val="nil"/>
              <w:left w:val="nil"/>
              <w:bottom w:val="single" w:sz="4" w:space="0" w:color="7030A0"/>
              <w:right w:val="nil"/>
            </w:tcBorders>
            <w:shd w:val="clear" w:color="000000" w:fill="B6DDE8"/>
            <w:noWrap/>
            <w:vAlign w:val="bottom"/>
            <w:hideMark/>
          </w:tcPr>
          <w:p w:rsidR="00FD6A6A" w:rsidRPr="00FD6A6A" w:rsidRDefault="00FD6A6A" w:rsidP="00FD6A6A">
            <w:pPr>
              <w:spacing w:after="0" w:line="240" w:lineRule="auto"/>
              <w:jc w:val="right"/>
              <w:rPr>
                <w:rFonts w:ascii="Calibri" w:eastAsia="Times New Roman" w:hAnsi="Calibri" w:cs="Calibri"/>
                <w:b/>
                <w:bCs/>
                <w:szCs w:val="22"/>
              </w:rPr>
            </w:pPr>
            <w:r w:rsidRPr="00FD6A6A">
              <w:rPr>
                <w:rFonts w:ascii="Calibri" w:eastAsia="Times New Roman" w:hAnsi="Calibri" w:cs="Calibri"/>
                <w:b/>
                <w:bCs/>
                <w:szCs w:val="22"/>
              </w:rPr>
              <w:t>50,289,306</w:t>
            </w:r>
          </w:p>
        </w:tc>
        <w:tc>
          <w:tcPr>
            <w:tcW w:w="2147" w:type="dxa"/>
            <w:tcBorders>
              <w:top w:val="nil"/>
              <w:left w:val="nil"/>
              <w:bottom w:val="single" w:sz="4" w:space="0" w:color="7030A0"/>
              <w:right w:val="nil"/>
            </w:tcBorders>
            <w:shd w:val="clear" w:color="000000" w:fill="E5E0EC"/>
            <w:noWrap/>
            <w:vAlign w:val="bottom"/>
            <w:hideMark/>
          </w:tcPr>
          <w:p w:rsidR="00FD6A6A" w:rsidRPr="00FD6A6A" w:rsidRDefault="00FD6A6A" w:rsidP="00FD6A6A">
            <w:pPr>
              <w:spacing w:after="0" w:line="240" w:lineRule="auto"/>
              <w:jc w:val="right"/>
              <w:rPr>
                <w:rFonts w:ascii="Calibri" w:eastAsia="Times New Roman" w:hAnsi="Calibri" w:cs="Calibri"/>
                <w:b/>
                <w:bCs/>
                <w:szCs w:val="22"/>
              </w:rPr>
            </w:pPr>
            <w:r w:rsidRPr="00FD6A6A">
              <w:rPr>
                <w:rFonts w:ascii="Calibri" w:eastAsia="Times New Roman" w:hAnsi="Calibri" w:cs="Calibri"/>
                <w:b/>
                <w:bCs/>
                <w:szCs w:val="22"/>
              </w:rPr>
              <w:t>127,504,125</w:t>
            </w: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b/>
                <w:bCs/>
                <w:color w:val="FFFFFF"/>
                <w:szCs w:val="22"/>
              </w:rPr>
            </w:pP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b/>
                <w:bCs/>
                <w:szCs w:val="22"/>
              </w:rPr>
            </w:pPr>
            <w:r w:rsidRPr="00FD6A6A">
              <w:rPr>
                <w:rFonts w:ascii="Calibri" w:eastAsia="Times New Roman" w:hAnsi="Calibri" w:cs="Calibri"/>
                <w:b/>
                <w:bCs/>
                <w:szCs w:val="22"/>
              </w:rPr>
              <w:t>Max</w:t>
            </w:r>
          </w:p>
        </w:tc>
        <w:tc>
          <w:tcPr>
            <w:tcW w:w="1992" w:type="dxa"/>
            <w:tcBorders>
              <w:top w:val="nil"/>
              <w:left w:val="nil"/>
              <w:bottom w:val="single" w:sz="4" w:space="0" w:color="7030A0"/>
              <w:right w:val="nil"/>
            </w:tcBorders>
            <w:shd w:val="clear" w:color="000000" w:fill="B6DDE8"/>
            <w:noWrap/>
            <w:vAlign w:val="bottom"/>
            <w:hideMark/>
          </w:tcPr>
          <w:p w:rsidR="00FD6A6A" w:rsidRPr="00FD6A6A" w:rsidRDefault="00FD6A6A" w:rsidP="00FD6A6A">
            <w:pPr>
              <w:spacing w:after="0" w:line="240" w:lineRule="auto"/>
              <w:jc w:val="right"/>
              <w:rPr>
                <w:rFonts w:ascii="Calibri" w:eastAsia="Times New Roman" w:hAnsi="Calibri" w:cs="Calibri"/>
                <w:b/>
                <w:bCs/>
                <w:szCs w:val="22"/>
              </w:rPr>
            </w:pPr>
            <w:r w:rsidRPr="00FD6A6A">
              <w:rPr>
                <w:rFonts w:ascii="Calibri" w:eastAsia="Times New Roman" w:hAnsi="Calibri" w:cs="Calibri"/>
                <w:b/>
                <w:bCs/>
                <w:szCs w:val="22"/>
              </w:rPr>
              <w:t>822,534,450</w:t>
            </w:r>
          </w:p>
        </w:tc>
        <w:tc>
          <w:tcPr>
            <w:tcW w:w="2147" w:type="dxa"/>
            <w:tcBorders>
              <w:top w:val="nil"/>
              <w:left w:val="nil"/>
              <w:bottom w:val="single" w:sz="4" w:space="0" w:color="7030A0"/>
              <w:right w:val="nil"/>
            </w:tcBorders>
            <w:shd w:val="clear" w:color="000000" w:fill="E5E0EC"/>
            <w:noWrap/>
            <w:vAlign w:val="bottom"/>
            <w:hideMark/>
          </w:tcPr>
          <w:p w:rsidR="00FD6A6A" w:rsidRPr="00FD6A6A" w:rsidRDefault="00FD6A6A" w:rsidP="00FD6A6A">
            <w:pPr>
              <w:spacing w:after="0" w:line="240" w:lineRule="auto"/>
              <w:jc w:val="right"/>
              <w:rPr>
                <w:rFonts w:ascii="Calibri" w:eastAsia="Times New Roman" w:hAnsi="Calibri" w:cs="Calibri"/>
                <w:b/>
                <w:bCs/>
                <w:szCs w:val="22"/>
              </w:rPr>
            </w:pPr>
            <w:r w:rsidRPr="00FD6A6A">
              <w:rPr>
                <w:rFonts w:ascii="Calibri" w:eastAsia="Times New Roman" w:hAnsi="Calibri" w:cs="Calibri"/>
                <w:b/>
                <w:bCs/>
                <w:szCs w:val="22"/>
              </w:rPr>
              <w:t>1,425,887,337</w:t>
            </w:r>
          </w:p>
        </w:tc>
      </w:tr>
      <w:tr w:rsidR="00FD6A6A" w:rsidRPr="00FD6A6A" w:rsidTr="00FD6A6A">
        <w:trPr>
          <w:trHeight w:val="300"/>
        </w:trPr>
        <w:tc>
          <w:tcPr>
            <w:tcW w:w="675"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b/>
                <w:bCs/>
                <w:color w:val="FFFFFF"/>
                <w:szCs w:val="22"/>
              </w:rPr>
            </w:pPr>
          </w:p>
        </w:tc>
        <w:tc>
          <w:tcPr>
            <w:tcW w:w="178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b/>
                <w:bCs/>
                <w:szCs w:val="22"/>
              </w:rPr>
            </w:pPr>
          </w:p>
        </w:tc>
        <w:tc>
          <w:tcPr>
            <w:tcW w:w="199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b/>
                <w:bCs/>
                <w:color w:val="FFFFFF"/>
                <w:szCs w:val="22"/>
              </w:rPr>
            </w:pPr>
          </w:p>
        </w:tc>
        <w:tc>
          <w:tcPr>
            <w:tcW w:w="2147"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b/>
                <w:bCs/>
                <w:color w:val="FFFFFF"/>
                <w:szCs w:val="22"/>
              </w:rPr>
            </w:pPr>
          </w:p>
        </w:tc>
      </w:tr>
    </w:tbl>
    <w:p w:rsidR="00FD6A6A" w:rsidRDefault="00FD6A6A" w:rsidP="00035FE9">
      <w:pPr>
        <w:spacing w:before="100" w:beforeAutospacing="1" w:after="100" w:afterAutospacing="1" w:line="240" w:lineRule="auto"/>
        <w:rPr>
          <w:rFonts w:ascii="Times New Roman" w:eastAsia="Times New Roman" w:hAnsi="Times New Roman" w:cs="Times New Roman"/>
          <w:sz w:val="24"/>
          <w:szCs w:val="24"/>
        </w:rPr>
      </w:pPr>
    </w:p>
    <w:p w:rsidR="00FD6A6A" w:rsidRDefault="00FD6A6A" w:rsidP="00035FE9">
      <w:pPr>
        <w:spacing w:before="100" w:beforeAutospacing="1" w:after="100" w:afterAutospacing="1" w:line="240" w:lineRule="auto"/>
        <w:rPr>
          <w:rFonts w:ascii="Times New Roman" w:eastAsia="Times New Roman" w:hAnsi="Times New Roman" w:cs="Times New Roman"/>
          <w:sz w:val="24"/>
          <w:szCs w:val="24"/>
        </w:rPr>
      </w:pPr>
    </w:p>
    <w:p w:rsidR="00FD6A6A" w:rsidRDefault="00FD6A6A" w:rsidP="00035FE9">
      <w:pPr>
        <w:spacing w:before="100" w:beforeAutospacing="1" w:after="100" w:afterAutospacing="1" w:line="240" w:lineRule="auto"/>
        <w:rPr>
          <w:rFonts w:ascii="Times New Roman" w:eastAsia="Times New Roman" w:hAnsi="Times New Roman" w:cs="Times New Roman"/>
          <w:sz w:val="24"/>
          <w:szCs w:val="24"/>
        </w:rPr>
      </w:pPr>
    </w:p>
    <w:p w:rsidR="00FD6A6A" w:rsidRDefault="00FD6A6A" w:rsidP="00035FE9">
      <w:pPr>
        <w:spacing w:before="100" w:beforeAutospacing="1" w:after="100" w:afterAutospacing="1" w:line="240" w:lineRule="auto"/>
        <w:rPr>
          <w:rFonts w:ascii="Times New Roman" w:eastAsia="Times New Roman" w:hAnsi="Times New Roman" w:cs="Times New Roman"/>
          <w:sz w:val="24"/>
          <w:szCs w:val="24"/>
        </w:rPr>
      </w:pPr>
      <w:r w:rsidRPr="00FD6A6A">
        <w:rPr>
          <w:rFonts w:ascii="Times New Roman" w:eastAsia="Times New Roman" w:hAnsi="Times New Roman" w:cs="Times New Roman"/>
          <w:sz w:val="24"/>
          <w:szCs w:val="24"/>
        </w:rPr>
        <w:drawing>
          <wp:inline distT="0" distB="0" distL="0" distR="0">
            <wp:extent cx="5943600" cy="2569210"/>
            <wp:effectExtent l="0" t="0" r="0" b="0"/>
            <wp:docPr id="10"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FD6A6A" w:rsidRDefault="00FD6A6A" w:rsidP="00035FE9">
      <w:pPr>
        <w:spacing w:before="100" w:beforeAutospacing="1" w:after="100" w:afterAutospacing="1" w:line="240" w:lineRule="auto"/>
        <w:rPr>
          <w:rFonts w:ascii="Times New Roman" w:eastAsia="Times New Roman" w:hAnsi="Times New Roman" w:cs="Times New Roman"/>
          <w:sz w:val="24"/>
          <w:szCs w:val="24"/>
        </w:rPr>
      </w:pPr>
    </w:p>
    <w:tbl>
      <w:tblPr>
        <w:tblW w:w="6596" w:type="dxa"/>
        <w:tblInd w:w="108" w:type="dxa"/>
        <w:tblLook w:val="04A0"/>
      </w:tblPr>
      <w:tblGrid>
        <w:gridCol w:w="673"/>
        <w:gridCol w:w="2852"/>
        <w:gridCol w:w="1580"/>
        <w:gridCol w:w="1604"/>
      </w:tblGrid>
      <w:tr w:rsidR="00FD6A6A" w:rsidRPr="00FD6A6A" w:rsidTr="00FD6A6A">
        <w:trPr>
          <w:trHeight w:val="300"/>
        </w:trPr>
        <w:tc>
          <w:tcPr>
            <w:tcW w:w="6596" w:type="dxa"/>
            <w:gridSpan w:val="4"/>
            <w:tcBorders>
              <w:top w:val="nil"/>
              <w:left w:val="nil"/>
              <w:bottom w:val="nil"/>
              <w:right w:val="nil"/>
            </w:tcBorders>
            <w:shd w:val="clear" w:color="000000" w:fill="0070C0"/>
            <w:noWrap/>
            <w:vAlign w:val="bottom"/>
            <w:hideMark/>
          </w:tcPr>
          <w:p w:rsidR="00FD6A6A" w:rsidRPr="00FD6A6A" w:rsidRDefault="00FD6A6A" w:rsidP="00FD6A6A">
            <w:pPr>
              <w:spacing w:after="0" w:line="240" w:lineRule="auto"/>
              <w:jc w:val="center"/>
              <w:rPr>
                <w:rFonts w:ascii="Calibri" w:eastAsia="Times New Roman" w:hAnsi="Calibri" w:cs="Calibri"/>
                <w:b/>
                <w:bCs/>
                <w:color w:val="FFFFFF"/>
                <w:szCs w:val="22"/>
              </w:rPr>
            </w:pPr>
            <w:r w:rsidRPr="00FD6A6A">
              <w:rPr>
                <w:rFonts w:ascii="Calibri" w:eastAsia="Times New Roman" w:hAnsi="Calibri" w:cs="Calibri"/>
                <w:b/>
                <w:bCs/>
                <w:color w:val="FFFFFF"/>
                <w:szCs w:val="22"/>
              </w:rPr>
              <w:t>Top Ten Countries Data with Lowest Population</w:t>
            </w: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158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1604"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r>
      <w:tr w:rsidR="00FD6A6A" w:rsidRPr="00FD6A6A" w:rsidTr="00FD6A6A">
        <w:trPr>
          <w:trHeight w:val="300"/>
        </w:trPr>
        <w:tc>
          <w:tcPr>
            <w:tcW w:w="560" w:type="dxa"/>
            <w:tcBorders>
              <w:top w:val="nil"/>
              <w:left w:val="nil"/>
              <w:bottom w:val="nil"/>
              <w:right w:val="nil"/>
            </w:tcBorders>
            <w:shd w:val="clear" w:color="000000" w:fill="E5E0EC"/>
            <w:noWrap/>
            <w:vAlign w:val="bottom"/>
            <w:hideMark/>
          </w:tcPr>
          <w:p w:rsidR="00FD6A6A" w:rsidRPr="00FD6A6A" w:rsidRDefault="00FD6A6A" w:rsidP="00FD6A6A">
            <w:pPr>
              <w:spacing w:after="0" w:line="240" w:lineRule="auto"/>
              <w:rPr>
                <w:rFonts w:ascii="Calibri" w:eastAsia="Times New Roman" w:hAnsi="Calibri" w:cs="Calibri"/>
                <w:b/>
                <w:bCs/>
                <w:color w:val="000000"/>
                <w:szCs w:val="22"/>
              </w:rPr>
            </w:pPr>
            <w:r w:rsidRPr="00FD6A6A">
              <w:rPr>
                <w:rFonts w:ascii="Calibri" w:eastAsia="Times New Roman" w:hAnsi="Calibri" w:cs="Calibri"/>
                <w:b/>
                <w:bCs/>
                <w:color w:val="000000"/>
                <w:szCs w:val="22"/>
              </w:rPr>
              <w:t>Rank</w:t>
            </w:r>
          </w:p>
        </w:tc>
        <w:tc>
          <w:tcPr>
            <w:tcW w:w="2852" w:type="dxa"/>
            <w:tcBorders>
              <w:top w:val="nil"/>
              <w:left w:val="nil"/>
              <w:bottom w:val="nil"/>
              <w:right w:val="nil"/>
            </w:tcBorders>
            <w:shd w:val="clear" w:color="000000" w:fill="E5E0EC"/>
            <w:noWrap/>
            <w:vAlign w:val="bottom"/>
            <w:hideMark/>
          </w:tcPr>
          <w:p w:rsidR="00FD6A6A" w:rsidRPr="00FD6A6A" w:rsidRDefault="00FD6A6A" w:rsidP="00FD6A6A">
            <w:pPr>
              <w:spacing w:after="0" w:line="240" w:lineRule="auto"/>
              <w:jc w:val="right"/>
              <w:rPr>
                <w:rFonts w:ascii="Calibri" w:eastAsia="Times New Roman" w:hAnsi="Calibri" w:cs="Calibri"/>
                <w:b/>
                <w:bCs/>
                <w:color w:val="000000"/>
                <w:szCs w:val="22"/>
              </w:rPr>
            </w:pPr>
            <w:r w:rsidRPr="00FD6A6A">
              <w:rPr>
                <w:rFonts w:ascii="Calibri" w:eastAsia="Times New Roman" w:hAnsi="Calibri" w:cs="Calibri"/>
                <w:b/>
                <w:bCs/>
                <w:color w:val="000000"/>
                <w:szCs w:val="22"/>
              </w:rPr>
              <w:t>Country</w:t>
            </w:r>
          </w:p>
        </w:tc>
        <w:tc>
          <w:tcPr>
            <w:tcW w:w="1580" w:type="dxa"/>
            <w:vMerge w:val="restart"/>
            <w:tcBorders>
              <w:top w:val="nil"/>
              <w:left w:val="nil"/>
              <w:bottom w:val="nil"/>
              <w:right w:val="nil"/>
            </w:tcBorders>
            <w:shd w:val="clear" w:color="000000" w:fill="B6DDE8"/>
            <w:vAlign w:val="bottom"/>
            <w:hideMark/>
          </w:tcPr>
          <w:p w:rsidR="00FD6A6A" w:rsidRPr="00FD6A6A" w:rsidRDefault="00FD6A6A" w:rsidP="00FD6A6A">
            <w:pPr>
              <w:spacing w:after="0" w:line="240" w:lineRule="auto"/>
              <w:jc w:val="right"/>
              <w:rPr>
                <w:rFonts w:ascii="Calibri" w:eastAsia="Times New Roman" w:hAnsi="Calibri" w:cs="Calibri"/>
                <w:b/>
                <w:bCs/>
                <w:color w:val="000000"/>
                <w:szCs w:val="22"/>
              </w:rPr>
            </w:pPr>
            <w:r w:rsidRPr="00FD6A6A">
              <w:rPr>
                <w:rFonts w:ascii="Calibri" w:eastAsia="Times New Roman" w:hAnsi="Calibri" w:cs="Calibri"/>
                <w:b/>
                <w:bCs/>
                <w:color w:val="000000"/>
                <w:szCs w:val="22"/>
              </w:rPr>
              <w:t xml:space="preserve">Initial Population </w:t>
            </w:r>
            <w:r w:rsidRPr="00FD6A6A">
              <w:rPr>
                <w:rFonts w:ascii="Calibri" w:eastAsia="Times New Roman" w:hAnsi="Calibri" w:cs="Calibri"/>
                <w:b/>
                <w:bCs/>
                <w:color w:val="000000"/>
                <w:szCs w:val="22"/>
              </w:rPr>
              <w:lastRenderedPageBreak/>
              <w:t>data 1970</w:t>
            </w:r>
          </w:p>
        </w:tc>
        <w:tc>
          <w:tcPr>
            <w:tcW w:w="1604" w:type="dxa"/>
            <w:vMerge w:val="restart"/>
            <w:tcBorders>
              <w:top w:val="nil"/>
              <w:left w:val="nil"/>
              <w:bottom w:val="nil"/>
              <w:right w:val="nil"/>
            </w:tcBorders>
            <w:shd w:val="clear" w:color="000000" w:fill="E5E0EC"/>
            <w:vAlign w:val="bottom"/>
            <w:hideMark/>
          </w:tcPr>
          <w:p w:rsidR="00FD6A6A" w:rsidRPr="00FD6A6A" w:rsidRDefault="00FD6A6A" w:rsidP="00FD6A6A">
            <w:pPr>
              <w:spacing w:after="0" w:line="240" w:lineRule="auto"/>
              <w:jc w:val="right"/>
              <w:rPr>
                <w:rFonts w:ascii="Calibri" w:eastAsia="Times New Roman" w:hAnsi="Calibri" w:cs="Calibri"/>
                <w:b/>
                <w:bCs/>
                <w:color w:val="000000"/>
                <w:szCs w:val="22"/>
              </w:rPr>
            </w:pPr>
            <w:r w:rsidRPr="00FD6A6A">
              <w:rPr>
                <w:rFonts w:ascii="Calibri" w:eastAsia="Times New Roman" w:hAnsi="Calibri" w:cs="Calibri"/>
                <w:b/>
                <w:bCs/>
                <w:color w:val="000000"/>
                <w:szCs w:val="22"/>
              </w:rPr>
              <w:lastRenderedPageBreak/>
              <w:t xml:space="preserve">Latest Population </w:t>
            </w:r>
            <w:r w:rsidRPr="00FD6A6A">
              <w:rPr>
                <w:rFonts w:ascii="Calibri" w:eastAsia="Times New Roman" w:hAnsi="Calibri" w:cs="Calibri"/>
                <w:b/>
                <w:bCs/>
                <w:color w:val="000000"/>
                <w:szCs w:val="22"/>
              </w:rPr>
              <w:lastRenderedPageBreak/>
              <w:t>Data 2022</w:t>
            </w:r>
          </w:p>
        </w:tc>
      </w:tr>
      <w:tr w:rsidR="00FD6A6A" w:rsidRPr="00FD6A6A" w:rsidTr="00FD6A6A">
        <w:trPr>
          <w:trHeight w:val="300"/>
        </w:trPr>
        <w:tc>
          <w:tcPr>
            <w:tcW w:w="560" w:type="dxa"/>
            <w:tcBorders>
              <w:top w:val="nil"/>
              <w:left w:val="nil"/>
              <w:bottom w:val="nil"/>
              <w:right w:val="nil"/>
            </w:tcBorders>
            <w:shd w:val="clear" w:color="000000" w:fill="E5E0EC"/>
            <w:noWrap/>
            <w:vAlign w:val="bottom"/>
            <w:hideMark/>
          </w:tcPr>
          <w:p w:rsidR="00FD6A6A" w:rsidRPr="00FD6A6A" w:rsidRDefault="00FD6A6A" w:rsidP="00FD6A6A">
            <w:pPr>
              <w:spacing w:after="0" w:line="240" w:lineRule="auto"/>
              <w:rPr>
                <w:rFonts w:ascii="Calibri" w:eastAsia="Times New Roman" w:hAnsi="Calibri" w:cs="Calibri"/>
                <w:b/>
                <w:bCs/>
                <w:color w:val="000000"/>
                <w:szCs w:val="22"/>
              </w:rPr>
            </w:pPr>
            <w:r w:rsidRPr="00FD6A6A">
              <w:rPr>
                <w:rFonts w:ascii="Calibri" w:eastAsia="Times New Roman" w:hAnsi="Calibri" w:cs="Calibri"/>
                <w:b/>
                <w:bCs/>
                <w:color w:val="000000"/>
                <w:szCs w:val="22"/>
              </w:rPr>
              <w:t> </w:t>
            </w:r>
          </w:p>
        </w:tc>
        <w:tc>
          <w:tcPr>
            <w:tcW w:w="2852" w:type="dxa"/>
            <w:tcBorders>
              <w:top w:val="nil"/>
              <w:left w:val="nil"/>
              <w:bottom w:val="nil"/>
              <w:right w:val="nil"/>
            </w:tcBorders>
            <w:shd w:val="clear" w:color="000000" w:fill="E5E0EC"/>
            <w:noWrap/>
            <w:vAlign w:val="bottom"/>
            <w:hideMark/>
          </w:tcPr>
          <w:p w:rsidR="00FD6A6A" w:rsidRPr="00FD6A6A" w:rsidRDefault="00FD6A6A" w:rsidP="00FD6A6A">
            <w:pPr>
              <w:spacing w:after="0" w:line="240" w:lineRule="auto"/>
              <w:jc w:val="right"/>
              <w:rPr>
                <w:rFonts w:ascii="Calibri" w:eastAsia="Times New Roman" w:hAnsi="Calibri" w:cs="Calibri"/>
                <w:b/>
                <w:bCs/>
                <w:color w:val="000000"/>
                <w:szCs w:val="22"/>
              </w:rPr>
            </w:pPr>
            <w:r w:rsidRPr="00FD6A6A">
              <w:rPr>
                <w:rFonts w:ascii="Calibri" w:eastAsia="Times New Roman" w:hAnsi="Calibri" w:cs="Calibri"/>
                <w:b/>
                <w:bCs/>
                <w:color w:val="000000"/>
                <w:szCs w:val="22"/>
              </w:rPr>
              <w:t> </w:t>
            </w:r>
          </w:p>
        </w:tc>
        <w:tc>
          <w:tcPr>
            <w:tcW w:w="1580" w:type="dxa"/>
            <w:vMerge/>
            <w:tcBorders>
              <w:top w:val="nil"/>
              <w:left w:val="nil"/>
              <w:bottom w:val="nil"/>
              <w:right w:val="nil"/>
            </w:tcBorders>
            <w:vAlign w:val="center"/>
            <w:hideMark/>
          </w:tcPr>
          <w:p w:rsidR="00FD6A6A" w:rsidRPr="00FD6A6A" w:rsidRDefault="00FD6A6A" w:rsidP="00FD6A6A">
            <w:pPr>
              <w:spacing w:after="0" w:line="240" w:lineRule="auto"/>
              <w:rPr>
                <w:rFonts w:ascii="Calibri" w:eastAsia="Times New Roman" w:hAnsi="Calibri" w:cs="Calibri"/>
                <w:b/>
                <w:bCs/>
                <w:color w:val="000000"/>
                <w:szCs w:val="22"/>
              </w:rPr>
            </w:pPr>
          </w:p>
        </w:tc>
        <w:tc>
          <w:tcPr>
            <w:tcW w:w="1604" w:type="dxa"/>
            <w:vMerge/>
            <w:tcBorders>
              <w:top w:val="nil"/>
              <w:left w:val="nil"/>
              <w:bottom w:val="nil"/>
              <w:right w:val="nil"/>
            </w:tcBorders>
            <w:vAlign w:val="center"/>
            <w:hideMark/>
          </w:tcPr>
          <w:p w:rsidR="00FD6A6A" w:rsidRPr="00FD6A6A" w:rsidRDefault="00FD6A6A" w:rsidP="00FD6A6A">
            <w:pPr>
              <w:spacing w:after="0" w:line="240" w:lineRule="auto"/>
              <w:rPr>
                <w:rFonts w:ascii="Calibri" w:eastAsia="Times New Roman" w:hAnsi="Calibri" w:cs="Calibri"/>
                <w:b/>
                <w:bCs/>
                <w:color w:val="000000"/>
                <w:szCs w:val="22"/>
              </w:rPr>
            </w:pPr>
          </w:p>
        </w:tc>
      </w:tr>
      <w:tr w:rsidR="00FD6A6A" w:rsidRPr="00FD6A6A" w:rsidTr="00FD6A6A">
        <w:trPr>
          <w:trHeight w:val="300"/>
        </w:trPr>
        <w:tc>
          <w:tcPr>
            <w:tcW w:w="560" w:type="dxa"/>
            <w:tcBorders>
              <w:top w:val="nil"/>
              <w:left w:val="nil"/>
              <w:bottom w:val="nil"/>
              <w:right w:val="nil"/>
            </w:tcBorders>
            <w:shd w:val="clear" w:color="000000" w:fill="E5E0EC"/>
            <w:noWrap/>
            <w:vAlign w:val="bottom"/>
            <w:hideMark/>
          </w:tcPr>
          <w:p w:rsidR="00FD6A6A" w:rsidRPr="00FD6A6A" w:rsidRDefault="00FD6A6A" w:rsidP="00FD6A6A">
            <w:pPr>
              <w:spacing w:after="0" w:line="240" w:lineRule="auto"/>
              <w:rPr>
                <w:rFonts w:ascii="Calibri" w:eastAsia="Times New Roman" w:hAnsi="Calibri" w:cs="Calibri"/>
                <w:b/>
                <w:bCs/>
                <w:color w:val="000000"/>
                <w:szCs w:val="22"/>
              </w:rPr>
            </w:pPr>
            <w:r w:rsidRPr="00FD6A6A">
              <w:rPr>
                <w:rFonts w:ascii="Calibri" w:eastAsia="Times New Roman" w:hAnsi="Calibri" w:cs="Calibri"/>
                <w:b/>
                <w:bCs/>
                <w:color w:val="000000"/>
                <w:szCs w:val="22"/>
              </w:rPr>
              <w:lastRenderedPageBreak/>
              <w:t> </w:t>
            </w:r>
          </w:p>
        </w:tc>
        <w:tc>
          <w:tcPr>
            <w:tcW w:w="2852" w:type="dxa"/>
            <w:tcBorders>
              <w:top w:val="nil"/>
              <w:left w:val="nil"/>
              <w:bottom w:val="nil"/>
              <w:right w:val="nil"/>
            </w:tcBorders>
            <w:shd w:val="clear" w:color="000000" w:fill="E5E0EC"/>
            <w:noWrap/>
            <w:vAlign w:val="bottom"/>
            <w:hideMark/>
          </w:tcPr>
          <w:p w:rsidR="00FD6A6A" w:rsidRPr="00FD6A6A" w:rsidRDefault="00FD6A6A" w:rsidP="00FD6A6A">
            <w:pPr>
              <w:spacing w:after="0" w:line="240" w:lineRule="auto"/>
              <w:jc w:val="right"/>
              <w:rPr>
                <w:rFonts w:ascii="Calibri" w:eastAsia="Times New Roman" w:hAnsi="Calibri" w:cs="Calibri"/>
                <w:b/>
                <w:bCs/>
                <w:color w:val="000000"/>
                <w:szCs w:val="22"/>
              </w:rPr>
            </w:pPr>
            <w:r w:rsidRPr="00FD6A6A">
              <w:rPr>
                <w:rFonts w:ascii="Calibri" w:eastAsia="Times New Roman" w:hAnsi="Calibri" w:cs="Calibri"/>
                <w:b/>
                <w:bCs/>
                <w:color w:val="000000"/>
                <w:szCs w:val="22"/>
              </w:rPr>
              <w:t> </w:t>
            </w:r>
          </w:p>
        </w:tc>
        <w:tc>
          <w:tcPr>
            <w:tcW w:w="1580" w:type="dxa"/>
            <w:vMerge/>
            <w:tcBorders>
              <w:top w:val="nil"/>
              <w:left w:val="nil"/>
              <w:bottom w:val="nil"/>
              <w:right w:val="nil"/>
            </w:tcBorders>
            <w:vAlign w:val="center"/>
            <w:hideMark/>
          </w:tcPr>
          <w:p w:rsidR="00FD6A6A" w:rsidRPr="00FD6A6A" w:rsidRDefault="00FD6A6A" w:rsidP="00FD6A6A">
            <w:pPr>
              <w:spacing w:after="0" w:line="240" w:lineRule="auto"/>
              <w:rPr>
                <w:rFonts w:ascii="Calibri" w:eastAsia="Times New Roman" w:hAnsi="Calibri" w:cs="Calibri"/>
                <w:b/>
                <w:bCs/>
                <w:color w:val="000000"/>
                <w:szCs w:val="22"/>
              </w:rPr>
            </w:pPr>
          </w:p>
        </w:tc>
        <w:tc>
          <w:tcPr>
            <w:tcW w:w="1604" w:type="dxa"/>
            <w:vMerge/>
            <w:tcBorders>
              <w:top w:val="nil"/>
              <w:left w:val="nil"/>
              <w:bottom w:val="nil"/>
              <w:right w:val="nil"/>
            </w:tcBorders>
            <w:vAlign w:val="center"/>
            <w:hideMark/>
          </w:tcPr>
          <w:p w:rsidR="00FD6A6A" w:rsidRPr="00FD6A6A" w:rsidRDefault="00FD6A6A" w:rsidP="00FD6A6A">
            <w:pPr>
              <w:spacing w:after="0" w:line="240" w:lineRule="auto"/>
              <w:rPr>
                <w:rFonts w:ascii="Calibri" w:eastAsia="Times New Roman" w:hAnsi="Calibri" w:cs="Calibri"/>
                <w:b/>
                <w:bCs/>
                <w:color w:val="000000"/>
                <w:szCs w:val="22"/>
              </w:rPr>
            </w:pP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p>
        </w:tc>
        <w:tc>
          <w:tcPr>
            <w:tcW w:w="158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1604"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222</w:t>
            </w: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Palau</w:t>
            </w:r>
          </w:p>
        </w:tc>
        <w:tc>
          <w:tcPr>
            <w:tcW w:w="158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11,366</w:t>
            </w:r>
          </w:p>
        </w:tc>
        <w:tc>
          <w:tcPr>
            <w:tcW w:w="1604"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18,055</w:t>
            </w: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223</w:t>
            </w: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Cook Islands</w:t>
            </w:r>
          </w:p>
        </w:tc>
        <w:tc>
          <w:tcPr>
            <w:tcW w:w="158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20,470</w:t>
            </w:r>
          </w:p>
        </w:tc>
        <w:tc>
          <w:tcPr>
            <w:tcW w:w="1604"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17,011</w:t>
            </w: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224</w:t>
            </w: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Anguilla</w:t>
            </w:r>
          </w:p>
        </w:tc>
        <w:tc>
          <w:tcPr>
            <w:tcW w:w="158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6,283</w:t>
            </w:r>
          </w:p>
        </w:tc>
        <w:tc>
          <w:tcPr>
            <w:tcW w:w="1604"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15,857</w:t>
            </w: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225</w:t>
            </w: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Nauru</w:t>
            </w:r>
          </w:p>
        </w:tc>
        <w:tc>
          <w:tcPr>
            <w:tcW w:w="158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6,663</w:t>
            </w:r>
          </w:p>
        </w:tc>
        <w:tc>
          <w:tcPr>
            <w:tcW w:w="1604"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12,668</w:t>
            </w: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226</w:t>
            </w: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Wallis and Futuna</w:t>
            </w:r>
          </w:p>
        </w:tc>
        <w:tc>
          <w:tcPr>
            <w:tcW w:w="158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9,377</w:t>
            </w:r>
          </w:p>
        </w:tc>
        <w:tc>
          <w:tcPr>
            <w:tcW w:w="1604"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11,572</w:t>
            </w: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227</w:t>
            </w: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Tuvalu</w:t>
            </w:r>
          </w:p>
        </w:tc>
        <w:tc>
          <w:tcPr>
            <w:tcW w:w="158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5,814</w:t>
            </w:r>
          </w:p>
        </w:tc>
        <w:tc>
          <w:tcPr>
            <w:tcW w:w="1604"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11,312</w:t>
            </w: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228</w:t>
            </w: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Saint Barthelemy</w:t>
            </w:r>
          </w:p>
        </w:tc>
        <w:tc>
          <w:tcPr>
            <w:tcW w:w="158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2,417</w:t>
            </w:r>
          </w:p>
        </w:tc>
        <w:tc>
          <w:tcPr>
            <w:tcW w:w="1604"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10,967</w:t>
            </w: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229</w:t>
            </w: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Saint Pierre and Miquelon</w:t>
            </w:r>
          </w:p>
        </w:tc>
        <w:tc>
          <w:tcPr>
            <w:tcW w:w="158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5,537</w:t>
            </w:r>
          </w:p>
        </w:tc>
        <w:tc>
          <w:tcPr>
            <w:tcW w:w="1604"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5,862</w:t>
            </w: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230</w:t>
            </w: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Montserrat</w:t>
            </w:r>
          </w:p>
        </w:tc>
        <w:tc>
          <w:tcPr>
            <w:tcW w:w="158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11,402</w:t>
            </w:r>
          </w:p>
        </w:tc>
        <w:tc>
          <w:tcPr>
            <w:tcW w:w="1604"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4,390</w:t>
            </w: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r w:rsidRPr="00FD6A6A">
              <w:rPr>
                <w:rFonts w:ascii="Calibri" w:eastAsia="Times New Roman" w:hAnsi="Calibri" w:cs="Calibri"/>
                <w:color w:val="000000"/>
                <w:szCs w:val="22"/>
              </w:rPr>
              <w:t>231</w:t>
            </w: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Falkland Islands</w:t>
            </w:r>
          </w:p>
        </w:tc>
        <w:tc>
          <w:tcPr>
            <w:tcW w:w="158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2,274</w:t>
            </w:r>
          </w:p>
        </w:tc>
        <w:tc>
          <w:tcPr>
            <w:tcW w:w="1604"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jc w:val="right"/>
              <w:rPr>
                <w:rFonts w:ascii="Calibri" w:eastAsia="Times New Roman" w:hAnsi="Calibri" w:cs="Calibri"/>
                <w:color w:val="000000"/>
                <w:szCs w:val="22"/>
              </w:rPr>
            </w:pPr>
            <w:r w:rsidRPr="00FD6A6A">
              <w:rPr>
                <w:rFonts w:ascii="Calibri" w:eastAsia="Times New Roman" w:hAnsi="Calibri" w:cs="Calibri"/>
                <w:color w:val="000000"/>
                <w:szCs w:val="22"/>
              </w:rPr>
              <w:t>3,780</w:t>
            </w: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158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1604"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b/>
                <w:bCs/>
                <w:color w:val="000000"/>
                <w:szCs w:val="22"/>
              </w:rPr>
            </w:pPr>
            <w:r w:rsidRPr="00FD6A6A">
              <w:rPr>
                <w:rFonts w:ascii="Calibri" w:eastAsia="Times New Roman" w:hAnsi="Calibri" w:cs="Calibri"/>
                <w:b/>
                <w:bCs/>
                <w:color w:val="000000"/>
                <w:szCs w:val="22"/>
              </w:rPr>
              <w:t>Mean</w:t>
            </w:r>
          </w:p>
        </w:tc>
        <w:tc>
          <w:tcPr>
            <w:tcW w:w="1580" w:type="dxa"/>
            <w:tcBorders>
              <w:top w:val="single" w:sz="4" w:space="0" w:color="7030A0"/>
              <w:left w:val="nil"/>
              <w:bottom w:val="single" w:sz="4" w:space="0" w:color="7030A0"/>
              <w:right w:val="nil"/>
            </w:tcBorders>
            <w:shd w:val="clear" w:color="000000" w:fill="B6DDE8"/>
            <w:noWrap/>
            <w:vAlign w:val="bottom"/>
            <w:hideMark/>
          </w:tcPr>
          <w:p w:rsidR="00FD6A6A" w:rsidRPr="00FD6A6A" w:rsidRDefault="00FD6A6A" w:rsidP="00FD6A6A">
            <w:pPr>
              <w:spacing w:after="0" w:line="240" w:lineRule="auto"/>
              <w:jc w:val="right"/>
              <w:rPr>
                <w:rFonts w:ascii="Calibri" w:eastAsia="Times New Roman" w:hAnsi="Calibri" w:cs="Calibri"/>
                <w:b/>
                <w:bCs/>
                <w:szCs w:val="22"/>
              </w:rPr>
            </w:pPr>
            <w:r w:rsidRPr="00FD6A6A">
              <w:rPr>
                <w:rFonts w:ascii="Calibri" w:eastAsia="Times New Roman" w:hAnsi="Calibri" w:cs="Calibri"/>
                <w:b/>
                <w:bCs/>
                <w:szCs w:val="22"/>
              </w:rPr>
              <w:t>8,160</w:t>
            </w:r>
          </w:p>
        </w:tc>
        <w:tc>
          <w:tcPr>
            <w:tcW w:w="1604" w:type="dxa"/>
            <w:tcBorders>
              <w:top w:val="single" w:sz="4" w:space="0" w:color="7030A0"/>
              <w:left w:val="nil"/>
              <w:bottom w:val="single" w:sz="4" w:space="0" w:color="7030A0"/>
              <w:right w:val="nil"/>
            </w:tcBorders>
            <w:shd w:val="clear" w:color="000000" w:fill="E5E0EC"/>
            <w:noWrap/>
            <w:vAlign w:val="bottom"/>
            <w:hideMark/>
          </w:tcPr>
          <w:p w:rsidR="00FD6A6A" w:rsidRPr="00FD6A6A" w:rsidRDefault="00FD6A6A" w:rsidP="00FD6A6A">
            <w:pPr>
              <w:spacing w:after="0" w:line="240" w:lineRule="auto"/>
              <w:jc w:val="right"/>
              <w:rPr>
                <w:rFonts w:ascii="Calibri" w:eastAsia="Times New Roman" w:hAnsi="Calibri" w:cs="Calibri"/>
                <w:b/>
                <w:bCs/>
                <w:szCs w:val="22"/>
              </w:rPr>
            </w:pPr>
            <w:r w:rsidRPr="00FD6A6A">
              <w:rPr>
                <w:rFonts w:ascii="Calibri" w:eastAsia="Times New Roman" w:hAnsi="Calibri" w:cs="Calibri"/>
                <w:b/>
                <w:bCs/>
                <w:szCs w:val="22"/>
              </w:rPr>
              <w:t>11,147</w:t>
            </w: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b/>
                <w:bCs/>
                <w:color w:val="000000"/>
                <w:szCs w:val="22"/>
              </w:rPr>
            </w:pPr>
            <w:r w:rsidRPr="00FD6A6A">
              <w:rPr>
                <w:rFonts w:ascii="Calibri" w:eastAsia="Times New Roman" w:hAnsi="Calibri" w:cs="Calibri"/>
                <w:b/>
                <w:bCs/>
                <w:color w:val="000000"/>
                <w:szCs w:val="22"/>
              </w:rPr>
              <w:t>Median</w:t>
            </w:r>
          </w:p>
        </w:tc>
        <w:tc>
          <w:tcPr>
            <w:tcW w:w="1580" w:type="dxa"/>
            <w:tcBorders>
              <w:top w:val="nil"/>
              <w:left w:val="nil"/>
              <w:bottom w:val="single" w:sz="4" w:space="0" w:color="7030A0"/>
              <w:right w:val="nil"/>
            </w:tcBorders>
            <w:shd w:val="clear" w:color="000000" w:fill="B6DDE8"/>
            <w:noWrap/>
            <w:vAlign w:val="bottom"/>
            <w:hideMark/>
          </w:tcPr>
          <w:p w:rsidR="00FD6A6A" w:rsidRPr="00FD6A6A" w:rsidRDefault="00FD6A6A" w:rsidP="00FD6A6A">
            <w:pPr>
              <w:spacing w:after="0" w:line="240" w:lineRule="auto"/>
              <w:jc w:val="right"/>
              <w:rPr>
                <w:rFonts w:ascii="Calibri" w:eastAsia="Times New Roman" w:hAnsi="Calibri" w:cs="Calibri"/>
                <w:b/>
                <w:bCs/>
                <w:szCs w:val="22"/>
              </w:rPr>
            </w:pPr>
            <w:r w:rsidRPr="00FD6A6A">
              <w:rPr>
                <w:rFonts w:ascii="Calibri" w:eastAsia="Times New Roman" w:hAnsi="Calibri" w:cs="Calibri"/>
                <w:b/>
                <w:bCs/>
                <w:szCs w:val="22"/>
              </w:rPr>
              <w:t>6,473</w:t>
            </w:r>
          </w:p>
        </w:tc>
        <w:tc>
          <w:tcPr>
            <w:tcW w:w="1604" w:type="dxa"/>
            <w:tcBorders>
              <w:top w:val="nil"/>
              <w:left w:val="nil"/>
              <w:bottom w:val="single" w:sz="4" w:space="0" w:color="7030A0"/>
              <w:right w:val="nil"/>
            </w:tcBorders>
            <w:shd w:val="clear" w:color="000000" w:fill="E5E0EC"/>
            <w:noWrap/>
            <w:vAlign w:val="bottom"/>
            <w:hideMark/>
          </w:tcPr>
          <w:p w:rsidR="00FD6A6A" w:rsidRPr="00FD6A6A" w:rsidRDefault="00FD6A6A" w:rsidP="00FD6A6A">
            <w:pPr>
              <w:spacing w:after="0" w:line="240" w:lineRule="auto"/>
              <w:jc w:val="right"/>
              <w:rPr>
                <w:rFonts w:ascii="Calibri" w:eastAsia="Times New Roman" w:hAnsi="Calibri" w:cs="Calibri"/>
                <w:b/>
                <w:bCs/>
                <w:szCs w:val="22"/>
              </w:rPr>
            </w:pPr>
            <w:r w:rsidRPr="00FD6A6A">
              <w:rPr>
                <w:rFonts w:ascii="Calibri" w:eastAsia="Times New Roman" w:hAnsi="Calibri" w:cs="Calibri"/>
                <w:b/>
                <w:bCs/>
                <w:szCs w:val="22"/>
              </w:rPr>
              <w:t>11,442</w:t>
            </w: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b/>
                <w:bCs/>
                <w:color w:val="000000"/>
                <w:szCs w:val="22"/>
              </w:rPr>
            </w:pPr>
            <w:r w:rsidRPr="00FD6A6A">
              <w:rPr>
                <w:rFonts w:ascii="Calibri" w:eastAsia="Times New Roman" w:hAnsi="Calibri" w:cs="Calibri"/>
                <w:b/>
                <w:bCs/>
                <w:color w:val="000000"/>
                <w:szCs w:val="22"/>
              </w:rPr>
              <w:t>Min</w:t>
            </w:r>
          </w:p>
        </w:tc>
        <w:tc>
          <w:tcPr>
            <w:tcW w:w="1580" w:type="dxa"/>
            <w:tcBorders>
              <w:top w:val="nil"/>
              <w:left w:val="nil"/>
              <w:bottom w:val="single" w:sz="4" w:space="0" w:color="7030A0"/>
              <w:right w:val="nil"/>
            </w:tcBorders>
            <w:shd w:val="clear" w:color="000000" w:fill="B6DDE8"/>
            <w:noWrap/>
            <w:vAlign w:val="bottom"/>
            <w:hideMark/>
          </w:tcPr>
          <w:p w:rsidR="00FD6A6A" w:rsidRPr="00FD6A6A" w:rsidRDefault="00FD6A6A" w:rsidP="00FD6A6A">
            <w:pPr>
              <w:spacing w:after="0" w:line="240" w:lineRule="auto"/>
              <w:jc w:val="right"/>
              <w:rPr>
                <w:rFonts w:ascii="Calibri" w:eastAsia="Times New Roman" w:hAnsi="Calibri" w:cs="Calibri"/>
                <w:b/>
                <w:bCs/>
                <w:szCs w:val="22"/>
              </w:rPr>
            </w:pPr>
            <w:r w:rsidRPr="00FD6A6A">
              <w:rPr>
                <w:rFonts w:ascii="Calibri" w:eastAsia="Times New Roman" w:hAnsi="Calibri" w:cs="Calibri"/>
                <w:b/>
                <w:bCs/>
                <w:szCs w:val="22"/>
              </w:rPr>
              <w:t>2,274</w:t>
            </w:r>
          </w:p>
        </w:tc>
        <w:tc>
          <w:tcPr>
            <w:tcW w:w="1604" w:type="dxa"/>
            <w:tcBorders>
              <w:top w:val="nil"/>
              <w:left w:val="nil"/>
              <w:bottom w:val="single" w:sz="4" w:space="0" w:color="7030A0"/>
              <w:right w:val="nil"/>
            </w:tcBorders>
            <w:shd w:val="clear" w:color="000000" w:fill="E5E0EC"/>
            <w:noWrap/>
            <w:vAlign w:val="bottom"/>
            <w:hideMark/>
          </w:tcPr>
          <w:p w:rsidR="00FD6A6A" w:rsidRPr="00FD6A6A" w:rsidRDefault="00FD6A6A" w:rsidP="00FD6A6A">
            <w:pPr>
              <w:spacing w:after="0" w:line="240" w:lineRule="auto"/>
              <w:jc w:val="right"/>
              <w:rPr>
                <w:rFonts w:ascii="Calibri" w:eastAsia="Times New Roman" w:hAnsi="Calibri" w:cs="Calibri"/>
                <w:b/>
                <w:bCs/>
                <w:szCs w:val="22"/>
              </w:rPr>
            </w:pPr>
            <w:r w:rsidRPr="00FD6A6A">
              <w:rPr>
                <w:rFonts w:ascii="Calibri" w:eastAsia="Times New Roman" w:hAnsi="Calibri" w:cs="Calibri"/>
                <w:b/>
                <w:bCs/>
                <w:szCs w:val="22"/>
              </w:rPr>
              <w:t>3,780</w:t>
            </w:r>
          </w:p>
        </w:tc>
      </w:tr>
      <w:tr w:rsidR="00FD6A6A" w:rsidRPr="00FD6A6A" w:rsidTr="00FD6A6A">
        <w:trPr>
          <w:trHeight w:val="300"/>
        </w:trPr>
        <w:tc>
          <w:tcPr>
            <w:tcW w:w="560"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color w:val="000000"/>
                <w:szCs w:val="22"/>
              </w:rPr>
            </w:pPr>
          </w:p>
        </w:tc>
        <w:tc>
          <w:tcPr>
            <w:tcW w:w="2852" w:type="dxa"/>
            <w:tcBorders>
              <w:top w:val="nil"/>
              <w:left w:val="nil"/>
              <w:bottom w:val="nil"/>
              <w:right w:val="nil"/>
            </w:tcBorders>
            <w:shd w:val="clear" w:color="auto" w:fill="auto"/>
            <w:noWrap/>
            <w:vAlign w:val="bottom"/>
            <w:hideMark/>
          </w:tcPr>
          <w:p w:rsidR="00FD6A6A" w:rsidRPr="00FD6A6A" w:rsidRDefault="00FD6A6A" w:rsidP="00FD6A6A">
            <w:pPr>
              <w:spacing w:after="0" w:line="240" w:lineRule="auto"/>
              <w:rPr>
                <w:rFonts w:ascii="Calibri" w:eastAsia="Times New Roman" w:hAnsi="Calibri" w:cs="Calibri"/>
                <w:b/>
                <w:bCs/>
                <w:color w:val="000000"/>
                <w:szCs w:val="22"/>
              </w:rPr>
            </w:pPr>
            <w:r w:rsidRPr="00FD6A6A">
              <w:rPr>
                <w:rFonts w:ascii="Calibri" w:eastAsia="Times New Roman" w:hAnsi="Calibri" w:cs="Calibri"/>
                <w:b/>
                <w:bCs/>
                <w:color w:val="000000"/>
                <w:szCs w:val="22"/>
              </w:rPr>
              <w:t>Max</w:t>
            </w:r>
          </w:p>
        </w:tc>
        <w:tc>
          <w:tcPr>
            <w:tcW w:w="1580" w:type="dxa"/>
            <w:tcBorders>
              <w:top w:val="nil"/>
              <w:left w:val="nil"/>
              <w:bottom w:val="single" w:sz="4" w:space="0" w:color="7030A0"/>
              <w:right w:val="nil"/>
            </w:tcBorders>
            <w:shd w:val="clear" w:color="000000" w:fill="B6DDE8"/>
            <w:noWrap/>
            <w:vAlign w:val="bottom"/>
            <w:hideMark/>
          </w:tcPr>
          <w:p w:rsidR="00FD6A6A" w:rsidRPr="00FD6A6A" w:rsidRDefault="00FD6A6A" w:rsidP="00FD6A6A">
            <w:pPr>
              <w:spacing w:after="0" w:line="240" w:lineRule="auto"/>
              <w:jc w:val="right"/>
              <w:rPr>
                <w:rFonts w:ascii="Calibri" w:eastAsia="Times New Roman" w:hAnsi="Calibri" w:cs="Calibri"/>
                <w:b/>
                <w:bCs/>
                <w:szCs w:val="22"/>
              </w:rPr>
            </w:pPr>
            <w:r w:rsidRPr="00FD6A6A">
              <w:rPr>
                <w:rFonts w:ascii="Calibri" w:eastAsia="Times New Roman" w:hAnsi="Calibri" w:cs="Calibri"/>
                <w:b/>
                <w:bCs/>
                <w:szCs w:val="22"/>
              </w:rPr>
              <w:t>20,470</w:t>
            </w:r>
          </w:p>
        </w:tc>
        <w:tc>
          <w:tcPr>
            <w:tcW w:w="1604" w:type="dxa"/>
            <w:tcBorders>
              <w:top w:val="nil"/>
              <w:left w:val="nil"/>
              <w:bottom w:val="single" w:sz="4" w:space="0" w:color="7030A0"/>
              <w:right w:val="nil"/>
            </w:tcBorders>
            <w:shd w:val="clear" w:color="000000" w:fill="E5E0EC"/>
            <w:noWrap/>
            <w:vAlign w:val="bottom"/>
            <w:hideMark/>
          </w:tcPr>
          <w:p w:rsidR="00FD6A6A" w:rsidRPr="00FD6A6A" w:rsidRDefault="00FD6A6A" w:rsidP="00FD6A6A">
            <w:pPr>
              <w:spacing w:after="0" w:line="240" w:lineRule="auto"/>
              <w:jc w:val="right"/>
              <w:rPr>
                <w:rFonts w:ascii="Calibri" w:eastAsia="Times New Roman" w:hAnsi="Calibri" w:cs="Calibri"/>
                <w:b/>
                <w:bCs/>
                <w:szCs w:val="22"/>
              </w:rPr>
            </w:pPr>
            <w:r w:rsidRPr="00FD6A6A">
              <w:rPr>
                <w:rFonts w:ascii="Calibri" w:eastAsia="Times New Roman" w:hAnsi="Calibri" w:cs="Calibri"/>
                <w:b/>
                <w:bCs/>
                <w:szCs w:val="22"/>
              </w:rPr>
              <w:t>18,055</w:t>
            </w:r>
          </w:p>
        </w:tc>
      </w:tr>
    </w:tbl>
    <w:p w:rsidR="00FD6A6A" w:rsidRDefault="00FD6A6A" w:rsidP="00035FE9">
      <w:pPr>
        <w:spacing w:before="100" w:beforeAutospacing="1" w:after="100" w:afterAutospacing="1" w:line="240" w:lineRule="auto"/>
        <w:rPr>
          <w:rFonts w:ascii="Times New Roman" w:eastAsia="Times New Roman" w:hAnsi="Times New Roman" w:cs="Times New Roman"/>
          <w:sz w:val="24"/>
          <w:szCs w:val="24"/>
        </w:rPr>
      </w:pPr>
    </w:p>
    <w:p w:rsidR="00FD6A6A" w:rsidRDefault="00FD6A6A" w:rsidP="00035FE9">
      <w:pPr>
        <w:spacing w:before="100" w:beforeAutospacing="1" w:after="100" w:afterAutospacing="1" w:line="240" w:lineRule="auto"/>
        <w:rPr>
          <w:rFonts w:ascii="Times New Roman" w:eastAsia="Times New Roman" w:hAnsi="Times New Roman" w:cs="Times New Roman"/>
          <w:sz w:val="24"/>
          <w:szCs w:val="24"/>
        </w:rPr>
      </w:pPr>
    </w:p>
    <w:p w:rsidR="00FD6A6A" w:rsidRPr="00066CDD" w:rsidRDefault="00FD6A6A" w:rsidP="00035FE9">
      <w:pPr>
        <w:spacing w:before="100" w:beforeAutospacing="1" w:after="100" w:afterAutospacing="1" w:line="240" w:lineRule="auto"/>
        <w:rPr>
          <w:rFonts w:ascii="Times New Roman" w:eastAsia="Times New Roman" w:hAnsi="Times New Roman" w:cs="Times New Roman"/>
          <w:sz w:val="24"/>
          <w:szCs w:val="24"/>
        </w:rPr>
      </w:pPr>
      <w:r w:rsidRPr="00FD6A6A">
        <w:rPr>
          <w:rFonts w:ascii="Times New Roman" w:eastAsia="Times New Roman" w:hAnsi="Times New Roman" w:cs="Times New Roman"/>
          <w:sz w:val="24"/>
          <w:szCs w:val="24"/>
        </w:rPr>
        <w:drawing>
          <wp:inline distT="0" distB="0" distL="0" distR="0">
            <wp:extent cx="5943600" cy="2569210"/>
            <wp:effectExtent l="0" t="0" r="0" b="0"/>
            <wp:docPr id="11"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066CDD" w:rsidRPr="00066CDD" w:rsidRDefault="00066CDD" w:rsidP="00066CDD">
      <w:pPr>
        <w:spacing w:before="100" w:beforeAutospacing="1" w:after="100" w:afterAutospacing="1" w:line="240" w:lineRule="auto"/>
        <w:outlineLvl w:val="2"/>
        <w:rPr>
          <w:rFonts w:ascii="Times New Roman" w:eastAsia="Times New Roman" w:hAnsi="Times New Roman" w:cs="Times New Roman"/>
          <w:b/>
          <w:bCs/>
          <w:sz w:val="27"/>
          <w:szCs w:val="27"/>
        </w:rPr>
      </w:pPr>
      <w:r w:rsidRPr="00066CDD">
        <w:rPr>
          <w:rFonts w:ascii="Times New Roman" w:eastAsia="Times New Roman" w:hAnsi="Times New Roman" w:cs="Times New Roman"/>
          <w:b/>
          <w:bCs/>
          <w:sz w:val="27"/>
          <w:szCs w:val="27"/>
        </w:rPr>
        <w:t>3</w:t>
      </w:r>
      <w:r>
        <w:rPr>
          <w:rFonts w:ascii="Times New Roman" w:eastAsia="Times New Roman" w:hAnsi="Times New Roman" w:cs="Times New Roman"/>
          <w:b/>
          <w:bCs/>
          <w:sz w:val="27"/>
          <w:szCs w:val="27"/>
        </w:rPr>
        <w:t xml:space="preserve">  D</w:t>
      </w:r>
      <w:r w:rsidRPr="00066CDD">
        <w:rPr>
          <w:rFonts w:ascii="Times New Roman" w:eastAsia="Times New Roman" w:hAnsi="Times New Roman" w:cs="Times New Roman"/>
          <w:b/>
          <w:bCs/>
          <w:sz w:val="27"/>
          <w:szCs w:val="27"/>
        </w:rPr>
        <w:t>ata Visualization — Power BI</w:t>
      </w:r>
    </w:p>
    <w:p w:rsidR="00066CDD" w:rsidRPr="00066CDD" w:rsidRDefault="00066CDD" w:rsidP="00066C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Designed dashboards to show:</w:t>
      </w:r>
    </w:p>
    <w:p w:rsidR="00066CDD" w:rsidRPr="00066CDD" w:rsidRDefault="00066CDD" w:rsidP="00066CD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Global population growth curve</w:t>
      </w:r>
    </w:p>
    <w:p w:rsidR="00066CDD" w:rsidRPr="00066CDD" w:rsidRDefault="00066CDD" w:rsidP="00066CD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Country-wise comparisons</w:t>
      </w:r>
    </w:p>
    <w:p w:rsidR="00066CDD" w:rsidRPr="00066CDD" w:rsidRDefault="00066CDD" w:rsidP="00066CD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Regional contribution to world population</w:t>
      </w:r>
    </w:p>
    <w:p w:rsidR="00066CDD" w:rsidRPr="00066CDD" w:rsidRDefault="00066CDD" w:rsidP="00066CD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Forecasting future population using analytics models</w:t>
      </w:r>
    </w:p>
    <w:p w:rsid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lastRenderedPageBreak/>
        <w:t>Power BI allowed deeper insight into patterns that numbers alone couldn’t show.</w:t>
      </w:r>
    </w:p>
    <w:p w:rsidR="00035FE9" w:rsidRDefault="00035FE9" w:rsidP="00066CDD">
      <w:pPr>
        <w:spacing w:before="100" w:beforeAutospacing="1" w:after="100" w:afterAutospacing="1" w:line="240" w:lineRule="auto"/>
        <w:rPr>
          <w:rFonts w:ascii="Times New Roman" w:eastAsia="Times New Roman" w:hAnsi="Times New Roman" w:cs="Times New Roman"/>
          <w:sz w:val="24"/>
          <w:szCs w:val="24"/>
        </w:rPr>
      </w:pPr>
    </w:p>
    <w:tbl>
      <w:tblPr>
        <w:tblW w:w="4447" w:type="dxa"/>
        <w:tblInd w:w="108" w:type="dxa"/>
        <w:tblLook w:val="04A0"/>
      </w:tblPr>
      <w:tblGrid>
        <w:gridCol w:w="673"/>
        <w:gridCol w:w="1773"/>
        <w:gridCol w:w="2001"/>
      </w:tblGrid>
      <w:tr w:rsidR="00035FE9" w:rsidRPr="00035FE9" w:rsidTr="00035FE9">
        <w:trPr>
          <w:trHeight w:val="300"/>
        </w:trPr>
        <w:tc>
          <w:tcPr>
            <w:tcW w:w="4447" w:type="dxa"/>
            <w:gridSpan w:val="3"/>
            <w:tcBorders>
              <w:top w:val="nil"/>
              <w:left w:val="nil"/>
              <w:bottom w:val="nil"/>
              <w:right w:val="nil"/>
            </w:tcBorders>
            <w:shd w:val="clear" w:color="000000" w:fill="0070C0"/>
            <w:noWrap/>
            <w:vAlign w:val="bottom"/>
            <w:hideMark/>
          </w:tcPr>
          <w:p w:rsidR="00035FE9" w:rsidRPr="00035FE9" w:rsidRDefault="00035FE9" w:rsidP="00035FE9">
            <w:pPr>
              <w:spacing w:after="0" w:line="240" w:lineRule="auto"/>
              <w:jc w:val="center"/>
              <w:rPr>
                <w:rFonts w:ascii="Calibri" w:eastAsia="Times New Roman" w:hAnsi="Calibri" w:cs="Calibri"/>
                <w:b/>
                <w:bCs/>
                <w:color w:val="FFFFFF"/>
                <w:szCs w:val="22"/>
              </w:rPr>
            </w:pPr>
            <w:r w:rsidRPr="00035FE9">
              <w:rPr>
                <w:rFonts w:ascii="Calibri" w:eastAsia="Times New Roman" w:hAnsi="Calibri" w:cs="Calibri"/>
                <w:b/>
                <w:bCs/>
                <w:color w:val="FFFFFF"/>
                <w:szCs w:val="22"/>
              </w:rPr>
              <w:t>Forcasted Population 2030 Trend Analysis</w:t>
            </w:r>
          </w:p>
        </w:tc>
      </w:tr>
      <w:tr w:rsidR="00035FE9" w:rsidRPr="00035FE9" w:rsidTr="00035FE9">
        <w:trPr>
          <w:trHeight w:val="300"/>
        </w:trPr>
        <w:tc>
          <w:tcPr>
            <w:tcW w:w="6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p>
        </w:tc>
        <w:tc>
          <w:tcPr>
            <w:tcW w:w="17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p>
        </w:tc>
        <w:tc>
          <w:tcPr>
            <w:tcW w:w="2001"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p>
        </w:tc>
      </w:tr>
      <w:tr w:rsidR="00035FE9" w:rsidRPr="00035FE9" w:rsidTr="00035FE9">
        <w:trPr>
          <w:trHeight w:val="300"/>
        </w:trPr>
        <w:tc>
          <w:tcPr>
            <w:tcW w:w="673" w:type="dxa"/>
            <w:tcBorders>
              <w:top w:val="nil"/>
              <w:left w:val="nil"/>
              <w:bottom w:val="nil"/>
              <w:right w:val="nil"/>
            </w:tcBorders>
            <w:shd w:val="clear" w:color="000000" w:fill="93CDDD"/>
            <w:noWrap/>
            <w:vAlign w:val="bottom"/>
            <w:hideMark/>
          </w:tcPr>
          <w:p w:rsidR="00035FE9" w:rsidRPr="00035FE9" w:rsidRDefault="00035FE9" w:rsidP="00035FE9">
            <w:pPr>
              <w:spacing w:after="0" w:line="240" w:lineRule="auto"/>
              <w:rPr>
                <w:rFonts w:ascii="Calibri" w:eastAsia="Times New Roman" w:hAnsi="Calibri" w:cs="Calibri"/>
                <w:b/>
                <w:bCs/>
                <w:color w:val="000000"/>
                <w:szCs w:val="22"/>
              </w:rPr>
            </w:pPr>
            <w:r w:rsidRPr="00035FE9">
              <w:rPr>
                <w:rFonts w:ascii="Calibri" w:eastAsia="Times New Roman" w:hAnsi="Calibri" w:cs="Calibri"/>
                <w:b/>
                <w:bCs/>
                <w:color w:val="000000"/>
                <w:szCs w:val="22"/>
              </w:rPr>
              <w:t>Rank</w:t>
            </w:r>
          </w:p>
        </w:tc>
        <w:tc>
          <w:tcPr>
            <w:tcW w:w="1773" w:type="dxa"/>
            <w:vMerge w:val="restart"/>
            <w:tcBorders>
              <w:top w:val="nil"/>
              <w:left w:val="nil"/>
              <w:bottom w:val="nil"/>
              <w:right w:val="nil"/>
            </w:tcBorders>
            <w:shd w:val="clear" w:color="000000" w:fill="93CDDD"/>
            <w:vAlign w:val="bottom"/>
            <w:hideMark/>
          </w:tcPr>
          <w:p w:rsidR="00035FE9" w:rsidRPr="00035FE9" w:rsidRDefault="00035FE9" w:rsidP="00035FE9">
            <w:pPr>
              <w:spacing w:after="0" w:line="240" w:lineRule="auto"/>
              <w:jc w:val="right"/>
              <w:rPr>
                <w:rFonts w:ascii="Calibri" w:eastAsia="Times New Roman" w:hAnsi="Calibri" w:cs="Calibri"/>
                <w:b/>
                <w:bCs/>
                <w:color w:val="000000"/>
                <w:szCs w:val="22"/>
              </w:rPr>
            </w:pPr>
            <w:r w:rsidRPr="00035FE9">
              <w:rPr>
                <w:rFonts w:ascii="Calibri" w:eastAsia="Times New Roman" w:hAnsi="Calibri" w:cs="Calibri"/>
                <w:b/>
                <w:bCs/>
                <w:color w:val="000000"/>
                <w:szCs w:val="22"/>
              </w:rPr>
              <w:t>Top 10 Countries</w:t>
            </w:r>
          </w:p>
        </w:tc>
        <w:tc>
          <w:tcPr>
            <w:tcW w:w="2001" w:type="dxa"/>
            <w:vMerge w:val="restart"/>
            <w:tcBorders>
              <w:top w:val="nil"/>
              <w:left w:val="nil"/>
              <w:bottom w:val="nil"/>
              <w:right w:val="nil"/>
            </w:tcBorders>
            <w:shd w:val="clear" w:color="000000" w:fill="93CDDD"/>
            <w:hideMark/>
          </w:tcPr>
          <w:p w:rsidR="00035FE9" w:rsidRPr="00035FE9" w:rsidRDefault="00035FE9" w:rsidP="00035FE9">
            <w:pPr>
              <w:spacing w:after="0" w:line="240" w:lineRule="auto"/>
              <w:jc w:val="center"/>
              <w:rPr>
                <w:rFonts w:ascii="Calibri" w:eastAsia="Times New Roman" w:hAnsi="Calibri" w:cs="Calibri"/>
                <w:b/>
                <w:bCs/>
                <w:color w:val="000000"/>
                <w:szCs w:val="22"/>
              </w:rPr>
            </w:pPr>
            <w:r w:rsidRPr="00035FE9">
              <w:rPr>
                <w:rFonts w:ascii="Calibri" w:eastAsia="Times New Roman" w:hAnsi="Calibri" w:cs="Calibri"/>
                <w:b/>
                <w:bCs/>
                <w:color w:val="000000"/>
                <w:szCs w:val="22"/>
              </w:rPr>
              <w:t xml:space="preserve">Forcasted Data </w:t>
            </w:r>
          </w:p>
        </w:tc>
      </w:tr>
      <w:tr w:rsidR="00035FE9" w:rsidRPr="00035FE9" w:rsidTr="00035FE9">
        <w:trPr>
          <w:trHeight w:val="300"/>
        </w:trPr>
        <w:tc>
          <w:tcPr>
            <w:tcW w:w="673" w:type="dxa"/>
            <w:tcBorders>
              <w:top w:val="nil"/>
              <w:left w:val="nil"/>
              <w:bottom w:val="nil"/>
              <w:right w:val="nil"/>
            </w:tcBorders>
            <w:shd w:val="clear" w:color="000000" w:fill="93CDDD"/>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 </w:t>
            </w:r>
          </w:p>
        </w:tc>
        <w:tc>
          <w:tcPr>
            <w:tcW w:w="1773" w:type="dxa"/>
            <w:vMerge/>
            <w:tcBorders>
              <w:top w:val="nil"/>
              <w:left w:val="nil"/>
              <w:bottom w:val="nil"/>
              <w:right w:val="nil"/>
            </w:tcBorders>
            <w:vAlign w:val="center"/>
            <w:hideMark/>
          </w:tcPr>
          <w:p w:rsidR="00035FE9" w:rsidRPr="00035FE9" w:rsidRDefault="00035FE9" w:rsidP="00035FE9">
            <w:pPr>
              <w:spacing w:after="0" w:line="240" w:lineRule="auto"/>
              <w:rPr>
                <w:rFonts w:ascii="Calibri" w:eastAsia="Times New Roman" w:hAnsi="Calibri" w:cs="Calibri"/>
                <w:b/>
                <w:bCs/>
                <w:color w:val="000000"/>
                <w:szCs w:val="22"/>
              </w:rPr>
            </w:pPr>
          </w:p>
        </w:tc>
        <w:tc>
          <w:tcPr>
            <w:tcW w:w="2001" w:type="dxa"/>
            <w:vMerge/>
            <w:tcBorders>
              <w:top w:val="nil"/>
              <w:left w:val="nil"/>
              <w:bottom w:val="nil"/>
              <w:right w:val="nil"/>
            </w:tcBorders>
            <w:vAlign w:val="center"/>
            <w:hideMark/>
          </w:tcPr>
          <w:p w:rsidR="00035FE9" w:rsidRPr="00035FE9" w:rsidRDefault="00035FE9" w:rsidP="00035FE9">
            <w:pPr>
              <w:spacing w:after="0" w:line="240" w:lineRule="auto"/>
              <w:rPr>
                <w:rFonts w:ascii="Calibri" w:eastAsia="Times New Roman" w:hAnsi="Calibri" w:cs="Calibri"/>
                <w:b/>
                <w:bCs/>
                <w:color w:val="000000"/>
                <w:szCs w:val="22"/>
              </w:rPr>
            </w:pPr>
          </w:p>
        </w:tc>
      </w:tr>
      <w:tr w:rsidR="00035FE9" w:rsidRPr="00035FE9" w:rsidTr="00035FE9">
        <w:trPr>
          <w:trHeight w:val="300"/>
        </w:trPr>
        <w:tc>
          <w:tcPr>
            <w:tcW w:w="6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p>
        </w:tc>
        <w:tc>
          <w:tcPr>
            <w:tcW w:w="17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p>
        </w:tc>
        <w:tc>
          <w:tcPr>
            <w:tcW w:w="2001"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p>
        </w:tc>
      </w:tr>
      <w:tr w:rsidR="00035FE9" w:rsidRPr="00035FE9" w:rsidTr="00035FE9">
        <w:trPr>
          <w:trHeight w:val="300"/>
        </w:trPr>
        <w:tc>
          <w:tcPr>
            <w:tcW w:w="6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1</w:t>
            </w:r>
          </w:p>
        </w:tc>
        <w:tc>
          <w:tcPr>
            <w:tcW w:w="17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China</w:t>
            </w:r>
          </w:p>
        </w:tc>
        <w:tc>
          <w:tcPr>
            <w:tcW w:w="2001"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1,551,828,935</w:t>
            </w:r>
          </w:p>
        </w:tc>
      </w:tr>
      <w:tr w:rsidR="00035FE9" w:rsidRPr="00035FE9" w:rsidTr="00035FE9">
        <w:trPr>
          <w:trHeight w:val="300"/>
        </w:trPr>
        <w:tc>
          <w:tcPr>
            <w:tcW w:w="6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2</w:t>
            </w:r>
          </w:p>
        </w:tc>
        <w:tc>
          <w:tcPr>
            <w:tcW w:w="17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India</w:t>
            </w:r>
          </w:p>
        </w:tc>
        <w:tc>
          <w:tcPr>
            <w:tcW w:w="2001"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1,635,904,140</w:t>
            </w:r>
          </w:p>
        </w:tc>
      </w:tr>
      <w:tr w:rsidR="00035FE9" w:rsidRPr="00035FE9" w:rsidTr="00035FE9">
        <w:trPr>
          <w:trHeight w:val="300"/>
        </w:trPr>
        <w:tc>
          <w:tcPr>
            <w:tcW w:w="6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3</w:t>
            </w:r>
          </w:p>
        </w:tc>
        <w:tc>
          <w:tcPr>
            <w:tcW w:w="17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United States</w:t>
            </w:r>
          </w:p>
        </w:tc>
        <w:tc>
          <w:tcPr>
            <w:tcW w:w="2001"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366,687,532</w:t>
            </w:r>
          </w:p>
        </w:tc>
      </w:tr>
      <w:tr w:rsidR="00035FE9" w:rsidRPr="00035FE9" w:rsidTr="00035FE9">
        <w:trPr>
          <w:trHeight w:val="300"/>
        </w:trPr>
        <w:tc>
          <w:tcPr>
            <w:tcW w:w="6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4</w:t>
            </w:r>
          </w:p>
        </w:tc>
        <w:tc>
          <w:tcPr>
            <w:tcW w:w="17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Indonesia</w:t>
            </w:r>
          </w:p>
        </w:tc>
        <w:tc>
          <w:tcPr>
            <w:tcW w:w="2001"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315,039,029</w:t>
            </w:r>
          </w:p>
        </w:tc>
      </w:tr>
      <w:tr w:rsidR="00035FE9" w:rsidRPr="00035FE9" w:rsidTr="00035FE9">
        <w:trPr>
          <w:trHeight w:val="300"/>
        </w:trPr>
        <w:tc>
          <w:tcPr>
            <w:tcW w:w="6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5</w:t>
            </w:r>
          </w:p>
        </w:tc>
        <w:tc>
          <w:tcPr>
            <w:tcW w:w="17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Pakistan</w:t>
            </w:r>
          </w:p>
        </w:tc>
        <w:tc>
          <w:tcPr>
            <w:tcW w:w="2001"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291,632,561</w:t>
            </w:r>
          </w:p>
        </w:tc>
      </w:tr>
      <w:tr w:rsidR="00035FE9" w:rsidRPr="00035FE9" w:rsidTr="00035FE9">
        <w:trPr>
          <w:trHeight w:val="300"/>
        </w:trPr>
        <w:tc>
          <w:tcPr>
            <w:tcW w:w="6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6</w:t>
            </w:r>
          </w:p>
        </w:tc>
        <w:tc>
          <w:tcPr>
            <w:tcW w:w="17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Nigeria</w:t>
            </w:r>
          </w:p>
        </w:tc>
        <w:tc>
          <w:tcPr>
            <w:tcW w:w="2001"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269,789,756</w:t>
            </w:r>
          </w:p>
        </w:tc>
      </w:tr>
      <w:tr w:rsidR="00035FE9" w:rsidRPr="00035FE9" w:rsidTr="00035FE9">
        <w:trPr>
          <w:trHeight w:val="300"/>
        </w:trPr>
        <w:tc>
          <w:tcPr>
            <w:tcW w:w="6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7</w:t>
            </w:r>
          </w:p>
        </w:tc>
        <w:tc>
          <w:tcPr>
            <w:tcW w:w="17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Brazil</w:t>
            </w:r>
          </w:p>
        </w:tc>
        <w:tc>
          <w:tcPr>
            <w:tcW w:w="2001"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243,659,618</w:t>
            </w:r>
          </w:p>
        </w:tc>
      </w:tr>
      <w:tr w:rsidR="00035FE9" w:rsidRPr="00035FE9" w:rsidTr="00035FE9">
        <w:trPr>
          <w:trHeight w:val="300"/>
        </w:trPr>
        <w:tc>
          <w:tcPr>
            <w:tcW w:w="6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8</w:t>
            </w:r>
          </w:p>
        </w:tc>
        <w:tc>
          <w:tcPr>
            <w:tcW w:w="17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Bangladesh</w:t>
            </w:r>
          </w:p>
        </w:tc>
        <w:tc>
          <w:tcPr>
            <w:tcW w:w="2001"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197,518,173</w:t>
            </w:r>
          </w:p>
        </w:tc>
      </w:tr>
      <w:tr w:rsidR="00035FE9" w:rsidRPr="00035FE9" w:rsidTr="00035FE9">
        <w:trPr>
          <w:trHeight w:val="300"/>
        </w:trPr>
        <w:tc>
          <w:tcPr>
            <w:tcW w:w="6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9</w:t>
            </w:r>
          </w:p>
        </w:tc>
        <w:tc>
          <w:tcPr>
            <w:tcW w:w="17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Russia</w:t>
            </w:r>
          </w:p>
        </w:tc>
        <w:tc>
          <w:tcPr>
            <w:tcW w:w="2001"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147,104,030</w:t>
            </w:r>
          </w:p>
        </w:tc>
      </w:tr>
      <w:tr w:rsidR="00035FE9" w:rsidRPr="00035FE9" w:rsidTr="00035FE9">
        <w:trPr>
          <w:trHeight w:val="300"/>
        </w:trPr>
        <w:tc>
          <w:tcPr>
            <w:tcW w:w="6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rPr>
                <w:rFonts w:ascii="Calibri" w:eastAsia="Times New Roman" w:hAnsi="Calibri" w:cs="Calibri"/>
                <w:color w:val="000000"/>
                <w:szCs w:val="22"/>
              </w:rPr>
            </w:pPr>
            <w:r w:rsidRPr="00035FE9">
              <w:rPr>
                <w:rFonts w:ascii="Calibri" w:eastAsia="Times New Roman" w:hAnsi="Calibri" w:cs="Calibri"/>
                <w:color w:val="000000"/>
                <w:szCs w:val="22"/>
              </w:rPr>
              <w:t>10</w:t>
            </w:r>
          </w:p>
        </w:tc>
        <w:tc>
          <w:tcPr>
            <w:tcW w:w="1773"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Mexico</w:t>
            </w:r>
          </w:p>
        </w:tc>
        <w:tc>
          <w:tcPr>
            <w:tcW w:w="2001" w:type="dxa"/>
            <w:tcBorders>
              <w:top w:val="nil"/>
              <w:left w:val="nil"/>
              <w:bottom w:val="nil"/>
              <w:right w:val="nil"/>
            </w:tcBorders>
            <w:shd w:val="clear" w:color="auto" w:fill="auto"/>
            <w:noWrap/>
            <w:vAlign w:val="bottom"/>
            <w:hideMark/>
          </w:tcPr>
          <w:p w:rsidR="00035FE9" w:rsidRPr="00035FE9" w:rsidRDefault="00035FE9" w:rsidP="00035FE9">
            <w:pPr>
              <w:spacing w:after="0" w:line="240" w:lineRule="auto"/>
              <w:jc w:val="right"/>
              <w:rPr>
                <w:rFonts w:ascii="Calibri" w:eastAsia="Times New Roman" w:hAnsi="Calibri" w:cs="Calibri"/>
                <w:color w:val="000000"/>
                <w:szCs w:val="22"/>
              </w:rPr>
            </w:pPr>
            <w:r w:rsidRPr="00035FE9">
              <w:rPr>
                <w:rFonts w:ascii="Calibri" w:eastAsia="Times New Roman" w:hAnsi="Calibri" w:cs="Calibri"/>
                <w:color w:val="000000"/>
                <w:szCs w:val="22"/>
              </w:rPr>
              <w:t>147,124,689</w:t>
            </w:r>
          </w:p>
        </w:tc>
      </w:tr>
    </w:tbl>
    <w:p w:rsidR="00035FE9" w:rsidRDefault="00035FE9" w:rsidP="00066CDD">
      <w:pPr>
        <w:spacing w:before="100" w:beforeAutospacing="1" w:after="100" w:afterAutospacing="1" w:line="240" w:lineRule="auto"/>
        <w:rPr>
          <w:rFonts w:ascii="Times New Roman" w:eastAsia="Times New Roman" w:hAnsi="Times New Roman" w:cs="Times New Roman"/>
          <w:sz w:val="24"/>
          <w:szCs w:val="24"/>
        </w:rPr>
      </w:pPr>
      <w:r w:rsidRPr="00035FE9">
        <w:rPr>
          <w:rFonts w:ascii="Times New Roman" w:eastAsia="Times New Roman" w:hAnsi="Times New Roman" w:cs="Times New Roman"/>
          <w:sz w:val="24"/>
          <w:szCs w:val="24"/>
        </w:rPr>
        <w:drawing>
          <wp:inline distT="0" distB="0" distL="0" distR="0">
            <wp:extent cx="4572000" cy="2745441"/>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035FE9" w:rsidRDefault="00035FE9" w:rsidP="00066CDD">
      <w:pPr>
        <w:spacing w:before="100" w:beforeAutospacing="1" w:after="100" w:afterAutospacing="1" w:line="240" w:lineRule="auto"/>
        <w:rPr>
          <w:rFonts w:ascii="Times New Roman" w:eastAsia="Times New Roman" w:hAnsi="Times New Roman" w:cs="Times New Roman"/>
          <w:sz w:val="24"/>
          <w:szCs w:val="24"/>
        </w:rPr>
      </w:pPr>
    </w:p>
    <w:p w:rsidR="00035FE9" w:rsidRDefault="00035FE9" w:rsidP="00066CDD">
      <w:pPr>
        <w:spacing w:before="100" w:beforeAutospacing="1" w:after="100" w:afterAutospacing="1" w:line="240" w:lineRule="auto"/>
        <w:rPr>
          <w:rFonts w:ascii="Times New Roman" w:eastAsia="Times New Roman" w:hAnsi="Times New Roman" w:cs="Times New Roman"/>
          <w:sz w:val="24"/>
          <w:szCs w:val="24"/>
        </w:rPr>
      </w:pPr>
    </w:p>
    <w:tbl>
      <w:tblPr>
        <w:tblW w:w="6820" w:type="dxa"/>
        <w:tblInd w:w="108" w:type="dxa"/>
        <w:tblLook w:val="04A0"/>
      </w:tblPr>
      <w:tblGrid>
        <w:gridCol w:w="1976"/>
        <w:gridCol w:w="1476"/>
        <w:gridCol w:w="3352"/>
        <w:gridCol w:w="222"/>
      </w:tblGrid>
      <w:tr w:rsidR="001B22AA" w:rsidRPr="001B22AA" w:rsidTr="001B22AA">
        <w:trPr>
          <w:trHeight w:val="300"/>
        </w:trPr>
        <w:tc>
          <w:tcPr>
            <w:tcW w:w="1976" w:type="dxa"/>
            <w:tcBorders>
              <w:top w:val="nil"/>
              <w:left w:val="nil"/>
              <w:bottom w:val="nil"/>
              <w:right w:val="nil"/>
            </w:tcBorders>
            <w:shd w:val="clear" w:color="000000" w:fill="0070C0"/>
            <w:noWrap/>
            <w:vAlign w:val="center"/>
            <w:hideMark/>
          </w:tcPr>
          <w:p w:rsidR="001B22AA" w:rsidRPr="001B22AA" w:rsidRDefault="001B22AA" w:rsidP="001B22AA">
            <w:pPr>
              <w:spacing w:after="0" w:line="240" w:lineRule="auto"/>
              <w:rPr>
                <w:rFonts w:ascii="Calibri" w:eastAsia="Times New Roman" w:hAnsi="Calibri" w:cs="Calibri"/>
                <w:b/>
                <w:bCs/>
                <w:color w:val="FFFFFF"/>
                <w:szCs w:val="22"/>
              </w:rPr>
            </w:pPr>
            <w:r w:rsidRPr="001B22AA">
              <w:rPr>
                <w:rFonts w:ascii="Calibri" w:eastAsia="Times New Roman" w:hAnsi="Calibri" w:cs="Calibri"/>
                <w:b/>
                <w:bCs/>
                <w:color w:val="FFFFFF"/>
                <w:szCs w:val="22"/>
              </w:rPr>
              <w:t>World Population %</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b/>
                <w:bCs/>
                <w:szCs w:val="22"/>
              </w:rPr>
            </w:pPr>
            <w:r w:rsidRPr="001B22AA">
              <w:rPr>
                <w:rFonts w:ascii="Calibri" w:eastAsia="Times New Roman" w:hAnsi="Calibri" w:cs="Calibri"/>
                <w:b/>
                <w:bCs/>
                <w:szCs w:val="22"/>
              </w:rPr>
              <w:t>CAGR for 52 YR</w:t>
            </w:r>
          </w:p>
        </w:tc>
        <w:tc>
          <w:tcPr>
            <w:tcW w:w="3368" w:type="dxa"/>
            <w:gridSpan w:val="2"/>
            <w:tcBorders>
              <w:top w:val="nil"/>
              <w:left w:val="nil"/>
              <w:bottom w:val="nil"/>
              <w:right w:val="nil"/>
            </w:tcBorders>
            <w:shd w:val="clear" w:color="000000" w:fill="0070C0"/>
            <w:vAlign w:val="bottom"/>
            <w:hideMark/>
          </w:tcPr>
          <w:p w:rsidR="001B22AA" w:rsidRPr="001B22AA" w:rsidRDefault="001B22AA" w:rsidP="001B22AA">
            <w:pPr>
              <w:spacing w:after="0" w:line="240" w:lineRule="auto"/>
              <w:jc w:val="center"/>
              <w:rPr>
                <w:rFonts w:ascii="Calibri" w:eastAsia="Times New Roman" w:hAnsi="Calibri" w:cs="Calibri"/>
                <w:color w:val="FFFFFF"/>
                <w:szCs w:val="22"/>
              </w:rPr>
            </w:pPr>
            <w:r w:rsidRPr="001B22AA">
              <w:rPr>
                <w:rFonts w:ascii="Calibri" w:eastAsia="Times New Roman" w:hAnsi="Calibri" w:cs="Calibri"/>
                <w:color w:val="FFFFFF"/>
                <w:szCs w:val="22"/>
              </w:rPr>
              <w:t>Forcasting Population 2030</w:t>
            </w:r>
          </w:p>
        </w:tc>
      </w:tr>
      <w:tr w:rsidR="001B22AA" w:rsidRPr="001B22AA" w:rsidTr="001B22AA">
        <w:trPr>
          <w:trHeight w:val="300"/>
        </w:trPr>
        <w:tc>
          <w:tcPr>
            <w:tcW w:w="1976" w:type="dxa"/>
            <w:tcBorders>
              <w:top w:val="nil"/>
              <w:left w:val="nil"/>
              <w:bottom w:val="nil"/>
              <w:right w:val="nil"/>
            </w:tcBorders>
            <w:shd w:val="clear" w:color="auto" w:fill="auto"/>
            <w:noWrap/>
            <w:vAlign w:val="center"/>
            <w:hideMark/>
          </w:tcPr>
          <w:p w:rsidR="001B22AA" w:rsidRPr="001B22AA" w:rsidRDefault="001B22AA" w:rsidP="001B22AA">
            <w:pPr>
              <w:spacing w:after="0" w:line="240" w:lineRule="auto"/>
              <w:rPr>
                <w:rFonts w:ascii="Calibri" w:eastAsia="Times New Roman" w:hAnsi="Calibri" w:cs="Calibri"/>
                <w:b/>
                <w:bCs/>
                <w:color w:val="000000"/>
                <w:szCs w:val="22"/>
              </w:rPr>
            </w:pPr>
          </w:p>
        </w:tc>
        <w:tc>
          <w:tcPr>
            <w:tcW w:w="147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c>
          <w:tcPr>
            <w:tcW w:w="3352"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17.88%</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1.06%</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1,551,828,935</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lastRenderedPageBreak/>
              <w:t>17.77%</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1.81%</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1,635,904,140</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4.24%</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1.01%</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366,687,532</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3.46%</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1.69%</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315,039,029</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2.96%</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2.69%</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291,632,561</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2.74%</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2.67%</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269,789,756</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2.70%</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1.56%</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243,659,618</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2.15%</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1.80%</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197,518,173</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1.81%</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0.21%</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147,104,030</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1.60%</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1.81%</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147,124,689</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1.55%</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0.31%</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127,079,172</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1.55%</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2.87%</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154,740,215</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1.45%</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2.19%</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137,440,413</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1.39%</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2.26%</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132,681,975</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1.24%</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3.11%</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126,486,517</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1.23%</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1.65%</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111,919,491</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1.11%</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2.21%</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105,452,041</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r w:rsidR="001B22AA" w:rsidRPr="001B22AA" w:rsidTr="001B22AA">
        <w:trPr>
          <w:trHeight w:val="300"/>
        </w:trPr>
        <w:tc>
          <w:tcPr>
            <w:tcW w:w="1976" w:type="dxa"/>
            <w:tcBorders>
              <w:top w:val="nil"/>
              <w:left w:val="nil"/>
              <w:bottom w:val="nil"/>
              <w:right w:val="nil"/>
            </w:tcBorders>
            <w:shd w:val="clear" w:color="000000" w:fill="DBE5F1"/>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1.07%</w:t>
            </w:r>
          </w:p>
        </w:tc>
        <w:tc>
          <w:tcPr>
            <w:tcW w:w="1476" w:type="dxa"/>
            <w:tcBorders>
              <w:top w:val="nil"/>
              <w:left w:val="nil"/>
              <w:bottom w:val="nil"/>
              <w:right w:val="nil"/>
            </w:tcBorders>
            <w:shd w:val="clear" w:color="000000" w:fill="F2F2F2"/>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1.70%</w:t>
            </w:r>
          </w:p>
        </w:tc>
        <w:tc>
          <w:tcPr>
            <w:tcW w:w="3352" w:type="dxa"/>
            <w:tcBorders>
              <w:top w:val="nil"/>
              <w:left w:val="nil"/>
              <w:bottom w:val="nil"/>
              <w:right w:val="nil"/>
            </w:tcBorders>
            <w:shd w:val="clear" w:color="000000" w:fill="DBEEF3"/>
            <w:noWrap/>
            <w:vAlign w:val="bottom"/>
            <w:hideMark/>
          </w:tcPr>
          <w:p w:rsidR="001B22AA" w:rsidRPr="001B22AA" w:rsidRDefault="001B22AA" w:rsidP="001B22AA">
            <w:pPr>
              <w:spacing w:after="0" w:line="240" w:lineRule="auto"/>
              <w:jc w:val="right"/>
              <w:rPr>
                <w:rFonts w:ascii="Calibri" w:eastAsia="Times New Roman" w:hAnsi="Calibri" w:cs="Calibri"/>
                <w:color w:val="000000"/>
                <w:szCs w:val="22"/>
              </w:rPr>
            </w:pPr>
            <w:r w:rsidRPr="001B22AA">
              <w:rPr>
                <w:rFonts w:ascii="Calibri" w:eastAsia="Times New Roman" w:hAnsi="Calibri" w:cs="Calibri"/>
                <w:color w:val="000000"/>
                <w:szCs w:val="22"/>
              </w:rPr>
              <w:t>97,653,218</w:t>
            </w:r>
          </w:p>
        </w:tc>
        <w:tc>
          <w:tcPr>
            <w:tcW w:w="16" w:type="dxa"/>
            <w:tcBorders>
              <w:top w:val="nil"/>
              <w:left w:val="nil"/>
              <w:bottom w:val="nil"/>
              <w:right w:val="nil"/>
            </w:tcBorders>
            <w:shd w:val="clear" w:color="auto" w:fill="auto"/>
            <w:noWrap/>
            <w:vAlign w:val="bottom"/>
            <w:hideMark/>
          </w:tcPr>
          <w:p w:rsidR="001B22AA" w:rsidRPr="001B22AA" w:rsidRDefault="001B22AA" w:rsidP="001B22AA">
            <w:pPr>
              <w:spacing w:after="0" w:line="240" w:lineRule="auto"/>
              <w:rPr>
                <w:rFonts w:ascii="Calibri" w:eastAsia="Times New Roman" w:hAnsi="Calibri" w:cs="Calibri"/>
                <w:color w:val="000000"/>
                <w:szCs w:val="22"/>
              </w:rPr>
            </w:pPr>
          </w:p>
        </w:tc>
      </w:tr>
    </w:tbl>
    <w:p w:rsidR="00035FE9" w:rsidRDefault="00035FE9" w:rsidP="00066CDD">
      <w:pPr>
        <w:spacing w:before="100" w:beforeAutospacing="1" w:after="100" w:afterAutospacing="1" w:line="240" w:lineRule="auto"/>
        <w:rPr>
          <w:rFonts w:ascii="Times New Roman" w:eastAsia="Times New Roman" w:hAnsi="Times New Roman" w:cs="Times New Roman"/>
          <w:sz w:val="24"/>
          <w:szCs w:val="24"/>
        </w:rPr>
      </w:pPr>
    </w:p>
    <w:p w:rsidR="00035FE9" w:rsidRDefault="00035FE9" w:rsidP="00066CDD">
      <w:pPr>
        <w:spacing w:before="100" w:beforeAutospacing="1" w:after="100" w:afterAutospacing="1" w:line="240" w:lineRule="auto"/>
        <w:rPr>
          <w:rFonts w:ascii="Times New Roman" w:eastAsia="Times New Roman" w:hAnsi="Times New Roman" w:cs="Times New Roman"/>
          <w:sz w:val="24"/>
          <w:szCs w:val="24"/>
        </w:rPr>
      </w:pPr>
    </w:p>
    <w:p w:rsidR="00035FE9" w:rsidRDefault="00035FE9" w:rsidP="00066CDD">
      <w:pPr>
        <w:spacing w:before="100" w:beforeAutospacing="1" w:after="100" w:afterAutospacing="1" w:line="240" w:lineRule="auto"/>
        <w:rPr>
          <w:rFonts w:ascii="Times New Roman" w:eastAsia="Times New Roman" w:hAnsi="Times New Roman" w:cs="Times New Roman"/>
          <w:sz w:val="24"/>
          <w:szCs w:val="24"/>
        </w:rPr>
      </w:pPr>
    </w:p>
    <w:tbl>
      <w:tblPr>
        <w:tblpPr w:leftFromText="180" w:rightFromText="180" w:vertAnchor="text" w:horzAnchor="margin" w:tblpY="360"/>
        <w:tblW w:w="6420" w:type="dxa"/>
        <w:tblLook w:val="04A0"/>
      </w:tblPr>
      <w:tblGrid>
        <w:gridCol w:w="6420"/>
      </w:tblGrid>
      <w:tr w:rsidR="001B22AA" w:rsidRPr="00035FE9" w:rsidTr="001B22AA">
        <w:trPr>
          <w:trHeight w:val="386"/>
        </w:trPr>
        <w:tc>
          <w:tcPr>
            <w:tcW w:w="6420" w:type="dxa"/>
            <w:vMerge w:val="restart"/>
            <w:tcBorders>
              <w:top w:val="nil"/>
              <w:left w:val="nil"/>
              <w:bottom w:val="nil"/>
              <w:right w:val="nil"/>
            </w:tcBorders>
            <w:shd w:val="clear" w:color="000000" w:fill="0070C0"/>
            <w:vAlign w:val="center"/>
            <w:hideMark/>
          </w:tcPr>
          <w:p w:rsidR="001B22AA" w:rsidRPr="00035FE9" w:rsidRDefault="001B22AA" w:rsidP="001B22AA">
            <w:pPr>
              <w:spacing w:after="0" w:line="240" w:lineRule="auto"/>
              <w:jc w:val="center"/>
              <w:rPr>
                <w:rFonts w:ascii="Book Antiqua" w:eastAsia="Times New Roman" w:hAnsi="Book Antiqua" w:cs="Calibri"/>
                <w:b/>
                <w:bCs/>
                <w:color w:val="FFFFFF"/>
                <w:sz w:val="32"/>
                <w:szCs w:val="32"/>
              </w:rPr>
            </w:pPr>
            <w:r w:rsidRPr="00035FE9">
              <w:rPr>
                <w:rFonts w:ascii="Book Antiqua" w:eastAsia="Times New Roman" w:hAnsi="Book Antiqua" w:cs="Calibri"/>
                <w:b/>
                <w:bCs/>
                <w:color w:val="FFFFFF"/>
                <w:sz w:val="32"/>
                <w:szCs w:val="32"/>
              </w:rPr>
              <w:t>World Population Forcasted Data 2030</w:t>
            </w:r>
          </w:p>
        </w:tc>
      </w:tr>
      <w:tr w:rsidR="001B22AA" w:rsidRPr="00035FE9" w:rsidTr="001B22AA">
        <w:trPr>
          <w:trHeight w:val="386"/>
        </w:trPr>
        <w:tc>
          <w:tcPr>
            <w:tcW w:w="6420" w:type="dxa"/>
            <w:vMerge/>
            <w:tcBorders>
              <w:top w:val="nil"/>
              <w:left w:val="nil"/>
              <w:bottom w:val="nil"/>
              <w:right w:val="nil"/>
            </w:tcBorders>
            <w:vAlign w:val="center"/>
            <w:hideMark/>
          </w:tcPr>
          <w:p w:rsidR="001B22AA" w:rsidRPr="00035FE9" w:rsidRDefault="001B22AA" w:rsidP="001B22AA">
            <w:pPr>
              <w:spacing w:after="0" w:line="240" w:lineRule="auto"/>
              <w:rPr>
                <w:rFonts w:ascii="Book Antiqua" w:eastAsia="Times New Roman" w:hAnsi="Book Antiqua" w:cs="Calibri"/>
                <w:b/>
                <w:bCs/>
                <w:color w:val="FFFFFF"/>
                <w:sz w:val="32"/>
                <w:szCs w:val="32"/>
              </w:rPr>
            </w:pPr>
          </w:p>
        </w:tc>
      </w:tr>
    </w:tbl>
    <w:p w:rsidR="00035FE9" w:rsidRDefault="00035FE9" w:rsidP="00066CDD">
      <w:pPr>
        <w:spacing w:before="100" w:beforeAutospacing="1" w:after="100" w:afterAutospacing="1" w:line="240" w:lineRule="auto"/>
        <w:rPr>
          <w:rFonts w:ascii="Times New Roman" w:eastAsia="Times New Roman" w:hAnsi="Times New Roman" w:cs="Times New Roman"/>
          <w:sz w:val="24"/>
          <w:szCs w:val="24"/>
        </w:rPr>
      </w:pPr>
    </w:p>
    <w:p w:rsidR="00035FE9" w:rsidRDefault="00035FE9" w:rsidP="00066CDD">
      <w:pPr>
        <w:spacing w:before="100" w:beforeAutospacing="1" w:after="100" w:afterAutospacing="1" w:line="240" w:lineRule="auto"/>
        <w:rPr>
          <w:rFonts w:ascii="Times New Roman" w:eastAsia="Times New Roman" w:hAnsi="Times New Roman" w:cs="Times New Roman"/>
          <w:sz w:val="24"/>
          <w:szCs w:val="24"/>
        </w:rPr>
      </w:pPr>
    </w:p>
    <w:p w:rsidR="00035FE9" w:rsidRDefault="00035FE9" w:rsidP="00066CDD">
      <w:pPr>
        <w:spacing w:before="100" w:beforeAutospacing="1" w:after="100" w:afterAutospacing="1" w:line="240" w:lineRule="auto"/>
        <w:rPr>
          <w:rFonts w:ascii="Times New Roman" w:eastAsia="Times New Roman" w:hAnsi="Times New Roman" w:cs="Times New Roman"/>
          <w:sz w:val="24"/>
          <w:szCs w:val="24"/>
        </w:rPr>
      </w:pPr>
    </w:p>
    <w:p w:rsidR="00035FE9" w:rsidRDefault="00035FE9" w:rsidP="00066CDD">
      <w:pPr>
        <w:spacing w:before="100" w:beforeAutospacing="1" w:after="100" w:afterAutospacing="1" w:line="240" w:lineRule="auto"/>
        <w:rPr>
          <w:rFonts w:ascii="Times New Roman" w:eastAsia="Times New Roman" w:hAnsi="Times New Roman" w:cs="Times New Roman"/>
          <w:sz w:val="24"/>
          <w:szCs w:val="24"/>
        </w:rPr>
      </w:pPr>
    </w:p>
    <w:p w:rsidR="00035FE9" w:rsidRDefault="001B22AA" w:rsidP="00066CDD">
      <w:pPr>
        <w:spacing w:before="100" w:beforeAutospacing="1" w:after="100" w:afterAutospacing="1" w:line="240" w:lineRule="auto"/>
        <w:rPr>
          <w:rFonts w:ascii="Times New Roman" w:eastAsia="Times New Roman" w:hAnsi="Times New Roman" w:cs="Times New Roman"/>
          <w:sz w:val="24"/>
          <w:szCs w:val="24"/>
        </w:rPr>
      </w:pPr>
      <w:r w:rsidRPr="001B22AA">
        <w:rPr>
          <w:rFonts w:ascii="Times New Roman" w:eastAsia="Times New Roman" w:hAnsi="Times New Roman" w:cs="Times New Roman"/>
          <w:sz w:val="24"/>
          <w:szCs w:val="24"/>
        </w:rPr>
        <w:lastRenderedPageBreak/>
        <w:drawing>
          <wp:inline distT="0" distB="0" distL="0" distR="0">
            <wp:extent cx="5380926" cy="3679031"/>
            <wp:effectExtent l="0" t="0" r="0" b="0"/>
            <wp:docPr id="9"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035FE9" w:rsidRDefault="00035FE9" w:rsidP="00066CDD">
      <w:pPr>
        <w:spacing w:before="100" w:beforeAutospacing="1" w:after="100" w:afterAutospacing="1" w:line="240" w:lineRule="auto"/>
        <w:rPr>
          <w:rFonts w:ascii="Times New Roman" w:eastAsia="Times New Roman" w:hAnsi="Times New Roman" w:cs="Times New Roman"/>
          <w:sz w:val="24"/>
          <w:szCs w:val="24"/>
        </w:rPr>
      </w:pPr>
    </w:p>
    <w:p w:rsidR="00035FE9" w:rsidRDefault="00035FE9" w:rsidP="00066CDD">
      <w:pPr>
        <w:spacing w:before="100" w:beforeAutospacing="1" w:after="100" w:afterAutospacing="1" w:line="240" w:lineRule="auto"/>
        <w:rPr>
          <w:rFonts w:ascii="Times New Roman" w:eastAsia="Times New Roman" w:hAnsi="Times New Roman" w:cs="Times New Roman"/>
          <w:sz w:val="24"/>
          <w:szCs w:val="24"/>
        </w:rPr>
      </w:pPr>
    </w:p>
    <w:p w:rsidR="00035FE9" w:rsidRDefault="00035FE9" w:rsidP="00066CDD">
      <w:pPr>
        <w:spacing w:before="100" w:beforeAutospacing="1" w:after="100" w:afterAutospacing="1" w:line="240" w:lineRule="auto"/>
        <w:rPr>
          <w:rFonts w:ascii="Times New Roman" w:eastAsia="Times New Roman" w:hAnsi="Times New Roman" w:cs="Times New Roman"/>
          <w:sz w:val="24"/>
          <w:szCs w:val="24"/>
        </w:rPr>
      </w:pPr>
    </w:p>
    <w:p w:rsidR="00035FE9" w:rsidRDefault="00035FE9" w:rsidP="00066CDD">
      <w:pPr>
        <w:spacing w:before="100" w:beforeAutospacing="1" w:after="100" w:afterAutospacing="1" w:line="240" w:lineRule="auto"/>
        <w:rPr>
          <w:rFonts w:ascii="Times New Roman" w:eastAsia="Times New Roman" w:hAnsi="Times New Roman" w:cs="Times New Roman"/>
          <w:sz w:val="24"/>
          <w:szCs w:val="24"/>
        </w:rPr>
      </w:pPr>
    </w:p>
    <w:p w:rsidR="00035FE9" w:rsidRPr="00066CDD" w:rsidRDefault="00035FE9" w:rsidP="00066CDD">
      <w:pPr>
        <w:spacing w:before="100" w:beforeAutospacing="1" w:after="100" w:afterAutospacing="1" w:line="240" w:lineRule="auto"/>
        <w:rPr>
          <w:rFonts w:ascii="Times New Roman" w:eastAsia="Times New Roman" w:hAnsi="Times New Roman" w:cs="Times New Roman"/>
          <w:sz w:val="24"/>
          <w:szCs w:val="24"/>
        </w:rPr>
      </w:pPr>
    </w:p>
    <w:p w:rsidR="00066CDD"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pict>
          <v:rect id="_x0000_i1029" style="width:0;height:1.5pt" o:hralign="center" o:hrstd="t" o:hr="t" fillcolor="#a0a0a0" stroked="f"/>
        </w:pict>
      </w:r>
    </w:p>
    <w:p w:rsidR="00066CDD" w:rsidRPr="00066CDD" w:rsidRDefault="00066CDD" w:rsidP="00066CDD">
      <w:pPr>
        <w:spacing w:before="100" w:beforeAutospacing="1" w:after="100" w:afterAutospacing="1" w:line="240" w:lineRule="auto"/>
        <w:outlineLvl w:val="1"/>
        <w:rPr>
          <w:rFonts w:ascii="Times New Roman" w:eastAsia="Times New Roman" w:hAnsi="Times New Roman" w:cs="Times New Roman"/>
          <w:b/>
          <w:bCs/>
          <w:sz w:val="36"/>
          <w:szCs w:val="36"/>
        </w:rPr>
      </w:pPr>
      <w:r w:rsidRPr="00066CDD">
        <w:rPr>
          <w:rFonts w:ascii="Times New Roman" w:eastAsia="Times New Roman" w:hAnsi="Times New Roman" w:cs="Times New Roman"/>
          <w:b/>
          <w:bCs/>
          <w:sz w:val="36"/>
          <w:szCs w:val="36"/>
        </w:rPr>
        <w:t>Challenges &amp; How They Were Tackled</w:t>
      </w:r>
    </w:p>
    <w:tbl>
      <w:tblPr>
        <w:tblW w:w="0" w:type="auto"/>
        <w:tblCellSpacing w:w="15" w:type="dxa"/>
        <w:tblCellMar>
          <w:top w:w="15" w:type="dxa"/>
          <w:left w:w="15" w:type="dxa"/>
          <w:bottom w:w="15" w:type="dxa"/>
          <w:right w:w="15" w:type="dxa"/>
        </w:tblCellMar>
        <w:tblLook w:val="04A0"/>
      </w:tblPr>
      <w:tblGrid>
        <w:gridCol w:w="3940"/>
        <w:gridCol w:w="5510"/>
      </w:tblGrid>
      <w:tr w:rsidR="00066CDD" w:rsidRPr="00066CDD" w:rsidTr="00066CDD">
        <w:trPr>
          <w:tblHeader/>
          <w:tblCellSpacing w:w="15" w:type="dxa"/>
        </w:trPr>
        <w:tc>
          <w:tcPr>
            <w:tcW w:w="0" w:type="auto"/>
            <w:vAlign w:val="center"/>
            <w:hideMark/>
          </w:tcPr>
          <w:p w:rsidR="00066CDD" w:rsidRPr="00066CDD" w:rsidRDefault="00066CDD" w:rsidP="00066CDD">
            <w:pPr>
              <w:spacing w:after="0" w:line="240" w:lineRule="auto"/>
              <w:jc w:val="center"/>
              <w:rPr>
                <w:rFonts w:ascii="Times New Roman" w:eastAsia="Times New Roman" w:hAnsi="Times New Roman" w:cs="Times New Roman"/>
                <w:b/>
                <w:bCs/>
                <w:sz w:val="24"/>
                <w:szCs w:val="24"/>
              </w:rPr>
            </w:pPr>
            <w:r w:rsidRPr="00066CDD">
              <w:rPr>
                <w:rFonts w:ascii="Times New Roman" w:eastAsia="Times New Roman" w:hAnsi="Times New Roman" w:cs="Times New Roman"/>
                <w:b/>
                <w:bCs/>
                <w:sz w:val="24"/>
                <w:szCs w:val="24"/>
              </w:rPr>
              <w:t>Challenge</w:t>
            </w:r>
          </w:p>
        </w:tc>
        <w:tc>
          <w:tcPr>
            <w:tcW w:w="0" w:type="auto"/>
            <w:vAlign w:val="center"/>
            <w:hideMark/>
          </w:tcPr>
          <w:p w:rsidR="00066CDD" w:rsidRPr="00066CDD" w:rsidRDefault="00066CDD" w:rsidP="00066CDD">
            <w:pPr>
              <w:spacing w:after="0" w:line="240" w:lineRule="auto"/>
              <w:jc w:val="center"/>
              <w:rPr>
                <w:rFonts w:ascii="Times New Roman" w:eastAsia="Times New Roman" w:hAnsi="Times New Roman" w:cs="Times New Roman"/>
                <w:b/>
                <w:bCs/>
                <w:sz w:val="24"/>
                <w:szCs w:val="24"/>
              </w:rPr>
            </w:pPr>
            <w:r w:rsidRPr="00066CDD">
              <w:rPr>
                <w:rFonts w:ascii="Times New Roman" w:eastAsia="Times New Roman" w:hAnsi="Times New Roman" w:cs="Times New Roman"/>
                <w:b/>
                <w:bCs/>
                <w:sz w:val="24"/>
                <w:szCs w:val="24"/>
              </w:rPr>
              <w:t>Resolution</w:t>
            </w:r>
          </w:p>
        </w:tc>
      </w:tr>
      <w:tr w:rsidR="00066CDD" w:rsidRPr="00066CDD" w:rsidTr="00066CDD">
        <w:trPr>
          <w:tblCellSpacing w:w="15" w:type="dxa"/>
        </w:trPr>
        <w:tc>
          <w:tcPr>
            <w:tcW w:w="0" w:type="auto"/>
            <w:vAlign w:val="center"/>
            <w:hideMark/>
          </w:tcPr>
          <w:p w:rsidR="00066CDD"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Data existed in unorganized format</w:t>
            </w:r>
          </w:p>
        </w:tc>
        <w:tc>
          <w:tcPr>
            <w:tcW w:w="0" w:type="auto"/>
            <w:vAlign w:val="center"/>
            <w:hideMark/>
          </w:tcPr>
          <w:p w:rsidR="00066CDD"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SQL used to clean &amp; restructure tables</w:t>
            </w:r>
          </w:p>
        </w:tc>
      </w:tr>
      <w:tr w:rsidR="00066CDD" w:rsidRPr="00066CDD" w:rsidTr="00066CDD">
        <w:trPr>
          <w:tblCellSpacing w:w="15" w:type="dxa"/>
        </w:trPr>
        <w:tc>
          <w:tcPr>
            <w:tcW w:w="0" w:type="auto"/>
            <w:vAlign w:val="center"/>
            <w:hideMark/>
          </w:tcPr>
          <w:p w:rsidR="00066CDD"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Years arranged vertically → difficult to reference</w:t>
            </w:r>
          </w:p>
        </w:tc>
        <w:tc>
          <w:tcPr>
            <w:tcW w:w="0" w:type="auto"/>
            <w:vAlign w:val="center"/>
            <w:hideMark/>
          </w:tcPr>
          <w:p w:rsidR="00066CDD"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Re-organized data using Excel formulas &amp; transpose</w:t>
            </w:r>
          </w:p>
        </w:tc>
      </w:tr>
      <w:tr w:rsidR="00066CDD" w:rsidRPr="00066CDD" w:rsidTr="00066CDD">
        <w:trPr>
          <w:tblCellSpacing w:w="15" w:type="dxa"/>
        </w:trPr>
        <w:tc>
          <w:tcPr>
            <w:tcW w:w="0" w:type="auto"/>
            <w:vAlign w:val="center"/>
            <w:hideMark/>
          </w:tcPr>
          <w:p w:rsidR="00066CDD"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Large dataset (~225 countries)</w:t>
            </w:r>
          </w:p>
        </w:tc>
        <w:tc>
          <w:tcPr>
            <w:tcW w:w="0" w:type="auto"/>
            <w:vAlign w:val="center"/>
            <w:hideMark/>
          </w:tcPr>
          <w:p w:rsidR="00066CDD"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Implemented filters &amp; ranking formulas to isolate valuable insights</w:t>
            </w:r>
          </w:p>
        </w:tc>
      </w:tr>
      <w:tr w:rsidR="00066CDD" w:rsidRPr="00066CDD" w:rsidTr="00066CDD">
        <w:trPr>
          <w:tblCellSpacing w:w="15" w:type="dxa"/>
        </w:trPr>
        <w:tc>
          <w:tcPr>
            <w:tcW w:w="0" w:type="auto"/>
            <w:vAlign w:val="center"/>
            <w:hideMark/>
          </w:tcPr>
          <w:p w:rsidR="00066CDD"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Forecasting with decade-based data</w:t>
            </w:r>
          </w:p>
        </w:tc>
        <w:tc>
          <w:tcPr>
            <w:tcW w:w="0" w:type="auto"/>
            <w:vAlign w:val="center"/>
            <w:hideMark/>
          </w:tcPr>
          <w:p w:rsidR="00066CDD"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Used CAGR &amp; Power BI forecast function to generate future estimates</w:t>
            </w:r>
          </w:p>
        </w:tc>
      </w:tr>
    </w:tbl>
    <w:p w:rsidR="00066CDD"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pict>
          <v:rect id="_x0000_i1030" style="width:0;height:1.5pt" o:hralign="center" o:hrstd="t" o:hr="t" fillcolor="#a0a0a0" stroked="f"/>
        </w:pict>
      </w:r>
    </w:p>
    <w:p w:rsidR="00066CDD" w:rsidRPr="00066CDD" w:rsidRDefault="00066CDD" w:rsidP="00066CDD">
      <w:pPr>
        <w:spacing w:before="100" w:beforeAutospacing="1" w:after="100" w:afterAutospacing="1" w:line="240" w:lineRule="auto"/>
        <w:outlineLvl w:val="1"/>
        <w:rPr>
          <w:rFonts w:ascii="Times New Roman" w:eastAsia="Times New Roman" w:hAnsi="Times New Roman" w:cs="Times New Roman"/>
          <w:b/>
          <w:bCs/>
          <w:sz w:val="36"/>
          <w:szCs w:val="36"/>
        </w:rPr>
      </w:pPr>
      <w:r w:rsidRPr="00066CDD">
        <w:rPr>
          <w:rFonts w:ascii="Times New Roman" w:eastAsia="Times New Roman" w:hAnsi="Times New Roman" w:cs="Times New Roman"/>
          <w:b/>
          <w:bCs/>
          <w:sz w:val="36"/>
          <w:szCs w:val="36"/>
        </w:rPr>
        <w:lastRenderedPageBreak/>
        <w:t>Key Insights From Analysis</w:t>
      </w:r>
    </w:p>
    <w:p w:rsidR="00066CDD" w:rsidRPr="00066CDD" w:rsidRDefault="00066CDD" w:rsidP="00066C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 xml:space="preserve">Population has been </w:t>
      </w:r>
      <w:r w:rsidRPr="00066CDD">
        <w:rPr>
          <w:rFonts w:ascii="Times New Roman" w:eastAsia="Times New Roman" w:hAnsi="Times New Roman" w:cs="Times New Roman"/>
          <w:b/>
          <w:bCs/>
          <w:sz w:val="24"/>
          <w:szCs w:val="24"/>
        </w:rPr>
        <w:t>continuously rising</w:t>
      </w:r>
      <w:r w:rsidRPr="00066CDD">
        <w:rPr>
          <w:rFonts w:ascii="Times New Roman" w:eastAsia="Times New Roman" w:hAnsi="Times New Roman" w:cs="Times New Roman"/>
          <w:sz w:val="24"/>
          <w:szCs w:val="24"/>
        </w:rPr>
        <w:t xml:space="preserve"> with a strong upward trend after the 1990s.</w:t>
      </w:r>
    </w:p>
    <w:p w:rsidR="00066CDD" w:rsidRPr="00066CDD" w:rsidRDefault="00066CDD" w:rsidP="00066C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 xml:space="preserve">Countries like </w:t>
      </w:r>
      <w:r w:rsidRPr="00066CDD">
        <w:rPr>
          <w:rFonts w:ascii="Times New Roman" w:eastAsia="Times New Roman" w:hAnsi="Times New Roman" w:cs="Times New Roman"/>
          <w:b/>
          <w:bCs/>
          <w:sz w:val="24"/>
          <w:szCs w:val="24"/>
        </w:rPr>
        <w:t>India, China</w:t>
      </w:r>
      <w:r w:rsidRPr="00066CDD">
        <w:rPr>
          <w:rFonts w:ascii="Times New Roman" w:eastAsia="Times New Roman" w:hAnsi="Times New Roman" w:cs="Times New Roman"/>
          <w:sz w:val="24"/>
          <w:szCs w:val="24"/>
        </w:rPr>
        <w:t xml:space="preserve"> remain major contributors to the global population base.</w:t>
      </w:r>
    </w:p>
    <w:p w:rsidR="00066CDD" w:rsidRPr="00066CDD" w:rsidRDefault="00066CDD" w:rsidP="00066C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 xml:space="preserve">Some countries show </w:t>
      </w:r>
      <w:r w:rsidRPr="00066CDD">
        <w:rPr>
          <w:rFonts w:ascii="Times New Roman" w:eastAsia="Times New Roman" w:hAnsi="Times New Roman" w:cs="Times New Roman"/>
          <w:b/>
          <w:bCs/>
          <w:sz w:val="24"/>
          <w:szCs w:val="24"/>
        </w:rPr>
        <w:t>slowing growth</w:t>
      </w:r>
      <w:r w:rsidRPr="00066CDD">
        <w:rPr>
          <w:rFonts w:ascii="Times New Roman" w:eastAsia="Times New Roman" w:hAnsi="Times New Roman" w:cs="Times New Roman"/>
          <w:sz w:val="24"/>
          <w:szCs w:val="24"/>
        </w:rPr>
        <w:t>, signaling demographic shifts like aging populations.</w:t>
      </w:r>
    </w:p>
    <w:p w:rsidR="00066CDD" w:rsidRPr="00066CDD" w:rsidRDefault="00066CDD" w:rsidP="00066C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 xml:space="preserve">Regions in </w:t>
      </w:r>
      <w:r w:rsidRPr="00066CDD">
        <w:rPr>
          <w:rFonts w:ascii="Times New Roman" w:eastAsia="Times New Roman" w:hAnsi="Times New Roman" w:cs="Times New Roman"/>
          <w:b/>
          <w:bCs/>
          <w:sz w:val="24"/>
          <w:szCs w:val="24"/>
        </w:rPr>
        <w:t>Africa</w:t>
      </w:r>
      <w:r w:rsidRPr="00066CDD">
        <w:rPr>
          <w:rFonts w:ascii="Times New Roman" w:eastAsia="Times New Roman" w:hAnsi="Times New Roman" w:cs="Times New Roman"/>
          <w:sz w:val="24"/>
          <w:szCs w:val="24"/>
        </w:rPr>
        <w:t xml:space="preserve"> indicate the </w:t>
      </w:r>
      <w:r w:rsidRPr="00066CDD">
        <w:rPr>
          <w:rFonts w:ascii="Times New Roman" w:eastAsia="Times New Roman" w:hAnsi="Times New Roman" w:cs="Times New Roman"/>
          <w:b/>
          <w:bCs/>
          <w:sz w:val="24"/>
          <w:szCs w:val="24"/>
        </w:rPr>
        <w:t>strongest growth potential</w:t>
      </w:r>
      <w:r w:rsidRPr="00066CDD">
        <w:rPr>
          <w:rFonts w:ascii="Times New Roman" w:eastAsia="Times New Roman" w:hAnsi="Times New Roman" w:cs="Times New Roman"/>
          <w:sz w:val="24"/>
          <w:szCs w:val="24"/>
        </w:rPr>
        <w:t xml:space="preserve"> for the future.</w:t>
      </w:r>
    </w:p>
    <w:p w:rsidR="00066CDD" w:rsidRPr="00066CDD" w:rsidRDefault="00066CDD" w:rsidP="00066C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CAGR reveals that development level &amp; social planning strongly influence demographic growth.</w:t>
      </w:r>
    </w:p>
    <w:p w:rsidR="00066CDD"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pict>
          <v:rect id="_x0000_i1031" style="width:0;height:1.5pt" o:hralign="center" o:hrstd="t" o:hr="t" fillcolor="#a0a0a0" stroked="f"/>
        </w:pict>
      </w:r>
    </w:p>
    <w:p w:rsidR="00066CDD" w:rsidRPr="00066CDD" w:rsidRDefault="00066CDD" w:rsidP="00066CDD">
      <w:pPr>
        <w:spacing w:before="100" w:beforeAutospacing="1" w:after="100" w:afterAutospacing="1" w:line="240" w:lineRule="auto"/>
        <w:outlineLvl w:val="1"/>
        <w:rPr>
          <w:rFonts w:ascii="Times New Roman" w:eastAsia="Times New Roman" w:hAnsi="Times New Roman" w:cs="Times New Roman"/>
          <w:b/>
          <w:bCs/>
          <w:sz w:val="36"/>
          <w:szCs w:val="36"/>
        </w:rPr>
      </w:pPr>
      <w:r w:rsidRPr="00066CDD">
        <w:rPr>
          <w:rFonts w:ascii="Times New Roman" w:eastAsia="Times New Roman" w:hAnsi="Times New Roman" w:cs="Times New Roman"/>
          <w:b/>
          <w:bCs/>
          <w:sz w:val="36"/>
          <w:szCs w:val="36"/>
        </w:rPr>
        <w:t>Conclusion</w:t>
      </w:r>
    </w:p>
    <w:p w:rsidR="00066CDD" w:rsidRP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The world population continues to expand, but the rate of growth is changing — some developed economies are stabilizing, while emerging nations are rapidly rising. This creates diverse economic opportunities as well as challenges including resource allocation, employment planning, and sustainability concerns.</w:t>
      </w:r>
    </w:p>
    <w:p w:rsid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This analytical study provides a clear and strategic view of global demographic evolution — vital for financial planning, business expansion decisions, and policy formulation.</w:t>
      </w:r>
    </w:p>
    <w:p w:rsidR="00FD6A6A" w:rsidRPr="00066CDD" w:rsidRDefault="00FD6A6A" w:rsidP="00066CDD">
      <w:pPr>
        <w:spacing w:before="100" w:beforeAutospacing="1" w:after="100" w:afterAutospacing="1" w:line="240" w:lineRule="auto"/>
        <w:rPr>
          <w:rFonts w:ascii="Times New Roman" w:eastAsia="Times New Roman" w:hAnsi="Times New Roman" w:cs="Times New Roman"/>
          <w:sz w:val="24"/>
          <w:szCs w:val="24"/>
        </w:rPr>
      </w:pPr>
      <w:r w:rsidRPr="00FD6A6A">
        <w:rPr>
          <w:rFonts w:ascii="Times New Roman" w:hAnsi="Times New Roman" w:cs="Times New Roman"/>
        </w:rPr>
        <w:t xml:space="preserve">Based on global demographic projections, while traditional population-heavy countries like India and </w:t>
      </w:r>
      <w:r w:rsidRPr="00FD6A6A">
        <w:rPr>
          <w:rFonts w:ascii="Times New Roman" w:hAnsi="Times New Roman" w:cs="Times New Roman"/>
          <w:highlight w:val="yellow"/>
        </w:rPr>
        <w:t>China will continue to dominate in absolute population size through mid-century and possibly until 2100</w:t>
      </w:r>
      <w:r w:rsidRPr="00FD6A6A">
        <w:rPr>
          <w:rFonts w:ascii="Times New Roman" w:hAnsi="Times New Roman" w:cs="Times New Roman"/>
        </w:rPr>
        <w:t>, much of the world’s future population growth will come from rapidly expanding nations — especially in Africa and South Asia</w:t>
      </w:r>
      <w:r w:rsidRPr="00FD6A6A">
        <w:rPr>
          <w:rFonts w:ascii="Times New Roman" w:hAnsi="Times New Roman" w:cs="Times New Roman"/>
          <w:highlight w:val="lightGray"/>
        </w:rPr>
        <w:t xml:space="preserve">. </w:t>
      </w:r>
      <w:r w:rsidRPr="00FD6A6A">
        <w:rPr>
          <w:rFonts w:ascii="Times New Roman" w:hAnsi="Times New Roman" w:cs="Times New Roman"/>
          <w:highlight w:val="yellow"/>
        </w:rPr>
        <w:t>Countries such as Nigeria, Democratic Republic of the Congo, Ethiopia, and Pakistan are likely to climb significantly in global population rankings</w:t>
      </w:r>
      <w:r w:rsidRPr="00FD6A6A">
        <w:rPr>
          <w:rFonts w:ascii="Times New Roman" w:hAnsi="Times New Roman" w:cs="Times New Roman"/>
        </w:rPr>
        <w:t>. Conversely, nations with low fertility rates or ageing populations may see their relative share decline. These shifts underscore a forthcoming demographic transition with substantial implications for global economics, resource demand, and socio-financial planning</w:t>
      </w:r>
    </w:p>
    <w:p w:rsidR="00066CDD"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pict>
          <v:rect id="_x0000_i1032" style="width:0;height:1.5pt" o:hralign="center" o:hrstd="t" o:hr="t" fillcolor="#a0a0a0" stroked="f"/>
        </w:pict>
      </w:r>
    </w:p>
    <w:p w:rsidR="001B22AA" w:rsidRDefault="001B22AA" w:rsidP="00066CDD">
      <w:pPr>
        <w:spacing w:before="100" w:beforeAutospacing="1" w:after="100" w:afterAutospacing="1" w:line="240" w:lineRule="auto"/>
        <w:outlineLvl w:val="1"/>
        <w:rPr>
          <w:rFonts w:ascii="Times New Roman" w:eastAsia="Times New Roman" w:hAnsi="Times New Roman" w:cs="Times New Roman"/>
          <w:b/>
          <w:bCs/>
          <w:sz w:val="36"/>
          <w:szCs w:val="36"/>
        </w:rPr>
      </w:pPr>
    </w:p>
    <w:p w:rsidR="001B22AA" w:rsidRDefault="001B22AA" w:rsidP="00066CDD">
      <w:pPr>
        <w:spacing w:before="100" w:beforeAutospacing="1" w:after="100" w:afterAutospacing="1" w:line="240" w:lineRule="auto"/>
        <w:outlineLvl w:val="1"/>
        <w:rPr>
          <w:rFonts w:ascii="Times New Roman" w:eastAsia="Times New Roman" w:hAnsi="Times New Roman" w:cs="Times New Roman"/>
          <w:b/>
          <w:bCs/>
          <w:sz w:val="36"/>
          <w:szCs w:val="36"/>
        </w:rPr>
      </w:pPr>
    </w:p>
    <w:p w:rsidR="001B22AA" w:rsidRDefault="001B22AA" w:rsidP="00066CDD">
      <w:pPr>
        <w:spacing w:before="100" w:beforeAutospacing="1" w:after="100" w:afterAutospacing="1" w:line="240" w:lineRule="auto"/>
        <w:outlineLvl w:val="1"/>
        <w:rPr>
          <w:rFonts w:ascii="Times New Roman" w:eastAsia="Times New Roman" w:hAnsi="Times New Roman" w:cs="Times New Roman"/>
          <w:b/>
          <w:bCs/>
          <w:sz w:val="36"/>
          <w:szCs w:val="36"/>
        </w:rPr>
      </w:pPr>
    </w:p>
    <w:p w:rsidR="00066CDD" w:rsidRPr="00066CDD" w:rsidRDefault="00066CDD" w:rsidP="00066CDD">
      <w:pPr>
        <w:spacing w:before="100" w:beforeAutospacing="1" w:after="100" w:afterAutospacing="1" w:line="240" w:lineRule="auto"/>
        <w:outlineLvl w:val="1"/>
        <w:rPr>
          <w:rFonts w:ascii="Times New Roman" w:eastAsia="Times New Roman" w:hAnsi="Times New Roman" w:cs="Times New Roman"/>
          <w:b/>
          <w:bCs/>
          <w:sz w:val="36"/>
          <w:szCs w:val="36"/>
        </w:rPr>
      </w:pPr>
      <w:r w:rsidRPr="00066CDD">
        <w:rPr>
          <w:rFonts w:ascii="Times New Roman" w:eastAsia="Times New Roman" w:hAnsi="Times New Roman" w:cs="Times New Roman"/>
          <w:b/>
          <w:bCs/>
          <w:sz w:val="36"/>
          <w:szCs w:val="36"/>
        </w:rPr>
        <w:t>What I Learned</w:t>
      </w:r>
    </w:p>
    <w:p w:rsidR="00066CDD" w:rsidRP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During this project, I gained strong practical exposure in:</w:t>
      </w:r>
    </w:p>
    <w:p w:rsidR="00066CDD" w:rsidRPr="00066CDD" w:rsidRDefault="00066CDD" w:rsidP="00066C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b/>
          <w:bCs/>
          <w:sz w:val="24"/>
          <w:szCs w:val="24"/>
        </w:rPr>
        <w:t>Data analytics life cycle</w:t>
      </w:r>
      <w:r w:rsidRPr="00066CDD">
        <w:rPr>
          <w:rFonts w:ascii="Times New Roman" w:eastAsia="Times New Roman" w:hAnsi="Times New Roman" w:cs="Times New Roman"/>
          <w:sz w:val="24"/>
          <w:szCs w:val="24"/>
        </w:rPr>
        <w:t>: cleaning → transformation → modeling → reporting</w:t>
      </w:r>
    </w:p>
    <w:p w:rsidR="00066CDD" w:rsidRPr="00066CDD" w:rsidRDefault="00066CDD" w:rsidP="00066C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lastRenderedPageBreak/>
        <w:t>Applying real-world financial &amp; statistical formulas on large datasets</w:t>
      </w:r>
    </w:p>
    <w:p w:rsidR="00066CDD" w:rsidRPr="00066CDD" w:rsidRDefault="00066CDD" w:rsidP="00066C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Using Excel, SQL &amp; Power BI as integrated analytical tools</w:t>
      </w:r>
    </w:p>
    <w:p w:rsidR="00066CDD" w:rsidRPr="00066CDD" w:rsidRDefault="00066CDD" w:rsidP="00066C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Presenting insights visually for professional decision-making</w:t>
      </w:r>
    </w:p>
    <w:p w:rsid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t xml:space="preserve">Overall, this project enhanced my confidence and technical capabilities as a </w:t>
      </w:r>
      <w:r w:rsidRPr="00066CDD">
        <w:rPr>
          <w:rFonts w:ascii="Times New Roman" w:eastAsia="Times New Roman" w:hAnsi="Times New Roman" w:cs="Times New Roman"/>
          <w:b/>
          <w:bCs/>
          <w:sz w:val="24"/>
          <w:szCs w:val="24"/>
        </w:rPr>
        <w:t>Finance Analyst</w:t>
      </w:r>
      <w:r w:rsidRPr="00066CDD">
        <w:rPr>
          <w:rFonts w:ascii="Times New Roman" w:eastAsia="Times New Roman" w:hAnsi="Times New Roman" w:cs="Times New Roman"/>
          <w:sz w:val="24"/>
          <w:szCs w:val="24"/>
        </w:rPr>
        <w:t>, strengthening my profile in data-driven analysis and reporting.</w:t>
      </w:r>
    </w:p>
    <w:p w:rsidR="00066CDD" w:rsidRDefault="00066CDD" w:rsidP="00066CDD">
      <w:pPr>
        <w:spacing w:before="100" w:beforeAutospacing="1" w:after="100" w:afterAutospacing="1" w:line="240" w:lineRule="auto"/>
        <w:rPr>
          <w:rFonts w:ascii="Times New Roman" w:eastAsia="Times New Roman" w:hAnsi="Times New Roman" w:cs="Times New Roman"/>
          <w:sz w:val="24"/>
          <w:szCs w:val="24"/>
        </w:rPr>
      </w:pPr>
    </w:p>
    <w:p w:rsidR="003C732D" w:rsidRDefault="003C732D" w:rsidP="00066CDD">
      <w:pPr>
        <w:spacing w:before="100" w:beforeAutospacing="1" w:after="100" w:afterAutospacing="1" w:line="240" w:lineRule="auto"/>
        <w:rPr>
          <w:rStyle w:val="Emphasis"/>
        </w:rPr>
      </w:pPr>
      <w:r>
        <w:rPr>
          <w:rFonts w:ascii="MS Gothic" w:eastAsia="MS Gothic" w:hAnsi="MS Gothic" w:cs="MS Gothic" w:hint="eastAsia"/>
        </w:rPr>
        <w:t>➡</w:t>
      </w:r>
      <w:r>
        <w:t xml:space="preserve"> </w:t>
      </w:r>
      <w:r>
        <w:rPr>
          <w:rStyle w:val="Emphasis"/>
        </w:rPr>
        <w:t>Dataset Source:</w:t>
      </w:r>
    </w:p>
    <w:p w:rsidR="003C732D" w:rsidRDefault="003C732D" w:rsidP="00066CDD">
      <w:pPr>
        <w:spacing w:before="100" w:beforeAutospacing="1" w:after="100" w:afterAutospacing="1" w:line="240" w:lineRule="auto"/>
        <w:rPr>
          <w:rFonts w:ascii="Times New Roman" w:eastAsia="Times New Roman" w:hAnsi="Times New Roman" w:cs="Times New Roman"/>
          <w:sz w:val="24"/>
          <w:szCs w:val="24"/>
        </w:rPr>
      </w:pPr>
      <w:r w:rsidRPr="003C732D">
        <w:rPr>
          <w:rFonts w:ascii="Times New Roman" w:eastAsia="Times New Roman" w:hAnsi="Times New Roman" w:cs="Times New Roman"/>
          <w:sz w:val="24"/>
          <w:szCs w:val="24"/>
        </w:rPr>
        <w:t>https://github.com/shivalikasingh19/World-population-Data-Analysis/blob/main/World%20Pop%20Project.xlsx</w:t>
      </w:r>
    </w:p>
    <w:p w:rsidR="003C732D" w:rsidRPr="00066CDD" w:rsidRDefault="003C732D" w:rsidP="00066CDD">
      <w:pPr>
        <w:spacing w:before="100" w:beforeAutospacing="1" w:after="100" w:afterAutospacing="1" w:line="240" w:lineRule="auto"/>
        <w:rPr>
          <w:rFonts w:ascii="Times New Roman" w:eastAsia="Times New Roman" w:hAnsi="Times New Roman" w:cs="Times New Roman"/>
          <w:sz w:val="24"/>
          <w:szCs w:val="24"/>
        </w:rPr>
      </w:pPr>
      <w:r w:rsidRPr="003C732D">
        <w:rPr>
          <w:rFonts w:ascii="Times New Roman" w:eastAsia="Times New Roman" w:hAnsi="Times New Roman" w:cs="Times New Roman"/>
          <w:sz w:val="24"/>
          <w:szCs w:val="24"/>
        </w:rPr>
        <w:t>World Pop Project.xlsx</w:t>
      </w:r>
    </w:p>
    <w:p w:rsidR="00FD6A6A" w:rsidRPr="00066CDD" w:rsidRDefault="00066CDD" w:rsidP="00066CDD">
      <w:pPr>
        <w:spacing w:after="0" w:line="240" w:lineRule="auto"/>
        <w:rPr>
          <w:rFonts w:ascii="Times New Roman" w:eastAsia="Times New Roman" w:hAnsi="Times New Roman" w:cs="Times New Roman"/>
          <w:sz w:val="24"/>
          <w:szCs w:val="24"/>
        </w:rPr>
      </w:pPr>
      <w:r w:rsidRPr="00066CDD">
        <w:rPr>
          <w:rFonts w:ascii="Times New Roman" w:eastAsia="Times New Roman" w:hAnsi="Times New Roman" w:cs="Times New Roman"/>
          <w:sz w:val="24"/>
          <w:szCs w:val="24"/>
        </w:rPr>
        <w:pict>
          <v:rect id="_x0000_i1033" style="width:0;height:1.5pt" o:hralign="center" o:hrstd="t" o:hr="t" fillcolor="#a0a0a0" stroked="f"/>
        </w:pict>
      </w:r>
    </w:p>
    <w:sectPr w:rsidR="00FD6A6A" w:rsidRPr="00066CDD" w:rsidSect="0035232F">
      <w:headerReference w:type="defaul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3046" w:rsidRDefault="00003046" w:rsidP="005634AF">
      <w:pPr>
        <w:spacing w:after="0" w:line="240" w:lineRule="auto"/>
      </w:pPr>
      <w:r>
        <w:separator/>
      </w:r>
    </w:p>
  </w:endnote>
  <w:endnote w:type="continuationSeparator" w:id="1">
    <w:p w:rsidR="00003046" w:rsidRDefault="00003046" w:rsidP="005634A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3046" w:rsidRDefault="00003046" w:rsidP="005634AF">
      <w:pPr>
        <w:spacing w:after="0" w:line="240" w:lineRule="auto"/>
      </w:pPr>
      <w:r>
        <w:separator/>
      </w:r>
    </w:p>
  </w:footnote>
  <w:footnote w:type="continuationSeparator" w:id="1">
    <w:p w:rsidR="00003046" w:rsidRDefault="00003046" w:rsidP="005634A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34AF" w:rsidRDefault="005634AF">
    <w:pPr>
      <w:pStyle w:val="Header"/>
    </w:pPr>
  </w:p>
  <w:p w:rsidR="005634AF" w:rsidRDefault="005634A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120991"/>
    <w:multiLevelType w:val="multilevel"/>
    <w:tmpl w:val="75E2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622726"/>
    <w:multiLevelType w:val="multilevel"/>
    <w:tmpl w:val="18EA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1561D9"/>
    <w:multiLevelType w:val="multilevel"/>
    <w:tmpl w:val="3192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A721A8"/>
    <w:multiLevelType w:val="multilevel"/>
    <w:tmpl w:val="A62C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330BF2"/>
    <w:multiLevelType w:val="multilevel"/>
    <w:tmpl w:val="F3D8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E55D4A"/>
    <w:multiLevelType w:val="multilevel"/>
    <w:tmpl w:val="6608B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533FBA"/>
    <w:multiLevelType w:val="multilevel"/>
    <w:tmpl w:val="06F41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6"/>
  </w:num>
  <w:num w:numId="5">
    <w:abstractNumId w:val="5"/>
  </w:num>
  <w:num w:numId="6">
    <w:abstractNumId w:val="4"/>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66CDD"/>
    <w:rsid w:val="00003046"/>
    <w:rsid w:val="00035FE9"/>
    <w:rsid w:val="00066CDD"/>
    <w:rsid w:val="001B22AA"/>
    <w:rsid w:val="00231C28"/>
    <w:rsid w:val="002754A0"/>
    <w:rsid w:val="0035232F"/>
    <w:rsid w:val="003C732D"/>
    <w:rsid w:val="005634AF"/>
    <w:rsid w:val="007F1FFB"/>
    <w:rsid w:val="00876C01"/>
    <w:rsid w:val="00BC76C2"/>
    <w:rsid w:val="00E16BB2"/>
    <w:rsid w:val="00EA6175"/>
    <w:rsid w:val="00FD6A6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232F"/>
    <w:rPr>
      <w:rFonts w:cs="Mangal"/>
    </w:rPr>
  </w:style>
  <w:style w:type="paragraph" w:styleId="Heading1">
    <w:name w:val="heading 1"/>
    <w:basedOn w:val="Normal"/>
    <w:link w:val="Heading1Char"/>
    <w:uiPriority w:val="9"/>
    <w:qFormat/>
    <w:rsid w:val="00066C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66C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66C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C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66C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66CD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66C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6CDD"/>
    <w:rPr>
      <w:b/>
      <w:bCs/>
    </w:rPr>
  </w:style>
  <w:style w:type="character" w:customStyle="1" w:styleId="mord">
    <w:name w:val="mord"/>
    <w:basedOn w:val="DefaultParagraphFont"/>
    <w:rsid w:val="00066CDD"/>
  </w:style>
  <w:style w:type="character" w:customStyle="1" w:styleId="mrel">
    <w:name w:val="mrel"/>
    <w:basedOn w:val="DefaultParagraphFont"/>
    <w:rsid w:val="00066CDD"/>
  </w:style>
  <w:style w:type="character" w:customStyle="1" w:styleId="mbin">
    <w:name w:val="mbin"/>
    <w:basedOn w:val="DefaultParagraphFont"/>
    <w:rsid w:val="00066CDD"/>
  </w:style>
  <w:style w:type="character" w:customStyle="1" w:styleId="vlist-s">
    <w:name w:val="vlist-s"/>
    <w:basedOn w:val="DefaultParagraphFont"/>
    <w:rsid w:val="00066CDD"/>
  </w:style>
  <w:style w:type="paragraph" w:styleId="ListParagraph">
    <w:name w:val="List Paragraph"/>
    <w:basedOn w:val="Normal"/>
    <w:uiPriority w:val="34"/>
    <w:qFormat/>
    <w:rsid w:val="00066CDD"/>
    <w:pPr>
      <w:ind w:left="720"/>
      <w:contextualSpacing/>
    </w:pPr>
  </w:style>
  <w:style w:type="paragraph" w:styleId="BalloonText">
    <w:name w:val="Balloon Text"/>
    <w:basedOn w:val="Normal"/>
    <w:link w:val="BalloonTextChar"/>
    <w:uiPriority w:val="99"/>
    <w:semiHidden/>
    <w:unhideWhenUsed/>
    <w:rsid w:val="00035FE9"/>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035FE9"/>
    <w:rPr>
      <w:rFonts w:ascii="Tahoma" w:hAnsi="Tahoma" w:cs="Mangal"/>
      <w:sz w:val="16"/>
      <w:szCs w:val="14"/>
    </w:rPr>
  </w:style>
  <w:style w:type="character" w:styleId="Emphasis">
    <w:name w:val="Emphasis"/>
    <w:basedOn w:val="DefaultParagraphFont"/>
    <w:uiPriority w:val="20"/>
    <w:qFormat/>
    <w:rsid w:val="003C732D"/>
    <w:rPr>
      <w:i/>
      <w:iCs/>
    </w:rPr>
  </w:style>
  <w:style w:type="paragraph" w:styleId="Header">
    <w:name w:val="header"/>
    <w:basedOn w:val="Normal"/>
    <w:link w:val="HeaderChar"/>
    <w:uiPriority w:val="99"/>
    <w:semiHidden/>
    <w:unhideWhenUsed/>
    <w:rsid w:val="005634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34AF"/>
    <w:rPr>
      <w:rFonts w:cs="Mangal"/>
    </w:rPr>
  </w:style>
  <w:style w:type="paragraph" w:styleId="Footer">
    <w:name w:val="footer"/>
    <w:basedOn w:val="Normal"/>
    <w:link w:val="FooterChar"/>
    <w:uiPriority w:val="99"/>
    <w:semiHidden/>
    <w:unhideWhenUsed/>
    <w:rsid w:val="005634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34AF"/>
    <w:rPr>
      <w:rFonts w:cs="Mangal"/>
    </w:rPr>
  </w:style>
</w:styles>
</file>

<file path=word/webSettings.xml><?xml version="1.0" encoding="utf-8"?>
<w:webSettings xmlns:r="http://schemas.openxmlformats.org/officeDocument/2006/relationships" xmlns:w="http://schemas.openxmlformats.org/wordprocessingml/2006/main">
  <w:divs>
    <w:div w:id="58871253">
      <w:bodyDiv w:val="1"/>
      <w:marLeft w:val="0"/>
      <w:marRight w:val="0"/>
      <w:marTop w:val="0"/>
      <w:marBottom w:val="0"/>
      <w:divBdr>
        <w:top w:val="none" w:sz="0" w:space="0" w:color="auto"/>
        <w:left w:val="none" w:sz="0" w:space="0" w:color="auto"/>
        <w:bottom w:val="none" w:sz="0" w:space="0" w:color="auto"/>
        <w:right w:val="none" w:sz="0" w:space="0" w:color="auto"/>
      </w:divBdr>
    </w:div>
    <w:div w:id="246623950">
      <w:bodyDiv w:val="1"/>
      <w:marLeft w:val="0"/>
      <w:marRight w:val="0"/>
      <w:marTop w:val="0"/>
      <w:marBottom w:val="0"/>
      <w:divBdr>
        <w:top w:val="none" w:sz="0" w:space="0" w:color="auto"/>
        <w:left w:val="none" w:sz="0" w:space="0" w:color="auto"/>
        <w:bottom w:val="none" w:sz="0" w:space="0" w:color="auto"/>
        <w:right w:val="none" w:sz="0" w:space="0" w:color="auto"/>
      </w:divBdr>
    </w:div>
    <w:div w:id="306133784">
      <w:bodyDiv w:val="1"/>
      <w:marLeft w:val="0"/>
      <w:marRight w:val="0"/>
      <w:marTop w:val="0"/>
      <w:marBottom w:val="0"/>
      <w:divBdr>
        <w:top w:val="none" w:sz="0" w:space="0" w:color="auto"/>
        <w:left w:val="none" w:sz="0" w:space="0" w:color="auto"/>
        <w:bottom w:val="none" w:sz="0" w:space="0" w:color="auto"/>
        <w:right w:val="none" w:sz="0" w:space="0" w:color="auto"/>
      </w:divBdr>
    </w:div>
    <w:div w:id="481896089">
      <w:bodyDiv w:val="1"/>
      <w:marLeft w:val="0"/>
      <w:marRight w:val="0"/>
      <w:marTop w:val="0"/>
      <w:marBottom w:val="0"/>
      <w:divBdr>
        <w:top w:val="none" w:sz="0" w:space="0" w:color="auto"/>
        <w:left w:val="none" w:sz="0" w:space="0" w:color="auto"/>
        <w:bottom w:val="none" w:sz="0" w:space="0" w:color="auto"/>
        <w:right w:val="none" w:sz="0" w:space="0" w:color="auto"/>
      </w:divBdr>
    </w:div>
    <w:div w:id="892931232">
      <w:bodyDiv w:val="1"/>
      <w:marLeft w:val="0"/>
      <w:marRight w:val="0"/>
      <w:marTop w:val="0"/>
      <w:marBottom w:val="0"/>
      <w:divBdr>
        <w:top w:val="none" w:sz="0" w:space="0" w:color="auto"/>
        <w:left w:val="none" w:sz="0" w:space="0" w:color="auto"/>
        <w:bottom w:val="none" w:sz="0" w:space="0" w:color="auto"/>
        <w:right w:val="none" w:sz="0" w:space="0" w:color="auto"/>
      </w:divBdr>
    </w:div>
    <w:div w:id="997804178">
      <w:bodyDiv w:val="1"/>
      <w:marLeft w:val="0"/>
      <w:marRight w:val="0"/>
      <w:marTop w:val="0"/>
      <w:marBottom w:val="0"/>
      <w:divBdr>
        <w:top w:val="none" w:sz="0" w:space="0" w:color="auto"/>
        <w:left w:val="none" w:sz="0" w:space="0" w:color="auto"/>
        <w:bottom w:val="none" w:sz="0" w:space="0" w:color="auto"/>
        <w:right w:val="none" w:sz="0" w:space="0" w:color="auto"/>
      </w:divBdr>
    </w:div>
    <w:div w:id="1022121852">
      <w:bodyDiv w:val="1"/>
      <w:marLeft w:val="0"/>
      <w:marRight w:val="0"/>
      <w:marTop w:val="0"/>
      <w:marBottom w:val="0"/>
      <w:divBdr>
        <w:top w:val="none" w:sz="0" w:space="0" w:color="auto"/>
        <w:left w:val="none" w:sz="0" w:space="0" w:color="auto"/>
        <w:bottom w:val="none" w:sz="0" w:space="0" w:color="auto"/>
        <w:right w:val="none" w:sz="0" w:space="0" w:color="auto"/>
      </w:divBdr>
    </w:div>
    <w:div w:id="1101996541">
      <w:bodyDiv w:val="1"/>
      <w:marLeft w:val="0"/>
      <w:marRight w:val="0"/>
      <w:marTop w:val="0"/>
      <w:marBottom w:val="0"/>
      <w:divBdr>
        <w:top w:val="none" w:sz="0" w:space="0" w:color="auto"/>
        <w:left w:val="none" w:sz="0" w:space="0" w:color="auto"/>
        <w:bottom w:val="none" w:sz="0" w:space="0" w:color="auto"/>
        <w:right w:val="none" w:sz="0" w:space="0" w:color="auto"/>
      </w:divBdr>
    </w:div>
    <w:div w:id="1355379709">
      <w:bodyDiv w:val="1"/>
      <w:marLeft w:val="0"/>
      <w:marRight w:val="0"/>
      <w:marTop w:val="0"/>
      <w:marBottom w:val="0"/>
      <w:divBdr>
        <w:top w:val="none" w:sz="0" w:space="0" w:color="auto"/>
        <w:left w:val="none" w:sz="0" w:space="0" w:color="auto"/>
        <w:bottom w:val="none" w:sz="0" w:space="0" w:color="auto"/>
        <w:right w:val="none" w:sz="0" w:space="0" w:color="auto"/>
      </w:divBdr>
    </w:div>
    <w:div w:id="1387950101">
      <w:bodyDiv w:val="1"/>
      <w:marLeft w:val="0"/>
      <w:marRight w:val="0"/>
      <w:marTop w:val="0"/>
      <w:marBottom w:val="0"/>
      <w:divBdr>
        <w:top w:val="none" w:sz="0" w:space="0" w:color="auto"/>
        <w:left w:val="none" w:sz="0" w:space="0" w:color="auto"/>
        <w:bottom w:val="none" w:sz="0" w:space="0" w:color="auto"/>
        <w:right w:val="none" w:sz="0" w:space="0" w:color="auto"/>
      </w:divBdr>
    </w:div>
    <w:div w:id="2045592051">
      <w:bodyDiv w:val="1"/>
      <w:marLeft w:val="0"/>
      <w:marRight w:val="0"/>
      <w:marTop w:val="0"/>
      <w:marBottom w:val="0"/>
      <w:divBdr>
        <w:top w:val="none" w:sz="0" w:space="0" w:color="auto"/>
        <w:left w:val="none" w:sz="0" w:space="0" w:color="auto"/>
        <w:bottom w:val="none" w:sz="0" w:space="0" w:color="auto"/>
        <w:right w:val="none" w:sz="0" w:space="0" w:color="auto"/>
      </w:divBdr>
    </w:div>
    <w:div w:id="206910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HPSEDC\Desktop\World%20Pop%20Projec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HPSEDC\Desktop\World%20Pop%20Project.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HPSEDC\Desktop\World%20Pop%20Project.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HPSEDC\Desktop\World%20Pop%20Project.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HPSEDC\Desktop\World%20Pop%20Projec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0.13100218722659671"/>
          <c:y val="6.9919072615923034E-2"/>
          <c:w val="0.66259492563429623"/>
          <c:h val="0.6354611402741327"/>
        </c:manualLayout>
      </c:layout>
      <c:lineChart>
        <c:grouping val="stacked"/>
        <c:ser>
          <c:idx val="0"/>
          <c:order val="0"/>
          <c:cat>
            <c:strRef>
              <c:f>'world POP new'!$P$247:$P$256</c:f>
              <c:strCache>
                <c:ptCount val="10"/>
                <c:pt idx="0">
                  <c:v>China</c:v>
                </c:pt>
                <c:pt idx="1">
                  <c:v>India</c:v>
                </c:pt>
                <c:pt idx="2">
                  <c:v>United States</c:v>
                </c:pt>
                <c:pt idx="3">
                  <c:v>Indonesia</c:v>
                </c:pt>
                <c:pt idx="4">
                  <c:v>Pakistan</c:v>
                </c:pt>
                <c:pt idx="5">
                  <c:v>Nigeria</c:v>
                </c:pt>
                <c:pt idx="6">
                  <c:v>Brazil</c:v>
                </c:pt>
                <c:pt idx="7">
                  <c:v>Bangladesh</c:v>
                </c:pt>
                <c:pt idx="8">
                  <c:v>Russia</c:v>
                </c:pt>
                <c:pt idx="9">
                  <c:v>Mexico</c:v>
                </c:pt>
              </c:strCache>
            </c:strRef>
          </c:cat>
          <c:val>
            <c:numRef>
              <c:f>'world POP new'!$Q$247:$Q$256</c:f>
              <c:numCache>
                <c:formatCode>0.00%</c:formatCode>
                <c:ptCount val="10"/>
                <c:pt idx="0">
                  <c:v>1.0636151047457746E-2</c:v>
                </c:pt>
                <c:pt idx="1">
                  <c:v>1.8103349152284402E-2</c:v>
                </c:pt>
                <c:pt idx="2">
                  <c:v>1.0126805074097025E-2</c:v>
                </c:pt>
                <c:pt idx="3">
                  <c:v>1.6904293221459591E-2</c:v>
                </c:pt>
                <c:pt idx="4">
                  <c:v>2.690626376992112E-2</c:v>
                </c:pt>
                <c:pt idx="5">
                  <c:v>2.6683337003317053E-2</c:v>
                </c:pt>
                <c:pt idx="6">
                  <c:v>1.5579761626140609E-2</c:v>
                </c:pt>
                <c:pt idx="7">
                  <c:v>1.8045606662919548E-2</c:v>
                </c:pt>
                <c:pt idx="8">
                  <c:v>2.0502717133898951E-3</c:v>
                </c:pt>
                <c:pt idx="9">
                  <c:v>1.8052477768921275E-2</c:v>
                </c:pt>
              </c:numCache>
            </c:numRef>
          </c:val>
        </c:ser>
        <c:marker val="1"/>
        <c:axId val="91521408"/>
        <c:axId val="91522944"/>
      </c:lineChart>
      <c:catAx>
        <c:axId val="91521408"/>
        <c:scaling>
          <c:orientation val="minMax"/>
        </c:scaling>
        <c:axPos val="b"/>
        <c:tickLblPos val="nextTo"/>
        <c:crossAx val="91522944"/>
        <c:crosses val="autoZero"/>
        <c:auto val="1"/>
        <c:lblAlgn val="ctr"/>
        <c:lblOffset val="100"/>
      </c:catAx>
      <c:valAx>
        <c:axId val="91522944"/>
        <c:scaling>
          <c:orientation val="minMax"/>
        </c:scaling>
        <c:axPos val="l"/>
        <c:numFmt formatCode="0.00%" sourceLinked="1"/>
        <c:tickLblPos val="nextTo"/>
        <c:crossAx val="91521408"/>
        <c:crosses val="autoZero"/>
        <c:crossBetween val="between"/>
      </c:valAx>
    </c:plotArea>
    <c:plotVisOnly val="1"/>
  </c:chart>
  <c:spPr>
    <a:ln>
      <a:noFill/>
    </a:ln>
  </c:sp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plotArea>
      <c:layout/>
      <c:barChart>
        <c:barDir val="col"/>
        <c:grouping val="stacked"/>
        <c:ser>
          <c:idx val="0"/>
          <c:order val="0"/>
          <c:spPr>
            <a:solidFill>
              <a:schemeClr val="accent5">
                <a:lumMod val="60000"/>
                <a:lumOff val="40000"/>
              </a:schemeClr>
            </a:solidFill>
          </c:spPr>
          <c:cat>
            <c:strRef>
              <c:f>'world POP new'!$C$248:$C$257</c:f>
              <c:strCache>
                <c:ptCount val="10"/>
                <c:pt idx="0">
                  <c:v>China</c:v>
                </c:pt>
                <c:pt idx="1">
                  <c:v>India</c:v>
                </c:pt>
                <c:pt idx="2">
                  <c:v>United States</c:v>
                </c:pt>
                <c:pt idx="3">
                  <c:v>Indonesia</c:v>
                </c:pt>
                <c:pt idx="4">
                  <c:v>Pakistan</c:v>
                </c:pt>
                <c:pt idx="5">
                  <c:v>Nigeria</c:v>
                </c:pt>
                <c:pt idx="6">
                  <c:v>Brazil</c:v>
                </c:pt>
                <c:pt idx="7">
                  <c:v>Bangladesh</c:v>
                </c:pt>
                <c:pt idx="8">
                  <c:v>Russia</c:v>
                </c:pt>
                <c:pt idx="9">
                  <c:v>Mexico</c:v>
                </c:pt>
              </c:strCache>
            </c:strRef>
          </c:cat>
          <c:val>
            <c:numRef>
              <c:f>'world POP new'!$D$248:$D$257</c:f>
              <c:numCache>
                <c:formatCode>#,##0</c:formatCode>
                <c:ptCount val="10"/>
                <c:pt idx="0">
                  <c:v>822534450</c:v>
                </c:pt>
                <c:pt idx="1">
                  <c:v>557501301</c:v>
                </c:pt>
                <c:pt idx="2">
                  <c:v>200328340</c:v>
                </c:pt>
                <c:pt idx="3">
                  <c:v>115228394</c:v>
                </c:pt>
                <c:pt idx="4">
                  <c:v>59290872</c:v>
                </c:pt>
                <c:pt idx="5">
                  <c:v>55569264</c:v>
                </c:pt>
                <c:pt idx="6">
                  <c:v>96369875</c:v>
                </c:pt>
                <c:pt idx="7">
                  <c:v>67541860</c:v>
                </c:pt>
                <c:pt idx="8">
                  <c:v>130093010</c:v>
                </c:pt>
                <c:pt idx="9">
                  <c:v>50289306</c:v>
                </c:pt>
              </c:numCache>
            </c:numRef>
          </c:val>
        </c:ser>
        <c:ser>
          <c:idx val="1"/>
          <c:order val="1"/>
          <c:spPr>
            <a:solidFill>
              <a:schemeClr val="accent4">
                <a:lumMod val="60000"/>
                <a:lumOff val="40000"/>
              </a:schemeClr>
            </a:solidFill>
          </c:spPr>
          <c:cat>
            <c:strRef>
              <c:f>'world POP new'!$C$248:$C$257</c:f>
              <c:strCache>
                <c:ptCount val="10"/>
                <c:pt idx="0">
                  <c:v>China</c:v>
                </c:pt>
                <c:pt idx="1">
                  <c:v>India</c:v>
                </c:pt>
                <c:pt idx="2">
                  <c:v>United States</c:v>
                </c:pt>
                <c:pt idx="3">
                  <c:v>Indonesia</c:v>
                </c:pt>
                <c:pt idx="4">
                  <c:v>Pakistan</c:v>
                </c:pt>
                <c:pt idx="5">
                  <c:v>Nigeria</c:v>
                </c:pt>
                <c:pt idx="6">
                  <c:v>Brazil</c:v>
                </c:pt>
                <c:pt idx="7">
                  <c:v>Bangladesh</c:v>
                </c:pt>
                <c:pt idx="8">
                  <c:v>Russia</c:v>
                </c:pt>
                <c:pt idx="9">
                  <c:v>Mexico</c:v>
                </c:pt>
              </c:strCache>
            </c:strRef>
          </c:cat>
          <c:val>
            <c:numRef>
              <c:f>'world POP new'!$E$248:$E$257</c:f>
              <c:numCache>
                <c:formatCode>#,##0</c:formatCode>
                <c:ptCount val="10"/>
                <c:pt idx="0">
                  <c:v>1425887337</c:v>
                </c:pt>
                <c:pt idx="1">
                  <c:v>1417173173</c:v>
                </c:pt>
                <c:pt idx="2">
                  <c:v>338289857</c:v>
                </c:pt>
                <c:pt idx="3">
                  <c:v>275501339</c:v>
                </c:pt>
                <c:pt idx="4">
                  <c:v>235824862</c:v>
                </c:pt>
                <c:pt idx="5">
                  <c:v>218541212</c:v>
                </c:pt>
                <c:pt idx="6">
                  <c:v>215313498</c:v>
                </c:pt>
                <c:pt idx="7">
                  <c:v>171186372</c:v>
                </c:pt>
                <c:pt idx="8">
                  <c:v>144713314</c:v>
                </c:pt>
                <c:pt idx="9">
                  <c:v>127504125</c:v>
                </c:pt>
              </c:numCache>
            </c:numRef>
          </c:val>
        </c:ser>
        <c:overlap val="100"/>
        <c:axId val="91538944"/>
        <c:axId val="91540480"/>
      </c:barChart>
      <c:catAx>
        <c:axId val="91538944"/>
        <c:scaling>
          <c:orientation val="minMax"/>
        </c:scaling>
        <c:axPos val="b"/>
        <c:tickLblPos val="nextTo"/>
        <c:crossAx val="91540480"/>
        <c:crosses val="autoZero"/>
        <c:auto val="1"/>
        <c:lblAlgn val="ctr"/>
        <c:lblOffset val="100"/>
      </c:catAx>
      <c:valAx>
        <c:axId val="91540480"/>
        <c:scaling>
          <c:orientation val="minMax"/>
        </c:scaling>
        <c:axPos val="l"/>
        <c:numFmt formatCode="#,##0" sourceLinked="1"/>
        <c:tickLblPos val="nextTo"/>
        <c:crossAx val="91538944"/>
        <c:crosses val="autoZero"/>
        <c:crossBetween val="between"/>
      </c:valAx>
      <c:spPr>
        <a:noFill/>
        <a:ln w="25400">
          <a:noFill/>
        </a:ln>
      </c:spPr>
    </c:plotArea>
    <c:plotVisOnly val="1"/>
    <c:dispBlanksAs val="gap"/>
  </c:chart>
  <c:spPr>
    <a:ln>
      <a:noFill/>
    </a:ln>
  </c:sp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plotArea>
      <c:layout/>
      <c:barChart>
        <c:barDir val="col"/>
        <c:grouping val="stacked"/>
        <c:ser>
          <c:idx val="0"/>
          <c:order val="0"/>
          <c:spPr>
            <a:solidFill>
              <a:schemeClr val="accent5">
                <a:lumMod val="60000"/>
                <a:lumOff val="40000"/>
              </a:schemeClr>
            </a:solidFill>
          </c:spPr>
          <c:cat>
            <c:strRef>
              <c:f>'world POP new'!$C$271:$C$280</c:f>
              <c:strCache>
                <c:ptCount val="10"/>
                <c:pt idx="0">
                  <c:v>Palau</c:v>
                </c:pt>
                <c:pt idx="1">
                  <c:v>Cook Islands</c:v>
                </c:pt>
                <c:pt idx="2">
                  <c:v>Anguilla</c:v>
                </c:pt>
                <c:pt idx="3">
                  <c:v>Nauru</c:v>
                </c:pt>
                <c:pt idx="4">
                  <c:v>Wallis and Futuna</c:v>
                </c:pt>
                <c:pt idx="5">
                  <c:v>Tuvalu</c:v>
                </c:pt>
                <c:pt idx="6">
                  <c:v>Saint Barthelemy</c:v>
                </c:pt>
                <c:pt idx="7">
                  <c:v>Saint Pierre and Miquelon</c:v>
                </c:pt>
                <c:pt idx="8">
                  <c:v>Montserrat</c:v>
                </c:pt>
                <c:pt idx="9">
                  <c:v>Falkland Islands</c:v>
                </c:pt>
              </c:strCache>
            </c:strRef>
          </c:cat>
          <c:val>
            <c:numRef>
              <c:f>'world POP new'!$D$271:$D$280</c:f>
              <c:numCache>
                <c:formatCode>#,##0</c:formatCode>
                <c:ptCount val="10"/>
                <c:pt idx="0">
                  <c:v>11366</c:v>
                </c:pt>
                <c:pt idx="1">
                  <c:v>20470</c:v>
                </c:pt>
                <c:pt idx="2">
                  <c:v>6283</c:v>
                </c:pt>
                <c:pt idx="3">
                  <c:v>6663</c:v>
                </c:pt>
                <c:pt idx="4">
                  <c:v>9377</c:v>
                </c:pt>
                <c:pt idx="5">
                  <c:v>5814</c:v>
                </c:pt>
                <c:pt idx="6">
                  <c:v>2417</c:v>
                </c:pt>
                <c:pt idx="7">
                  <c:v>5537</c:v>
                </c:pt>
                <c:pt idx="8">
                  <c:v>11402</c:v>
                </c:pt>
                <c:pt idx="9">
                  <c:v>2274</c:v>
                </c:pt>
              </c:numCache>
            </c:numRef>
          </c:val>
        </c:ser>
        <c:ser>
          <c:idx val="1"/>
          <c:order val="1"/>
          <c:spPr>
            <a:solidFill>
              <a:schemeClr val="accent4">
                <a:lumMod val="60000"/>
                <a:lumOff val="40000"/>
              </a:schemeClr>
            </a:solidFill>
          </c:spPr>
          <c:cat>
            <c:strRef>
              <c:f>'world POP new'!$C$271:$C$280</c:f>
              <c:strCache>
                <c:ptCount val="10"/>
                <c:pt idx="0">
                  <c:v>Palau</c:v>
                </c:pt>
                <c:pt idx="1">
                  <c:v>Cook Islands</c:v>
                </c:pt>
                <c:pt idx="2">
                  <c:v>Anguilla</c:v>
                </c:pt>
                <c:pt idx="3">
                  <c:v>Nauru</c:v>
                </c:pt>
                <c:pt idx="4">
                  <c:v>Wallis and Futuna</c:v>
                </c:pt>
                <c:pt idx="5">
                  <c:v>Tuvalu</c:v>
                </c:pt>
                <c:pt idx="6">
                  <c:v>Saint Barthelemy</c:v>
                </c:pt>
                <c:pt idx="7">
                  <c:v>Saint Pierre and Miquelon</c:v>
                </c:pt>
                <c:pt idx="8">
                  <c:v>Montserrat</c:v>
                </c:pt>
                <c:pt idx="9">
                  <c:v>Falkland Islands</c:v>
                </c:pt>
              </c:strCache>
            </c:strRef>
          </c:cat>
          <c:val>
            <c:numRef>
              <c:f>'world POP new'!$E$271:$E$280</c:f>
              <c:numCache>
                <c:formatCode>#,##0</c:formatCode>
                <c:ptCount val="10"/>
                <c:pt idx="0">
                  <c:v>18055</c:v>
                </c:pt>
                <c:pt idx="1">
                  <c:v>17011</c:v>
                </c:pt>
                <c:pt idx="2">
                  <c:v>15857</c:v>
                </c:pt>
                <c:pt idx="3">
                  <c:v>12668</c:v>
                </c:pt>
                <c:pt idx="4">
                  <c:v>11572</c:v>
                </c:pt>
                <c:pt idx="5">
                  <c:v>11312</c:v>
                </c:pt>
                <c:pt idx="6">
                  <c:v>10967</c:v>
                </c:pt>
                <c:pt idx="7">
                  <c:v>5862</c:v>
                </c:pt>
                <c:pt idx="8">
                  <c:v>4390</c:v>
                </c:pt>
                <c:pt idx="9">
                  <c:v>3780</c:v>
                </c:pt>
              </c:numCache>
            </c:numRef>
          </c:val>
        </c:ser>
        <c:overlap val="100"/>
        <c:axId val="91556480"/>
        <c:axId val="91562368"/>
      </c:barChart>
      <c:catAx>
        <c:axId val="91556480"/>
        <c:scaling>
          <c:orientation val="minMax"/>
        </c:scaling>
        <c:axPos val="b"/>
        <c:tickLblPos val="nextTo"/>
        <c:crossAx val="91562368"/>
        <c:crosses val="autoZero"/>
        <c:auto val="1"/>
        <c:lblAlgn val="ctr"/>
        <c:lblOffset val="100"/>
      </c:catAx>
      <c:valAx>
        <c:axId val="91562368"/>
        <c:scaling>
          <c:orientation val="minMax"/>
        </c:scaling>
        <c:axPos val="l"/>
        <c:numFmt formatCode="#,##0" sourceLinked="1"/>
        <c:tickLblPos val="nextTo"/>
        <c:crossAx val="91556480"/>
        <c:crosses val="autoZero"/>
        <c:crossBetween val="between"/>
      </c:valAx>
    </c:plotArea>
    <c:plotVisOnly val="1"/>
  </c:chart>
  <c:spPr>
    <a:ln>
      <a:noFill/>
    </a:ln>
  </c:sp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plotArea>
      <c:layout/>
      <c:pieChart>
        <c:varyColors val="1"/>
        <c:ser>
          <c:idx val="0"/>
          <c:order val="0"/>
          <c:dPt>
            <c:idx val="0"/>
            <c:spPr>
              <a:solidFill>
                <a:schemeClr val="accent5">
                  <a:lumMod val="60000"/>
                  <a:lumOff val="40000"/>
                </a:schemeClr>
              </a:solidFill>
            </c:spPr>
          </c:dPt>
          <c:dPt>
            <c:idx val="1"/>
            <c:spPr>
              <a:solidFill>
                <a:schemeClr val="accent4">
                  <a:lumMod val="60000"/>
                  <a:lumOff val="40000"/>
                </a:schemeClr>
              </a:solidFill>
            </c:spPr>
          </c:dPt>
          <c:dPt>
            <c:idx val="5"/>
            <c:spPr>
              <a:solidFill>
                <a:schemeClr val="accent6">
                  <a:lumMod val="60000"/>
                  <a:lumOff val="40000"/>
                </a:schemeClr>
              </a:solidFill>
            </c:spPr>
          </c:dPt>
          <c:cat>
            <c:strRef>
              <c:f>'world POP new'!$P$265:$P$274</c:f>
              <c:strCache>
                <c:ptCount val="10"/>
                <c:pt idx="0">
                  <c:v>China</c:v>
                </c:pt>
                <c:pt idx="1">
                  <c:v>India</c:v>
                </c:pt>
                <c:pt idx="2">
                  <c:v>United States</c:v>
                </c:pt>
                <c:pt idx="3">
                  <c:v>Indonesia</c:v>
                </c:pt>
                <c:pt idx="4">
                  <c:v>Pakistan</c:v>
                </c:pt>
                <c:pt idx="5">
                  <c:v>Nigeria</c:v>
                </c:pt>
                <c:pt idx="6">
                  <c:v>Brazil</c:v>
                </c:pt>
                <c:pt idx="7">
                  <c:v>Bangladesh</c:v>
                </c:pt>
                <c:pt idx="8">
                  <c:v>Russia</c:v>
                </c:pt>
                <c:pt idx="9">
                  <c:v>Mexico</c:v>
                </c:pt>
              </c:strCache>
            </c:strRef>
          </c:cat>
          <c:val>
            <c:numRef>
              <c:f>'world POP new'!$Q$265:$Q$274</c:f>
              <c:numCache>
                <c:formatCode>#,##0</c:formatCode>
                <c:ptCount val="10"/>
                <c:pt idx="0">
                  <c:v>1551828934.968544</c:v>
                </c:pt>
                <c:pt idx="1">
                  <c:v>1635904139.6830502</c:v>
                </c:pt>
                <c:pt idx="2">
                  <c:v>366687531.82597935</c:v>
                </c:pt>
                <c:pt idx="3">
                  <c:v>315039029.47899222</c:v>
                </c:pt>
                <c:pt idx="4">
                  <c:v>291632561.39447314</c:v>
                </c:pt>
                <c:pt idx="5">
                  <c:v>269789756.0127489</c:v>
                </c:pt>
                <c:pt idx="6">
                  <c:v>243659617.58926103</c:v>
                </c:pt>
                <c:pt idx="7">
                  <c:v>197518173.29673558</c:v>
                </c:pt>
                <c:pt idx="8">
                  <c:v>147104029.86747962</c:v>
                </c:pt>
                <c:pt idx="9">
                  <c:v>147124688.80200571</c:v>
                </c:pt>
              </c:numCache>
            </c:numRef>
          </c:val>
        </c:ser>
        <c:firstSliceAng val="0"/>
      </c:pieChart>
    </c:plotArea>
    <c:legend>
      <c:legendPos val="r"/>
    </c:legend>
    <c:plotVisOnly val="1"/>
  </c:chart>
  <c:spPr>
    <a:ln>
      <a:noFill/>
    </a:ln>
  </c:sp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3.2208025161468493E-2"/>
          <c:y val="0.15381631739444446"/>
          <c:w val="0.53784733158355391"/>
          <c:h val="0.89797103312180326"/>
        </c:manualLayout>
      </c:layout>
      <c:pieChart>
        <c:varyColors val="1"/>
        <c:ser>
          <c:idx val="0"/>
          <c:order val="0"/>
          <c:explosion val="25"/>
          <c:dPt>
            <c:idx val="0"/>
            <c:spPr>
              <a:solidFill>
                <a:schemeClr val="accent5">
                  <a:lumMod val="60000"/>
                  <a:lumOff val="40000"/>
                </a:schemeClr>
              </a:solidFill>
            </c:spPr>
          </c:dPt>
          <c:dPt>
            <c:idx val="1"/>
            <c:spPr>
              <a:solidFill>
                <a:schemeClr val="accent4">
                  <a:lumMod val="60000"/>
                  <a:lumOff val="40000"/>
                </a:schemeClr>
              </a:solidFill>
            </c:spPr>
          </c:dPt>
          <c:cat>
            <c:strRef>
              <c:f>'world POP new'!$C$9:$C$239</c:f>
              <c:strCache>
                <c:ptCount val="231"/>
                <c:pt idx="0">
                  <c:v>China</c:v>
                </c:pt>
                <c:pt idx="1">
                  <c:v>India</c:v>
                </c:pt>
                <c:pt idx="2">
                  <c:v>United States</c:v>
                </c:pt>
                <c:pt idx="3">
                  <c:v>Indonesia</c:v>
                </c:pt>
                <c:pt idx="4">
                  <c:v>Pakistan</c:v>
                </c:pt>
                <c:pt idx="5">
                  <c:v>Nigeria</c:v>
                </c:pt>
                <c:pt idx="6">
                  <c:v>Brazil</c:v>
                </c:pt>
                <c:pt idx="7">
                  <c:v>Bangladesh</c:v>
                </c:pt>
                <c:pt idx="8">
                  <c:v>Russia</c:v>
                </c:pt>
                <c:pt idx="9">
                  <c:v>Mexico</c:v>
                </c:pt>
                <c:pt idx="10">
                  <c:v>Japan</c:v>
                </c:pt>
                <c:pt idx="11">
                  <c:v>Ethiopia</c:v>
                </c:pt>
                <c:pt idx="12">
                  <c:v>Philippines</c:v>
                </c:pt>
                <c:pt idx="13">
                  <c:v>Egypt</c:v>
                </c:pt>
                <c:pt idx="14">
                  <c:v>DR Congo</c:v>
                </c:pt>
                <c:pt idx="15">
                  <c:v>Vietnam</c:v>
                </c:pt>
                <c:pt idx="16">
                  <c:v>Iran</c:v>
                </c:pt>
                <c:pt idx="17">
                  <c:v>Turkey</c:v>
                </c:pt>
                <c:pt idx="18">
                  <c:v>Germany</c:v>
                </c:pt>
                <c:pt idx="19">
                  <c:v>Thailand</c:v>
                </c:pt>
                <c:pt idx="20">
                  <c:v>United Kingdom</c:v>
                </c:pt>
                <c:pt idx="21">
                  <c:v>Tanzania</c:v>
                </c:pt>
                <c:pt idx="22">
                  <c:v>France</c:v>
                </c:pt>
                <c:pt idx="23">
                  <c:v>South Africa</c:v>
                </c:pt>
                <c:pt idx="24">
                  <c:v>Italy</c:v>
                </c:pt>
                <c:pt idx="25">
                  <c:v>Myanmar</c:v>
                </c:pt>
                <c:pt idx="26">
                  <c:v>Kenya</c:v>
                </c:pt>
                <c:pt idx="27">
                  <c:v>Colombia</c:v>
                </c:pt>
                <c:pt idx="28">
                  <c:v>South Korea</c:v>
                </c:pt>
                <c:pt idx="29">
                  <c:v>Spain</c:v>
                </c:pt>
                <c:pt idx="30">
                  <c:v>Uganda</c:v>
                </c:pt>
                <c:pt idx="31">
                  <c:v>Sudan</c:v>
                </c:pt>
                <c:pt idx="32">
                  <c:v>Argentina</c:v>
                </c:pt>
                <c:pt idx="33">
                  <c:v>Algeria</c:v>
                </c:pt>
                <c:pt idx="34">
                  <c:v>Iraq</c:v>
                </c:pt>
                <c:pt idx="35">
                  <c:v>Afghanistan</c:v>
                </c:pt>
                <c:pt idx="36">
                  <c:v>Poland</c:v>
                </c:pt>
                <c:pt idx="37">
                  <c:v>Ukraine</c:v>
                </c:pt>
                <c:pt idx="38">
                  <c:v>Canada</c:v>
                </c:pt>
                <c:pt idx="39">
                  <c:v>Morocco</c:v>
                </c:pt>
                <c:pt idx="40">
                  <c:v>Saudi Arabia</c:v>
                </c:pt>
                <c:pt idx="41">
                  <c:v>Angola</c:v>
                </c:pt>
                <c:pt idx="42">
                  <c:v>Uzbekistan</c:v>
                </c:pt>
                <c:pt idx="43">
                  <c:v>Peru</c:v>
                </c:pt>
                <c:pt idx="44">
                  <c:v>Malaysia</c:v>
                </c:pt>
                <c:pt idx="45">
                  <c:v>Yemen</c:v>
                </c:pt>
                <c:pt idx="46">
                  <c:v>Ghana</c:v>
                </c:pt>
                <c:pt idx="47">
                  <c:v>Mozambique</c:v>
                </c:pt>
                <c:pt idx="48">
                  <c:v>Nepal</c:v>
                </c:pt>
                <c:pt idx="49">
                  <c:v>Madagascar</c:v>
                </c:pt>
                <c:pt idx="50">
                  <c:v>Venezuela</c:v>
                </c:pt>
                <c:pt idx="51">
                  <c:v>Ivory Coast</c:v>
                </c:pt>
                <c:pt idx="52">
                  <c:v>Cameroon</c:v>
                </c:pt>
                <c:pt idx="53">
                  <c:v>Niger</c:v>
                </c:pt>
                <c:pt idx="54">
                  <c:v>Australia</c:v>
                </c:pt>
                <c:pt idx="55">
                  <c:v>North Korea</c:v>
                </c:pt>
                <c:pt idx="56">
                  <c:v>Taiwan</c:v>
                </c:pt>
                <c:pt idx="57">
                  <c:v>Burkina Faso</c:v>
                </c:pt>
                <c:pt idx="58">
                  <c:v>Mali</c:v>
                </c:pt>
                <c:pt idx="59">
                  <c:v>Syria</c:v>
                </c:pt>
                <c:pt idx="60">
                  <c:v>Sri Lanka</c:v>
                </c:pt>
                <c:pt idx="61">
                  <c:v>Malawi</c:v>
                </c:pt>
                <c:pt idx="62">
                  <c:v>Zambia</c:v>
                </c:pt>
                <c:pt idx="63">
                  <c:v>Romania</c:v>
                </c:pt>
                <c:pt idx="64">
                  <c:v>Chile</c:v>
                </c:pt>
                <c:pt idx="65">
                  <c:v>Kazakhstan</c:v>
                </c:pt>
                <c:pt idx="66">
                  <c:v>Ecuador</c:v>
                </c:pt>
                <c:pt idx="67">
                  <c:v>Guatemala</c:v>
                </c:pt>
                <c:pt idx="68">
                  <c:v>Chad</c:v>
                </c:pt>
                <c:pt idx="69">
                  <c:v>Somalia</c:v>
                </c:pt>
                <c:pt idx="70">
                  <c:v>Netherlands</c:v>
                </c:pt>
                <c:pt idx="71">
                  <c:v>Senegal</c:v>
                </c:pt>
                <c:pt idx="72">
                  <c:v>Cambodia</c:v>
                </c:pt>
                <c:pt idx="73">
                  <c:v>Zimbabwe</c:v>
                </c:pt>
                <c:pt idx="74">
                  <c:v>Guinea</c:v>
                </c:pt>
                <c:pt idx="75">
                  <c:v>Rwanda</c:v>
                </c:pt>
                <c:pt idx="76">
                  <c:v>Benin</c:v>
                </c:pt>
                <c:pt idx="77">
                  <c:v>Burundi</c:v>
                </c:pt>
                <c:pt idx="78">
                  <c:v>Tunisia</c:v>
                </c:pt>
                <c:pt idx="79">
                  <c:v>Bolivia</c:v>
                </c:pt>
                <c:pt idx="80">
                  <c:v>Belgium</c:v>
                </c:pt>
                <c:pt idx="81">
                  <c:v>Haiti</c:v>
                </c:pt>
                <c:pt idx="82">
                  <c:v>Jordan</c:v>
                </c:pt>
                <c:pt idx="83">
                  <c:v>Dominican Republic</c:v>
                </c:pt>
                <c:pt idx="84">
                  <c:v>Cuba</c:v>
                </c:pt>
                <c:pt idx="85">
                  <c:v>South Sudan</c:v>
                </c:pt>
                <c:pt idx="86">
                  <c:v>Sweden</c:v>
                </c:pt>
                <c:pt idx="87">
                  <c:v>Czech Republic</c:v>
                </c:pt>
                <c:pt idx="88">
                  <c:v>Honduras</c:v>
                </c:pt>
                <c:pt idx="89">
                  <c:v>Greece</c:v>
                </c:pt>
                <c:pt idx="90">
                  <c:v>Azerbaijan</c:v>
                </c:pt>
                <c:pt idx="91">
                  <c:v>Portugal</c:v>
                </c:pt>
                <c:pt idx="92">
                  <c:v>Papua New Guinea</c:v>
                </c:pt>
                <c:pt idx="93">
                  <c:v>Hungary</c:v>
                </c:pt>
                <c:pt idx="94">
                  <c:v>Tajikistan</c:v>
                </c:pt>
                <c:pt idx="95">
                  <c:v>Belarus</c:v>
                </c:pt>
                <c:pt idx="96">
                  <c:v>United Arab Emirates</c:v>
                </c:pt>
                <c:pt idx="97">
                  <c:v>Israel</c:v>
                </c:pt>
                <c:pt idx="98">
                  <c:v>Austria</c:v>
                </c:pt>
                <c:pt idx="99">
                  <c:v>Togo</c:v>
                </c:pt>
                <c:pt idx="100">
                  <c:v>Switzerland</c:v>
                </c:pt>
                <c:pt idx="101">
                  <c:v>Sierra Leone</c:v>
                </c:pt>
                <c:pt idx="102">
                  <c:v>Laos</c:v>
                </c:pt>
                <c:pt idx="103">
                  <c:v>Hong Kong</c:v>
                </c:pt>
                <c:pt idx="104">
                  <c:v>Serbia</c:v>
                </c:pt>
                <c:pt idx="105">
                  <c:v>Nicaragua</c:v>
                </c:pt>
                <c:pt idx="106">
                  <c:v>Libya</c:v>
                </c:pt>
                <c:pt idx="107">
                  <c:v>Bulgaria</c:v>
                </c:pt>
                <c:pt idx="108">
                  <c:v>Paraguay</c:v>
                </c:pt>
                <c:pt idx="109">
                  <c:v>Kyrgyzstan</c:v>
                </c:pt>
                <c:pt idx="110">
                  <c:v>Turkmenistan</c:v>
                </c:pt>
                <c:pt idx="111">
                  <c:v>El Salvador</c:v>
                </c:pt>
                <c:pt idx="112">
                  <c:v>Singapore</c:v>
                </c:pt>
                <c:pt idx="113">
                  <c:v>Republic of the Congo</c:v>
                </c:pt>
                <c:pt idx="114">
                  <c:v>Denmark</c:v>
                </c:pt>
                <c:pt idx="115">
                  <c:v>Slovakia</c:v>
                </c:pt>
                <c:pt idx="116">
                  <c:v>Central African Republic</c:v>
                </c:pt>
                <c:pt idx="117">
                  <c:v>Finland</c:v>
                </c:pt>
                <c:pt idx="118">
                  <c:v>Lebanon</c:v>
                </c:pt>
                <c:pt idx="119">
                  <c:v>Norway</c:v>
                </c:pt>
                <c:pt idx="120">
                  <c:v>Liberia</c:v>
                </c:pt>
                <c:pt idx="121">
                  <c:v>Palestine</c:v>
                </c:pt>
                <c:pt idx="122">
                  <c:v>New Zealand</c:v>
                </c:pt>
                <c:pt idx="123">
                  <c:v>Costa Rica</c:v>
                </c:pt>
                <c:pt idx="124">
                  <c:v>Ireland</c:v>
                </c:pt>
                <c:pt idx="125">
                  <c:v>Mauritania</c:v>
                </c:pt>
                <c:pt idx="126">
                  <c:v>Oman</c:v>
                </c:pt>
                <c:pt idx="127">
                  <c:v>Panama</c:v>
                </c:pt>
                <c:pt idx="128">
                  <c:v>Kuwait</c:v>
                </c:pt>
                <c:pt idx="129">
                  <c:v>Croatia</c:v>
                </c:pt>
                <c:pt idx="130">
                  <c:v>Georgia</c:v>
                </c:pt>
                <c:pt idx="131">
                  <c:v>Eritrea</c:v>
                </c:pt>
                <c:pt idx="132">
                  <c:v>Uruguay</c:v>
                </c:pt>
                <c:pt idx="133">
                  <c:v>Mongolia</c:v>
                </c:pt>
                <c:pt idx="134">
                  <c:v>Moldova</c:v>
                </c:pt>
                <c:pt idx="135">
                  <c:v>Puerto Rico</c:v>
                </c:pt>
                <c:pt idx="136">
                  <c:v>Bosnia and Herzegovina</c:v>
                </c:pt>
                <c:pt idx="137">
                  <c:v>Albania</c:v>
                </c:pt>
                <c:pt idx="138">
                  <c:v>Jamaica</c:v>
                </c:pt>
                <c:pt idx="139">
                  <c:v>Armenia</c:v>
                </c:pt>
                <c:pt idx="140">
                  <c:v>Lithuania</c:v>
                </c:pt>
                <c:pt idx="141">
                  <c:v>Gambia</c:v>
                </c:pt>
                <c:pt idx="142">
                  <c:v>Qatar</c:v>
                </c:pt>
                <c:pt idx="143">
                  <c:v>Botswana</c:v>
                </c:pt>
                <c:pt idx="144">
                  <c:v>Namibia</c:v>
                </c:pt>
                <c:pt idx="145">
                  <c:v>Gabon</c:v>
                </c:pt>
                <c:pt idx="146">
                  <c:v>Lesotho</c:v>
                </c:pt>
                <c:pt idx="147">
                  <c:v>Slovenia</c:v>
                </c:pt>
                <c:pt idx="148">
                  <c:v>Guinea-Bissau</c:v>
                </c:pt>
                <c:pt idx="149">
                  <c:v>North Macedonia</c:v>
                </c:pt>
                <c:pt idx="150">
                  <c:v>Latvia</c:v>
                </c:pt>
                <c:pt idx="151">
                  <c:v>Equatorial Guinea</c:v>
                </c:pt>
                <c:pt idx="152">
                  <c:v>Trinidad and Tobago</c:v>
                </c:pt>
                <c:pt idx="153">
                  <c:v>Bahrain</c:v>
                </c:pt>
                <c:pt idx="154">
                  <c:v>Timor-Leste</c:v>
                </c:pt>
                <c:pt idx="155">
                  <c:v>Estonia</c:v>
                </c:pt>
                <c:pt idx="156">
                  <c:v>Mauritius</c:v>
                </c:pt>
                <c:pt idx="157">
                  <c:v>Cyprus</c:v>
                </c:pt>
                <c:pt idx="158">
                  <c:v>Eswatini</c:v>
                </c:pt>
                <c:pt idx="159">
                  <c:v>Djibouti</c:v>
                </c:pt>
                <c:pt idx="160">
                  <c:v>Reunion</c:v>
                </c:pt>
                <c:pt idx="161">
                  <c:v>Fiji</c:v>
                </c:pt>
                <c:pt idx="162">
                  <c:v>Comoros</c:v>
                </c:pt>
                <c:pt idx="163">
                  <c:v>Guyana</c:v>
                </c:pt>
                <c:pt idx="164">
                  <c:v>Bhutan</c:v>
                </c:pt>
                <c:pt idx="165">
                  <c:v>Solomon Islands</c:v>
                </c:pt>
                <c:pt idx="166">
                  <c:v>Macau</c:v>
                </c:pt>
                <c:pt idx="167">
                  <c:v>Luxembourg</c:v>
                </c:pt>
                <c:pt idx="168">
                  <c:v>Montenegro</c:v>
                </c:pt>
                <c:pt idx="169">
                  <c:v>Suriname</c:v>
                </c:pt>
                <c:pt idx="170">
                  <c:v>Cape Verde</c:v>
                </c:pt>
                <c:pt idx="171">
                  <c:v>Western Sahara</c:v>
                </c:pt>
                <c:pt idx="172">
                  <c:v>Malta</c:v>
                </c:pt>
                <c:pt idx="173">
                  <c:v>Maldives</c:v>
                </c:pt>
                <c:pt idx="174">
                  <c:v>Brunei</c:v>
                </c:pt>
                <c:pt idx="175">
                  <c:v>Bahamas</c:v>
                </c:pt>
                <c:pt idx="176">
                  <c:v>Belize</c:v>
                </c:pt>
                <c:pt idx="177">
                  <c:v>Guadeloupe</c:v>
                </c:pt>
                <c:pt idx="178">
                  <c:v>Iceland</c:v>
                </c:pt>
                <c:pt idx="179">
                  <c:v>Martinique</c:v>
                </c:pt>
                <c:pt idx="180">
                  <c:v>Vanuatu</c:v>
                </c:pt>
                <c:pt idx="181">
                  <c:v>Mayotte</c:v>
                </c:pt>
                <c:pt idx="182">
                  <c:v>French Polynesia</c:v>
                </c:pt>
                <c:pt idx="183">
                  <c:v>French Guiana</c:v>
                </c:pt>
                <c:pt idx="184">
                  <c:v>New Caledonia</c:v>
                </c:pt>
                <c:pt idx="185">
                  <c:v>Barbados</c:v>
                </c:pt>
                <c:pt idx="186">
                  <c:v>Sao Tome and Principe</c:v>
                </c:pt>
                <c:pt idx="187">
                  <c:v>Samoa</c:v>
                </c:pt>
                <c:pt idx="188">
                  <c:v>Curacao</c:v>
                </c:pt>
                <c:pt idx="189">
                  <c:v>Saint Lucia</c:v>
                </c:pt>
                <c:pt idx="190">
                  <c:v>Guam</c:v>
                </c:pt>
                <c:pt idx="191">
                  <c:v>Kiribati</c:v>
                </c:pt>
                <c:pt idx="192">
                  <c:v>Grenada</c:v>
                </c:pt>
                <c:pt idx="193">
                  <c:v>Micronesia</c:v>
                </c:pt>
                <c:pt idx="194">
                  <c:v>Jersey</c:v>
                </c:pt>
                <c:pt idx="195">
                  <c:v>Seychelles</c:v>
                </c:pt>
                <c:pt idx="196">
                  <c:v>Tonga</c:v>
                </c:pt>
                <c:pt idx="197">
                  <c:v>Aruba</c:v>
                </c:pt>
                <c:pt idx="198">
                  <c:v>Saint Vincent and the Grenadines</c:v>
                </c:pt>
                <c:pt idx="199">
                  <c:v>United States Virgin Islands</c:v>
                </c:pt>
                <c:pt idx="200">
                  <c:v>Antigua and Barbuda</c:v>
                </c:pt>
                <c:pt idx="201">
                  <c:v>Isle of Man</c:v>
                </c:pt>
                <c:pt idx="202">
                  <c:v>Andorra</c:v>
                </c:pt>
                <c:pt idx="203">
                  <c:v>Dominica</c:v>
                </c:pt>
                <c:pt idx="204">
                  <c:v>Cayman Islands</c:v>
                </c:pt>
                <c:pt idx="205">
                  <c:v>Bermuda</c:v>
                </c:pt>
                <c:pt idx="206">
                  <c:v>Guernsey</c:v>
                </c:pt>
                <c:pt idx="207">
                  <c:v>Greenland</c:v>
                </c:pt>
                <c:pt idx="208">
                  <c:v>Faroe Islands</c:v>
                </c:pt>
                <c:pt idx="209">
                  <c:v>Northern Mariana Islands</c:v>
                </c:pt>
                <c:pt idx="210">
                  <c:v>Saint Kitts and Nevis</c:v>
                </c:pt>
                <c:pt idx="211">
                  <c:v>Turks and Caicos Islands</c:v>
                </c:pt>
                <c:pt idx="212">
                  <c:v>American Samoa</c:v>
                </c:pt>
                <c:pt idx="213">
                  <c:v>Sint Maarten</c:v>
                </c:pt>
                <c:pt idx="214">
                  <c:v>Marshall Islands</c:v>
                </c:pt>
                <c:pt idx="215">
                  <c:v>Liechtenstein</c:v>
                </c:pt>
                <c:pt idx="216">
                  <c:v>Monaco</c:v>
                </c:pt>
                <c:pt idx="217">
                  <c:v>San Marino</c:v>
                </c:pt>
                <c:pt idx="218">
                  <c:v>Gibraltar</c:v>
                </c:pt>
                <c:pt idx="219">
                  <c:v>Saint Martin</c:v>
                </c:pt>
                <c:pt idx="220">
                  <c:v>British Virgin Islands</c:v>
                </c:pt>
                <c:pt idx="221">
                  <c:v>Palau</c:v>
                </c:pt>
                <c:pt idx="222">
                  <c:v>Cook Islands</c:v>
                </c:pt>
                <c:pt idx="223">
                  <c:v>Anguilla</c:v>
                </c:pt>
                <c:pt idx="224">
                  <c:v>Nauru</c:v>
                </c:pt>
                <c:pt idx="225">
                  <c:v>Wallis and Futuna</c:v>
                </c:pt>
                <c:pt idx="226">
                  <c:v>Tuvalu</c:v>
                </c:pt>
                <c:pt idx="227">
                  <c:v>Saint Barthelemy</c:v>
                </c:pt>
                <c:pt idx="228">
                  <c:v>Saint Pierre and Miquelon</c:v>
                </c:pt>
                <c:pt idx="229">
                  <c:v>Montserrat</c:v>
                </c:pt>
                <c:pt idx="230">
                  <c:v>Falkland Islands</c:v>
                </c:pt>
              </c:strCache>
            </c:strRef>
          </c:cat>
          <c:val>
            <c:numRef>
              <c:f>'world POP new'!$AC$9:$AC$239</c:f>
              <c:numCache>
                <c:formatCode>#,##0</c:formatCode>
                <c:ptCount val="231"/>
                <c:pt idx="0">
                  <c:v>1551828934.968544</c:v>
                </c:pt>
                <c:pt idx="1">
                  <c:v>1635904139.6830502</c:v>
                </c:pt>
                <c:pt idx="2">
                  <c:v>366687531.82597935</c:v>
                </c:pt>
                <c:pt idx="3">
                  <c:v>315039029.47899222</c:v>
                </c:pt>
                <c:pt idx="4">
                  <c:v>291632561.39447314</c:v>
                </c:pt>
                <c:pt idx="5">
                  <c:v>269789756.0127489</c:v>
                </c:pt>
                <c:pt idx="6">
                  <c:v>243659617.58926103</c:v>
                </c:pt>
                <c:pt idx="7">
                  <c:v>197518173.29673558</c:v>
                </c:pt>
                <c:pt idx="8">
                  <c:v>147104029.86747962</c:v>
                </c:pt>
                <c:pt idx="9">
                  <c:v>147124688.80200571</c:v>
                </c:pt>
                <c:pt idx="10">
                  <c:v>127079172.43112041</c:v>
                </c:pt>
                <c:pt idx="11">
                  <c:v>154740215.18156964</c:v>
                </c:pt>
                <c:pt idx="12">
                  <c:v>137440412.776878</c:v>
                </c:pt>
                <c:pt idx="13">
                  <c:v>132681975.17534956</c:v>
                </c:pt>
                <c:pt idx="14">
                  <c:v>126486517.37019223</c:v>
                </c:pt>
                <c:pt idx="15">
                  <c:v>111919490.69188842</c:v>
                </c:pt>
                <c:pt idx="16">
                  <c:v>105452041.25448719</c:v>
                </c:pt>
                <c:pt idx="17">
                  <c:v>97653217.925157338</c:v>
                </c:pt>
                <c:pt idx="18">
                  <c:v>84179334.199335158</c:v>
                </c:pt>
                <c:pt idx="19">
                  <c:v>79784659.580106884</c:v>
                </c:pt>
                <c:pt idx="20">
                  <c:v>69545359.321018413</c:v>
                </c:pt>
                <c:pt idx="21">
                  <c:v>83399969.795888051</c:v>
                </c:pt>
                <c:pt idx="22">
                  <c:v>67121293.355166793</c:v>
                </c:pt>
                <c:pt idx="23">
                  <c:v>69693148.146362334</c:v>
                </c:pt>
                <c:pt idx="24">
                  <c:v>59969233.617254011</c:v>
                </c:pt>
                <c:pt idx="25">
                  <c:v>60209890.846793354</c:v>
                </c:pt>
                <c:pt idx="26">
                  <c:v>68571420.960145816</c:v>
                </c:pt>
                <c:pt idx="27">
                  <c:v>59658477.774963975</c:v>
                </c:pt>
                <c:pt idx="28">
                  <c:v>55644298.381099999</c:v>
                </c:pt>
                <c:pt idx="29">
                  <c:v>50125793.441954114</c:v>
                </c:pt>
                <c:pt idx="30">
                  <c:v>59712467.856974214</c:v>
                </c:pt>
                <c:pt idx="31">
                  <c:v>58338843.754403695</c:v>
                </c:pt>
                <c:pt idx="32">
                  <c:v>50269269.197278813</c:v>
                </c:pt>
                <c:pt idx="33">
                  <c:v>53842825.844475999</c:v>
                </c:pt>
                <c:pt idx="34">
                  <c:v>56148292.151042223</c:v>
                </c:pt>
                <c:pt idx="35">
                  <c:v>50556750.998569138</c:v>
                </c:pt>
                <c:pt idx="36">
                  <c:v>41131594.252485603</c:v>
                </c:pt>
                <c:pt idx="37">
                  <c:v>38649050.696095534</c:v>
                </c:pt>
                <c:pt idx="38">
                  <c:v>42072278.250332236</c:v>
                </c:pt>
                <c:pt idx="39">
                  <c:v>43001129.359314136</c:v>
                </c:pt>
                <c:pt idx="40">
                  <c:v>47918639.99880489</c:v>
                </c:pt>
                <c:pt idx="41">
                  <c:v>46766414.648055471</c:v>
                </c:pt>
                <c:pt idx="42">
                  <c:v>40753625.296136275</c:v>
                </c:pt>
                <c:pt idx="43">
                  <c:v>39229782.327483855</c:v>
                </c:pt>
                <c:pt idx="44">
                  <c:v>40767716.431266837</c:v>
                </c:pt>
                <c:pt idx="45">
                  <c:v>43061994.400494859</c:v>
                </c:pt>
                <c:pt idx="46">
                  <c:v>41070754.745388366</c:v>
                </c:pt>
                <c:pt idx="47">
                  <c:v>40679794.105554961</c:v>
                </c:pt>
                <c:pt idx="48">
                  <c:v>35048749.459509827</c:v>
                </c:pt>
                <c:pt idx="49">
                  <c:v>37269851.474637695</c:v>
                </c:pt>
                <c:pt idx="50">
                  <c:v>32570839.111810375</c:v>
                </c:pt>
                <c:pt idx="51">
                  <c:v>36227610.835007899</c:v>
                </c:pt>
                <c:pt idx="52">
                  <c:v>34969494.084746525</c:v>
                </c:pt>
                <c:pt idx="53">
                  <c:v>34173258.148021735</c:v>
                </c:pt>
                <c:pt idx="54">
                  <c:v>29295968.526985019</c:v>
                </c:pt>
                <c:pt idx="55">
                  <c:v>28384055.221734833</c:v>
                </c:pt>
                <c:pt idx="56">
                  <c:v>25678603.235079452</c:v>
                </c:pt>
                <c:pt idx="57">
                  <c:v>28107406.777115144</c:v>
                </c:pt>
                <c:pt idx="58">
                  <c:v>27598552.509020422</c:v>
                </c:pt>
                <c:pt idx="59">
                  <c:v>26829665.904788747</c:v>
                </c:pt>
                <c:pt idx="60">
                  <c:v>23820617.490595493</c:v>
                </c:pt>
                <c:pt idx="61">
                  <c:v>25639845.433713548</c:v>
                </c:pt>
                <c:pt idx="62">
                  <c:v>25378142.996768147</c:v>
                </c:pt>
                <c:pt idx="63">
                  <c:v>19619061.598978303</c:v>
                </c:pt>
                <c:pt idx="64">
                  <c:v>21803404.916540649</c:v>
                </c:pt>
                <c:pt idx="65">
                  <c:v>20815381.774278793</c:v>
                </c:pt>
                <c:pt idx="66">
                  <c:v>21223298.186990805</c:v>
                </c:pt>
                <c:pt idx="67">
                  <c:v>21413901.865772016</c:v>
                </c:pt>
                <c:pt idx="68">
                  <c:v>22584191.83954256</c:v>
                </c:pt>
                <c:pt idx="69">
                  <c:v>22349393.744932052</c:v>
                </c:pt>
                <c:pt idx="70">
                  <c:v>18388023.281997673</c:v>
                </c:pt>
                <c:pt idx="71">
                  <c:v>21403749.676944744</c:v>
                </c:pt>
                <c:pt idx="72">
                  <c:v>19305670.315600477</c:v>
                </c:pt>
                <c:pt idx="73">
                  <c:v>19458848.240324359</c:v>
                </c:pt>
                <c:pt idx="74">
                  <c:v>16640094.678890163</c:v>
                </c:pt>
                <c:pt idx="75">
                  <c:v>16731215.359500004</c:v>
                </c:pt>
                <c:pt idx="76">
                  <c:v>16780943.314374428</c:v>
                </c:pt>
                <c:pt idx="77">
                  <c:v>15753721.379877284</c:v>
                </c:pt>
                <c:pt idx="78">
                  <c:v>14180761.141377095</c:v>
                </c:pt>
                <c:pt idx="79">
                  <c:v>14214344.2674785</c:v>
                </c:pt>
                <c:pt idx="80">
                  <c:v>12003510.652916769</c:v>
                </c:pt>
                <c:pt idx="81">
                  <c:v>13318209.445532529</c:v>
                </c:pt>
                <c:pt idx="82">
                  <c:v>15306100.354207354</c:v>
                </c:pt>
                <c:pt idx="83">
                  <c:v>12935672.743289545</c:v>
                </c:pt>
                <c:pt idx="84">
                  <c:v>11623841.261161704</c:v>
                </c:pt>
                <c:pt idx="85">
                  <c:v>13092145.685397675</c:v>
                </c:pt>
                <c:pt idx="86">
                  <c:v>11002136.125926141</c:v>
                </c:pt>
                <c:pt idx="87">
                  <c:v>10605739.367246088</c:v>
                </c:pt>
                <c:pt idx="88">
                  <c:v>12784981.552210495</c:v>
                </c:pt>
                <c:pt idx="89">
                  <c:v>10701286.89684343</c:v>
                </c:pt>
                <c:pt idx="90">
                  <c:v>11441614.213410061</c:v>
                </c:pt>
                <c:pt idx="91">
                  <c:v>10539579.312886097</c:v>
                </c:pt>
                <c:pt idx="92">
                  <c:v>12589658.382750688</c:v>
                </c:pt>
                <c:pt idx="93">
                  <c:v>9914813.0660536345</c:v>
                </c:pt>
                <c:pt idx="94">
                  <c:v>11973663.636872878</c:v>
                </c:pt>
                <c:pt idx="95">
                  <c:v>9592249.2450500727</c:v>
                </c:pt>
                <c:pt idx="96">
                  <c:v>16065660.605864078</c:v>
                </c:pt>
                <c:pt idx="97">
                  <c:v>10761460.837788058</c:v>
                </c:pt>
                <c:pt idx="98">
                  <c:v>9190956.1847135276</c:v>
                </c:pt>
                <c:pt idx="99">
                  <c:v>10963577.561044551</c:v>
                </c:pt>
                <c:pt idx="100">
                  <c:v>9218974.3763720207</c:v>
                </c:pt>
                <c:pt idx="101">
                  <c:v>10240487.182985513</c:v>
                </c:pt>
                <c:pt idx="102">
                  <c:v>8828814.3095706273</c:v>
                </c:pt>
                <c:pt idx="103">
                  <c:v>8261742.0971818697</c:v>
                </c:pt>
                <c:pt idx="104">
                  <c:v>7225656.3933930043</c:v>
                </c:pt>
                <c:pt idx="105">
                  <c:v>8159736.4664468272</c:v>
                </c:pt>
                <c:pt idx="106">
                  <c:v>8284927.5539175384</c:v>
                </c:pt>
                <c:pt idx="107">
                  <c:v>6540622.9384836387</c:v>
                </c:pt>
                <c:pt idx="108">
                  <c:v>7951113.5558558302</c:v>
                </c:pt>
                <c:pt idx="109">
                  <c:v>7484798.9099354297</c:v>
                </c:pt>
                <c:pt idx="110">
                  <c:v>7583806.4202278154</c:v>
                </c:pt>
                <c:pt idx="111">
                  <c:v>6906594.9013726404</c:v>
                </c:pt>
                <c:pt idx="112">
                  <c:v>7038589.9840034451</c:v>
                </c:pt>
                <c:pt idx="113">
                  <c:v>7465402.0783296572</c:v>
                </c:pt>
                <c:pt idx="114">
                  <c:v>6045598.8167916741</c:v>
                </c:pt>
                <c:pt idx="115">
                  <c:v>5838944.0234303828</c:v>
                </c:pt>
                <c:pt idx="116">
                  <c:v>6499780.5547455223</c:v>
                </c:pt>
                <c:pt idx="117">
                  <c:v>5700388.0595420795</c:v>
                </c:pt>
                <c:pt idx="118">
                  <c:v>6242286.6006652694</c:v>
                </c:pt>
                <c:pt idx="119">
                  <c:v>5724421.7826597234</c:v>
                </c:pt>
                <c:pt idx="120">
                  <c:v>6464105.5144605143</c:v>
                </c:pt>
                <c:pt idx="121">
                  <c:v>6660286.7615570519</c:v>
                </c:pt>
                <c:pt idx="122">
                  <c:v>5693413.1451278459</c:v>
                </c:pt>
                <c:pt idx="123">
                  <c:v>6067336.1496804915</c:v>
                </c:pt>
                <c:pt idx="124">
                  <c:v>5455252.1470924178</c:v>
                </c:pt>
                <c:pt idx="125">
                  <c:v>5910618.0226108879</c:v>
                </c:pt>
                <c:pt idx="126">
                  <c:v>6149227.08674883</c:v>
                </c:pt>
                <c:pt idx="127">
                  <c:v>5195335.0224666083</c:v>
                </c:pt>
                <c:pt idx="128">
                  <c:v>5520284.4521885049</c:v>
                </c:pt>
                <c:pt idx="129">
                  <c:v>3963588.6673619393</c:v>
                </c:pt>
                <c:pt idx="130">
                  <c:v>3603965.3527595275</c:v>
                </c:pt>
                <c:pt idx="131">
                  <c:v>4338462.5296800788</c:v>
                </c:pt>
                <c:pt idx="132">
                  <c:v>3532094.7748015178</c:v>
                </c:pt>
                <c:pt idx="133">
                  <c:v>3942662.0970189213</c:v>
                </c:pt>
                <c:pt idx="134">
                  <c:v>3210342.3040139326</c:v>
                </c:pt>
                <c:pt idx="135">
                  <c:v>3339777.1123326663</c:v>
                </c:pt>
                <c:pt idx="136">
                  <c:v>3152227.702497303</c:v>
                </c:pt>
                <c:pt idx="137">
                  <c:v>2931594.8976944839</c:v>
                </c:pt>
                <c:pt idx="138">
                  <c:v>3015758.0875172019</c:v>
                </c:pt>
                <c:pt idx="139">
                  <c:v>2820394.6276821494</c:v>
                </c:pt>
                <c:pt idx="140">
                  <c:v>2685378.1464423887</c:v>
                </c:pt>
                <c:pt idx="141">
                  <c:v>3478704.5427371962</c:v>
                </c:pt>
                <c:pt idx="142">
                  <c:v>4361186.7549646823</c:v>
                </c:pt>
                <c:pt idx="143">
                  <c:v>3308419.8478173525</c:v>
                </c:pt>
                <c:pt idx="144">
                  <c:v>3099141.3421939993</c:v>
                </c:pt>
                <c:pt idx="145">
                  <c:v>2956960.8500438612</c:v>
                </c:pt>
                <c:pt idx="146">
                  <c:v>2612733.0857013557</c:v>
                </c:pt>
                <c:pt idx="147">
                  <c:v>2184980.4869516385</c:v>
                </c:pt>
                <c:pt idx="148">
                  <c:v>2559666.5294436016</c:v>
                </c:pt>
                <c:pt idx="149">
                  <c:v>2170343.92217858</c:v>
                </c:pt>
                <c:pt idx="150">
                  <c:v>1778399.6765626238</c:v>
                </c:pt>
                <c:pt idx="151">
                  <c:v>2163817.8696395331</c:v>
                </c:pt>
                <c:pt idx="152">
                  <c:v>1637547.0142926038</c:v>
                </c:pt>
                <c:pt idx="153">
                  <c:v>1968853.2506947599</c:v>
                </c:pt>
                <c:pt idx="154">
                  <c:v>1536743.2236883126</c:v>
                </c:pt>
                <c:pt idx="155">
                  <c:v>1320618.0259454139</c:v>
                </c:pt>
                <c:pt idx="156">
                  <c:v>1392222.475928002</c:v>
                </c:pt>
                <c:pt idx="157">
                  <c:v>1387234.8597896565</c:v>
                </c:pt>
                <c:pt idx="158">
                  <c:v>1401133.9587954346</c:v>
                </c:pt>
                <c:pt idx="159">
                  <c:v>1536302.7685068063</c:v>
                </c:pt>
                <c:pt idx="160">
                  <c:v>1088219.1817271386</c:v>
                </c:pt>
                <c:pt idx="161">
                  <c:v>1014439.3916984278</c:v>
                </c:pt>
                <c:pt idx="162">
                  <c:v>1012517.5060731921</c:v>
                </c:pt>
                <c:pt idx="163">
                  <c:v>825938.66220488958</c:v>
                </c:pt>
                <c:pt idx="164">
                  <c:v>907315.15694639389</c:v>
                </c:pt>
                <c:pt idx="165">
                  <c:v>902894.49977462739</c:v>
                </c:pt>
                <c:pt idx="166">
                  <c:v>814986.37864756293</c:v>
                </c:pt>
                <c:pt idx="167">
                  <c:v>715296.24805882538</c:v>
                </c:pt>
                <c:pt idx="168">
                  <c:v>643470.7102297683</c:v>
                </c:pt>
                <c:pt idx="169">
                  <c:v>666083.05575173523</c:v>
                </c:pt>
                <c:pt idx="170">
                  <c:v>663143.84722191351</c:v>
                </c:pt>
                <c:pt idx="171">
                  <c:v>785976.17459533049</c:v>
                </c:pt>
                <c:pt idx="172">
                  <c:v>578161.66556583403</c:v>
                </c:pt>
                <c:pt idx="173">
                  <c:v>654380.6932639404</c:v>
                </c:pt>
                <c:pt idx="174">
                  <c:v>541212.69618677069</c:v>
                </c:pt>
                <c:pt idx="175">
                  <c:v>465682.7384330986</c:v>
                </c:pt>
                <c:pt idx="176">
                  <c:v>488160.17274037749</c:v>
                </c:pt>
                <c:pt idx="177">
                  <c:v>409235.01460965245</c:v>
                </c:pt>
                <c:pt idx="178">
                  <c:v>409015.5449966169</c:v>
                </c:pt>
                <c:pt idx="179">
                  <c:v>374270.27859506436</c:v>
                </c:pt>
                <c:pt idx="180">
                  <c:v>400498.12930384523</c:v>
                </c:pt>
                <c:pt idx="181">
                  <c:v>458929.09180025489</c:v>
                </c:pt>
                <c:pt idx="182">
                  <c:v>354737.79470259399</c:v>
                </c:pt>
                <c:pt idx="183">
                  <c:v>406689.73951566103</c:v>
                </c:pt>
                <c:pt idx="184">
                  <c:v>336114.93897727871</c:v>
                </c:pt>
                <c:pt idx="185">
                  <c:v>288394.75477267464</c:v>
                </c:pt>
                <c:pt idx="186">
                  <c:v>268284.89083965658</c:v>
                </c:pt>
                <c:pt idx="187">
                  <c:v>238072.26600997828</c:v>
                </c:pt>
                <c:pt idx="188">
                  <c:v>198351.04901817944</c:v>
                </c:pt>
                <c:pt idx="189">
                  <c:v>195935.72260839352</c:v>
                </c:pt>
                <c:pt idx="190">
                  <c:v>190291.09429753316</c:v>
                </c:pt>
                <c:pt idx="191">
                  <c:v>149020.88290696495</c:v>
                </c:pt>
                <c:pt idx="192">
                  <c:v>130131.59240434022</c:v>
                </c:pt>
                <c:pt idx="193">
                  <c:v>126370.53213302398</c:v>
                </c:pt>
                <c:pt idx="194">
                  <c:v>119321.93816972879</c:v>
                </c:pt>
                <c:pt idx="195">
                  <c:v>118893.89885318336</c:v>
                </c:pt>
                <c:pt idx="196">
                  <c:v>110392.88505747827</c:v>
                </c:pt>
                <c:pt idx="197">
                  <c:v>116528.455141599</c:v>
                </c:pt>
                <c:pt idx="198">
                  <c:v>104819.20548267875</c:v>
                </c:pt>
                <c:pt idx="199">
                  <c:v>106588.71246948667</c:v>
                </c:pt>
                <c:pt idx="200">
                  <c:v>99314.024401949122</c:v>
                </c:pt>
                <c:pt idx="201">
                  <c:v>90219.356099515091</c:v>
                </c:pt>
                <c:pt idx="202">
                  <c:v>98873.5876978749</c:v>
                </c:pt>
                <c:pt idx="203">
                  <c:v>73346.801819797736</c:v>
                </c:pt>
                <c:pt idx="204">
                  <c:v>91683.993911917991</c:v>
                </c:pt>
                <c:pt idx="205">
                  <c:v>66292.975837932274</c:v>
                </c:pt>
                <c:pt idx="206">
                  <c:v>65119.720163817343</c:v>
                </c:pt>
                <c:pt idx="207">
                  <c:v>58386.310361963486</c:v>
                </c:pt>
                <c:pt idx="208">
                  <c:v>55799.229183872725</c:v>
                </c:pt>
                <c:pt idx="209">
                  <c:v>63246.265194944724</c:v>
                </c:pt>
                <c:pt idx="210">
                  <c:v>48084.729947281769</c:v>
                </c:pt>
                <c:pt idx="211">
                  <c:v>63014.995235941606</c:v>
                </c:pt>
                <c:pt idx="212">
                  <c:v>47752.481964859922</c:v>
                </c:pt>
                <c:pt idx="213">
                  <c:v>59666.52520918363</c:v>
                </c:pt>
                <c:pt idx="214">
                  <c:v>45243.606585172216</c:v>
                </c:pt>
                <c:pt idx="215">
                  <c:v>43283.955920180335</c:v>
                </c:pt>
                <c:pt idx="216">
                  <c:v>38826.851497251002</c:v>
                </c:pt>
                <c:pt idx="217">
                  <c:v>37009.354431729269</c:v>
                </c:pt>
                <c:pt idx="218">
                  <c:v>33678.071821554455</c:v>
                </c:pt>
                <c:pt idx="219">
                  <c:v>41300.414882640791</c:v>
                </c:pt>
                <c:pt idx="220">
                  <c:v>37559.676379235963</c:v>
                </c:pt>
                <c:pt idx="221">
                  <c:v>19387.374823753034</c:v>
                </c:pt>
                <c:pt idx="222">
                  <c:v>16533.410937483743</c:v>
                </c:pt>
                <c:pt idx="223">
                  <c:v>18284.179767999249</c:v>
                </c:pt>
                <c:pt idx="224">
                  <c:v>13984.180305602313</c:v>
                </c:pt>
                <c:pt idx="225">
                  <c:v>11952.573592778386</c:v>
                </c:pt>
                <c:pt idx="226">
                  <c:v>12531.724475316094</c:v>
                </c:pt>
                <c:pt idx="227">
                  <c:v>13839.988183588259</c:v>
                </c:pt>
                <c:pt idx="228">
                  <c:v>5913.6658593664388</c:v>
                </c:pt>
                <c:pt idx="229">
                  <c:v>3790.4672485894012</c:v>
                </c:pt>
                <c:pt idx="230">
                  <c:v>4087.3878728958348</c:v>
                </c:pt>
              </c:numCache>
            </c:numRef>
          </c:val>
        </c:ser>
        <c:firstSliceAng val="0"/>
      </c:pieChart>
    </c:plotArea>
    <c:legend>
      <c:legendPos val="r"/>
      <c:layout>
        <c:manualLayout>
          <c:xMode val="edge"/>
          <c:yMode val="edge"/>
          <c:x val="0.66390942540016262"/>
          <c:y val="6.517714486955524E-2"/>
          <c:w val="0.30148642454586255"/>
          <c:h val="0.93482278349924208"/>
        </c:manualLayout>
      </c:layout>
    </c:legend>
    <c:plotVisOnly val="1"/>
  </c:chart>
  <c:spPr>
    <a:ln>
      <a:noFill/>
    </a:ln>
  </c:sp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12</Pages>
  <Words>1675</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HPSEDC</dc:creator>
  <cp:lastModifiedBy>Shivalika Singh</cp:lastModifiedBy>
  <cp:revision>3</cp:revision>
  <dcterms:created xsi:type="dcterms:W3CDTF">2025-12-01T09:48:00Z</dcterms:created>
  <dcterms:modified xsi:type="dcterms:W3CDTF">2025-12-01T11:17:00Z</dcterms:modified>
</cp:coreProperties>
</file>