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48"/>
          <w:szCs w:val="48"/>
          <w:rFonts w:ascii="Times New Roman" w:cs="Times New Roman" w:eastAsia="Times New Roman" w:hAnsi="Times New Roman"/>
        </w:rPr>
        <w:t xml:space="preserve">Smart Traffic Control System Using Vehicle Density Analysis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Pr>
          <w:p>
            <w:pPr>
              <w:jc w:val="center"/>
            </w:pPr>
            <w:r>
              <w:rPr>
                <w:sz w:val="20"/>
                <w:szCs w:val="20"/>
                <w:rFonts w:ascii="Times New Roman" w:cs="Times New Roman" w:eastAsia="Times New Roman" w:hAnsi="Times New Roman"/>
              </w:rPr>
              <w:t xml:space="preserve">Madhav Goel</w:t>
            </w:r>
          </w:p>
          <w:p>
            <w:pPr>
              <w:jc w:val="center"/>
            </w:pPr>
            <w:r>
              <w:rPr>
                <w:i/>
                <w:iCs/>
                <w:sz w:val="18"/>
                <w:szCs w:val="18"/>
                <w:rFonts w:ascii="Times New Roman" w:cs="Times New Roman" w:eastAsia="Times New Roman" w:hAnsi="Times New Roman"/>
              </w:rPr>
              <w:t xml:space="preserve">Dept. of Information Technology</w:t>
            </w:r>
          </w:p>
          <w:p>
            <w:pPr>
              <w:jc w:val="center"/>
            </w:pPr>
            <w:r>
              <w:rPr>
                <w:i/>
                <w:iCs/>
                <w:sz w:val="18"/>
                <w:szCs w:val="18"/>
                <w:rFonts w:ascii="Times New Roman" w:cs="Times New Roman" w:eastAsia="Times New Roman" w:hAnsi="Times New Roman"/>
              </w:rPr>
              <w:t xml:space="preserve">Ajay Kumar Garg Engineering College</w:t>
            </w:r>
          </w:p>
          <w:p>
            <w:pPr>
              <w:jc w:val="center"/>
            </w:pPr>
            <w:r>
              <w:rPr>
                <w:i w:val="false"/>
                <w:iCs w:val="false"/>
                <w:sz w:val="18"/>
                <w:szCs w:val="18"/>
                <w:rFonts w:ascii="Times New Roman" w:cs="Times New Roman" w:eastAsia="Times New Roman" w:hAnsi="Times New Roman"/>
              </w:rPr>
              <w:t xml:space="preserve">Ghaziabad, India</w:t>
            </w:r>
          </w:p>
          <w:p/>
        </w:tc>
        <w:tc>
          <w:tcPr>
            <w:tcW w:type="dxa" w:w="3480"/>
            <w:tcBorders>
              <w:top w:val="none" w:color="FFFFFF" w:sz="0"/>
              <w:left w:val="none" w:color="FFFFFF" w:sz="0"/>
              <w:bottom w:val="none" w:color="FFFFFF" w:sz="0"/>
              <w:right w:val="none" w:color="FFFFFF" w:sz="0"/>
            </w:tcBorders>
          </w:tcPr>
          <w:p>
            <w:pPr>
              <w:jc w:val="center"/>
            </w:pPr>
            <w:r>
              <w:rPr>
                <w:sz w:val="20"/>
                <w:szCs w:val="20"/>
                <w:rFonts w:ascii="Times New Roman" w:cs="Times New Roman" w:eastAsia="Times New Roman" w:hAnsi="Times New Roman"/>
              </w:rPr>
              <w:t xml:space="preserve">Akash Varshney</w:t>
            </w:r>
          </w:p>
          <w:p>
            <w:pPr>
              <w:jc w:val="center"/>
            </w:pPr>
            <w:r>
              <w:rPr>
                <w:i/>
                <w:iCs/>
                <w:sz w:val="18"/>
                <w:szCs w:val="18"/>
                <w:rFonts w:ascii="Times New Roman" w:cs="Times New Roman" w:eastAsia="Times New Roman" w:hAnsi="Times New Roman"/>
              </w:rPr>
              <w:t xml:space="preserve">Dept. of Information Technology</w:t>
            </w:r>
          </w:p>
          <w:p>
            <w:pPr>
              <w:jc w:val="center"/>
            </w:pPr>
            <w:r>
              <w:rPr>
                <w:i/>
                <w:iCs/>
                <w:sz w:val="18"/>
                <w:szCs w:val="18"/>
                <w:rFonts w:ascii="Times New Roman" w:cs="Times New Roman" w:eastAsia="Times New Roman" w:hAnsi="Times New Roman"/>
              </w:rPr>
              <w:t xml:space="preserve">Ajay Kumar Garg Engineering College</w:t>
            </w:r>
          </w:p>
          <w:p>
            <w:pPr>
              <w:jc w:val="center"/>
            </w:pPr>
            <w:r>
              <w:rPr>
                <w:i w:val="false"/>
                <w:iCs w:val="false"/>
                <w:sz w:val="18"/>
                <w:szCs w:val="18"/>
                <w:rFonts w:ascii="Times New Roman" w:cs="Times New Roman" w:eastAsia="Times New Roman" w:hAnsi="Times New Roman"/>
              </w:rPr>
              <w:t xml:space="preserve">Ghaziabad, India</w:t>
            </w:r>
          </w:p>
          <w:p/>
        </w:tc>
        <w:tc>
          <w:tcPr>
            <w:tcW w:type="dxa" w:w="3480"/>
            <w:tcBorders>
              <w:top w:val="none" w:color="FFFFFF" w:sz="0"/>
              <w:left w:val="none" w:color="FFFFFF" w:sz="0"/>
              <w:bottom w:val="none" w:color="FFFFFF" w:sz="0"/>
              <w:right w:val="none" w:color="FFFFFF" w:sz="0"/>
            </w:tcBorders>
          </w:tcPr>
          <w:p>
            <w:pPr>
              <w:jc w:val="center"/>
            </w:pPr>
            <w:r>
              <w:rPr>
                <w:sz w:val="20"/>
                <w:szCs w:val="20"/>
                <w:rFonts w:ascii="Times New Roman" w:cs="Times New Roman" w:eastAsia="Times New Roman" w:hAnsi="Times New Roman"/>
              </w:rPr>
              <w:t xml:space="preserve">Abhisekh Chaudhary</w:t>
            </w:r>
          </w:p>
          <w:p>
            <w:pPr>
              <w:jc w:val="center"/>
            </w:pPr>
            <w:r>
              <w:rPr>
                <w:i/>
                <w:iCs/>
                <w:sz w:val="18"/>
                <w:szCs w:val="18"/>
                <w:rFonts w:ascii="Times New Roman" w:cs="Times New Roman" w:eastAsia="Times New Roman" w:hAnsi="Times New Roman"/>
              </w:rPr>
              <w:t xml:space="preserve">Dept. of Information Technology</w:t>
            </w:r>
          </w:p>
          <w:p>
            <w:pPr>
              <w:jc w:val="center"/>
            </w:pPr>
            <w:r>
              <w:rPr>
                <w:i/>
                <w:iCs/>
                <w:sz w:val="18"/>
                <w:szCs w:val="18"/>
                <w:rFonts w:ascii="Times New Roman" w:cs="Times New Roman" w:eastAsia="Times New Roman" w:hAnsi="Times New Roman"/>
              </w:rPr>
              <w:t xml:space="preserve">Ajay Kumar Garg Engineering College</w:t>
            </w:r>
          </w:p>
          <w:p>
            <w:pPr>
              <w:jc w:val="center"/>
            </w:pPr>
            <w:r>
              <w:rPr>
                <w:i w:val="false"/>
                <w:iCs w:val="false"/>
                <w:sz w:val="18"/>
                <w:szCs w:val="18"/>
                <w:rFonts w:ascii="Times New Roman" w:cs="Times New Roman" w:eastAsia="Times New Roman" w:hAnsi="Times New Roman"/>
              </w:rPr>
              <w:t xml:space="preserve">Ghaziabad, India</w:t>
            </w:r>
          </w:p>
          <w:p/>
        </w:tc>
      </w:tr>
      <w:tr>
        <w:tc>
          <w:tcPr>
            <w:tcW w:type="dxa" w:w="3480"/>
            <w:tcBorders>
              <w:top w:val="none" w:color="FFFFFF" w:sz="0"/>
              <w:left w:val="none" w:color="FFFFFF" w:sz="0"/>
              <w:bottom w:val="none" w:color="FFFFFF" w:sz="0"/>
              <w:right w:val="none" w:color="FFFFFF" w:sz="0"/>
            </w:tcBorders>
          </w:tcPr>
          <w:p>
            <w:pPr>
              <w:jc w:val="center"/>
            </w:pPr>
            <w:r>
              <w:rPr>
                <w:sz w:val="20"/>
                <w:szCs w:val="20"/>
                <w:rFonts w:ascii="Times New Roman" w:cs="Times New Roman" w:eastAsia="Times New Roman" w:hAnsi="Times New Roman"/>
              </w:rPr>
              <w:t xml:space="preserve">Shivam Goel</w:t>
            </w:r>
          </w:p>
          <w:p>
            <w:pPr>
              <w:jc w:val="center"/>
            </w:pPr>
            <w:r>
              <w:rPr>
                <w:i/>
                <w:iCs/>
                <w:sz w:val="18"/>
                <w:szCs w:val="18"/>
                <w:rFonts w:ascii="Times New Roman" w:cs="Times New Roman" w:eastAsia="Times New Roman" w:hAnsi="Times New Roman"/>
              </w:rPr>
              <w:t xml:space="preserve">Dept. of Information Technology</w:t>
            </w:r>
          </w:p>
          <w:p>
            <w:pPr>
              <w:jc w:val="center"/>
            </w:pPr>
            <w:r>
              <w:rPr>
                <w:i/>
                <w:iCs/>
                <w:sz w:val="18"/>
                <w:szCs w:val="18"/>
                <w:rFonts w:ascii="Times New Roman" w:cs="Times New Roman" w:eastAsia="Times New Roman" w:hAnsi="Times New Roman"/>
              </w:rPr>
              <w:t xml:space="preserve">Ajay Kumar Garg Engineering College</w:t>
            </w:r>
          </w:p>
          <w:p>
            <w:pPr>
              <w:jc w:val="center"/>
            </w:pPr>
            <w:r>
              <w:rPr>
                <w:i w:val="false"/>
                <w:iCs w:val="false"/>
                <w:sz w:val="18"/>
                <w:szCs w:val="18"/>
                <w:rFonts w:ascii="Times New Roman" w:cs="Times New Roman" w:eastAsia="Times New Roman" w:hAnsi="Times New Roman"/>
              </w:rPr>
              <w:t xml:space="preserve">Ghaziabad, India</w:t>
            </w:r>
          </w:p>
          <w:p/>
        </w:tc>
        <w:tc>
          <w:tcPr>
            <w:tcW w:type="dxa" w:w="3480"/>
            <w:tcBorders>
              <w:top w:val="none" w:color="FFFFFF" w:sz="0"/>
              <w:left w:val="none" w:color="FFFFFF" w:sz="0"/>
              <w:bottom w:val="none" w:color="FFFFFF" w:sz="0"/>
              <w:right w:val="none" w:color="FFFFFF" w:sz="0"/>
            </w:tcBorders>
          </w:tcPr>
          <w:p>
            <w:pPr>
              <w:jc w:val="center"/>
            </w:pPr>
            <w:r>
              <w:rPr>
                <w:sz w:val="20"/>
                <w:szCs w:val="20"/>
                <w:rFonts w:ascii="Times New Roman" w:cs="Times New Roman" w:eastAsia="Times New Roman" w:hAnsi="Times New Roman"/>
              </w:rPr>
              <w:t xml:space="preserve">Ruchi Gupta</w:t>
            </w:r>
          </w:p>
          <w:p>
            <w:pPr>
              <w:jc w:val="center"/>
            </w:pPr>
            <w:r>
              <w:rPr>
                <w:i/>
                <w:iCs/>
                <w:sz w:val="18"/>
                <w:szCs w:val="18"/>
                <w:rFonts w:ascii="Times New Roman" w:cs="Times New Roman" w:eastAsia="Times New Roman" w:hAnsi="Times New Roman"/>
              </w:rPr>
              <w:t xml:space="preserve">Dept. of Information Technology</w:t>
            </w:r>
          </w:p>
          <w:p>
            <w:pPr>
              <w:jc w:val="center"/>
            </w:pPr>
            <w:r>
              <w:rPr>
                <w:i/>
                <w:iCs/>
                <w:sz w:val="18"/>
                <w:szCs w:val="18"/>
                <w:rFonts w:ascii="Times New Roman" w:cs="Times New Roman" w:eastAsia="Times New Roman" w:hAnsi="Times New Roman"/>
              </w:rPr>
              <w:t xml:space="preserve">Ajay Kumar Garg Engineering College</w:t>
            </w:r>
          </w:p>
          <w:p>
            <w:pPr>
              <w:jc w:val="center"/>
            </w:pPr>
            <w:r>
              <w:rPr>
                <w:i w:val="false"/>
                <w:iCs w:val="false"/>
                <w:sz w:val="18"/>
                <w:szCs w:val="18"/>
                <w:rFonts w:ascii="Times New Roman" w:cs="Times New Roman" w:eastAsia="Times New Roman" w:hAnsi="Times New Roman"/>
              </w:rPr>
              <w:t xml:space="preserve">Ghaziabad, India</w:t>
            </w:r>
          </w:p>
          <w:p/>
        </w:tc>
        <w:tc>
          <w:tcPr>
            <w:tcW w:type="dxa" w:w="3480"/>
            <w:tcBorders>
              <w:top w:val="none" w:color="FFFFFF" w:sz="0"/>
              <w:left w:val="none" w:color="FFFFFF" w:sz="0"/>
              <w:bottom w:val="none" w:color="FFFFFF" w:sz="0"/>
              <w:right w:val="none" w:color="FFFFFF" w:sz="0"/>
            </w:tcBorders>
          </w:tcPr>
          <w:p/>
        </w:tc>
      </w:tr>
    </w:tbl>
    <w:p>
      <w:pPr>
        <w:sectPr>
          <w:pgSz w:w="12240" w:h="15840" w:orient="portrait"/>
          <w:pgMar w:top="1080" w:right="900" w:bottom="1440" w:left="900" w:header="708" w:footer="708" w:gutter="0"/>
          <w:pgNumType/>
          <w:docGrid w:linePitch="360"/>
        </w:sectPr>
      </w:pPr>
    </w:p>
    <w:p>
      <w:pPr>
        <w:spacing w:after="80"/>
        <w:jc w:val="both"/>
      </w:pPr>
      <w:r>
        <w:rPr>
          <w:b/>
          <w:bCs/>
          <w:i/>
          <w:iCs/>
          <w:sz w:val="18"/>
          <w:szCs w:val="18"/>
          <w:rFonts w:ascii="Times New Roman" w:cs="Times New Roman" w:eastAsia="Times New Roman" w:hAnsi="Times New Roman"/>
        </w:rPr>
        <w:t xml:space="preserve">Abstract</w:t>
      </w:r>
      <w:r>
        <w:rPr>
          <w:b/>
          <w:bCs/>
          <w:sz w:val="18"/>
          <w:szCs w:val="18"/>
          <w:rFonts w:ascii="Times New Roman" w:cs="Times New Roman" w:eastAsia="Times New Roman" w:hAnsi="Times New Roman"/>
        </w:rPr>
        <w:t xml:space="preserve">—</w:t>
      </w:r>
      <w:r>
        <w:rPr>
          <w:b/>
          <w:bCs/>
          <w:sz w:val="18"/>
          <w:szCs w:val="18"/>
          <w:rFonts w:ascii="Times New Roman" w:cs="Times New Roman" w:eastAsia="Times New Roman" w:hAnsi="Times New Roman"/>
        </w:rPr>
        <w:t xml:space="preserve">Fixed-time signals give every approach the same green regardless of demand. This paper presents a density-aware controller for an isolated four-arm junction and evaluates it in a seeded microscopic simulation against the fixed plan and four re-implemented alternatives: a Webster-optimized plan, vehicle-actuated, max-pressure and three-level density control. Each approach is scored by class-weighted vehicle counts in which a queued vehicle counts three times a moving one; green is extended between 8 s and 45 s while the served direction dominates, change intervals are never shortened, and an emergency preemption layer keeps full yellow and all-red. Below capacity the controller reduced mean stopped delay by 35.3–36.1% relative to a 20 s fixed plan (p &lt; 0.001), but the Webster, actuated and max-pressure strategies did as well (37.5–39.7%, 37.2–39.9%, 37.3–39.8%). Near capacity, density-only switching ended greens too early and lost 18.9% of capacity; a discharge-hold rule that keeps green while the served queue is at the stop line restored it (+9.8%). The queued/moving distinction, not the class weights, drives the score's benefit. The findings hold with kinematics calibrated to field saturation headways once the hold's zone is re-tuned, but with the present Haar detector (4% precision, 8% recall) every controller would be worse than fixed timing near capacity. A per-step audit of 3,524 runs found no conflicting greens or shortened change intervals.</w:t>
      </w:r>
    </w:p>
    <w:p>
      <w:pPr>
        <w:spacing w:after="120"/>
        <w:jc w:val="both"/>
      </w:pPr>
      <w:r>
        <w:rPr>
          <w:b/>
          <w:bCs/>
          <w:i/>
          <w:iCs/>
          <w:sz w:val="18"/>
          <w:szCs w:val="18"/>
          <w:rFonts w:ascii="Times New Roman" w:cs="Times New Roman" w:eastAsia="Times New Roman" w:hAnsi="Times New Roman"/>
        </w:rPr>
        <w:t xml:space="preserve">Index Terms</w:t>
      </w:r>
      <w:r>
        <w:rPr>
          <w:b/>
          <w:bCs/>
          <w:sz w:val="18"/>
          <w:szCs w:val="18"/>
          <w:rFonts w:ascii="Times New Roman" w:cs="Times New Roman" w:eastAsia="Times New Roman" w:hAnsi="Times New Roman"/>
        </w:rPr>
        <w:t xml:space="preserve">—adaptive traffic signal control, vehicle density, actuated control, max-pressure control, emergency preemption, oversaturation, microscopic simulation</w:t>
      </w:r>
    </w:p>
    <w:p>
      <w:pPr>
        <w:keepNext/>
        <w:spacing w:before="160" w:after="80"/>
        <w:jc w:val="center"/>
      </w:pPr>
      <w:r>
        <w:rPr>
          <w:sz w:val="20"/>
          <w:szCs w:val="20"/>
          <w:smallCaps/>
          <w:rFonts w:ascii="Times New Roman" w:cs="Times New Roman" w:eastAsia="Times New Roman" w:hAnsi="Times New Roman"/>
        </w:rPr>
        <w:t xml:space="preserve">I. Introduction</w:t>
      </w:r>
    </w:p>
    <w:p>
      <w:pPr>
        <w:spacing w:after="0" w:before="0" w:line="240"/>
        <w:ind w:firstLine="204"/>
        <w:jc w:val="both"/>
      </w:pPr>
      <w:r>
        <w:rPr>
          <w:sz w:val="20"/>
          <w:szCs w:val="20"/>
          <w:rFonts w:ascii="Times New Roman" w:cs="Times New Roman" w:eastAsia="Times New Roman" w:hAnsi="Times New Roman"/>
        </w:rPr>
        <w:t xml:space="preserve">Many junctions, especially in smaller cities, still run fixed-time plans dimensioned for average flows; when demand is uneven, green is wasted on empty approaches while queues build on busy ones. SCATS and SCOOT adapt timings from loop detectors but need dedicated infrastructure [3], [4], and low-cost alternatives estimate density with infrared sensors, image-based density classes or camera detectors [1], [5], [6], [8]–[10].</w:t>
      </w:r>
    </w:p>
    <w:p>
      <w:pPr>
        <w:spacing w:after="0" w:before="0" w:line="240"/>
        <w:ind w:firstLine="204"/>
        <w:jc w:val="both"/>
      </w:pPr>
      <w:r>
        <w:rPr>
          <w:b/>
          <w:bCs/>
          <w:sz w:val="20"/>
          <w:szCs w:val="20"/>
          <w:rFonts w:ascii="Times New Roman" w:cs="Times New Roman" w:eastAsia="Times New Roman" w:hAnsi="Times New Roman"/>
        </w:rPr>
        <w:t xml:space="preserve">Motivation.</w:t>
      </w:r>
      <w:r>
        <w:rPr>
          <w:sz w:val="20"/>
          <w:szCs w:val="20"/>
          <w:rFonts w:ascii="Times New Roman" w:cs="Times New Roman" w:eastAsia="Times New Roman" w:hAnsi="Times New Roman"/>
        </w:rPr>
        <w:t xml:space="preserve"> Such low-cost systems are usually shown on a prototype or a few scenarios, reporting an average gain over a fixed plan. Rarely answered are whether variable greens keep safe change intervals, how emergency priority interacts with density timing, how the controller behaves at and above capacity, and how much of the gain is due to density logic rather than to replacing an untuned plan with any responsive one.</w:t>
      </w:r>
    </w:p>
    <w:p>
      <w:pPr>
        <w:spacing w:after="0" w:before="0" w:line="240"/>
        <w:ind w:firstLine="204"/>
        <w:jc w:val="both"/>
      </w:pPr>
      <w:r>
        <w:rPr>
          <w:b/>
          <w:bCs/>
          <w:sz w:val="20"/>
          <w:szCs w:val="20"/>
          <w:rFonts w:ascii="Times New Roman" w:cs="Times New Roman" w:eastAsia="Times New Roman" w:hAnsi="Times New Roman"/>
        </w:rPr>
        <w:t xml:space="preserve">Novelty.</w:t>
      </w:r>
      <w:r>
        <w:rPr>
          <w:sz w:val="20"/>
          <w:szCs w:val="20"/>
          <w:rFonts w:ascii="Times New Roman" w:cs="Times New Roman" w:eastAsia="Times New Roman" w:hAnsi="Times New Roman"/>
        </w:rPr>
        <w:t xml:space="preserve"> Rather than a new detector, this paper studies the timing logic of a density-based controller under statistically paired conditions against re-implementations of the strategies of existing approaches (Webster [2], actuated [23], max-pressure [11] and three-level density control [1]) on identical traffic. It exposes a capacity loss of density-only switching and corrects it with a discharge hold. The controller is a transparent rule, not a learned policy; machine learning enters through the pre-trained detector, whose accuracy is measured, and a data-driven calibration of the score on held-out seeds. Contributions:</w:t>
      </w:r>
    </w:p>
    <w:p>
      <w:pPr>
        <w:pStyle w:val="ListParagraph"/>
        <w:numPr>
          <w:ilvl w:val="0"/>
          <w:numId w:val="2"/>
        </w:numPr>
        <w:spacing w:line="240"/>
        <w:jc w:val="both"/>
      </w:pPr>
      <w:r>
        <w:rPr>
          <w:sz w:val="20"/>
          <w:szCs w:val="20"/>
          <w:rFonts w:ascii="Times New Roman" w:cs="Times New Roman" w:eastAsia="Times New Roman" w:hAnsi="Times New Roman"/>
        </w:rPr>
        <w:t xml:space="preserve">a class-weighted, queue-aware density score with bounded green extension, a discharge-hold rule, and an emergency preemption wrapper, all keeping full change intervals and a closed-form maximum red;</w:t>
      </w:r>
    </w:p>
    <w:p>
      <w:pPr>
        <w:pStyle w:val="ListParagraph"/>
        <w:numPr>
          <w:ilvl w:val="0"/>
          <w:numId w:val="2"/>
        </w:numPr>
        <w:spacing w:line="240"/>
        <w:jc w:val="both"/>
      </w:pPr>
      <w:r>
        <w:rPr>
          <w:sz w:val="20"/>
          <w:szCs w:val="20"/>
          <w:rFonts w:ascii="Times New Roman" w:cs="Times New Roman" w:eastAsia="Times New Roman" w:hAnsi="Times New Roman"/>
        </w:rPr>
        <w:t xml:space="preserve">a reproducible paired evaluation below, at and up to 1.5 times capacity against four strategies, with an ablation, a peak-period test and a per-step safety audit of every run;</w:t>
      </w:r>
    </w:p>
    <w:p>
      <w:pPr>
        <w:pStyle w:val="ListParagraph"/>
        <w:numPr>
          <w:ilvl w:val="0"/>
          <w:numId w:val="2"/>
        </w:numPr>
        <w:spacing w:line="240"/>
        <w:jc w:val="both"/>
      </w:pPr>
      <w:r>
        <w:rPr>
          <w:sz w:val="20"/>
          <w:szCs w:val="20"/>
          <w:rFonts w:ascii="Times New Roman" w:cs="Times New Roman" w:eastAsia="Times New Roman" w:hAnsi="Times New Roman"/>
        </w:rPr>
        <w:t xml:space="preserve">validation against external values: Haar-cascade detection and tracking against exact ground truth, queue discharge against the Highway Capacity Manual with a calibrated reaction time, imperfect sensing, and a held-out calibration of the score weights.</w:t>
      </w:r>
    </w:p>
    <w:p>
      <w:pPr>
        <w:spacing w:after="0" w:before="0" w:line="240"/>
        <w:ind w:firstLine="204"/>
        <w:jc w:val="both"/>
      </w:pPr>
      <w:r>
        <w:rPr>
          <w:sz w:val="20"/>
          <w:szCs w:val="20"/>
          <w:rFonts w:ascii="Times New Roman" w:cs="Times New Roman" w:eastAsia="Times New Roman" w:hAnsi="Times New Roman"/>
        </w:rPr>
        <w:t xml:space="preserve">All results are from simulation; the simulator, controllers and experiment scripts are public and regenerate every table (github.com/shivam-G05/Smart-Traffic-Management).</w:t>
      </w:r>
    </w:p>
    <w:p>
      <w:pPr>
        <w:keepNext/>
        <w:spacing w:before="160" w:after="80"/>
        <w:jc w:val="center"/>
      </w:pPr>
      <w:r>
        <w:rPr>
          <w:sz w:val="20"/>
          <w:szCs w:val="20"/>
          <w:smallCaps/>
          <w:rFonts w:ascii="Times New Roman" w:cs="Times New Roman" w:eastAsia="Times New Roman" w:hAnsi="Times New Roman"/>
        </w:rPr>
        <w:t xml:space="preserve">II. Related Work</w:t>
      </w:r>
    </w:p>
    <w:p>
      <w:pPr>
        <w:spacing w:after="0" w:before="0" w:line="240"/>
        <w:ind w:firstLine="204"/>
        <w:jc w:val="both"/>
      </w:pPr>
      <w:r>
        <w:rPr>
          <w:sz w:val="20"/>
          <w:szCs w:val="20"/>
          <w:rFonts w:ascii="Times New Roman" w:cs="Times New Roman" w:eastAsia="Times New Roman" w:hAnsi="Times New Roman"/>
        </w:rPr>
        <w:t xml:space="preserve">Fixed plans are commonly timed with Webster's cycle formula [2]; SCATS and SCOOT adapt splits and cycles over networks [3], [4]. Actuated control extends green while stop-line detectors register vehicles and ends it on a gap ("gap-out") within green limits [23]. Max-pressure control chooses phases from queue differences with throughput guarantees [11]; reinforcement-learning controllers are widely studied but must be trained in simulation and are harder to bound [12]. Among low-cost systems, Nsofwa and Tembo set green from low, medium or high image-based density [1]; Kamble et al. use YOLO [7] on IP cameras to prioritize the busiest lane [6]; Pardeshi et al. use infrared sensors on an ESP32 [5]; others adapt timing to density [9], [10], estimate it from surveillance cameras [8], or add incident alerts [13], AI-based light design [14] or traffic prediction [15]. These mainly report gains over fixed timing; this paper adds strong baselines on identical traffic, demand up to 1.5 times capacity and a per-step safety check. Haar cascades [16] remain cheap on embedded hardware; ByteTrack [17] combines Kalman prediction [18] with Hungarian assignment [19]; Nellore and Hancke give emergency vehicles visual-sensing priority [20].</w:t>
      </w:r>
    </w:p>
    <w:p>
      <w:pPr>
        <w:keepNext/>
        <w:spacing w:before="160" w:after="80"/>
        <w:jc w:val="center"/>
      </w:pPr>
      <w:r>
        <w:rPr>
          <w:sz w:val="20"/>
          <w:szCs w:val="20"/>
          <w:smallCaps/>
          <w:rFonts w:ascii="Times New Roman" w:cs="Times New Roman" w:eastAsia="Times New Roman" w:hAnsi="Times New Roman"/>
        </w:rPr>
        <w:t xml:space="preserve">III. System and Methods</w:t>
      </w:r>
    </w:p>
    <w:p>
      <w:pPr>
        <w:keepNext/>
        <w:spacing w:before="80" w:after="40"/>
      </w:pPr>
      <w:r>
        <w:rPr>
          <w:i/>
          <w:iCs/>
          <w:sz w:val="20"/>
          <w:szCs w:val="20"/>
          <w:rFonts w:ascii="Times New Roman" w:cs="Times New Roman" w:eastAsia="Times New Roman" w:hAnsi="Times New Roman"/>
        </w:rPr>
        <w:t xml:space="preserve">A. Architecture and Workflow</w:t>
      </w:r>
    </w:p>
    <w:p>
      <w:pPr>
        <w:spacing w:after="0" w:before="0" w:line="240"/>
        <w:ind w:firstLine="204"/>
        <w:jc w:val="both"/>
      </w:pPr>
      <w:r>
        <w:rPr>
          <w:sz w:val="20"/>
          <w:szCs w:val="20"/>
          <w:rFonts w:ascii="Times New Roman" w:cs="Times New Roman" w:eastAsia="Times New Roman" w:hAnsi="Times New Roman"/>
        </w:rPr>
        <w:t xml:space="preserve">The system is a set of Python 3.12 packages with one-directional dependencies: the simulation core imports no decision or web code, and every controller implements one interface, so controllers are interchangeable. A FastAPI backend streams the junction at 10 Hz to a React dashboard, logs metrics to SQLite and runs side-by-side controller comparisons on the same seed; the code has 119 automated tests (Fig. 1). Fig. 2 shows the method. Every 50 ms step the controller reads vehicle positions, speeds and classes, scores each approach, and decides whether the green may end; the preemption layer protects every transition with full yellow and all-red before the signal heads change. A vision pipeline (Section III-G) runs alongside; its output is evaluated but not used for control.</w:t>
      </w:r>
    </w:p>
    <w:p>
      <w:pPr>
        <w:keepNext/>
        <w:spacing w:before="80"/>
        <w:jc w:val="center"/>
      </w:pPr>
      <w:r>
        <w:drawing>
          <wp:inline distT="0" distB="0" distL="0" distR="0">
            <wp:extent cx="2743200" cy="2028825"/>
            <wp:effectExtent t="0" r="0" b="0" l="0"/>
            <wp:docPr id="1" name="fig1_architecture.png" descr="Software architecture. Solid boxes form the control loop; dashed boxes form the vision pipeline, evaluated but not used for control."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43200" cy="2028825"/>
                    </a:xfrm>
                    <a:prstGeom prst="rect">
                      <a:avLst/>
                    </a:prstGeom>
                  </pic:spPr>
                </pic:pic>
              </a:graphicData>
            </a:graphic>
          </wp:inline>
        </w:drawing>
      </w:r>
    </w:p>
    <w:p>
      <w:pPr>
        <w:spacing w:before="40" w:after="120"/>
        <w:jc w:val="both"/>
      </w:pPr>
      <w:r>
        <w:rPr>
          <w:sz w:val="16"/>
          <w:szCs w:val="16"/>
          <w:rFonts w:ascii="Times New Roman" w:cs="Times New Roman" w:eastAsia="Times New Roman" w:hAnsi="Times New Roman"/>
        </w:rPr>
        <w:t xml:space="preserve">Fig. 1. </w:t>
      </w:r>
      <w:r>
        <w:rPr>
          <w:sz w:val="16"/>
          <w:szCs w:val="16"/>
          <w:rFonts w:ascii="Times New Roman" w:cs="Times New Roman" w:eastAsia="Times New Roman" w:hAnsi="Times New Roman"/>
        </w:rPr>
        <w:t xml:space="preserve">Software architecture. Solid boxes form the control loop; dashed boxes form the vision pipeline, evaluated but not used for control.</w:t>
      </w:r>
    </w:p>
    <w:p>
      <w:pPr>
        <w:keepNext/>
        <w:spacing w:before="80"/>
        <w:jc w:val="center"/>
      </w:pPr>
      <w:r>
        <w:drawing>
          <wp:inline distT="0" distB="0" distL="0" distR="0">
            <wp:extent cx="2562225" cy="3086100"/>
            <wp:effectExtent t="0" r="0" b="0" l="0"/>
            <wp:docPr id="1" name="fig2_workflow.png" descr="Method workflow. (a) Per-step control pipeline. (b) Green-end decision; the &quot;discharge hold&quot; test (Section III-D) is the extension added in this revis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62225" cy="3086100"/>
                    </a:xfrm>
                    <a:prstGeom prst="rect">
                      <a:avLst/>
                    </a:prstGeom>
                  </pic:spPr>
                </pic:pic>
              </a:graphicData>
            </a:graphic>
          </wp:inline>
        </w:drawing>
      </w:r>
    </w:p>
    <w:p>
      <w:pPr>
        <w:spacing w:before="40" w:after="120"/>
        <w:jc w:val="both"/>
      </w:pPr>
      <w:r>
        <w:rPr>
          <w:sz w:val="16"/>
          <w:szCs w:val="16"/>
          <w:rFonts w:ascii="Times New Roman" w:cs="Times New Roman" w:eastAsia="Times New Roman" w:hAnsi="Times New Roman"/>
        </w:rPr>
        <w:t xml:space="preserve">Fig. 2. </w:t>
      </w:r>
      <w:r>
        <w:rPr>
          <w:sz w:val="16"/>
          <w:szCs w:val="16"/>
          <w:rFonts w:ascii="Times New Roman" w:cs="Times New Roman" w:eastAsia="Times New Roman" w:hAnsi="Times New Roman"/>
        </w:rPr>
        <w:t xml:space="preserve">Method workflow. (a) Per-step control pipeline. (b) Green-end decision; the "discharge hold" test (Section III-D) is the extension added in this revision.</w:t>
      </w:r>
    </w:p>
    <w:p>
      <w:pPr>
        <w:keepNext/>
        <w:spacing w:before="80" w:after="40"/>
      </w:pPr>
      <w:r>
        <w:rPr>
          <w:i/>
          <w:iCs/>
          <w:sz w:val="20"/>
          <w:szCs w:val="20"/>
          <w:rFonts w:ascii="Times New Roman" w:cs="Times New Roman" w:eastAsia="Times New Roman" w:hAnsi="Times New Roman"/>
        </w:rPr>
        <w:t xml:space="preserve">B. Junction and Traffic Model</w:t>
      </w:r>
    </w:p>
    <w:p>
      <w:pPr>
        <w:spacing w:after="0" w:before="0" w:line="240"/>
        <w:ind w:firstLine="204"/>
        <w:jc w:val="both"/>
      </w:pPr>
      <w:r>
        <w:rPr>
          <w:sz w:val="20"/>
          <w:szCs w:val="20"/>
          <w:rFonts w:ascii="Times New Roman" w:cs="Times New Roman" w:eastAsia="Times New Roman" w:hAnsi="Times New Roman"/>
        </w:rPr>
        <w:t xml:space="preserve">Four approaches each have two lanes on a 330 m link (stop line at 200 m, junction exit at 218 m); vehicles go straight, without turns, lane changes or pedestrians. Arrivals on each approach have deterministic headways at a rate λ redrawn every 15 s as λ·</w:t>
      </w:r>
      <w:r>
        <w:rPr>
          <w:i/>
          <w:iCs/>
          <w:sz w:val="20"/>
          <w:szCs w:val="20"/>
          <w:rFonts w:ascii="Times New Roman" w:cs="Times New Roman" w:eastAsia="Times New Roman" w:hAnsi="Times New Roman"/>
        </w:rPr>
        <w:t xml:space="preserve">U</w:t>
      </w:r>
      <w:r>
        <w:rPr>
          <w:sz w:val="20"/>
          <w:szCs w:val="20"/>
          <w:rFonts w:ascii="Times New Roman" w:cs="Times New Roman" w:eastAsia="Times New Roman" w:hAnsi="Times New Roman"/>
        </w:rPr>
        <w:t xml:space="preserve">(0.4, 1.6); a vehicle enters at rest and is dropped if the entry is blocked. For the above-capacity runs, blocked arrivals instead wait in an entry queue (so unserved demand is measured) and enter at the highest safe speed. Table I lists the vehicle classes. Motion follows a Gipps-type safe speed [21],</w:t>
      </w:r>
    </w:p>
    <w:p>
      <w:pPr>
        <w:keepNext/>
        <w:spacing w:before="120"/>
        <w:jc w:val="center"/>
      </w:pPr>
      <w:r>
        <w:rPr>
          <w:sz w:val="16"/>
          <w:szCs w:val="16"/>
          <w:rFonts w:ascii="Times New Roman" w:cs="Times New Roman" w:eastAsia="Times New Roman" w:hAnsi="Times New Roman"/>
        </w:rPr>
        <w:t xml:space="preserve">TABLE I</w:t>
      </w:r>
    </w:p>
    <w:p>
      <w:pPr>
        <w:keepNext/>
        <w:spacing w:after="60"/>
        <w:jc w:val="center"/>
      </w:pPr>
      <w:r>
        <w:rPr>
          <w:sz w:val="16"/>
          <w:szCs w:val="16"/>
          <w:smallCaps/>
          <w:rFonts w:ascii="Times New Roman" w:cs="Times New Roman" w:eastAsia="Times New Roman" w:hAnsi="Times New Roman"/>
        </w:rPr>
        <w:t xml:space="preserve">Vehicle classes and parameters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640"/>
        <w:gridCol w:w="660"/>
        <w:gridCol w:w="660"/>
        <w:gridCol w:w="660"/>
        <w:gridCol w:w="660"/>
        <w:gridCol w:w="660"/>
      </w:tblGrid>
      <w:tr>
        <w:trPr>
          <w:tblHeader/>
        </w:trPr>
        <w:tc>
          <w:tcPr>
            <w:tcW w:type="dxa" w:w="11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Class</w:t>
            </w:r>
          </w:p>
        </w:tc>
        <w:tc>
          <w:tcPr>
            <w:tcW w:type="dxa" w:w="6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Share (%)</w:t>
            </w:r>
          </w:p>
        </w:tc>
        <w:tc>
          <w:tcPr>
            <w:tcW w:type="dxa" w:w="6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Length (m)</w:t>
            </w:r>
          </w:p>
        </w:tc>
        <w:tc>
          <w:tcPr>
            <w:tcW w:type="dxa" w:w="6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i/>
                <w:iCs/>
                <w:sz w:val="16"/>
                <w:szCs w:val="16"/>
                <w:rFonts w:ascii="Times New Roman" w:cs="Times New Roman" w:eastAsia="Times New Roman" w:hAnsi="Times New Roman"/>
              </w:rPr>
              <w:t xml:space="preserve">v</w:t>
            </w:r>
            <w:r>
              <w:rPr>
                <w:b w:val="false"/>
                <w:bCs w:val="false"/>
                <w:sz w:val="16"/>
                <w:szCs w:val="16"/>
                <w:vertAlign w:val="subscript"/>
                <w:rFonts w:ascii="Times New Roman" w:cs="Times New Roman" w:eastAsia="Times New Roman" w:hAnsi="Times New Roman"/>
              </w:rPr>
              <w:t xml:space="preserve">max</w:t>
            </w:r>
            <w:r>
              <w:rPr>
                <w:b w:val="false"/>
                <w:bCs w:val="false"/>
                <w:sz w:val="16"/>
                <w:szCs w:val="16"/>
                <w:rFonts w:ascii="Times New Roman" w:cs="Times New Roman" w:eastAsia="Times New Roman" w:hAnsi="Times New Roman"/>
              </w:rPr>
              <w:t xml:space="preserve"> (m/s)</w:t>
            </w:r>
          </w:p>
        </w:tc>
        <w:tc>
          <w:tcPr>
            <w:tcW w:type="dxa" w:w="6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i/>
                <w:iCs/>
                <w:sz w:val="16"/>
                <w:szCs w:val="16"/>
                <w:rFonts w:ascii="Times New Roman" w:cs="Times New Roman" w:eastAsia="Times New Roman" w:hAnsi="Times New Roman"/>
              </w:rPr>
              <w:t xml:space="preserve">a</w:t>
            </w:r>
            <w:r>
              <w:rPr>
                <w:b w:val="false"/>
                <w:bCs w:val="false"/>
                <w:sz w:val="16"/>
                <w:szCs w:val="16"/>
                <w:rFonts w:ascii="Times New Roman" w:cs="Times New Roman" w:eastAsia="Times New Roman" w:hAnsi="Times New Roman"/>
              </w:rPr>
              <w:t xml:space="preserve"> (m/s²)</w:t>
            </w:r>
          </w:p>
        </w:tc>
        <w:tc>
          <w:tcPr>
            <w:tcW w:type="dxa" w:w="6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i/>
                <w:iCs/>
                <w:sz w:val="16"/>
                <w:szCs w:val="16"/>
                <w:rFonts w:ascii="Times New Roman" w:cs="Times New Roman" w:eastAsia="Times New Roman" w:hAnsi="Times New Roman"/>
              </w:rPr>
              <w:t xml:space="preserve">b</w:t>
            </w:r>
            <w:r>
              <w:rPr>
                <w:b w:val="false"/>
                <w:bCs w:val="false"/>
                <w:sz w:val="16"/>
                <w:szCs w:val="16"/>
                <w:rFonts w:ascii="Times New Roman" w:cs="Times New Roman" w:eastAsia="Times New Roman" w:hAnsi="Times New Roman"/>
              </w:rPr>
              <w:t xml:space="preserve"> (m/s²)</w:t>
            </w:r>
          </w:p>
        </w:tc>
        <w:tc>
          <w:tcPr>
            <w:tcW w:type="dxa" w:w="6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Weight </w:t>
            </w:r>
            <w:r>
              <w:rPr>
                <w:b w:val="false"/>
                <w:bCs w:val="false"/>
                <w:i/>
                <w:iCs/>
                <w:sz w:val="16"/>
                <w:szCs w:val="16"/>
                <w:rFonts w:ascii="Times New Roman" w:cs="Times New Roman" w:eastAsia="Times New Roman" w:hAnsi="Times New Roman"/>
              </w:rPr>
              <w:t xml:space="preserve">w</w:t>
            </w:r>
          </w:p>
        </w:tc>
      </w:tr>
      <w:tr>
        <w:trPr>
          <w:cantSplit/>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Car</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55</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4.5</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14</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2.5</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4.5</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w:t>
            </w:r>
          </w:p>
        </w:tc>
      </w:tr>
      <w:tr>
        <w:trPr>
          <w:cantSplit/>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Motorcycle</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25</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15</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3.5</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5.0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0.5</w:t>
            </w:r>
          </w:p>
        </w:tc>
      </w:tr>
      <w:tr>
        <w:trPr>
          <w:cantSplit/>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Auto-rickshaw</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3.2</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11</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0.8</w:t>
            </w:r>
          </w:p>
        </w:tc>
      </w:tr>
      <w:tr>
        <w:trPr>
          <w:cantSplit/>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Bus</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5</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1.2</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3.0</w:t>
            </w:r>
          </w:p>
        </w:tc>
      </w:tr>
      <w:tr>
        <w:trPr>
          <w:cantSplit/>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Truck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2.8</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2.5</w:t>
            </w:r>
          </w:p>
        </w:tc>
      </w:tr>
      <w:tr>
        <w:trPr>
          <w:cantSplit/>
        </w:trPr>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Ambulance</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0.5</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5.5</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16</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5.0</w:t>
            </w:r>
          </w:p>
        </w:tc>
        <w:tc>
          <w:tcPr>
            <w:tcW w:type="dxa" w:w="6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6.0</w:t>
            </w:r>
          </w:p>
        </w:tc>
      </w:tr>
      <w:tr>
        <w:trPr>
          <w:cantSplit/>
        </w:trPr>
        <w:tc>
          <w:tcPr>
            <w:tcW w:type="dxa" w:w="11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Fire truck</w:t>
            </w:r>
          </w:p>
        </w:tc>
        <w:tc>
          <w:tcPr>
            <w:tcW w:type="dxa" w:w="6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0.5</w:t>
            </w:r>
          </w:p>
        </w:tc>
        <w:tc>
          <w:tcPr>
            <w:tcW w:type="dxa" w:w="6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10.5</w:t>
            </w:r>
          </w:p>
        </w:tc>
        <w:tc>
          <w:tcPr>
            <w:tcW w:type="dxa" w:w="6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12</w:t>
            </w:r>
          </w:p>
        </w:tc>
        <w:tc>
          <w:tcPr>
            <w:tcW w:type="dxa" w:w="6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1.5</w:t>
            </w:r>
          </w:p>
        </w:tc>
        <w:tc>
          <w:tcPr>
            <w:tcW w:type="dxa" w:w="6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3.5</w:t>
            </w:r>
          </w:p>
        </w:tc>
        <w:tc>
          <w:tcPr>
            <w:tcW w:type="dxa" w:w="6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6.0</w:t>
            </w:r>
          </w:p>
        </w:tc>
      </w:tr>
    </w:tbl>
    <w:p>
      <w:pPr>
        <w:spacing w:before="40" w:after="120"/>
        <w:jc w:val="both"/>
      </w:pPr>
      <w:r>
        <w:rPr>
          <w:i/>
          <w:iCs/>
          <w:sz w:val="14"/>
          <w:szCs w:val="14"/>
          <w:rFonts w:ascii="Times New Roman" w:cs="Times New Roman" w:eastAsia="Times New Roman" w:hAnsi="Times New Roman"/>
        </w:rPr>
        <w:t xml:space="preserve">a, b: maximum acceleration and deceleration; w: density weight in (2).</w:t>
      </w:r>
    </w:p>
    <w:p>
      <w:pPr>
        <w:tabs>
          <w:tab w:val="center" w:pos="2520"/>
          <w:tab w:val="right" w:pos="5040"/>
        </w:tabs>
        <w:spacing w:before="60" w:after="60"/>
      </w:pPr>
      <w:r>
        <w:rPr>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safe</w:t>
      </w:r>
      <w:r>
        <w:rPr>
          <w:sz w:val="20"/>
          <w:szCs w:val="20"/>
          <w:rFonts w:ascii="Times New Roman" w:cs="Times New Roman" w:eastAsia="Times New Roman" w:hAnsi="Times New Roman"/>
        </w:rPr>
        <w:t xml:space="preserve"> = [2</w:t>
      </w:r>
      <w:r>
        <w:rPr>
          <w:i/>
          <w:iCs/>
          <w:sz w:val="20"/>
          <w:szCs w:val="20"/>
          <w:rFonts w:ascii="Times New Roman" w:cs="Times New Roman" w:eastAsia="Times New Roman" w:hAnsi="Times New Roman"/>
        </w:rPr>
        <w:t xml:space="preserve">b</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g</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l</w:t>
      </w:r>
      <w:r>
        <w:rPr>
          <w:sz w:val="20"/>
          <w:szCs w:val="20"/>
          <w:rFonts w:ascii="Times New Roman" w:cs="Times New Roman" w:eastAsia="Times New Roman" w:hAnsi="Times New Roman"/>
        </w:rPr>
        <w:t xml:space="preserve">²/(2</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l</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s</w:t>
      </w:r>
      <w:r>
        <w:rPr>
          <w:sz w:val="20"/>
          <w:szCs w:val="20"/>
          <w:vertAlign w:val="subscript"/>
          <w:rFonts w:ascii="Times New Roman" w:cs="Times New Roman" w:eastAsia="Times New Roman" w:hAnsi="Times New Roman"/>
        </w:rPr>
        <w:t xml:space="preserve">0</w:t>
      </w:r>
      <w:r>
        <w:rPr>
          <w:sz w:val="20"/>
          <w:szCs w:val="20"/>
          <w:rFonts w:ascii="Times New Roman" w:cs="Times New Roman" w:eastAsia="Times New Roman" w:hAnsi="Times New Roman"/>
        </w:rPr>
        <w:t xml:space="preserve">)]</w:t>
      </w:r>
      <w:r>
        <w:rPr>
          <w:sz w:val="20"/>
          <w:szCs w:val="20"/>
          <w:vertAlign w:val="superscript"/>
          <w:rFonts w:ascii="Times New Roman" w:cs="Times New Roman" w:eastAsia="Times New Roman" w:hAnsi="Times New Roman"/>
        </w:rPr>
        <w:t xml:space="preserve">1/2</w:t>
      </w:r>
      <w:r>
        <w:rPr>
          <w:sz w:val="20"/>
          <w:szCs w:val="20"/>
          <w:rFonts w:ascii="Times New Roman" w:cs="Times New Roman" w:eastAsia="Times New Roman" w:hAnsi="Times New Roman"/>
        </w:rPr>
        <w:t xml:space="preserve">	(1)</w:t>
      </w:r>
    </w:p>
    <w:p>
      <w:pPr>
        <w:spacing w:after="0" w:before="0" w:line="240"/>
        <w:jc w:val="both"/>
      </w:pPr>
      <w:r>
        <w:rPr>
          <w:sz w:val="20"/>
          <w:szCs w:val="20"/>
          <w:rFonts w:ascii="Times New Roman" w:cs="Times New Roman" w:eastAsia="Times New Roman" w:hAnsi="Times New Roman"/>
        </w:rPr>
        <w:t xml:space="preserve">where </w:t>
      </w:r>
      <w:r>
        <w:rPr>
          <w:i/>
          <w:iCs/>
          <w:sz w:val="20"/>
          <w:szCs w:val="20"/>
          <w:rFonts w:ascii="Times New Roman" w:cs="Times New Roman" w:eastAsia="Times New Roman" w:hAnsi="Times New Roman"/>
        </w:rPr>
        <w:t xml:space="preserve">g</w:t>
      </w:r>
      <w:r>
        <w:rPr>
          <w:sz w:val="20"/>
          <w:szCs w:val="20"/>
          <w:rFonts w:ascii="Times New Roman" w:cs="Times New Roman" w:eastAsia="Times New Roman" w:hAnsi="Times New Roman"/>
        </w:rPr>
        <w:t xml:space="preserve"> is the gap to the leader, </w:t>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l</w:t>
      </w:r>
      <w:r>
        <w:rPr>
          <w:sz w:val="20"/>
          <w:szCs w:val="20"/>
          <w:rFonts w:ascii="Times New Roman" w:cs="Times New Roman" w:eastAsia="Times New Roman" w:hAnsi="Times New Roman"/>
        </w:rPr>
        <w:t xml:space="preserve"> and </w:t>
      </w:r>
      <w:r>
        <w:rPr>
          <w:i/>
          <w:iCs/>
          <w:sz w:val="20"/>
          <w:szCs w:val="20"/>
          <w:rFonts w:ascii="Times New Roman" w:cs="Times New Roman" w:eastAsia="Times New Roman" w:hAnsi="Times New Roman"/>
        </w:rPr>
        <w:t xml:space="preserve">b</w:t>
      </w:r>
      <w:r>
        <w:rPr>
          <w:sz w:val="20"/>
          <w:szCs w:val="20"/>
          <w:vertAlign w:val="subscript"/>
          <w:rFonts w:ascii="Times New Roman" w:cs="Times New Roman" w:eastAsia="Times New Roman" w:hAnsi="Times New Roman"/>
        </w:rPr>
        <w:t xml:space="preserve">l</w:t>
      </w:r>
      <w:r>
        <w:rPr>
          <w:sz w:val="20"/>
          <w:szCs w:val="20"/>
          <w:rFonts w:ascii="Times New Roman" w:cs="Times New Roman" w:eastAsia="Times New Roman" w:hAnsi="Times New Roman"/>
        </w:rPr>
        <w:t xml:space="preserve"> its speed and deceleration, and </w:t>
      </w:r>
      <w:r>
        <w:rPr>
          <w:i/>
          <w:iCs/>
          <w:sz w:val="20"/>
          <w:szCs w:val="20"/>
          <w:rFonts w:ascii="Times New Roman" w:cs="Times New Roman" w:eastAsia="Times New Roman" w:hAnsi="Times New Roman"/>
        </w:rPr>
        <w:t xml:space="preserve">s</w:t>
      </w:r>
      <w:r>
        <w:rPr>
          <w:sz w:val="20"/>
          <w:szCs w:val="20"/>
          <w:vertAlign w:val="subscript"/>
          <w:rFonts w:ascii="Times New Roman" w:cs="Times New Roman" w:eastAsia="Times New Roman" w:hAnsi="Times New Roman"/>
        </w:rPr>
        <w:t xml:space="preserve">0</w:t>
      </w:r>
      <w:r>
        <w:rPr>
          <w:sz w:val="20"/>
          <w:szCs w:val="20"/>
          <w:rFonts w:ascii="Times New Roman" w:cs="Times New Roman" w:eastAsia="Times New Roman" w:hAnsi="Times New Roman"/>
        </w:rPr>
        <w:t xml:space="preserve"> = 2 m. On yellow or red a vehicle brakes once its braking distance reaches the stop line. Rule (1) has no reaction time; Section IV-G adds one and repeats the main comparisons.</w:t>
      </w:r>
    </w:p>
    <w:p>
      <w:pPr>
        <w:keepNext/>
        <w:spacing w:before="80" w:after="40"/>
      </w:pPr>
      <w:r>
        <w:rPr>
          <w:i/>
          <w:iCs/>
          <w:sz w:val="20"/>
          <w:szCs w:val="20"/>
          <w:rFonts w:ascii="Times New Roman" w:cs="Times New Roman" w:eastAsia="Times New Roman" w:hAnsi="Times New Roman"/>
        </w:rPr>
        <w:t xml:space="preserve">C. Density Score and Green Extension</w:t>
      </w:r>
    </w:p>
    <w:p>
      <w:pPr>
        <w:spacing w:after="0" w:before="0" w:line="240"/>
        <w:ind w:firstLine="204"/>
        <w:jc w:val="both"/>
      </w:pPr>
      <w:r>
        <w:rPr>
          <w:sz w:val="20"/>
          <w:szCs w:val="20"/>
          <w:rFonts w:ascii="Times New Roman" w:cs="Times New Roman" w:eastAsia="Times New Roman" w:hAnsi="Times New Roman"/>
        </w:rPr>
        <w:t xml:space="preserve">For approach </w:t>
      </w:r>
      <w:r>
        <w:rPr>
          <w:i/>
          <w:iCs/>
          <w:sz w:val="20"/>
          <w:szCs w:val="20"/>
          <w:rFonts w:ascii="Times New Roman" w:cs="Times New Roman" w:eastAsia="Times New Roman" w:hAnsi="Times New Roman"/>
        </w:rPr>
        <w:t xml:space="preserve">r</w:t>
      </w:r>
      <w:r>
        <w:rPr>
          <w:sz w:val="20"/>
          <w:szCs w:val="20"/>
          <w:rFonts w:ascii="Times New Roman" w:cs="Times New Roman" w:eastAsia="Times New Roman" w:hAnsi="Times New Roman"/>
        </w:rPr>
        <w:t xml:space="preserve"> with vehicles </w:t>
      </w:r>
      <w:r>
        <w:rPr>
          <w:i/>
          <w:iCs/>
          <w:sz w:val="20"/>
          <w:szCs w:val="20"/>
          <w:rFonts w:ascii="Times New Roman" w:cs="Times New Roman" w:eastAsia="Times New Roman" w:hAnsi="Times New Roman"/>
        </w:rPr>
        <w:t xml:space="preserve">V</w:t>
      </w:r>
      <w:r>
        <w:rPr>
          <w:sz w:val="20"/>
          <w:szCs w:val="20"/>
          <w:vertAlign w:val="subscript"/>
          <w:rFonts w:ascii="Times New Roman" w:cs="Times New Roman" w:eastAsia="Times New Roman" w:hAnsi="Times New Roman"/>
        </w:rPr>
        <w:t xml:space="preserve">r</w:t>
      </w:r>
      <w:r>
        <w:rPr>
          <w:sz w:val="20"/>
          <w:szCs w:val="20"/>
          <w:rFonts w:ascii="Times New Roman" w:cs="Times New Roman" w:eastAsia="Times New Roman" w:hAnsi="Times New Roman"/>
        </w:rPr>
        <w:t xml:space="preserve"> the score is</w:t>
      </w:r>
    </w:p>
    <w:p>
      <w:pPr>
        <w:tabs>
          <w:tab w:val="center" w:pos="2520"/>
          <w:tab w:val="right" w:pos="5040"/>
        </w:tabs>
        <w:spacing w:before="60" w:after="60"/>
      </w:pPr>
      <w:r>
        <w:rPr>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D</w:t>
      </w:r>
      <w:r>
        <w:rPr>
          <w:sz w:val="20"/>
          <w:szCs w:val="20"/>
          <w:vertAlign w:val="subscript"/>
          <w:rFonts w:ascii="Times New Roman" w:cs="Times New Roman" w:eastAsia="Times New Roman" w:hAnsi="Times New Roman"/>
        </w:rPr>
        <w:t xml:space="preserve">r</w:t>
      </w:r>
      <w:r>
        <w:rPr>
          <w:sz w:val="20"/>
          <w:szCs w:val="20"/>
          <w:rFonts w:ascii="Times New Roman" w:cs="Times New Roman" w:eastAsia="Times New Roman" w:hAnsi="Times New Roman"/>
        </w:rPr>
        <w:t xml:space="preserve"> = Σ</w:t>
      </w:r>
      <w:r>
        <w:rPr>
          <w:sz w:val="20"/>
          <w:szCs w:val="20"/>
          <w:vertAlign w:val="subscript"/>
          <w:rFonts w:ascii="Times New Roman" w:cs="Times New Roman" w:eastAsia="Times New Roman" w:hAnsi="Times New Roman"/>
        </w:rPr>
        <w:t xml:space="preserve">v∈Vr</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c(v)</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v</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 xml:space="preserve">	(2)</w:t>
      </w:r>
    </w:p>
    <w:p>
      <w:pPr>
        <w:spacing w:after="0" w:before="0" w:line="240"/>
        <w:jc w:val="both"/>
      </w:pPr>
      <w:r>
        <w:rPr>
          <w:sz w:val="20"/>
          <w:szCs w:val="20"/>
          <w:rFonts w:ascii="Times New Roman" w:cs="Times New Roman" w:eastAsia="Times New Roman" w:hAnsi="Times New Roman"/>
        </w:rPr>
        <w:t xml:space="preserve">with class weight </w:t>
      </w:r>
      <w:r>
        <w:rPr>
          <w:i/>
          <w:iCs/>
          <w:sz w:val="20"/>
          <w:szCs w:val="20"/>
          <w:rFonts w:ascii="Times New Roman" w:cs="Times New Roman" w:eastAsia="Times New Roman" w:hAnsi="Times New Roman"/>
        </w:rPr>
        <w:t xml:space="preserve">w</w:t>
      </w:r>
      <w:r>
        <w:rPr>
          <w:sz w:val="20"/>
          <w:szCs w:val="20"/>
          <w:rFonts w:ascii="Times New Roman" w:cs="Times New Roman" w:eastAsia="Times New Roman" w:hAnsi="Times New Roman"/>
        </w:rPr>
        <w:t xml:space="preserve"> (Table I) and </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v</w:t>
      </w:r>
      <w:r>
        <w:rPr>
          <w:sz w:val="20"/>
          <w:szCs w:val="20"/>
          <w:rFonts w:ascii="Times New Roman" w:cs="Times New Roman" w:eastAsia="Times New Roman" w:hAnsi="Times New Roman"/>
        </w:rPr>
        <w:t xml:space="preserve">) = 1.5 if </w:t>
      </w:r>
      <w:r>
        <w:rPr>
          <w:i/>
          <w:iCs/>
          <w:sz w:val="20"/>
          <w:szCs w:val="20"/>
          <w:rFonts w:ascii="Times New Roman" w:cs="Times New Roman" w:eastAsia="Times New Roman" w:hAnsi="Times New Roman"/>
        </w:rPr>
        <w:t xml:space="preserve">v</w:t>
      </w:r>
      <w:r>
        <w:rPr>
          <w:sz w:val="20"/>
          <w:szCs w:val="20"/>
          <w:rFonts w:ascii="Times New Roman" w:cs="Times New Roman" w:eastAsia="Times New Roman" w:hAnsi="Times New Roman"/>
        </w:rPr>
        <w:t xml:space="preserve"> is queued (upstream of the line, below 0.5 m/s), else 0.5: a queued vehicle needs green now. The weights are heuristic and are tested in Sections IV-E and IV-I. The plan has two phases (north–south, east–west), each green followed by yellow </w:t>
      </w:r>
      <w:r>
        <w:rPr>
          <w:i/>
          <w:iCs/>
          <w:sz w:val="20"/>
          <w:szCs w:val="20"/>
          <w:rFonts w:ascii="Times New Roman" w:cs="Times New Roman" w:eastAsia="Times New Roman" w:hAnsi="Times New Roman"/>
        </w:rPr>
        <w:t xml:space="preserve">Y</w:t>
      </w:r>
      <w:r>
        <w:rPr>
          <w:sz w:val="20"/>
          <w:szCs w:val="20"/>
          <w:rFonts w:ascii="Times New Roman" w:cs="Times New Roman" w:eastAsia="Times New Roman" w:hAnsi="Times New Roman"/>
        </w:rPr>
        <w:t xml:space="preserve"> = 3 s and all-red </w:t>
      </w:r>
      <w:r>
        <w:rPr>
          <w:i/>
          <w:iCs/>
          <w:sz w:val="20"/>
          <w:szCs w:val="20"/>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 1 s; only green adapts. With elapsed green </w:t>
      </w:r>
      <w:r>
        <w:rPr>
          <w:i/>
          <w:iCs/>
          <w:sz w:val="20"/>
          <w:szCs w:val="20"/>
          <w:rFonts w:ascii="Times New Roman" w:cs="Times New Roman" w:eastAsia="Times New Roman" w:hAnsi="Times New Roman"/>
        </w:rPr>
        <w:t xml:space="preserve">t</w:t>
      </w:r>
      <w:r>
        <w:rPr>
          <w:sz w:val="20"/>
          <w:szCs w:val="20"/>
          <w:vertAlign w:val="subscript"/>
          <w:rFonts w:ascii="Times New Roman" w:cs="Times New Roman" w:eastAsia="Times New Roman" w:hAnsi="Times New Roman"/>
        </w:rPr>
        <w:t xml:space="preserve">g</w:t>
      </w:r>
      <w:r>
        <w:rPr>
          <w:sz w:val="20"/>
          <w:szCs w:val="20"/>
          <w:rFonts w:ascii="Times New Roman" w:cs="Times New Roman" w:eastAsia="Times New Roman" w:hAnsi="Times New Roman"/>
        </w:rPr>
        <w:t xml:space="preserve"> and summed scores </w:t>
      </w:r>
      <w:r>
        <w:rPr>
          <w:i/>
          <w:iCs/>
          <w:sz w:val="20"/>
          <w:szCs w:val="20"/>
          <w:rFonts w:ascii="Times New Roman" w:cs="Times New Roman" w:eastAsia="Times New Roman" w:hAnsi="Times New Roman"/>
        </w:rPr>
        <w:t xml:space="preserve">D</w:t>
      </w:r>
      <w:r>
        <w:rPr>
          <w:sz w:val="20"/>
          <w:szCs w:val="20"/>
          <w:vertAlign w:val="subscript"/>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D</w:t>
      </w:r>
      <w:r>
        <w:rPr>
          <w:sz w:val="20"/>
          <w:szCs w:val="20"/>
          <w:vertAlign w:val="subscript"/>
          <w:rFonts w:ascii="Times New Roman" w:cs="Times New Roman" w:eastAsia="Times New Roman" w:hAnsi="Times New Roman"/>
        </w:rPr>
        <w:t xml:space="preserve">W</w:t>
      </w:r>
      <w:r>
        <w:rPr>
          <w:sz w:val="20"/>
          <w:szCs w:val="20"/>
          <w:rFonts w:ascii="Times New Roman" w:cs="Times New Roman" w:eastAsia="Times New Roman" w:hAnsi="Times New Roman"/>
        </w:rPr>
        <w:t xml:space="preserve"> of the active and waiting direction, the green ends when</w:t>
      </w:r>
    </w:p>
    <w:p>
      <w:pPr>
        <w:tabs>
          <w:tab w:val="center" w:pos="2520"/>
          <w:tab w:val="right" w:pos="5040"/>
        </w:tabs>
        <w:spacing w:before="60" w:after="60"/>
      </w:pPr>
      <w:r>
        <w:rPr>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t</w:t>
      </w:r>
      <w:r>
        <w:rPr>
          <w:sz w:val="20"/>
          <w:szCs w:val="20"/>
          <w:vertAlign w:val="subscript"/>
          <w:rFonts w:ascii="Times New Roman" w:cs="Times New Roman" w:eastAsia="Times New Roman" w:hAnsi="Times New Roman"/>
        </w:rPr>
        <w:t xml:space="preserve">g</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G</w:t>
      </w:r>
      <w:r>
        <w:rPr>
          <w:sz w:val="20"/>
          <w:szCs w:val="20"/>
          <w:vertAlign w:val="subscript"/>
          <w:rFonts w:ascii="Times New Roman" w:cs="Times New Roman" w:eastAsia="Times New Roman" w:hAnsi="Times New Roman"/>
        </w:rPr>
        <w:t xml:space="preserve">max</w:t>
      </w:r>
      <w:r>
        <w:rPr>
          <w:sz w:val="20"/>
          <w:szCs w:val="20"/>
          <w:rFonts w:ascii="Times New Roman" w:cs="Times New Roman" w:eastAsia="Times New Roman" w:hAnsi="Times New Roman"/>
        </w:rPr>
        <w:t xml:space="preserve">  or  (</w:t>
      </w:r>
      <w:r>
        <w:rPr>
          <w:i/>
          <w:iCs/>
          <w:sz w:val="20"/>
          <w:szCs w:val="20"/>
          <w:rFonts w:ascii="Times New Roman" w:cs="Times New Roman" w:eastAsia="Times New Roman" w:hAnsi="Times New Roman"/>
        </w:rPr>
        <w:t xml:space="preserve">t</w:t>
      </w:r>
      <w:r>
        <w:rPr>
          <w:sz w:val="20"/>
          <w:szCs w:val="20"/>
          <w:vertAlign w:val="subscript"/>
          <w:rFonts w:ascii="Times New Roman" w:cs="Times New Roman" w:eastAsia="Times New Roman" w:hAnsi="Times New Roman"/>
        </w:rPr>
        <w:t xml:space="preserve">g</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G</w:t>
      </w:r>
      <w:r>
        <w:rPr>
          <w:sz w:val="20"/>
          <w:szCs w:val="20"/>
          <w:vertAlign w:val="subscript"/>
          <w:rFonts w:ascii="Times New Roman" w:cs="Times New Roman" w:eastAsia="Times New Roman" w:hAnsi="Times New Roman"/>
        </w:rPr>
        <w:t xml:space="preserve">min</w:t>
      </w:r>
      <w:r>
        <w:rPr>
          <w:sz w:val="20"/>
          <w:szCs w:val="20"/>
          <w:rFonts w:ascii="Times New Roman" w:cs="Times New Roman" w:eastAsia="Times New Roman" w:hAnsi="Times New Roman"/>
        </w:rPr>
        <w:t xml:space="preserve">  and  </w:t>
      </w:r>
      <w:r>
        <w:rPr>
          <w:i/>
          <w:iCs/>
          <w:sz w:val="20"/>
          <w:szCs w:val="20"/>
          <w:rFonts w:ascii="Times New Roman" w:cs="Times New Roman" w:eastAsia="Times New Roman" w:hAnsi="Times New Roman"/>
        </w:rPr>
        <w:t xml:space="preserve">D</w:t>
      </w:r>
      <w:r>
        <w:rPr>
          <w:sz w:val="20"/>
          <w:szCs w:val="20"/>
          <w:vertAlign w:val="subscript"/>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 θ</w:t>
      </w:r>
      <w:r>
        <w:rPr>
          <w:i/>
          <w:iCs/>
          <w:sz w:val="20"/>
          <w:szCs w:val="20"/>
          <w:rFonts w:ascii="Times New Roman" w:cs="Times New Roman" w:eastAsia="Times New Roman" w:hAnsi="Times New Roman"/>
        </w:rPr>
        <w:t xml:space="preserve">D</w:t>
      </w:r>
      <w:r>
        <w:rPr>
          <w:sz w:val="20"/>
          <w:szCs w:val="20"/>
          <w:vertAlign w:val="subscript"/>
          <w:rFonts w:ascii="Times New Roman" w:cs="Times New Roman" w:eastAsia="Times New Roman" w:hAnsi="Times New Roman"/>
        </w:rPr>
        <w:t xml:space="preserve">W</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 xml:space="preserve">	(3)</w:t>
      </w:r>
    </w:p>
    <w:p>
      <w:pPr>
        <w:spacing w:after="0" w:before="0" w:line="240"/>
        <w:jc w:val="both"/>
      </w:pPr>
      <w:r>
        <w:rPr>
          <w:sz w:val="20"/>
          <w:szCs w:val="20"/>
          <w:rFonts w:ascii="Times New Roman" w:cs="Times New Roman" w:eastAsia="Times New Roman" w:hAnsi="Times New Roman"/>
        </w:rPr>
        <w:t xml:space="preserve">with </w:t>
      </w:r>
      <w:r>
        <w:rPr>
          <w:i/>
          <w:iCs/>
          <w:sz w:val="20"/>
          <w:szCs w:val="20"/>
          <w:rFonts w:ascii="Times New Roman" w:cs="Times New Roman" w:eastAsia="Times New Roman" w:hAnsi="Times New Roman"/>
        </w:rPr>
        <w:t xml:space="preserve">G</w:t>
      </w:r>
      <w:r>
        <w:rPr>
          <w:sz w:val="20"/>
          <w:szCs w:val="20"/>
          <w:vertAlign w:val="subscript"/>
          <w:rFonts w:ascii="Times New Roman" w:cs="Times New Roman" w:eastAsia="Times New Roman" w:hAnsi="Times New Roman"/>
        </w:rPr>
        <w:t xml:space="preserve">min</w:t>
      </w:r>
      <w:r>
        <w:rPr>
          <w:sz w:val="20"/>
          <w:szCs w:val="20"/>
          <w:rFonts w:ascii="Times New Roman" w:cs="Times New Roman" w:eastAsia="Times New Roman" w:hAnsi="Times New Roman"/>
        </w:rPr>
        <w:t xml:space="preserve"> = 8 s, </w:t>
      </w:r>
      <w:r>
        <w:rPr>
          <w:i/>
          <w:iCs/>
          <w:sz w:val="20"/>
          <w:szCs w:val="20"/>
          <w:rFonts w:ascii="Times New Roman" w:cs="Times New Roman" w:eastAsia="Times New Roman" w:hAnsi="Times New Roman"/>
        </w:rPr>
        <w:t xml:space="preserve">G</w:t>
      </w:r>
      <w:r>
        <w:rPr>
          <w:sz w:val="20"/>
          <w:szCs w:val="20"/>
          <w:vertAlign w:val="subscript"/>
          <w:rFonts w:ascii="Times New Roman" w:cs="Times New Roman" w:eastAsia="Times New Roman" w:hAnsi="Times New Roman"/>
        </w:rPr>
        <w:t xml:space="preserve">max</w:t>
      </w:r>
      <w:r>
        <w:rPr>
          <w:sz w:val="20"/>
          <w:szCs w:val="20"/>
          <w:rFonts w:ascii="Times New Roman" w:cs="Times New Roman" w:eastAsia="Times New Roman" w:hAnsi="Times New Roman"/>
        </w:rPr>
        <w:t xml:space="preserve"> = 45 s and θ = 1.1. Since change intervals are fixed and green capped, the red of any approach is bounded by</w:t>
      </w:r>
    </w:p>
    <w:p>
      <w:pPr>
        <w:tabs>
          <w:tab w:val="center" w:pos="2520"/>
          <w:tab w:val="right" w:pos="5040"/>
        </w:tabs>
        <w:spacing w:before="60" w:after="60"/>
      </w:pPr>
      <w:r>
        <w:rPr>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R</w:t>
      </w:r>
      <w:r>
        <w:rPr>
          <w:sz w:val="20"/>
          <w:szCs w:val="20"/>
          <w:vertAlign w:val="subscript"/>
          <w:rFonts w:ascii="Times New Roman" w:cs="Times New Roman" w:eastAsia="Times New Roman" w:hAnsi="Times New Roman"/>
        </w:rPr>
        <w:t xml:space="preserve">max</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G</w:t>
      </w:r>
      <w:r>
        <w:rPr>
          <w:sz w:val="20"/>
          <w:szCs w:val="20"/>
          <w:vertAlign w:val="subscript"/>
          <w:rFonts w:ascii="Times New Roman" w:cs="Times New Roman" w:eastAsia="Times New Roman" w:hAnsi="Times New Roman"/>
        </w:rPr>
        <w:t xml:space="preserve">max</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Y</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 50 s</w:t>
      </w:r>
      <w:r>
        <w:rPr>
          <w:sz w:val="20"/>
          <w:szCs w:val="20"/>
          <w:rFonts w:ascii="Times New Roman" w:cs="Times New Roman" w:eastAsia="Times New Roman" w:hAnsi="Times New Roman"/>
        </w:rPr>
        <w:t xml:space="preserve">	(4)</w:t>
      </w:r>
    </w:p>
    <w:p>
      <w:pPr>
        <w:spacing w:after="0" w:before="0" w:line="240"/>
        <w:jc w:val="both"/>
      </w:pPr>
      <w:r>
        <w:rPr>
          <w:sz w:val="20"/>
          <w:szCs w:val="20"/>
          <w:rFonts w:ascii="Times New Roman" w:cs="Times New Roman" w:eastAsia="Times New Roman" w:hAnsi="Times New Roman"/>
        </w:rPr>
        <w:t xml:space="preserve">so no approach starves. The fixed baseline uses a 20 s green (48 s cycle).</w:t>
      </w:r>
    </w:p>
    <w:p>
      <w:pPr>
        <w:keepNext/>
        <w:spacing w:before="80" w:after="40"/>
      </w:pPr>
      <w:r>
        <w:rPr>
          <w:i/>
          <w:iCs/>
          <w:sz w:val="20"/>
          <w:szCs w:val="20"/>
          <w:rFonts w:ascii="Times New Roman" w:cs="Times New Roman" w:eastAsia="Times New Roman" w:hAnsi="Times New Roman"/>
        </w:rPr>
        <w:t xml:space="preserve">D. Discharge Hold</w:t>
      </w:r>
    </w:p>
    <w:p>
      <w:pPr>
        <w:spacing w:after="0" w:before="0" w:line="240"/>
        <w:ind w:firstLine="204"/>
        <w:jc w:val="both"/>
      </w:pPr>
      <w:r>
        <w:rPr>
          <w:sz w:val="20"/>
          <w:szCs w:val="20"/>
          <w:rFonts w:ascii="Times New Roman" w:cs="Times New Roman" w:eastAsia="Times New Roman" w:hAnsi="Times New Roman"/>
        </w:rPr>
        <w:t xml:space="preserve">When both directions are saturated, vehicles moving off on green score 0.5 while the queue on red scores 1.5, so rule (3) ends greens soon after </w:t>
      </w:r>
      <w:r>
        <w:rPr>
          <w:i/>
          <w:iCs/>
          <w:sz w:val="20"/>
          <w:szCs w:val="20"/>
          <w:rFonts w:ascii="Times New Roman" w:cs="Times New Roman" w:eastAsia="Times New Roman" w:hAnsi="Times New Roman"/>
        </w:rPr>
        <w:t xml:space="preserve">G</w:t>
      </w:r>
      <w:r>
        <w:rPr>
          <w:sz w:val="20"/>
          <w:szCs w:val="20"/>
          <w:vertAlign w:val="subscript"/>
          <w:rFonts w:ascii="Times New Roman" w:cs="Times New Roman" w:eastAsia="Times New Roman" w:hAnsi="Times New Roman"/>
        </w:rPr>
        <w:t xml:space="preserve">min</w:t>
      </w:r>
      <w:r>
        <w:rPr>
          <w:sz w:val="20"/>
          <w:szCs w:val="20"/>
          <w:rFonts w:ascii="Times New Roman" w:cs="Times New Roman" w:eastAsia="Times New Roman" w:hAnsi="Times New Roman"/>
        </w:rPr>
        <w:t xml:space="preserve">; each change costs </w:t>
      </w:r>
      <w:r>
        <w:rPr>
          <w:i/>
          <w:iCs/>
          <w:sz w:val="20"/>
          <w:szCs w:val="20"/>
          <w:rFonts w:ascii="Times New Roman" w:cs="Times New Roman" w:eastAsia="Times New Roman" w:hAnsi="Times New Roman"/>
        </w:rPr>
        <w:t xml:space="preserve">Y</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 4 s of lost service, so capacity drops when it is scarcest (Section IV-C). The hold adds actuated control's gap-out test [23]:</w:t>
      </w:r>
    </w:p>
    <w:p>
      <w:pPr>
        <w:tabs>
          <w:tab w:val="center" w:pos="2520"/>
          <w:tab w:val="right" w:pos="5040"/>
        </w:tabs>
        <w:spacing w:before="60" w:after="60"/>
      </w:pPr>
      <w:r>
        <w:rPr>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t</w:t>
      </w:r>
      <w:r>
        <w:rPr>
          <w:sz w:val="20"/>
          <w:szCs w:val="20"/>
          <w:vertAlign w:val="subscript"/>
          <w:rFonts w:ascii="Times New Roman" w:cs="Times New Roman" w:eastAsia="Times New Roman" w:hAnsi="Times New Roman"/>
        </w:rPr>
        <w:t xml:space="preserve">g</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G</w:t>
      </w:r>
      <w:r>
        <w:rPr>
          <w:sz w:val="20"/>
          <w:szCs w:val="20"/>
          <w:vertAlign w:val="subscript"/>
          <w:rFonts w:ascii="Times New Roman" w:cs="Times New Roman" w:eastAsia="Times New Roman" w:hAnsi="Times New Roman"/>
        </w:rPr>
        <w:t xml:space="preserve">max</w:t>
      </w:r>
      <w:r>
        <w:rPr>
          <w:sz w:val="20"/>
          <w:szCs w:val="20"/>
          <w:rFonts w:ascii="Times New Roman" w:cs="Times New Roman" w:eastAsia="Times New Roman" w:hAnsi="Times New Roman"/>
        </w:rPr>
        <w:t xml:space="preserve">  or  (</w:t>
      </w:r>
      <w:r>
        <w:rPr>
          <w:i/>
          <w:iCs/>
          <w:sz w:val="20"/>
          <w:szCs w:val="20"/>
          <w:rFonts w:ascii="Times New Roman" w:cs="Times New Roman" w:eastAsia="Times New Roman" w:hAnsi="Times New Roman"/>
        </w:rPr>
        <w:t xml:space="preserve">t</w:t>
      </w:r>
      <w:r>
        <w:rPr>
          <w:sz w:val="20"/>
          <w:szCs w:val="20"/>
          <w:vertAlign w:val="subscript"/>
          <w:rFonts w:ascii="Times New Roman" w:cs="Times New Roman" w:eastAsia="Times New Roman" w:hAnsi="Times New Roman"/>
        </w:rPr>
        <w:t xml:space="preserve">g</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G</w:t>
      </w:r>
      <w:r>
        <w:rPr>
          <w:sz w:val="20"/>
          <w:szCs w:val="20"/>
          <w:vertAlign w:val="subscript"/>
          <w:rFonts w:ascii="Times New Roman" w:cs="Times New Roman" w:eastAsia="Times New Roman" w:hAnsi="Times New Roman"/>
        </w:rPr>
        <w:t xml:space="preserve">min</w:t>
      </w:r>
      <w:r>
        <w:rPr>
          <w:sz w:val="20"/>
          <w:szCs w:val="20"/>
          <w:rFonts w:ascii="Times New Roman" w:cs="Times New Roman" w:eastAsia="Times New Roman" w:hAnsi="Times New Roman"/>
        </w:rPr>
        <w:t xml:space="preserve">  and  </w:t>
      </w:r>
      <w:r>
        <w:rPr>
          <w:i/>
          <w:iCs/>
          <w:sz w:val="20"/>
          <w:szCs w:val="20"/>
          <w:rFonts w:ascii="Times New Roman" w:cs="Times New Roman" w:eastAsia="Times New Roman" w:hAnsi="Times New Roman"/>
        </w:rPr>
        <w:t xml:space="preserve">n</w:t>
      </w:r>
      <w:r>
        <w:rPr>
          <w:sz w:val="20"/>
          <w:szCs w:val="20"/>
          <w:vertAlign w:val="subscript"/>
          <w:rFonts w:ascii="Times New Roman" w:cs="Times New Roman" w:eastAsia="Times New Roman" w:hAnsi="Times New Roman"/>
        </w:rPr>
        <w:t xml:space="preserve">z</w:t>
      </w:r>
      <w:r>
        <w:rPr>
          <w:sz w:val="20"/>
          <w:szCs w:val="20"/>
          <w:rFonts w:ascii="Times New Roman" w:cs="Times New Roman" w:eastAsia="Times New Roman" w:hAnsi="Times New Roman"/>
        </w:rPr>
        <w:t xml:space="preserve"> = 0  and  </w:t>
      </w:r>
      <w:r>
        <w:rPr>
          <w:i/>
          <w:iCs/>
          <w:sz w:val="20"/>
          <w:szCs w:val="20"/>
          <w:rFonts w:ascii="Times New Roman" w:cs="Times New Roman" w:eastAsia="Times New Roman" w:hAnsi="Times New Roman"/>
        </w:rPr>
        <w:t xml:space="preserve">D</w:t>
      </w:r>
      <w:r>
        <w:rPr>
          <w:sz w:val="20"/>
          <w:szCs w:val="20"/>
          <w:vertAlign w:val="subscript"/>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 θ</w:t>
      </w:r>
      <w:r>
        <w:rPr>
          <w:i/>
          <w:iCs/>
          <w:sz w:val="20"/>
          <w:szCs w:val="20"/>
          <w:rFonts w:ascii="Times New Roman" w:cs="Times New Roman" w:eastAsia="Times New Roman" w:hAnsi="Times New Roman"/>
        </w:rPr>
        <w:t xml:space="preserve">D</w:t>
      </w:r>
      <w:r>
        <w:rPr>
          <w:sz w:val="20"/>
          <w:szCs w:val="20"/>
          <w:vertAlign w:val="subscript"/>
          <w:rFonts w:ascii="Times New Roman" w:cs="Times New Roman" w:eastAsia="Times New Roman" w:hAnsi="Times New Roman"/>
        </w:rPr>
        <w:t xml:space="preserve">W</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 xml:space="preserve">	(5)</w:t>
      </w:r>
    </w:p>
    <w:p>
      <w:pPr>
        <w:spacing w:after="0" w:before="0" w:line="240"/>
        <w:jc w:val="both"/>
      </w:pPr>
      <w:r>
        <w:rPr>
          <w:sz w:val="20"/>
          <w:szCs w:val="20"/>
          <w:rFonts w:ascii="Times New Roman" w:cs="Times New Roman" w:eastAsia="Times New Roman" w:hAnsi="Times New Roman"/>
        </w:rPr>
        <w:t xml:space="preserve">where </w:t>
      </w:r>
      <w:r>
        <w:rPr>
          <w:i/>
          <w:iCs/>
          <w:sz w:val="20"/>
          <w:szCs w:val="20"/>
          <w:rFonts w:ascii="Times New Roman" w:cs="Times New Roman" w:eastAsia="Times New Roman" w:hAnsi="Times New Roman"/>
        </w:rPr>
        <w:t xml:space="preserve">n</w:t>
      </w:r>
      <w:r>
        <w:rPr>
          <w:sz w:val="20"/>
          <w:szCs w:val="20"/>
          <w:vertAlign w:val="subscript"/>
          <w:rFonts w:ascii="Times New Roman" w:cs="Times New Roman" w:eastAsia="Times New Roman" w:hAnsi="Times New Roman"/>
        </w:rPr>
        <w:t xml:space="preserve">z</w:t>
      </w:r>
      <w:r>
        <w:rPr>
          <w:sz w:val="20"/>
          <w:szCs w:val="20"/>
          <w:rFonts w:ascii="Times New Roman" w:cs="Times New Roman" w:eastAsia="Times New Roman" w:hAnsi="Times New Roman"/>
        </w:rPr>
        <w:t xml:space="preserve"> counts served vehicles within </w:t>
      </w:r>
      <w:r>
        <w:rPr>
          <w:i/>
          <w:iCs/>
          <w:sz w:val="20"/>
          <w:szCs w:val="20"/>
          <w:rFonts w:ascii="Times New Roman" w:cs="Times New Roman" w:eastAsia="Times New Roman" w:hAnsi="Times New Roman"/>
        </w:rPr>
        <w:t xml:space="preserve">z</w:t>
      </w:r>
      <w:r>
        <w:rPr>
          <w:sz w:val="20"/>
          <w:szCs w:val="20"/>
          <w:rFonts w:ascii="Times New Roman" w:cs="Times New Roman" w:eastAsia="Times New Roman" w:hAnsi="Times New Roman"/>
        </w:rPr>
        <w:t xml:space="preserve"> = 10 m of the stop line (chosen from 10–30 m on a separate tuning seed). A discharging queue keeps a vehicle at the line and holds green, while a cleared queue still hands over early; bound (4) still holds.</w:t>
      </w:r>
    </w:p>
    <w:p>
      <w:pPr>
        <w:keepNext/>
        <w:spacing w:before="80" w:after="40"/>
      </w:pPr>
      <w:r>
        <w:rPr>
          <w:i/>
          <w:iCs/>
          <w:sz w:val="20"/>
          <w:szCs w:val="20"/>
          <w:rFonts w:ascii="Times New Roman" w:cs="Times New Roman" w:eastAsia="Times New Roman" w:hAnsi="Times New Roman"/>
        </w:rPr>
        <w:t xml:space="preserve">E. Comparison Controllers</w:t>
      </w:r>
    </w:p>
    <w:p>
      <w:pPr>
        <w:spacing w:after="0" w:before="0" w:line="240"/>
        <w:ind w:firstLine="204"/>
        <w:jc w:val="both"/>
      </w:pPr>
      <w:r>
        <w:rPr>
          <w:sz w:val="20"/>
          <w:szCs w:val="20"/>
          <w:rFonts w:ascii="Times New Roman" w:cs="Times New Roman" w:eastAsia="Times New Roman" w:hAnsi="Times New Roman"/>
        </w:rPr>
        <w:t xml:space="preserve">Four strategies were re-implemented with the same phases, change intervals, 8–45 s green limits and exact vehicle states, so only the switching decision differs and bound (4) holds for all. </w:t>
      </w:r>
      <w:r>
        <w:rPr>
          <w:i/>
          <w:iCs/>
          <w:sz w:val="20"/>
          <w:szCs w:val="20"/>
          <w:rFonts w:ascii="Times New Roman" w:cs="Times New Roman" w:eastAsia="Times New Roman" w:hAnsi="Times New Roman"/>
        </w:rPr>
        <w:t xml:space="preserve">Webster:</w:t>
      </w:r>
      <w:r>
        <w:rPr>
          <w:sz w:val="20"/>
          <w:szCs w:val="20"/>
          <w:rFonts w:ascii="Times New Roman" w:cs="Times New Roman" w:eastAsia="Times New Roman" w:hAnsi="Times New Roman"/>
        </w:rPr>
        <w:t xml:space="preserve"> a fixed plan with cycle </w:t>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0</w:t>
      </w:r>
      <w:r>
        <w:rPr>
          <w:sz w:val="20"/>
          <w:szCs w:val="20"/>
          <w:rFonts w:ascii="Times New Roman" w:cs="Times New Roman" w:eastAsia="Times New Roman" w:hAnsi="Times New Roman"/>
        </w:rPr>
        <w:t xml:space="preserve"> = (1.5</w:t>
      </w:r>
      <w:r>
        <w:rPr>
          <w:i/>
          <w:iCs/>
          <w:sz w:val="20"/>
          <w:szCs w:val="20"/>
          <w:rFonts w:ascii="Times New Roman" w:cs="Times New Roman" w:eastAsia="Times New Roman" w:hAnsi="Times New Roman"/>
        </w:rPr>
        <w:t xml:space="preserve">L</w:t>
      </w:r>
      <w:r>
        <w:rPr>
          <w:sz w:val="20"/>
          <w:szCs w:val="20"/>
          <w:rFonts w:ascii="Times New Roman" w:cs="Times New Roman" w:eastAsia="Times New Roman" w:hAnsi="Times New Roman"/>
        </w:rPr>
        <w:t xml:space="preserve"> + 5)/(1 − </w:t>
      </w:r>
      <w:r>
        <w:rPr>
          <w:i/>
          <w:iCs/>
          <w:sz w:val="20"/>
          <w:szCs w:val="20"/>
          <w:rFonts w:ascii="Times New Roman" w:cs="Times New Roman" w:eastAsia="Times New Roman" w:hAnsi="Times New Roman"/>
        </w:rPr>
        <w:t xml:space="preserve">Y</w:t>
      </w:r>
      <w:r>
        <w:rPr>
          <w:sz w:val="20"/>
          <w:szCs w:val="20"/>
          <w:rFonts w:ascii="Times New Roman" w:cs="Times New Roman" w:eastAsia="Times New Roman" w:hAnsi="Times New Roman"/>
        </w:rPr>
        <w:t xml:space="preserve">), lost time </w:t>
      </w:r>
      <w:r>
        <w:rPr>
          <w:i/>
          <w:iCs/>
          <w:sz w:val="20"/>
          <w:szCs w:val="20"/>
          <w:rFonts w:ascii="Times New Roman" w:cs="Times New Roman" w:eastAsia="Times New Roman" w:hAnsi="Times New Roman"/>
        </w:rPr>
        <w:t xml:space="preserve">L</w:t>
      </w:r>
      <w:r>
        <w:rPr>
          <w:sz w:val="20"/>
          <w:szCs w:val="20"/>
          <w:rFonts w:ascii="Times New Roman" w:cs="Times New Roman" w:eastAsia="Times New Roman" w:hAnsi="Times New Roman"/>
        </w:rPr>
        <w:t xml:space="preserve"> = 8 s and measured saturation flow 6000 veh/h per approach, given the true mean demand of each run (which favors it). </w:t>
      </w:r>
      <w:r>
        <w:rPr>
          <w:i/>
          <w:iCs/>
          <w:sz w:val="20"/>
          <w:szCs w:val="20"/>
          <w:rFonts w:ascii="Times New Roman" w:cs="Times New Roman" w:eastAsia="Times New Roman" w:hAnsi="Times New Roman"/>
        </w:rPr>
        <w:t xml:space="preserve">Actuated:</w:t>
      </w:r>
      <w:r>
        <w:rPr>
          <w:sz w:val="20"/>
          <w:szCs w:val="20"/>
          <w:rFonts w:ascii="Times New Roman" w:cs="Times New Roman" w:eastAsia="Times New Roman" w:hAnsi="Times New Roman"/>
        </w:rPr>
        <w:t xml:space="preserve"> past the minimum, green ends when the served direction gaps out (no vehicle within 10 m of the line) and a vehicle waits [23]. </w:t>
      </w:r>
      <w:r>
        <w:rPr>
          <w:i/>
          <w:iCs/>
          <w:sz w:val="20"/>
          <w:szCs w:val="20"/>
          <w:rFonts w:ascii="Times New Roman" w:cs="Times New Roman" w:eastAsia="Times New Roman" w:hAnsi="Times New Roman"/>
        </w:rPr>
        <w:t xml:space="preserve">Max-pressure:</w:t>
      </w:r>
      <w:r>
        <w:rPr>
          <w:sz w:val="20"/>
          <w:szCs w:val="20"/>
          <w:rFonts w:ascii="Times New Roman" w:cs="Times New Roman" w:eastAsia="Times New Roman" w:hAnsi="Times New Roman"/>
        </w:rPr>
        <w:t xml:space="preserve"> switch when the waiting phase's upstream count exceeds the served one's [11]; this also represents busiest-lane-first control [6]. </w:t>
      </w:r>
      <w:r>
        <w:rPr>
          <w:i/>
          <w:iCs/>
          <w:sz w:val="20"/>
          <w:szCs w:val="20"/>
          <w:rFonts w:ascii="Times New Roman" w:cs="Times New Roman" w:eastAsia="Times New Roman" w:hAnsi="Times New Roman"/>
        </w:rPr>
        <w:t xml:space="preserve">Density levels:</w:t>
      </w:r>
      <w:r>
        <w:rPr>
          <w:sz w:val="20"/>
          <w:szCs w:val="20"/>
          <w:rFonts w:ascii="Times New Roman" w:cs="Times New Roman" w:eastAsia="Times New Roman" w:hAnsi="Times New Roman"/>
        </w:rPr>
        <w:t xml:space="preserve"> green of 10, 20 or 30 s for low, medium or high density at green start [1].</w:t>
      </w:r>
    </w:p>
    <w:p>
      <w:pPr>
        <w:keepNext/>
        <w:spacing w:before="80" w:after="40"/>
      </w:pPr>
      <w:r>
        <w:rPr>
          <w:i/>
          <w:iCs/>
          <w:sz w:val="20"/>
          <w:szCs w:val="20"/>
          <w:rFonts w:ascii="Times New Roman" w:cs="Times New Roman" w:eastAsia="Times New Roman" w:hAnsi="Times New Roman"/>
        </w:rPr>
        <w:t xml:space="preserve">F. Emergency Vehicle Preemption</w:t>
      </w:r>
    </w:p>
    <w:p>
      <w:pPr>
        <w:spacing w:after="0" w:before="0" w:line="240"/>
        <w:ind w:firstLine="204"/>
        <w:jc w:val="both"/>
      </w:pPr>
      <w:r>
        <w:rPr>
          <w:sz w:val="20"/>
          <w:szCs w:val="20"/>
          <w:rFonts w:ascii="Times New Roman" w:cs="Times New Roman" w:eastAsia="Times New Roman" w:hAnsi="Times New Roman"/>
        </w:rPr>
        <w:t xml:space="preserve">Preemption wraps any phase-based controller (Fig. 3). When an ambulance or fire truck is upstream of the junction exit, a conflicting green first completes a full 3 s yellow and 1 s all-red (a green younger than 5 s is not cut); the emergency direction then has green until the vehicle has left or for at most 20 s, and the release again passes through full yellow and all-red before the inner controller resumes. An emergency vehicle thus waits at most 9 s. Detection is assumed perfect, e.g. from vehicle-to-infrastructure messages.</w:t>
      </w:r>
    </w:p>
    <w:p>
      <w:pPr>
        <w:keepNext/>
        <w:spacing w:before="80"/>
        <w:jc w:val="center"/>
      </w:pPr>
      <w:r>
        <w:drawing>
          <wp:inline distT="0" distB="0" distL="0" distR="0">
            <wp:extent cx="2743200" cy="1285875"/>
            <wp:effectExtent t="0" r="0" b="0" l="0"/>
            <wp:docPr id="1" name="fig3_preemption.png" descr="Emergency preemption states. Every path from one direction's green to the other's passes through a full yellow and all-red interval."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1285875"/>
                    </a:xfrm>
                    <a:prstGeom prst="rect">
                      <a:avLst/>
                    </a:prstGeom>
                  </pic:spPr>
                </pic:pic>
              </a:graphicData>
            </a:graphic>
          </wp:inline>
        </w:drawing>
      </w:r>
    </w:p>
    <w:p>
      <w:pPr>
        <w:spacing w:before="40" w:after="120"/>
        <w:jc w:val="both"/>
      </w:pPr>
      <w:r>
        <w:rPr>
          <w:sz w:val="16"/>
          <w:szCs w:val="16"/>
          <w:rFonts w:ascii="Times New Roman" w:cs="Times New Roman" w:eastAsia="Times New Roman" w:hAnsi="Times New Roman"/>
        </w:rPr>
        <w:t xml:space="preserve">Fig. 3. </w:t>
      </w:r>
      <w:r>
        <w:rPr>
          <w:sz w:val="16"/>
          <w:szCs w:val="16"/>
          <w:rFonts w:ascii="Times New Roman" w:cs="Times New Roman" w:eastAsia="Times New Roman" w:hAnsi="Times New Roman"/>
        </w:rPr>
        <w:t xml:space="preserve">Emergency preemption states. Every path from one direction's green to the other's passes through a full yellow and all-red interval.</w:t>
      </w:r>
    </w:p>
    <w:p>
      <w:pPr>
        <w:keepNext/>
        <w:spacing w:before="80" w:after="40"/>
      </w:pPr>
      <w:r>
        <w:rPr>
          <w:i/>
          <w:iCs/>
          <w:sz w:val="20"/>
          <w:szCs w:val="20"/>
          <w:rFonts w:ascii="Times New Roman" w:cs="Times New Roman" w:eastAsia="Times New Roman" w:hAnsi="Times New Roman"/>
        </w:rPr>
        <w:t xml:space="preserve">G. Vision Pipeline</w:t>
      </w:r>
    </w:p>
    <w:p>
      <w:pPr>
        <w:spacing w:after="0" w:before="0" w:line="240"/>
        <w:ind w:firstLine="204"/>
        <w:jc w:val="both"/>
      </w:pPr>
      <w:r>
        <w:rPr>
          <w:sz w:val="20"/>
          <w:szCs w:val="20"/>
          <w:rFonts w:ascii="Times New Roman" w:cs="Times New Roman" w:eastAsia="Times New Roman" w:hAnsi="Times New Roman"/>
        </w:rPr>
        <w:t xml:space="preserve">A virtual camera per approach renders the 60 m before the stop line at 4 px/m and 2 Hz. The detector equalizes, upscales three times and applies OpenCV's pre-trained vehicle Haar cascade; it localizes but does not classify vehicles. A ByteTrack-style tracker matches Kalman-predicted boxes to high- then low-confidence detections by Hungarian assignment on IoU. </w:t>
      </w:r>
      <w:r>
        <w:rPr>
          <w:i/>
          <w:iCs/>
          <w:sz w:val="20"/>
          <w:szCs w:val="20"/>
          <w:rFonts w:ascii="Times New Roman" w:cs="Times New Roman" w:eastAsia="Times New Roman" w:hAnsi="Times New Roman"/>
        </w:rPr>
        <w:t xml:space="preserve">Data and annotation:</w:t>
      </w:r>
      <w:r>
        <w:rPr>
          <w:sz w:val="20"/>
          <w:szCs w:val="20"/>
          <w:rFonts w:ascii="Times New Roman" w:cs="Times New Roman" w:eastAsia="Times New Roman" w:hAnsi="Times New Roman"/>
        </w:rPr>
        <w:t xml:space="preserve"> no real images are used; frames and exact ground-truth boxes are both generated from the simulator state, so there is no manual labelling. Nothing is trained, so there is no training split: parameters were fixed in unseeded development runs, and seeds 1–4 are used only for evaluation. A detection is correct if its center lies in a ground-truth box enlarged by 4 px.</w:t>
      </w:r>
    </w:p>
    <w:p>
      <w:pPr>
        <w:keepNext/>
        <w:spacing w:before="160" w:after="80"/>
        <w:jc w:val="center"/>
      </w:pPr>
      <w:r>
        <w:rPr>
          <w:sz w:val="20"/>
          <w:szCs w:val="20"/>
          <w:smallCaps/>
          <w:rFonts w:ascii="Times New Roman" w:cs="Times New Roman" w:eastAsia="Times New Roman" w:hAnsi="Times New Roman"/>
        </w:rPr>
        <w:t xml:space="preserve">IV. Experimental Evaluation</w:t>
      </w:r>
    </w:p>
    <w:p>
      <w:pPr>
        <w:keepNext/>
        <w:spacing w:before="80" w:after="40"/>
      </w:pPr>
      <w:r>
        <w:rPr>
          <w:i/>
          <w:iCs/>
          <w:sz w:val="20"/>
          <w:szCs w:val="20"/>
          <w:rFonts w:ascii="Times New Roman" w:cs="Times New Roman" w:eastAsia="Times New Roman" w:hAnsi="Times New Roman"/>
        </w:rPr>
        <w:t xml:space="preserve">A. Setup and Safety Audit</w:t>
      </w:r>
    </w:p>
    <w:p>
      <w:pPr>
        <w:spacing w:after="0" w:before="0" w:line="240"/>
        <w:ind w:firstLine="204"/>
        <w:jc w:val="both"/>
      </w:pPr>
      <w:r>
        <w:rPr>
          <w:sz w:val="20"/>
          <w:szCs w:val="20"/>
          <w:rFonts w:ascii="Times New Roman" w:cs="Times New Roman" w:eastAsia="Times New Roman" w:hAnsi="Times New Roman"/>
        </w:rPr>
        <w:t xml:space="preserve">Three demand levels below capacity were simulated: λ = 0.08, 0.12 and 0.18 veh/s per approach (1152–2592 veh/h). Each controller and level ran ten seeds for 1800 s; a seed gives every controller the same arrivals, so runs are paired. After a 60 s warm-up, stopped delay (time upstream of the line below 0.5 m/s) is measured for vehicles entering until 1650 s. Results give 95% confidence intervals and paired t-tests; preemption is on unless stated. Seed 1000 was used for tuning, 101–105 for capacity and 1–10 for reported results. In total 3,524 runs (1,797 simulated hours) were made. Every step of every run was audited for conflicting greens, missing yellows and yellow or all-red shorter than 3 s or 1 s: no violation occurred, across all seven controllers and 1,830 preemptions in the main runs. The audit caught an earlier preemption version that resumed without a release interval.</w:t>
      </w:r>
    </w:p>
    <w:p>
      <w:pPr>
        <w:keepNext/>
        <w:spacing w:before="80" w:after="40"/>
      </w:pPr>
      <w:r>
        <w:rPr>
          <w:i/>
          <w:iCs/>
          <w:sz w:val="20"/>
          <w:szCs w:val="20"/>
          <w:rFonts w:ascii="Times New Roman" w:cs="Times New Roman" w:eastAsia="Times New Roman" w:hAnsi="Times New Roman"/>
        </w:rPr>
        <w:t xml:space="preserve">B. Comparison Below Capacity</w:t>
      </w:r>
    </w:p>
    <w:p>
      <w:pPr>
        <w:spacing w:after="0" w:before="0" w:line="240"/>
        <w:ind w:firstLine="204"/>
        <w:jc w:val="both"/>
      </w:pPr>
      <w:r>
        <w:rPr>
          <w:sz w:val="20"/>
          <w:szCs w:val="20"/>
          <w:rFonts w:ascii="Times New Roman" w:cs="Times New Roman" w:eastAsia="Times New Roman" w:hAnsi="Times New Roman"/>
        </w:rPr>
        <w:t xml:space="preserve">In Table II the adaptive controller reduced delay by 35.3–36.1% relative to the fixed plan, in all seeds at every level (p &lt; 0.001). Yet the Webster plan, actuated and max-pressure control did as well (37.5–39.7%, 37.2–39.9%, 37.3–39.8%; between −6.8% and −2.9% relative to adaptive): below capacity the gain comes from replacing an untuned plan with short responsive greens. Three-level density control was worse than fixed timing at medium and high demand (+29.0%, +28.9%), as its 20–30 s greens outlast the queue. The hold changed delay by between −1.2% and +2.5%, and throughput by at most 0.9%, as all levels are far below capacity.</w:t>
      </w:r>
    </w:p>
    <w:p>
      <w:pPr>
        <w:keepNext/>
        <w:spacing w:before="120"/>
        <w:jc w:val="center"/>
      </w:pPr>
      <w:r>
        <w:rPr>
          <w:sz w:val="16"/>
          <w:szCs w:val="16"/>
          <w:rFonts w:ascii="Times New Roman" w:cs="Times New Roman" w:eastAsia="Times New Roman" w:hAnsi="Times New Roman"/>
        </w:rPr>
        <w:t xml:space="preserve">TABLE II</w:t>
      </w:r>
    </w:p>
    <w:p>
      <w:pPr>
        <w:keepNext/>
        <w:spacing w:after="60"/>
        <w:jc w:val="center"/>
      </w:pPr>
      <w:r>
        <w:rPr>
          <w:sz w:val="16"/>
          <w:szCs w:val="16"/>
          <w:smallCaps/>
          <w:rFonts w:ascii="Times New Roman" w:cs="Times New Roman" w:eastAsia="Times New Roman" w:hAnsi="Times New Roman"/>
        </w:rPr>
        <w:t xml:space="preserve">Mean stopped delay below capacity (s)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60"/>
        <w:gridCol w:w="860"/>
        <w:gridCol w:w="860"/>
        <w:gridCol w:w="640"/>
        <w:gridCol w:w="520"/>
      </w:tblGrid>
      <w:tr>
        <w:trPr>
          <w:tblHeader/>
        </w:trPr>
        <w:tc>
          <w:tcPr>
            <w:tcW w:type="dxa" w:w="13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Controller</w:t>
            </w:r>
          </w:p>
        </w:tc>
        <w:tc>
          <w:tcPr>
            <w:tcW w:type="dxa" w:w="8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Low</w:t>
            </w:r>
          </w:p>
        </w:tc>
        <w:tc>
          <w:tcPr>
            <w:tcW w:type="dxa" w:w="8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Medium</w:t>
            </w:r>
          </w:p>
        </w:tc>
        <w:tc>
          <w:tcPr>
            <w:tcW w:type="dxa" w:w="8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High</w:t>
            </w:r>
          </w:p>
        </w:tc>
        <w:tc>
          <w:tcPr>
            <w:tcW w:type="dxa" w:w="6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High vs fixed</w:t>
            </w:r>
          </w:p>
        </w:tc>
        <w:tc>
          <w:tcPr>
            <w:tcW w:type="dxa" w:w="5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Green (s)</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Fixed (20 s)</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6.96 ± 0.17</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7.20 ± 0.20</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7.36 ± 0.22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19.3</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Webster fixed</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4.29 ± 0.18</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4.34 ± 0.15</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4.60 ± 0.29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−37.5%</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8.7</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Actuated</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4.19 ± 0.21</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4.36 ± 0.13</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4.63 ± 0.17</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−37.2%</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8.8</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Max-pressure</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4.22 ± 0.14</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4.33 ± 0.17</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4.62 ± 0.18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−37.3%</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8.9</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Density levels</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7.35 ± 0.37</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9.29 ± 0.33</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9.49 ± 0.15</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+28.9%</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26.9</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Adaptive</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4.49 ± 0.10</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4.60 ± 0.14</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4.76 ± 0.12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−35.3%</w:t>
            </w:r>
          </w:p>
        </w:tc>
        <w:tc>
          <w:tcPr>
            <w:tcW w:type="dxa" w:w="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9.5</w:t>
            </w:r>
          </w:p>
        </w:tc>
      </w:tr>
      <w:tr>
        <w:trPr>
          <w:cantSplit/>
        </w:trPr>
        <w:tc>
          <w:tcPr>
            <w:tcW w:type="dxa" w:w="13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Adaptive + hold</w:t>
            </w:r>
          </w:p>
        </w:tc>
        <w:tc>
          <w:tcPr>
            <w:tcW w:type="dxa" w:w="8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4.44 ± 0.10</w:t>
            </w:r>
          </w:p>
        </w:tc>
        <w:tc>
          <w:tcPr>
            <w:tcW w:type="dxa" w:w="8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4.62 ± 0.16</w:t>
            </w:r>
          </w:p>
        </w:tc>
        <w:tc>
          <w:tcPr>
            <w:tcW w:type="dxa" w:w="8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4.89 ± 0.23</w:t>
            </w:r>
          </w:p>
        </w:tc>
        <w:tc>
          <w:tcPr>
            <w:tcW w:type="dxa" w:w="6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−33.7%</w:t>
            </w:r>
          </w:p>
        </w:tc>
        <w:tc>
          <w:tcPr>
            <w:tcW w:type="dxa" w:w="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9.7</w:t>
            </w:r>
          </w:p>
        </w:tc>
      </w:tr>
    </w:tbl>
    <w:p>
      <w:pPr>
        <w:spacing w:before="40" w:after="120"/>
        <w:jc w:val="both"/>
      </w:pPr>
      <w:r>
        <w:rPr>
          <w:i/>
          <w:iCs/>
          <w:sz w:val="14"/>
          <w:szCs w:val="14"/>
          <w:rFonts w:ascii="Times New Roman" w:cs="Times New Roman" w:eastAsia="Times New Roman" w:hAnsi="Times New Roman"/>
        </w:rPr>
        <w:t xml:space="preserve">Mean ± 95% CI, ten paired seeds, preemption on. All changes vs fixed are significant (p &lt; 0.001) except density levels at low demand (p = 0.06). Green: mean at high demand.</w:t>
      </w:r>
    </w:p>
    <w:p>
      <w:pPr>
        <w:keepNext/>
        <w:spacing w:before="80" w:after="40"/>
      </w:pPr>
      <w:r>
        <w:rPr>
          <w:i/>
          <w:iCs/>
          <w:sz w:val="20"/>
          <w:szCs w:val="20"/>
          <w:rFonts w:ascii="Times New Roman" w:cs="Times New Roman" w:eastAsia="Times New Roman" w:hAnsi="Times New Roman"/>
        </w:rPr>
        <w:t xml:space="preserve">C. Operation Near and Above Capacity</w:t>
      </w:r>
    </w:p>
    <w:p>
      <w:pPr>
        <w:spacing w:after="0" w:before="0" w:line="240"/>
        <w:ind w:firstLine="204"/>
        <w:jc w:val="both"/>
      </w:pPr>
      <w:r>
        <w:rPr>
          <w:sz w:val="20"/>
          <w:szCs w:val="20"/>
          <w:rFonts w:ascii="Times New Roman" w:cs="Times New Roman" w:eastAsia="Times New Roman" w:hAnsi="Times New Roman"/>
        </w:rPr>
        <w:t xml:space="preserve">Table II's levels are only 12–26% of the fixed-time capacity. Table III gives each controller's capacity (all approaches flooded); these runs and Table IV use preemption off, since at these demands emergency vehicles would trigger a preemption every 15–30 s. The original adaptive rule lost 18.9% of capacity (p &lt; 0.001) as its saturated greens fell to 8.1 s; the hold raised them to 37.6 s and capacity to +9.8%. Max-pressure lost capacity like the original rule (−18.8%); actuated control (+9.6%) and the Webster plan (+11.6%, maximum green above capacity) did not.</w:t>
      </w:r>
    </w:p>
    <w:p>
      <w:pPr>
        <w:keepNext/>
        <w:spacing w:before="120"/>
        <w:jc w:val="center"/>
      </w:pPr>
      <w:r>
        <w:rPr>
          <w:sz w:val="16"/>
          <w:szCs w:val="16"/>
          <w:rFonts w:ascii="Times New Roman" w:cs="Times New Roman" w:eastAsia="Times New Roman" w:hAnsi="Times New Roman"/>
        </w:rPr>
        <w:t xml:space="preserve">TABLE III</w:t>
      </w:r>
    </w:p>
    <w:p>
      <w:pPr>
        <w:keepNext/>
        <w:spacing w:after="60"/>
        <w:jc w:val="center"/>
      </w:pPr>
      <w:r>
        <w:rPr>
          <w:sz w:val="16"/>
          <w:szCs w:val="16"/>
          <w:smallCaps/>
          <w:rFonts w:ascii="Times New Roman" w:cs="Times New Roman" w:eastAsia="Times New Roman" w:hAnsi="Times New Roman"/>
        </w:rPr>
        <w:t xml:space="preserve">Capacity of each controller (veh/h)</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800"/>
        <w:gridCol w:w="640"/>
        <w:gridCol w:w="1050"/>
      </w:tblGrid>
      <w:tr>
        <w:trPr>
          <w:tblHeader/>
        </w:trPr>
        <w:tc>
          <w:tcPr>
            <w:tcW w:type="dxa" w:w="13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Controller</w:t>
            </w:r>
          </w:p>
        </w:tc>
        <w:tc>
          <w:tcPr>
            <w:tcW w:type="dxa" w:w="125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Preemption off</w:t>
            </w:r>
          </w:p>
        </w:tc>
        <w:tc>
          <w:tcPr>
            <w:tcW w:type="dxa" w:w="8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vs fixed</w:t>
            </w:r>
          </w:p>
        </w:tc>
        <w:tc>
          <w:tcPr>
            <w:tcW w:type="dxa" w:w="6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Green (s)</w:t>
            </w:r>
          </w:p>
        </w:tc>
        <w:tc>
          <w:tcPr>
            <w:tcW w:type="dxa" w:w="105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Preemption on</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Fixed (20 s)</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10008 ± 89</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20.0</w:t>
            </w:r>
          </w:p>
        </w:tc>
        <w:tc>
          <w:tcPr>
            <w:tcW w:type="dxa" w:w="1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9701 ± 197</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Webster fixed</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11168 ± 32</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+11.6%</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45.0</w:t>
            </w:r>
          </w:p>
        </w:tc>
        <w:tc>
          <w:tcPr>
            <w:tcW w:type="dxa" w:w="1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9977 ± 224</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Actuated</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10971 ± 75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+9.6%</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37.3</w:t>
            </w:r>
          </w:p>
        </w:tc>
        <w:tc>
          <w:tcPr>
            <w:tcW w:type="dxa" w:w="1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10018 ± 223</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Max-pressure</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8128 ± 136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−18.8%</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8.1</w:t>
            </w:r>
          </w:p>
        </w:tc>
        <w:tc>
          <w:tcPr>
            <w:tcW w:type="dxa" w:w="1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8876 ± 296</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Density levels</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10637 ± 55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+6.3%</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30.0</w:t>
            </w:r>
          </w:p>
        </w:tc>
        <w:tc>
          <w:tcPr>
            <w:tcW w:type="dxa" w:w="1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9976 ± 193</w:t>
            </w:r>
          </w:p>
        </w:tc>
      </w:tr>
      <w:tr>
        <w:trPr>
          <w:cantSplit/>
        </w:trPr>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Adaptive</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8112 ± 155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−18.9%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8.1</w:t>
            </w:r>
          </w:p>
        </w:tc>
        <w:tc>
          <w:tcPr>
            <w:tcW w:type="dxa" w:w="1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8861 ± 321</w:t>
            </w:r>
          </w:p>
        </w:tc>
      </w:tr>
      <w:tr>
        <w:trPr>
          <w:cantSplit/>
        </w:trPr>
        <w:tc>
          <w:tcPr>
            <w:tcW w:type="dxa" w:w="13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Adaptive + hold</w:t>
            </w:r>
          </w:p>
        </w:tc>
        <w:tc>
          <w:tcPr>
            <w:tcW w:type="dxa" w:w="12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10988 ± 41</w:t>
            </w:r>
          </w:p>
        </w:tc>
        <w:tc>
          <w:tcPr>
            <w:tcW w:type="dxa" w:w="8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+9.8%</w:t>
            </w:r>
          </w:p>
        </w:tc>
        <w:tc>
          <w:tcPr>
            <w:tcW w:type="dxa" w:w="6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37.6</w:t>
            </w:r>
          </w:p>
        </w:tc>
        <w:tc>
          <w:tcPr>
            <w:tcW w:type="dxa" w:w="10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10012 ± 222</w:t>
            </w:r>
          </w:p>
        </w:tc>
      </w:tr>
    </w:tbl>
    <w:p>
      <w:pPr>
        <w:spacing w:before="40" w:after="120"/>
        <w:jc w:val="both"/>
      </w:pPr>
      <w:r>
        <w:rPr>
          <w:i/>
          <w:iCs/>
          <w:sz w:val="14"/>
          <w:szCs w:val="14"/>
          <w:rFonts w:ascii="Times New Roman" w:cs="Times New Roman" w:eastAsia="Times New Roman" w:hAnsi="Times New Roman"/>
        </w:rPr>
        <w:t xml:space="preserve">Every approach flooded at 1.5 arrivals/s; five seeds; mean saturated green.</w:t>
      </w:r>
    </w:p>
    <w:p>
      <w:pPr>
        <w:keepNext/>
        <w:spacing w:before="120"/>
        <w:jc w:val="center"/>
      </w:pPr>
      <w:r>
        <w:rPr>
          <w:sz w:val="16"/>
          <w:szCs w:val="16"/>
          <w:rFonts w:ascii="Times New Roman" w:cs="Times New Roman" w:eastAsia="Times New Roman" w:hAnsi="Times New Roman"/>
        </w:rPr>
        <w:t xml:space="preserve">TABLE IV</w:t>
      </w:r>
    </w:p>
    <w:p>
      <w:pPr>
        <w:keepNext/>
        <w:spacing w:after="60"/>
        <w:jc w:val="center"/>
      </w:pPr>
      <w:r>
        <w:rPr>
          <w:sz w:val="16"/>
          <w:szCs w:val="16"/>
          <w:smallCaps/>
          <w:rFonts w:ascii="Times New Roman" w:cs="Times New Roman" w:eastAsia="Times New Roman" w:hAnsi="Times New Roman"/>
        </w:rPr>
        <w:t xml:space="preserve">Delay including vehicles still waiting (s)</w:t>
      </w:r>
    </w:p>
    <w:tbl>
      <w:tblPr>
        <w:tblW w:type="dxa" w:w="5036"/>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606"/>
        <w:gridCol w:w="606"/>
        <w:gridCol w:w="606"/>
        <w:gridCol w:w="606"/>
        <w:gridCol w:w="606"/>
        <w:gridCol w:w="606"/>
      </w:tblGrid>
      <w:tr>
        <w:trPr>
          <w:tblHeader/>
        </w:trPr>
        <w:tc>
          <w:tcPr>
            <w:tcW w:type="dxa" w:w="14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Controller</w:t>
            </w:r>
          </w:p>
        </w:tc>
        <w:tc>
          <w:tcPr>
            <w:tcW w:type="dxa" w:w="606"/>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0.6×</w:t>
            </w:r>
          </w:p>
        </w:tc>
        <w:tc>
          <w:tcPr>
            <w:tcW w:type="dxa" w:w="606"/>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0.8×</w:t>
            </w:r>
          </w:p>
        </w:tc>
        <w:tc>
          <w:tcPr>
            <w:tcW w:type="dxa" w:w="606"/>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0.9×</w:t>
            </w:r>
          </w:p>
        </w:tc>
        <w:tc>
          <w:tcPr>
            <w:tcW w:type="dxa" w:w="606"/>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w:t>
            </w:r>
          </w:p>
        </w:tc>
        <w:tc>
          <w:tcPr>
            <w:tcW w:type="dxa" w:w="606"/>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1.2×</w:t>
            </w:r>
          </w:p>
        </w:tc>
        <w:tc>
          <w:tcPr>
            <w:tcW w:type="dxa" w:w="606"/>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1.5×</w:t>
            </w:r>
          </w:p>
        </w:tc>
      </w:tr>
      <w:tr>
        <w:trPr>
          <w:cantSplit/>
        </w:trPr>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Fixed (20 s)</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6.4</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7.7</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8.9</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12.2</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115.3</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312.2</w:t>
            </w:r>
          </w:p>
        </w:tc>
      </w:tr>
      <w:tr>
        <w:trPr>
          <w:cantSplit/>
        </w:trPr>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Webster fixed</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4.8</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8.2</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11.5</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17.1</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50.6</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240.4</w:t>
            </w:r>
          </w:p>
        </w:tc>
      </w:tr>
      <w:tr>
        <w:trPr>
          <w:cantSplit/>
        </w:trPr>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Actuated</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6.5</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8.1</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10.6</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52.8</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245.7</w:t>
            </w:r>
          </w:p>
        </w:tc>
      </w:tr>
      <w:tr>
        <w:trPr>
          <w:cantSplit/>
        </w:trPr>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Max-pressure</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4.6</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9.7</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25.6</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132.0</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292.9</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438.8</w:t>
            </w:r>
          </w:p>
        </w:tc>
      </w:tr>
      <w:tr>
        <w:trPr>
          <w:cantSplit/>
        </w:trPr>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Adaptive</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4.6</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10.1</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41.5</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148.7</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298.2</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440.1</w:t>
            </w:r>
          </w:p>
        </w:tc>
      </w:tr>
      <w:tr>
        <w:trPr>
          <w:cantSplit/>
        </w:trPr>
        <w:tc>
          <w:tcPr>
            <w:tcW w:type="dxa" w:w="14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Adaptive + hold</w:t>
            </w:r>
          </w:p>
        </w:tc>
        <w:tc>
          <w:tcPr>
            <w:tcW w:type="dxa" w:w="60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w:t>
            </w:r>
          </w:p>
        </w:tc>
        <w:tc>
          <w:tcPr>
            <w:tcW w:type="dxa" w:w="60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6.4</w:t>
            </w:r>
          </w:p>
        </w:tc>
        <w:tc>
          <w:tcPr>
            <w:tcW w:type="dxa" w:w="60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8.2</w:t>
            </w:r>
          </w:p>
        </w:tc>
        <w:tc>
          <w:tcPr>
            <w:tcW w:type="dxa" w:w="60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10.6</w:t>
            </w:r>
          </w:p>
        </w:tc>
        <w:tc>
          <w:tcPr>
            <w:tcW w:type="dxa" w:w="60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48.7</w:t>
            </w:r>
          </w:p>
        </w:tc>
        <w:tc>
          <w:tcPr>
            <w:tcW w:type="dxa" w:w="606"/>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245.6</w:t>
            </w:r>
          </w:p>
        </w:tc>
      </w:tr>
    </w:tbl>
    <w:p>
      <w:pPr>
        <w:spacing w:before="40" w:after="120"/>
        <w:jc w:val="both"/>
      </w:pPr>
      <w:r>
        <w:rPr>
          <w:i/>
          <w:iCs/>
          <w:sz w:val="14"/>
          <w:szCs w:val="14"/>
          <w:rFonts w:ascii="Times New Roman" w:cs="Times New Roman" w:eastAsia="Times New Roman" w:hAnsi="Times New Roman"/>
        </w:rPr>
        <w:t xml:space="preserve">Demand as a multiple of fixed-time capacity; ten paired seeds; preemption off. Values above capacity are lower bounds.</w:t>
      </w:r>
    </w:p>
    <w:p>
      <w:pPr>
        <w:keepNext/>
        <w:spacing w:before="80"/>
        <w:jc w:val="center"/>
      </w:pPr>
      <w:r>
        <w:drawing>
          <wp:inline distT="0" distB="0" distL="0" distR="0">
            <wp:extent cx="2647950" cy="2876550"/>
            <wp:effectExtent t="0" r="0" b="0" l="0"/>
            <wp:docPr id="1" name="fig5_above_capacity.png" descr="Delay (top, log scale) and throughput (bottom) against demand, preemption off; dotted line: fixed-time capacity."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47950" cy="2876550"/>
                    </a:xfrm>
                    <a:prstGeom prst="rect">
                      <a:avLst/>
                    </a:prstGeom>
                  </pic:spPr>
                </pic:pic>
              </a:graphicData>
            </a:graphic>
          </wp:inline>
        </w:drawing>
      </w:r>
    </w:p>
    <w:p>
      <w:pPr>
        <w:spacing w:before="40" w:after="120"/>
        <w:jc w:val="both"/>
      </w:pPr>
      <w:r>
        <w:rPr>
          <w:sz w:val="16"/>
          <w:szCs w:val="16"/>
          <w:rFonts w:ascii="Times New Roman" w:cs="Times New Roman" w:eastAsia="Times New Roman" w:hAnsi="Times New Roman"/>
        </w:rPr>
        <w:t xml:space="preserve">Fig. 4. </w:t>
      </w:r>
      <w:r>
        <w:rPr>
          <w:sz w:val="16"/>
          <w:szCs w:val="16"/>
          <w:rFonts w:ascii="Times New Roman" w:cs="Times New Roman" w:eastAsia="Times New Roman" w:hAnsi="Times New Roman"/>
        </w:rPr>
        <w:t xml:space="preserve">Delay (top, log scale) and throughput (bottom) against demand, preemption off; dotted line: fixed-time capacity.</w:t>
      </w:r>
    </w:p>
    <w:p>
      <w:pPr>
        <w:spacing w:after="0" w:before="0" w:line="240"/>
        <w:ind w:firstLine="204"/>
        <w:jc w:val="both"/>
      </w:pPr>
      <w:r>
        <w:rPr>
          <w:sz w:val="20"/>
          <w:szCs w:val="20"/>
          <w:rFonts w:ascii="Times New Roman" w:cs="Times New Roman" w:eastAsia="Times New Roman" w:hAnsi="Times New Roman"/>
        </w:rPr>
        <w:t xml:space="preserve">In Table IV and Fig. 4 the original rule beat fixed timing only at 0.6×; at capacity its delay was 148.7 s against 12.2 s, its queue grew by 28.9 veh/min, and queues spilled back to the link entry during 78% of approach-time. With the hold, delay was below fixed timing at every level (−33.2%, −16.3%, −7.6%, −13.3%, −57.7%, −21.3% from 0.6× to 1.5×; not significant at 1.0×, p = 0.14) and throughput rose by +9.5% and +10.1% at 1.2× and 1.5×. Actuated control behaved like the hold; max-pressure degraded like the original rule. With preemption on the pattern held with smaller margins (capacity −8.7% and +3.2%).</w:t>
      </w:r>
    </w:p>
    <w:p>
      <w:pPr>
        <w:spacing w:after="0" w:before="0" w:line="240"/>
        <w:ind w:firstLine="204"/>
        <w:jc w:val="both"/>
      </w:pPr>
      <w:r>
        <w:rPr>
          <w:sz w:val="20"/>
          <w:szCs w:val="20"/>
          <w:rFonts w:ascii="Times New Roman" w:cs="Times New Roman" w:eastAsia="Times New Roman" w:hAnsi="Times New Roman"/>
        </w:rPr>
        <w:t xml:space="preserve">In a 60-minute peak, demand ramped from 0.6 to 1.2 times capacity, held for 15 min and fell back (Fig. 5; ten seeds, preemption off). The queue peaked at 495 vehicles under fixed timing, 255 with the hold, 254 with actuated and 1214 with the original rule. Time to recover the pre-peak queue was 13.9 min (fixed), 7.3 min (hold), 7.4 min (actuated) and not within the hour (original rule). Entries were blocked for 68, 36 and 172 approach-minutes (fixed, hold, original); peak throughput was 10574, 11394 and 8244 veh/h; total delay changed by −57.3% with the hold and +356.1% with the original rule relative to fixed timing.</w:t>
      </w:r>
    </w:p>
    <w:p>
      <w:pPr>
        <w:keepNext/>
        <w:spacing w:before="80"/>
        <w:jc w:val="center"/>
      </w:pPr>
      <w:r>
        <w:drawing>
          <wp:inline distT="0" distB="0" distL="0" distR="0">
            <wp:extent cx="2647950" cy="1952625"/>
            <wp:effectExtent t="0" r="0" b="0" l="0"/>
            <wp:docPr id="1" name="fig6_peak_queue.png" descr="Queue including vehicles waiting to enter during the 60-minute peak (mean of ten seeds, 2-min moving average). Shading: ramp (light) and 1.2× capacity (dark)."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47950" cy="1952625"/>
                    </a:xfrm>
                    <a:prstGeom prst="rect">
                      <a:avLst/>
                    </a:prstGeom>
                  </pic:spPr>
                </pic:pic>
              </a:graphicData>
            </a:graphic>
          </wp:inline>
        </w:drawing>
      </w:r>
    </w:p>
    <w:p>
      <w:pPr>
        <w:spacing w:before="40" w:after="120"/>
        <w:jc w:val="both"/>
      </w:pPr>
      <w:r>
        <w:rPr>
          <w:sz w:val="16"/>
          <w:szCs w:val="16"/>
          <w:rFonts w:ascii="Times New Roman" w:cs="Times New Roman" w:eastAsia="Times New Roman" w:hAnsi="Times New Roman"/>
        </w:rPr>
        <w:t xml:space="preserve">Fig. 5. </w:t>
      </w:r>
      <w:r>
        <w:rPr>
          <w:sz w:val="16"/>
          <w:szCs w:val="16"/>
          <w:rFonts w:ascii="Times New Roman" w:cs="Times New Roman" w:eastAsia="Times New Roman" w:hAnsi="Times New Roman"/>
        </w:rPr>
        <w:t xml:space="preserve">Queue including vehicles waiting to enter during the 60-minute peak (mean of ten seeds, 2-min moving average). Shading: ramp (light) and 1.2× capacity (dark).</w:t>
      </w:r>
    </w:p>
    <w:p>
      <w:pPr>
        <w:keepNext/>
        <w:spacing w:before="80" w:after="40"/>
      </w:pPr>
      <w:r>
        <w:rPr>
          <w:i/>
          <w:iCs/>
          <w:sz w:val="20"/>
          <w:szCs w:val="20"/>
          <w:rFonts w:ascii="Times New Roman" w:cs="Times New Roman" w:eastAsia="Times New Roman" w:hAnsi="Times New Roman"/>
        </w:rPr>
        <w:t xml:space="preserve">D. Emergency Preemption</w:t>
      </w:r>
    </w:p>
    <w:p>
      <w:pPr>
        <w:spacing w:after="0" w:before="0" w:line="240"/>
        <w:ind w:firstLine="204"/>
        <w:jc w:val="both"/>
      </w:pPr>
      <w:r>
        <w:rPr>
          <w:sz w:val="20"/>
          <w:szCs w:val="20"/>
          <w:rFonts w:ascii="Times New Roman" w:cs="Times New Roman" w:eastAsia="Times New Roman" w:hAnsi="Times New Roman"/>
        </w:rPr>
        <w:t xml:space="preserve">Emergency vehicles (1% of arrivals) triggered 12.4–23.4 preemptions per hour. Preemption cut their mean stopped delay from 8.87 s to 0.28 s under fixed timing and from 3.65 s to 0.35 s under adaptive control at medium demand (p &lt; 0.001). The cost to other vehicles was +3.1% (p 0.08) under fixed timing but +9.3% under adaptive control and +7.2% with the hold, because each preemption discards the responsive timing; real emergency traffic is far rarer, so the real cost would be smaller.</w:t>
      </w:r>
    </w:p>
    <w:p>
      <w:pPr>
        <w:keepNext/>
        <w:spacing w:before="80" w:after="40"/>
      </w:pPr>
      <w:r>
        <w:rPr>
          <w:i/>
          <w:iCs/>
          <w:sz w:val="20"/>
          <w:szCs w:val="20"/>
          <w:rFonts w:ascii="Times New Roman" w:cs="Times New Roman" w:eastAsia="Times New Roman" w:hAnsi="Times New Roman"/>
        </w:rPr>
        <w:t xml:space="preserve">E. Ablation</w:t>
      </w:r>
    </w:p>
    <w:p>
      <w:pPr>
        <w:spacing w:after="0" w:before="0" w:line="240"/>
        <w:ind w:firstLine="204"/>
        <w:jc w:val="both"/>
      </w:pPr>
      <w:r>
        <w:rPr>
          <w:sz w:val="20"/>
          <w:szCs w:val="20"/>
          <w:rFonts w:ascii="Times New Roman" w:cs="Times New Roman" w:eastAsia="Times New Roman" w:hAnsi="Times New Roman"/>
        </w:rPr>
        <w:t xml:space="preserve">Table V changes one part of the controller at a time on the same seeds. Counting vehicles plainly raised delay by 22.7% and 26.6%; removing the queued/moving distinction raised it by 35.1% and 33.0%, whereas equal class weights changed it by −3.9% and −3.2%. The score's benefit thus comes from the queued/moving distinction, not the class weights. θ = 1.5 lowered delay slightly, and the hold, with any zone, left delay unchanged below capacity.</w:t>
      </w:r>
    </w:p>
    <w:p>
      <w:pPr>
        <w:keepNext/>
        <w:spacing w:before="120"/>
        <w:jc w:val="center"/>
      </w:pPr>
      <w:r>
        <w:rPr>
          <w:sz w:val="16"/>
          <w:szCs w:val="16"/>
          <w:rFonts w:ascii="Times New Roman" w:cs="Times New Roman" w:eastAsia="Times New Roman" w:hAnsi="Times New Roman"/>
        </w:rPr>
        <w:t xml:space="preserve">TABLE V</w:t>
      </w:r>
    </w:p>
    <w:p>
      <w:pPr>
        <w:keepNext/>
        <w:spacing w:after="60"/>
        <w:jc w:val="center"/>
      </w:pPr>
      <w:r>
        <w:rPr>
          <w:sz w:val="16"/>
          <w:szCs w:val="16"/>
          <w:smallCaps/>
          <w:rFonts w:ascii="Times New Roman" w:cs="Times New Roman" w:eastAsia="Times New Roman" w:hAnsi="Times New Roman"/>
        </w:rPr>
        <w:t xml:space="preserve">Ablation: change in mean delay (p)</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040"/>
        <w:gridCol w:w="1500"/>
        <w:gridCol w:w="1500"/>
      </w:tblGrid>
      <w:tr>
        <w:trPr>
          <w:tblHeader/>
        </w:trPr>
        <w:tc>
          <w:tcPr>
            <w:tcW w:type="dxa" w:w="20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Variant</w:t>
            </w:r>
          </w:p>
        </w:tc>
        <w:tc>
          <w:tcPr>
            <w:tcW w:type="dxa" w:w="15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Medium</w:t>
            </w:r>
          </w:p>
        </w:tc>
        <w:tc>
          <w:tcPr>
            <w:tcW w:type="dxa" w:w="15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High</w:t>
            </w:r>
          </w:p>
        </w:tc>
      </w:tr>
      <w:tr>
        <w:trPr>
          <w:cantSplit/>
        </w:trPr>
        <w:tc>
          <w:tcPr>
            <w:tcW w:type="dxa" w:w="20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Unweighted count</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+22.7% (&lt; 0.001)</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+26.6% (&lt; 0.001)</w:t>
            </w:r>
          </w:p>
        </w:tc>
      </w:tr>
      <w:tr>
        <w:trPr>
          <w:cantSplit/>
        </w:trPr>
        <w:tc>
          <w:tcPr>
            <w:tcW w:type="dxa" w:w="20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No class weights</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−3.9% (0.07)</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−3.2% (0.04)</w:t>
            </w:r>
          </w:p>
        </w:tc>
      </w:tr>
      <w:tr>
        <w:trPr>
          <w:cantSplit/>
        </w:trPr>
        <w:tc>
          <w:tcPr>
            <w:tcW w:type="dxa" w:w="20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No queued/moving distinction</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+35.1% (&lt; 0.001)</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+33.0% (&lt; 0.001)</w:t>
            </w:r>
          </w:p>
        </w:tc>
      </w:tr>
      <w:tr>
        <w:trPr>
          <w:cantSplit/>
        </w:trPr>
        <w:tc>
          <w:tcPr>
            <w:tcW w:type="dxa" w:w="20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θ = 1.0</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+1.3% (0.39)</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−0.3% (0.84)</w:t>
            </w:r>
          </w:p>
        </w:tc>
      </w:tr>
      <w:tr>
        <w:trPr>
          <w:cantSplit/>
        </w:trPr>
        <w:tc>
          <w:tcPr>
            <w:tcW w:type="dxa" w:w="20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θ = 1.5</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−4.9% (0.005)</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−4.1% (0.06)</w:t>
            </w:r>
          </w:p>
        </w:tc>
      </w:tr>
      <w:tr>
        <w:trPr>
          <w:cantSplit/>
        </w:trPr>
        <w:tc>
          <w:tcPr>
            <w:tcW w:type="dxa" w:w="20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 discharge hold, 10 m zone</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+0.4% (0.82)</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+2.5% (0.17)</w:t>
            </w:r>
          </w:p>
        </w:tc>
      </w:tr>
      <w:tr>
        <w:trPr>
          <w:cantSplit/>
        </w:trPr>
        <w:tc>
          <w:tcPr>
            <w:tcW w:type="dxa" w:w="20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 discharge hold, 20 m zone</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+1.3% (0.44)</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+2.2% (0.06)</w:t>
            </w:r>
          </w:p>
        </w:tc>
      </w:tr>
      <w:tr>
        <w:trPr>
          <w:cantSplit/>
        </w:trPr>
        <w:tc>
          <w:tcPr>
            <w:tcW w:type="dxa" w:w="20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 discharge hold, 30 m zone</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+0.2% (0.92)</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+3.6% (0.09)</w:t>
            </w:r>
          </w:p>
        </w:tc>
      </w:tr>
      <w:tr>
        <w:trPr>
          <w:cantSplit/>
        </w:trPr>
        <w:tc>
          <w:tcPr>
            <w:tcW w:type="dxa" w:w="20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Preemption off</w:t>
            </w:r>
          </w:p>
        </w:tc>
        <w:tc>
          <w:tcPr>
            <w:tcW w:type="dxa" w:w="15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−7.8% (&lt; 0.001)</w:t>
            </w:r>
          </w:p>
        </w:tc>
        <w:tc>
          <w:tcPr>
            <w:tcW w:type="dxa" w:w="15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−11.4% (&lt; 0.001)</w:t>
            </w:r>
          </w:p>
        </w:tc>
      </w:tr>
    </w:tbl>
    <w:p>
      <w:pPr>
        <w:spacing w:before="40" w:after="120"/>
        <w:jc w:val="both"/>
      </w:pPr>
      <w:r>
        <w:rPr>
          <w:i/>
          <w:iCs/>
          <w:sz w:val="14"/>
          <w:szCs w:val="14"/>
          <w:rFonts w:ascii="Times New Roman" w:cs="Times New Roman" w:eastAsia="Times New Roman" w:hAnsi="Times New Roman"/>
        </w:rPr>
        <w:t xml:space="preserve">Ten paired seeds, relative to the adaptive controller (4.60 s and 4.76 s); preemption on unless stated.</w:t>
      </w:r>
    </w:p>
    <w:p>
      <w:pPr>
        <w:keepNext/>
        <w:spacing w:before="80" w:after="40"/>
      </w:pPr>
      <w:r>
        <w:rPr>
          <w:i/>
          <w:iCs/>
          <w:sz w:val="20"/>
          <w:szCs w:val="20"/>
          <w:rFonts w:ascii="Times New Roman" w:cs="Times New Roman" w:eastAsia="Times New Roman" w:hAnsi="Times New Roman"/>
        </w:rPr>
        <w:t xml:space="preserve">F. Vision Pipeline</w:t>
      </w:r>
    </w:p>
    <w:p>
      <w:pPr>
        <w:spacing w:after="0" w:before="0" w:line="240"/>
        <w:ind w:firstLine="204"/>
        <w:jc w:val="both"/>
      </w:pPr>
      <w:r>
        <w:rPr>
          <w:sz w:val="20"/>
          <w:szCs w:val="20"/>
          <w:rFonts w:ascii="Times New Roman" w:cs="Times New Roman" w:eastAsia="Times New Roman" w:hAnsi="Times New Roman"/>
        </w:rPr>
        <w:t xml:space="preserve">On seeds 1–4 (9,600 frames, 14,874 vehicle instances) the generic cascade reached 4.1% precision and 8.2% recall (Table VI). 98.6% of false positives recur at the same spot, i.e. fire on background texture. Recall varied by class (car 7.1%, motorcycle 11.8%, auto 7.6%, bus 7.2%, truck 7.7%, fire_truck 3.7%, ambulance 14.3%) and distance (0-20 m 5.4%, 20-40 m 16.9%, 40-60 m 17.4%), lowest near the line where queued vehicles stand close. Only 0.6% of instances carried a confirmed track (Table VII). Tracked speed had a mean absolute error of 0.53 m/s against vehicles moving at only 0.56 m/s, since tracks are confirmed almost only on queued vehicles: a negative result, as the pipeline gives no usable kinematics for moving traffic. Removing the low-confidence matching stage or the motion model changed little, because recall is the limit. In two single-process runs of 400 frames on an Intel Core i5-12450H laptop CPU, detection took 103 and 171 ms per frame on average (it varies with the CPU's power state), against 0.002–0.004 ms per control decision.</w:t>
      </w:r>
    </w:p>
    <w:p>
      <w:pPr>
        <w:keepNext/>
        <w:spacing w:before="120"/>
        <w:jc w:val="center"/>
      </w:pPr>
      <w:r>
        <w:rPr>
          <w:sz w:val="16"/>
          <w:szCs w:val="16"/>
          <w:rFonts w:ascii="Times New Roman" w:cs="Times New Roman" w:eastAsia="Times New Roman" w:hAnsi="Times New Roman"/>
        </w:rPr>
        <w:t xml:space="preserve">TABLE VI</w:t>
      </w:r>
    </w:p>
    <w:p>
      <w:pPr>
        <w:keepNext/>
        <w:spacing w:after="60"/>
        <w:jc w:val="center"/>
      </w:pPr>
      <w:r>
        <w:rPr>
          <w:sz w:val="16"/>
          <w:szCs w:val="16"/>
          <w:smallCaps/>
          <w:rFonts w:ascii="Times New Roman" w:cs="Times New Roman" w:eastAsia="Times New Roman" w:hAnsi="Times New Roman"/>
        </w:rPr>
        <w:t xml:space="preserve">Detector accuracy and ablation (synthetic frames)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900"/>
        <w:gridCol w:w="900"/>
        <w:gridCol w:w="900"/>
      </w:tblGrid>
      <w:tr>
        <w:trPr>
          <w:tblHeader/>
        </w:trPr>
        <w:tc>
          <w:tcPr>
            <w:tcW w:type="dxa" w:w="23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Detector variant</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Precision (%)</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Recall (%)</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Det./frame</w:t>
            </w:r>
          </w:p>
        </w:tc>
      </w:tr>
      <w:tr>
        <w:trPr>
          <w:cantSplit/>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Default (3x upscale, equalized)</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4.1</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8.2</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3.30</w:t>
            </w:r>
          </w:p>
        </w:tc>
      </w:tr>
      <w:tr>
        <w:trPr>
          <w:cantSplit/>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2x upscale</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63.3</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3.7</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0.09</w:t>
            </w:r>
          </w:p>
        </w:tc>
      </w:tr>
      <w:tr>
        <w:trPr>
          <w:cantSplit/>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No upscaling</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0.0</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0.00</w:t>
            </w:r>
          </w:p>
        </w:tc>
      </w:tr>
      <w:tr>
        <w:trPr>
          <w:cantSplit/>
        </w:trPr>
        <w:tc>
          <w:tcPr>
            <w:tcW w:type="dxa" w:w="23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No histogram equalization</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0.0</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0.00</w:t>
            </w:r>
          </w:p>
        </w:tc>
      </w:tr>
    </w:tbl>
    <w:p>
      <w:pPr>
        <w:spacing w:before="40" w:after="120"/>
        <w:jc w:val="both"/>
      </w:pPr>
      <w:r>
        <w:rPr>
          <w:i/>
          <w:iCs/>
          <w:sz w:val="14"/>
          <w:szCs w:val="14"/>
          <w:rFonts w:ascii="Times New Roman" w:cs="Times New Roman" w:eastAsia="Times New Roman" w:hAnsi="Times New Roman"/>
        </w:rPr>
        <w:t xml:space="preserve">Seeds 1–4. —: too few detections for a meaningful precision.</w:t>
      </w:r>
    </w:p>
    <w:p>
      <w:pPr>
        <w:keepNext/>
        <w:spacing w:before="120"/>
        <w:jc w:val="center"/>
      </w:pPr>
      <w:r>
        <w:rPr>
          <w:sz w:val="16"/>
          <w:szCs w:val="16"/>
          <w:rFonts w:ascii="Times New Roman" w:cs="Times New Roman" w:eastAsia="Times New Roman" w:hAnsi="Times New Roman"/>
        </w:rPr>
        <w:t xml:space="preserve">TABLE VII</w:t>
      </w:r>
    </w:p>
    <w:p>
      <w:pPr>
        <w:keepNext/>
        <w:spacing w:after="60"/>
        <w:jc w:val="center"/>
      </w:pPr>
      <w:r>
        <w:rPr>
          <w:sz w:val="16"/>
          <w:szCs w:val="16"/>
          <w:smallCaps/>
          <w:rFonts w:ascii="Times New Roman" w:cs="Times New Roman" w:eastAsia="Times New Roman" w:hAnsi="Times New Roman"/>
        </w:rPr>
        <w:t xml:space="preserve">Tracking quality and tracked-speed error</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800"/>
        <w:gridCol w:w="800"/>
        <w:gridCol w:w="740"/>
      </w:tblGrid>
      <w:tr>
        <w:trPr>
          <w:tblHeader/>
        </w:trPr>
        <w:tc>
          <w:tcPr>
            <w:tcW w:type="dxa" w:w="19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Tracker variant</w:t>
            </w:r>
          </w:p>
        </w:tc>
        <w:tc>
          <w:tcPr>
            <w:tcW w:type="dxa" w:w="8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Coverage (%)</w:t>
            </w:r>
          </w:p>
        </w:tc>
        <w:tc>
          <w:tcPr>
            <w:tcW w:type="dxa" w:w="8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Confirmed (%)</w:t>
            </w:r>
          </w:p>
        </w:tc>
        <w:tc>
          <w:tcPr>
            <w:tcW w:type="dxa" w:w="8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ID sw./100 veh.</w:t>
            </w:r>
          </w:p>
        </w:tc>
        <w:tc>
          <w:tcPr>
            <w:tcW w:type="dxa" w:w="7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Speed MAE (m/s)</w:t>
            </w:r>
          </w:p>
        </w:tc>
      </w:tr>
      <w:tr>
        <w:trPr>
          <w:cantSplit/>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ByteTrack-style (two-stage, Kalman)</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0.2</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0.53</w:t>
            </w:r>
          </w:p>
        </w:tc>
      </w:tr>
      <w:tr>
        <w:trPr>
          <w:cantSplit/>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Single stage (low-confidence dropped)</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0.2</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0.16</w:t>
            </w:r>
          </w:p>
        </w:tc>
      </w:tr>
      <w:tr>
        <w:trPr>
          <w:cantSplit/>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No motion model (last box)</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0.2</w:t>
            </w:r>
          </w:p>
        </w:tc>
        <w:tc>
          <w:tcPr>
            <w:tcW w:type="dxa" w:w="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n/a</w:t>
            </w:r>
          </w:p>
        </w:tc>
      </w:tr>
      <w:tr>
        <w:trPr>
          <w:cantSplit/>
        </w:trPr>
        <w:tc>
          <w:tcPr>
            <w:tcW w:type="dxa" w:w="1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Confirm after 1 match</w:t>
            </w:r>
          </w:p>
        </w:tc>
        <w:tc>
          <w:tcPr>
            <w:tcW w:type="dxa" w:w="8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2.3</w:t>
            </w:r>
          </w:p>
        </w:tc>
        <w:tc>
          <w:tcPr>
            <w:tcW w:type="dxa" w:w="8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35.9</w:t>
            </w:r>
          </w:p>
        </w:tc>
        <w:tc>
          <w:tcPr>
            <w:tcW w:type="dxa" w:w="8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6.6</w:t>
            </w:r>
          </w:p>
        </w:tc>
        <w:tc>
          <w:tcPr>
            <w:tcW w:type="dxa" w:w="7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0.53</w:t>
            </w:r>
          </w:p>
        </w:tc>
      </w:tr>
    </w:tbl>
    <w:p>
      <w:pPr>
        <w:spacing w:before="40" w:after="120"/>
        <w:jc w:val="both"/>
      </w:pPr>
      <w:r>
        <w:rPr>
          <w:i/>
          <w:iCs/>
          <w:sz w:val="14"/>
          <w:szCs w:val="14"/>
          <w:rFonts w:ascii="Times New Roman" w:cs="Times New Roman" w:eastAsia="Times New Roman" w:hAnsi="Times New Roman"/>
        </w:rPr>
        <w:t xml:space="preserve">Coverage: vehicle instances in view with a confirmed track. Speed MAE: confirmed tracks on real vehicles.</w:t>
      </w:r>
    </w:p>
    <w:p>
      <w:pPr>
        <w:keepNext/>
        <w:spacing w:before="80" w:after="40"/>
      </w:pPr>
      <w:r>
        <w:rPr>
          <w:i/>
          <w:iCs/>
          <w:sz w:val="20"/>
          <w:szCs w:val="20"/>
          <w:rFonts w:ascii="Times New Roman" w:cs="Times New Roman" w:eastAsia="Times New Roman" w:hAnsi="Times New Roman"/>
        </w:rPr>
        <w:t xml:space="preserve">G. Validation of the Simulated Kinematics</w:t>
      </w:r>
    </w:p>
    <w:p>
      <w:pPr>
        <w:spacing w:after="0" w:before="0" w:line="240"/>
        <w:ind w:firstLine="204"/>
        <w:jc w:val="both"/>
      </w:pPr>
      <w:r>
        <w:rPr>
          <w:sz w:val="20"/>
          <w:szCs w:val="20"/>
          <w:rFonts w:ascii="Times New Roman" w:cs="Times New Roman" w:eastAsia="Times New Roman" w:hAnsi="Times New Roman"/>
        </w:rPr>
        <w:t xml:space="preserve">Queue discharge was measured as in the field: headways of queued vehicles crossing the line in saturated fixed-time runs, from the fifth vehicle on. The Highway Capacity Manual base is 1900 veh/h/lane (1.89 s) with about 2 s start-up lost time [24]. The model above discharges cars every 0.51 s (7,102 veh/h/lane; Table VIII), because without a reaction time a follower may trail by the 2 m standstill gap. Adding a reaction time τ to (1), as in Krauss's model [25], with τ = 1.6 s gives 1.92 s (1,877 veh/h/lane), within 1.2% of the reference; start-up lost time (−0.8 s) stays below field values. Repeating all comparisons with τ = 1.6 s (Webster re-timed for 3600 veh/h), delay reductions below capacity were 33.7–35.4% for the adaptive controller and 31.9–39.2%, 35.0–39.5% and 34.7–38.9% for Webster, actuated and max-pressure. Relative to fixed-time capacity (6,148 veh/h) the original rule reached −14.6% and Webster +6.3%, but the hold with its 10 m zone only −3.7%: with a reaction time, discharging vehicles spread to about 20 m gaps, so a 10 m zone empties between them. Like an actuated controller's passage time, the zone depends on local kinematics; re-tuned on the tuning seed to 20 m, the hold reached +6.1% and actuated control +6.1%, against +6.3% for Webster.</w:t>
      </w:r>
    </w:p>
    <w:p>
      <w:pPr>
        <w:keepNext/>
        <w:spacing w:before="120"/>
        <w:jc w:val="center"/>
      </w:pPr>
      <w:r>
        <w:rPr>
          <w:sz w:val="16"/>
          <w:szCs w:val="16"/>
          <w:rFonts w:ascii="Times New Roman" w:cs="Times New Roman" w:eastAsia="Times New Roman" w:hAnsi="Times New Roman"/>
        </w:rPr>
        <w:t xml:space="preserve">TABLE VIII</w:t>
      </w:r>
    </w:p>
    <w:p>
      <w:pPr>
        <w:keepNext/>
        <w:spacing w:after="60"/>
        <w:jc w:val="center"/>
      </w:pPr>
      <w:r>
        <w:rPr>
          <w:sz w:val="16"/>
          <w:szCs w:val="16"/>
          <w:smallCaps/>
          <w:rFonts w:ascii="Times New Roman" w:cs="Times New Roman" w:eastAsia="Times New Roman" w:hAnsi="Times New Roman"/>
        </w:rPr>
        <w:t xml:space="preserve">Queue discharge against field reference values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860"/>
        <w:gridCol w:w="900"/>
        <w:gridCol w:w="900"/>
        <w:gridCol w:w="880"/>
      </w:tblGrid>
      <w:tr>
        <w:trPr>
          <w:tblHeader/>
        </w:trPr>
        <w:tc>
          <w:tcPr>
            <w:tcW w:type="dxa" w:w="15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Model</w:t>
            </w:r>
          </w:p>
        </w:tc>
        <w:tc>
          <w:tcPr>
            <w:tcW w:type="dxa" w:w="8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Headway, cars (s)</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Sat. flow, cars (veh/h/ln)</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Sat. flow, all (veh/h/ln)</w:t>
            </w:r>
          </w:p>
        </w:tc>
        <w:tc>
          <w:tcPr>
            <w:tcW w:type="dxa" w:w="88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Start-up lost (s)</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Simulator, τ = 0</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0.51</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7,102</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3,164</w:t>
            </w:r>
          </w:p>
        </w:tc>
        <w:tc>
          <w:tcPr>
            <w:tcW w:type="dxa" w:w="8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2.1</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Simulator, τ = 1.6 s</w:t>
            </w:r>
          </w:p>
        </w:tc>
        <w:tc>
          <w:tcPr>
            <w:tcW w:type="dxa" w:w="8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1.92</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1,877</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1,798</w:t>
            </w:r>
          </w:p>
        </w:tc>
        <w:tc>
          <w:tcPr>
            <w:tcW w:type="dxa" w:w="8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−0.8</w:t>
            </w:r>
          </w:p>
        </w:tc>
      </w:tr>
      <w:tr>
        <w:trPr>
          <w:cantSplit/>
        </w:trPr>
        <w:tc>
          <w:tcPr>
            <w:tcW w:type="dxa" w:w="15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HCM base values [24]</w:t>
            </w:r>
          </w:p>
        </w:tc>
        <w:tc>
          <w:tcPr>
            <w:tcW w:type="dxa" w:w="8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1.89</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1,900</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w:t>
            </w:r>
          </w:p>
        </w:tc>
        <w:tc>
          <w:tcPr>
            <w:tcW w:type="dxa" w:w="88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 2.0</w:t>
            </w:r>
          </w:p>
        </w:tc>
      </w:tr>
    </w:tbl>
    <w:p>
      <w:pPr>
        <w:spacing w:before="40" w:after="120"/>
        <w:jc w:val="both"/>
      </w:pPr>
      <w:r>
        <w:rPr>
          <w:i/>
          <w:iCs/>
          <w:sz w:val="14"/>
          <w:szCs w:val="14"/>
          <w:rFonts w:ascii="Times New Roman" w:cs="Times New Roman" w:eastAsia="Times New Roman" w:hAnsi="Times New Roman"/>
        </w:rPr>
        <w:t xml:space="preserve">Saturated fixed-time runs, five seeds; headway averaged from the fifth queued vehicle on.</w:t>
      </w:r>
    </w:p>
    <w:p>
      <w:pPr>
        <w:keepNext/>
        <w:spacing w:before="80" w:after="40"/>
      </w:pPr>
      <w:r>
        <w:rPr>
          <w:i/>
          <w:iCs/>
          <w:sz w:val="20"/>
          <w:szCs w:val="20"/>
          <w:rFonts w:ascii="Times New Roman" w:cs="Times New Roman" w:eastAsia="Times New Roman" w:hAnsi="Times New Roman"/>
        </w:rPr>
        <w:t xml:space="preserve">H. Imperfect Sensing</w:t>
      </w:r>
    </w:p>
    <w:p>
      <w:pPr>
        <w:spacing w:after="0" w:before="0" w:line="240"/>
        <w:ind w:firstLine="204"/>
        <w:jc w:val="both"/>
      </w:pPr>
      <w:r>
        <w:rPr>
          <w:sz w:val="20"/>
          <w:szCs w:val="20"/>
          <w:rFonts w:ascii="Times New Roman" w:cs="Times New Roman" w:eastAsia="Times New Roman" w:hAnsi="Times New Roman"/>
        </w:rPr>
        <w:t xml:space="preserve">To measure the cost of the exact-state assumption, the vehicle-reading controllers were run behind a sensor model that reports only what a camera would: vehicles within 60 m, refreshed at 2 Hz, without classes, each detected with a given recall, optionally with phantom detections at fixed spots, and finally the measured pipeline (recall 8%, 3 phantoms); preemption reads true flags. Table IX gives delay at medium demand and 0.9 times capacity. Below capacity missed detections cost little, as they only shorten greens. Near capacity the hold's delay rose from 7.8 s (exact) to 8.5 s (perfect camera) and 14.4 s (50% recall), against 8.8 s for fixed timing. Phantoms were worst for gap-out rules: a phantom in the zone never moves, so green runs to the maximum (medium demand 11.9 s, +64.8% vs fixed). With the measured pipeline, every controller was worse than fixed timing near capacity. At medium demand max-pressure and adaptive still beat it, as phantoms on both directions largely cancel, while actuated and adaptive + hold were held at long greens by phantoms in the zone. Closing the loop with the present detector would harm traffic; a detector must suppress static false positives near the stop line, and recall matters most near capacity.</w:t>
      </w:r>
    </w:p>
    <w:p>
      <w:pPr>
        <w:keepNext/>
        <w:spacing w:before="120"/>
        <w:jc w:val="center"/>
      </w:pPr>
      <w:r>
        <w:rPr>
          <w:sz w:val="16"/>
          <w:szCs w:val="16"/>
          <w:rFonts w:ascii="Times New Roman" w:cs="Times New Roman" w:eastAsia="Times New Roman" w:hAnsi="Times New Roman"/>
        </w:rPr>
        <w:t xml:space="preserve">TABLE IX</w:t>
      </w:r>
    </w:p>
    <w:p>
      <w:pPr>
        <w:keepNext/>
        <w:spacing w:after="60"/>
        <w:jc w:val="center"/>
      </w:pPr>
      <w:r>
        <w:rPr>
          <w:sz w:val="16"/>
          <w:szCs w:val="16"/>
          <w:smallCaps/>
          <w:rFonts w:ascii="Times New Roman" w:cs="Times New Roman" w:eastAsia="Times New Roman" w:hAnsi="Times New Roman"/>
        </w:rPr>
        <w:t xml:space="preserve">Delay under imperfect sensing (s): medium demand / 0.9× capacity</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60"/>
        <w:gridCol w:w="920"/>
        <w:gridCol w:w="920"/>
        <w:gridCol w:w="920"/>
        <w:gridCol w:w="920"/>
      </w:tblGrid>
      <w:tr>
        <w:trPr>
          <w:tblHeader/>
        </w:trPr>
        <w:tc>
          <w:tcPr>
            <w:tcW w:type="dxa" w:w="13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Sensing</w:t>
            </w:r>
          </w:p>
        </w:tc>
        <w:tc>
          <w:tcPr>
            <w:tcW w:type="dxa" w:w="9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Actuated</w:t>
            </w:r>
          </w:p>
        </w:tc>
        <w:tc>
          <w:tcPr>
            <w:tcW w:type="dxa" w:w="9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Max-pressure</w:t>
            </w:r>
          </w:p>
        </w:tc>
        <w:tc>
          <w:tcPr>
            <w:tcW w:type="dxa" w:w="9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Adaptive</w:t>
            </w:r>
          </w:p>
        </w:tc>
        <w:tc>
          <w:tcPr>
            <w:tcW w:type="dxa" w:w="9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Adaptive + hold</w:t>
            </w:r>
          </w:p>
        </w:tc>
      </w:tr>
      <w:tr>
        <w:trPr>
          <w:cantSplit/>
        </w:trPr>
        <w:tc>
          <w:tcPr>
            <w:tcW w:type="dxa" w:w="13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Exact states</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 / 8.1</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27.2</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4.6 / 35.6</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4.6 / 7.8</w:t>
            </w:r>
          </w:p>
        </w:tc>
      </w:tr>
      <w:tr>
        <w:trPr>
          <w:cantSplit/>
        </w:trPr>
        <w:tc>
          <w:tcPr>
            <w:tcW w:type="dxa" w:w="13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Camera</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 / 8.5</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30.1</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45.0</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 / 8.5</w:t>
            </w:r>
          </w:p>
        </w:tc>
      </w:tr>
      <w:tr>
        <w:trPr>
          <w:cantSplit/>
        </w:trPr>
        <w:tc>
          <w:tcPr>
            <w:tcW w:type="dxa" w:w="13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recall 90%</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 / 8.4</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 / 32.3</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45.4</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8.3</w:t>
            </w:r>
          </w:p>
        </w:tc>
      </w:tr>
      <w:tr>
        <w:trPr>
          <w:cantSplit/>
        </w:trPr>
        <w:tc>
          <w:tcPr>
            <w:tcW w:type="dxa" w:w="13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recall 70%</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9.0</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36.4</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45.4</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 / 9.4</w:t>
            </w:r>
          </w:p>
        </w:tc>
      </w:tr>
      <w:tr>
        <w:trPr>
          <w:cantSplit/>
        </w:trPr>
        <w:tc>
          <w:tcPr>
            <w:tcW w:type="dxa" w:w="13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recall 50%</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 / 11.3</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33.0</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45.4</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14.4</w:t>
            </w:r>
          </w:p>
        </w:tc>
      </w:tr>
      <w:tr>
        <w:trPr>
          <w:cantSplit/>
        </w:trPr>
        <w:tc>
          <w:tcPr>
            <w:tcW w:type="dxa" w:w="13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recall 30%</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 / 20.6</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 / 35.7</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 / 48.6</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4.4 / 23.2</w:t>
            </w:r>
          </w:p>
        </w:tc>
      </w:tr>
      <w:tr>
        <w:trPr>
          <w:cantSplit/>
        </w:trPr>
        <w:tc>
          <w:tcPr>
            <w:tcW w:type="dxa" w:w="13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2 phantoms</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11.9 / 15.1</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30.1</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45.0</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11.9 / 15.1</w:t>
            </w:r>
          </w:p>
        </w:tc>
      </w:tr>
      <w:tr>
        <w:trPr>
          <w:cantSplit/>
        </w:trPr>
        <w:tc>
          <w:tcPr>
            <w:tcW w:type="dxa" w:w="13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Haar (recall 8%, 3 phantoms)</w:t>
            </w:r>
          </w:p>
        </w:tc>
        <w:tc>
          <w:tcPr>
            <w:tcW w:type="dxa" w:w="9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11.9 / 163.3</w:t>
            </w:r>
          </w:p>
        </w:tc>
        <w:tc>
          <w:tcPr>
            <w:tcW w:type="dxa" w:w="9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4.7 / 33.2</w:t>
            </w:r>
          </w:p>
        </w:tc>
        <w:tc>
          <w:tcPr>
            <w:tcW w:type="dxa" w:w="9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4.3 / 45.2</w:t>
            </w:r>
          </w:p>
        </w:tc>
        <w:tc>
          <w:tcPr>
            <w:tcW w:type="dxa" w:w="9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11.9 / 162.9</w:t>
            </w:r>
          </w:p>
        </w:tc>
      </w:tr>
    </w:tbl>
    <w:p>
      <w:pPr>
        <w:spacing w:before="40" w:after="120"/>
        <w:jc w:val="both"/>
      </w:pPr>
      <w:r>
        <w:rPr>
          <w:i/>
          <w:iCs/>
          <w:sz w:val="14"/>
          <w:szCs w:val="14"/>
          <w:rFonts w:ascii="Times New Roman" w:cs="Times New Roman" w:eastAsia="Times New Roman" w:hAnsi="Times New Roman"/>
        </w:rPr>
        <w:t xml:space="preserve">Ten paired seeds. Fixed plan: 7.2 / 8.8 s. 0.9×: preemption off, delay includes waiting to enter.</w:t>
      </w:r>
    </w:p>
    <w:p>
      <w:pPr>
        <w:keepNext/>
        <w:spacing w:before="80" w:after="40"/>
      </w:pPr>
      <w:r>
        <w:rPr>
          <w:i/>
          <w:iCs/>
          <w:sz w:val="20"/>
          <w:szCs w:val="20"/>
          <w:rFonts w:ascii="Times New Roman" w:cs="Times New Roman" w:eastAsia="Times New Roman" w:hAnsi="Times New Roman"/>
        </w:rPr>
        <w:t xml:space="preserve">I. Calibration of the Density Weights</w:t>
      </w:r>
    </w:p>
    <w:p>
      <w:pPr>
        <w:spacing w:after="0" w:before="0" w:line="240"/>
        <w:ind w:firstLine="204"/>
        <w:jc w:val="both"/>
      </w:pPr>
      <w:r>
        <w:rPr>
          <w:sz w:val="20"/>
          <w:szCs w:val="20"/>
          <w:rFonts w:ascii="Times New Roman" w:cs="Times New Roman" w:eastAsia="Times New Roman" w:hAnsi="Times New Roman"/>
        </w:rPr>
        <w:t xml:space="preserve">The hand-set weights were calibrated by a random search over the class weights, the queued/moving ratio and θ of the hold controller (14 candidates on tuning seeds 1001–1002, medium, high and 0.9× demand). The best setting (motorcycle 1.89, auto-rickshaw 3.02, bus 1.67, truck 0.93, emergency 1.91, queued/moving ratio 2.94, θ = 1.37) was compared with the hand-set weights on held-out seeds 1–10 (Table X): delay changed by −2.0% (p 0.374, medium), −4.9% (p 0.036, high), +2.2% (p 0.014, 0.9x capacity), while a plain count was +23.2%, +22.7%, +13.4%. Calibration thus gives modest, condition-dependent gains, and the parameters must be re-fitted on field data before deployment; the search is a reproducible procedure, not a learned controller.</w:t>
      </w:r>
    </w:p>
    <w:p>
      <w:pPr>
        <w:keepNext/>
        <w:spacing w:before="120"/>
        <w:jc w:val="center"/>
      </w:pPr>
      <w:r>
        <w:rPr>
          <w:sz w:val="16"/>
          <w:szCs w:val="16"/>
          <w:rFonts w:ascii="Times New Roman" w:cs="Times New Roman" w:eastAsia="Times New Roman" w:hAnsi="Times New Roman"/>
        </w:rPr>
        <w:t xml:space="preserve">TABLE X</w:t>
      </w:r>
    </w:p>
    <w:p>
      <w:pPr>
        <w:keepNext/>
        <w:spacing w:after="60"/>
        <w:jc w:val="center"/>
      </w:pPr>
      <w:r>
        <w:rPr>
          <w:sz w:val="16"/>
          <w:szCs w:val="16"/>
          <w:smallCaps/>
          <w:rFonts w:ascii="Times New Roman" w:cs="Times New Roman" w:eastAsia="Times New Roman" w:hAnsi="Times New Roman"/>
        </w:rPr>
        <w:t xml:space="preserve">Held-out delay with calibrated score parameters (s)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1240"/>
      </w:tblGrid>
      <w:tr>
        <w:trPr>
          <w:tblHeader/>
        </w:trPr>
        <w:tc>
          <w:tcPr>
            <w:tcW w:type="dxa" w:w="14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Condition</w:t>
            </w:r>
          </w:p>
        </w:tc>
        <w:tc>
          <w:tcPr>
            <w:tcW w:type="dxa" w:w="10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Hand-set</w:t>
            </w:r>
          </w:p>
        </w:tc>
        <w:tc>
          <w:tcPr>
            <w:tcW w:type="dxa" w:w="14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Calibrated</w:t>
            </w:r>
          </w:p>
        </w:tc>
        <w:tc>
          <w:tcPr>
            <w:tcW w:type="dxa" w:w="12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Plain count</w:t>
            </w:r>
          </w:p>
        </w:tc>
      </w:tr>
      <w:tr>
        <w:trPr>
          <w:cantSplit/>
        </w:trPr>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medium</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4.62</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4.53 (−2.0%)</w:t>
            </w:r>
          </w:p>
        </w:tc>
        <w:tc>
          <w:tcPr>
            <w:tcW w:type="dxa" w:w="1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5.69 (+23.2%)</w:t>
            </w:r>
          </w:p>
        </w:tc>
      </w:tr>
      <w:tr>
        <w:trPr>
          <w:cantSplit/>
        </w:trPr>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high</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4.89</w:t>
            </w:r>
          </w:p>
        </w:tc>
        <w:tc>
          <w:tcPr>
            <w:tcW w:type="dxa" w:w="14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4.64 (−4.9%)</w:t>
            </w:r>
          </w:p>
        </w:tc>
        <w:tc>
          <w:tcPr>
            <w:tcW w:type="dxa" w:w="1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5.99 (+22.7%)</w:t>
            </w:r>
          </w:p>
        </w:tc>
      </w:tr>
      <w:tr>
        <w:trPr>
          <w:cantSplit/>
        </w:trPr>
        <w:tc>
          <w:tcPr>
            <w:tcW w:type="dxa" w:w="14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6"/>
                <w:szCs w:val="16"/>
                <w:rFonts w:ascii="Times New Roman" w:cs="Times New Roman" w:eastAsia="Times New Roman" w:hAnsi="Times New Roman"/>
              </w:rPr>
              <w:t xml:space="preserve">0.9x capacity</w:t>
            </w:r>
          </w:p>
        </w:tc>
        <w:tc>
          <w:tcPr>
            <w:tcW w:type="dxa" w:w="10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7.85</w:t>
            </w:r>
          </w:p>
        </w:tc>
        <w:tc>
          <w:tcPr>
            <w:tcW w:type="dxa" w:w="14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8.03 (+2.2%)</w:t>
            </w:r>
          </w:p>
        </w:tc>
        <w:tc>
          <w:tcPr>
            <w:tcW w:type="dxa" w:w="12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6"/>
                <w:szCs w:val="16"/>
                <w:rFonts w:ascii="Times New Roman" w:cs="Times New Roman" w:eastAsia="Times New Roman" w:hAnsi="Times New Roman"/>
              </w:rPr>
              <w:t xml:space="preserve">8.90 (+13.4%)</w:t>
            </w:r>
          </w:p>
        </w:tc>
      </w:tr>
    </w:tbl>
    <w:p>
      <w:pPr>
        <w:spacing w:before="40" w:after="120"/>
        <w:jc w:val="both"/>
      </w:pPr>
      <w:r>
        <w:rPr>
          <w:i/>
          <w:iCs/>
          <w:sz w:val="14"/>
          <w:szCs w:val="14"/>
          <w:rFonts w:ascii="Times New Roman" w:cs="Times New Roman" w:eastAsia="Times New Roman" w:hAnsi="Times New Roman"/>
        </w:rPr>
        <w:t xml:space="preserve">Held-out seeds 1–10, ten paired seeds; change relative to the hand-set weights.</w:t>
      </w:r>
    </w:p>
    <w:p>
      <w:pPr>
        <w:keepNext/>
        <w:spacing w:before="160" w:after="80"/>
        <w:jc w:val="center"/>
      </w:pPr>
      <w:r>
        <w:rPr>
          <w:sz w:val="20"/>
          <w:szCs w:val="20"/>
          <w:smallCaps/>
          <w:rFonts w:ascii="Times New Roman" w:cs="Times New Roman" w:eastAsia="Times New Roman" w:hAnsi="Times New Roman"/>
        </w:rPr>
        <w:t xml:space="preserve">V. Discussion</w:t>
      </w:r>
    </w:p>
    <w:p>
      <w:pPr>
        <w:spacing w:after="0" w:before="0" w:line="240"/>
        <w:ind w:firstLine="204"/>
        <w:jc w:val="both"/>
      </w:pPr>
      <w:r>
        <w:rPr>
          <w:sz w:val="20"/>
          <w:szCs w:val="20"/>
          <w:rFonts w:ascii="Times New Roman" w:cs="Times New Roman" w:eastAsia="Times New Roman" w:hAnsi="Times New Roman"/>
        </w:rPr>
        <w:t xml:space="preserve">Two results qualify the usual claim that density control beats fixed timing. Below capacity, the gain over an untuned plan is matched by Webster, actuated and max-pressure control. Near capacity, density-only switching is worse than fixed timing because it ends greens while the queue is still discharging. With the hold, the controller matches the best strategies below capacity and nears the highest capacity measured (Webster's, +11.6%), while its rule fits in one line, its red time is bounded and its safety is audited. Its results are, however, close to plain actuated control: the gap-out test does most of the work, and the score's role is to decide when a cleared green hands over. Resuming after preemption with the higher-scoring direction is a direct improvement to test.</w:t>
      </w:r>
    </w:p>
    <w:p>
      <w:pPr>
        <w:spacing w:after="0" w:before="0" w:line="240"/>
        <w:ind w:firstLine="204"/>
        <w:jc w:val="both"/>
      </w:pPr>
      <w:r>
        <w:rPr>
          <w:b/>
          <w:bCs/>
          <w:sz w:val="20"/>
          <w:szCs w:val="20"/>
          <w:rFonts w:ascii="Times New Roman" w:cs="Times New Roman" w:eastAsia="Times New Roman" w:hAnsi="Times New Roman"/>
        </w:rPr>
        <w:t xml:space="preserve">Limitations.</w:t>
      </w:r>
      <w:r>
        <w:rPr>
          <w:sz w:val="20"/>
          <w:szCs w:val="20"/>
          <w:rFonts w:ascii="Times New Roman" w:cs="Times New Roman" w:eastAsia="Times New Roman" w:hAnsi="Times New Roman"/>
        </w:rPr>
        <w:t xml:space="preserve"> Results are from simulation only, without turns, lane changes, pedestrians or driver variability, so absolute delays are not field predictions. The main model has no reaction time and discharges queues too fast; the calibrated model fixes the headway but still underestimates start-up lost time, which would make short greens costlier, and the hold's zone must be tuned to local spacing. Arrivals are not Poisson, and emergency vehicles are far more frequent than in reality. The baselines are re-implementations with ideal sensing, and Webster knows the true demand. Control uses exact states and perfect emergency detection; the vision pipeline was tested only on synthetic frames and is far too weak to drive control. The calibrated weights fit this simulator, not field data. A Raspberry Pi 4 deployment (about INR 6,000–8,000 in parts, estimated 5–10 times slower detection than the laptop) remains to be verified.</w:t>
      </w:r>
    </w:p>
    <w:p>
      <w:pPr>
        <w:keepNext/>
        <w:spacing w:before="160" w:after="80"/>
        <w:jc w:val="center"/>
      </w:pPr>
      <w:r>
        <w:rPr>
          <w:sz w:val="20"/>
          <w:szCs w:val="20"/>
          <w:smallCaps/>
          <w:rFonts w:ascii="Times New Roman" w:cs="Times New Roman" w:eastAsia="Times New Roman" w:hAnsi="Times New Roman"/>
        </w:rPr>
        <w:t xml:space="preserve">VI. Conclusion</w:t>
      </w:r>
    </w:p>
    <w:p>
      <w:pPr>
        <w:spacing w:after="0" w:before="0" w:line="240"/>
        <w:ind w:firstLine="204"/>
        <w:jc w:val="both"/>
      </w:pPr>
      <w:r>
        <w:rPr>
          <w:sz w:val="20"/>
          <w:szCs w:val="20"/>
          <w:rFonts w:ascii="Times New Roman" w:cs="Times New Roman" w:eastAsia="Times New Roman" w:hAnsi="Times New Roman"/>
        </w:rPr>
        <w:t xml:space="preserve">A density-aware signal controller with a queue-aware score, bounded green extension, a discharge hold and safe emergency preemption was compared with a fixed plan and four re-implemented strategies on identical traffic. It reduced delay below capacity by 35.3–36.1%, as did Webster, actuated and max-pressure control. Near capacity the original rule lost 18.9% of capacity; the hold restored it (+9.8%) and lowered delay from 0.6 to 1.5 times capacity. The findings hold under calibrated kinematics with a re-tuned zone, no run violated a change interval, and the queued/moving distinction, not the class weights, carries the score's benefit. Future work will close the loop with a class-aware detector trained on real footage, test in SUMO [22] with turning traffic and stochastic arrivals, improve resumption after preemption, and measure the controller on embedded hardware at a real junction.</w:t>
      </w:r>
    </w:p>
    <w:p>
      <w:pPr>
        <w:keepNext/>
        <w:spacing w:before="160" w:after="80"/>
        <w:jc w:val="center"/>
      </w:pPr>
      <w:r>
        <w:rPr>
          <w:sz w:val="20"/>
          <w:szCs w:val="20"/>
          <w:smallCaps/>
          <w:rFonts w:ascii="Times New Roman" w:cs="Times New Roman" w:eastAsia="Times New Roman" w:hAnsi="Times New Roman"/>
        </w:rPr>
        <w:t xml:space="preserve">Acknowledgment</w:t>
      </w:r>
    </w:p>
    <w:p>
      <w:pPr>
        <w:spacing w:after="0" w:before="0" w:line="240"/>
        <w:ind w:firstLine="204"/>
        <w:jc w:val="both"/>
      </w:pPr>
      <w:r>
        <w:rPr>
          <w:sz w:val="20"/>
          <w:szCs w:val="20"/>
          <w:rFonts w:ascii="Times New Roman" w:cs="Times New Roman" w:eastAsia="Times New Roman" w:hAnsi="Times New Roman"/>
        </w:rPr>
        <w:t xml:space="preserve">The authors thank the Department of Information Technology, Ajay Kumar Garg Engineering College, Ghaziabad, for its support. An AI assistant (Anthropic's Claude) was used in developing parts of the software and in drafting and editing this manuscript; the authors reviewed the content and take responsibility for it.</w:t>
      </w:r>
    </w:p>
    <w:p>
      <w:pPr>
        <w:keepNext/>
        <w:spacing w:before="160" w:after="80"/>
        <w:jc w:val="center"/>
      </w:pPr>
      <w:r>
        <w:rPr>
          <w:sz w:val="20"/>
          <w:szCs w:val="20"/>
          <w:smallCaps/>
          <w:rFonts w:ascii="Times New Roman" w:cs="Times New Roman" w:eastAsia="Times New Roman" w:hAnsi="Times New Roman"/>
        </w:rPr>
        <w:t xml:space="preserve">References</w:t>
      </w:r>
    </w:p>
    <w:p>
      <w:pPr>
        <w:tabs>
          <w:tab w:val="left" w:pos="360"/>
        </w:tabs>
        <w:spacing w:after="20"/>
        <w:ind w:left="360" w:hanging="360"/>
        <w:jc w:val="both"/>
      </w:pPr>
      <w:r>
        <w:rPr>
          <w:sz w:val="16"/>
          <w:szCs w:val="16"/>
          <w:rFonts w:ascii="Times New Roman" w:cs="Times New Roman" w:eastAsia="Times New Roman" w:hAnsi="Times New Roman"/>
        </w:rPr>
        <w:t xml:space="preserve">[1]	</w:t>
      </w:r>
      <w:r>
        <w:rPr>
          <w:sz w:val="16"/>
          <w:szCs w:val="16"/>
          <w:rFonts w:ascii="Times New Roman" w:cs="Times New Roman" w:eastAsia="Times New Roman" w:hAnsi="Times New Roman"/>
        </w:rPr>
        <w:t xml:space="preserve">K. Nsofwa and S. Tembo, "Density based traffic control system," </w:t>
      </w:r>
      <w:r>
        <w:rPr>
          <w:i/>
          <w:iCs/>
          <w:sz w:val="16"/>
          <w:szCs w:val="16"/>
          <w:rFonts w:ascii="Times New Roman" w:cs="Times New Roman" w:eastAsia="Times New Roman" w:hAnsi="Times New Roman"/>
        </w:rPr>
        <w:t xml:space="preserve">Int. J. Traffic Transp. Eng.</w:t>
      </w:r>
      <w:r>
        <w:rPr>
          <w:sz w:val="16"/>
          <w:szCs w:val="16"/>
          <w:rFonts w:ascii="Times New Roman" w:cs="Times New Roman" w:eastAsia="Times New Roman" w:hAnsi="Times New Roman"/>
        </w:rPr>
        <w:t xml:space="preserve">, vol. 14, no. 1, pp. 1–8, 2025.</w:t>
      </w:r>
    </w:p>
    <w:p>
      <w:pPr>
        <w:tabs>
          <w:tab w:val="left" w:pos="360"/>
        </w:tabs>
        <w:spacing w:after="20"/>
        <w:ind w:left="360" w:hanging="360"/>
        <w:jc w:val="both"/>
      </w:pPr>
      <w:r>
        <w:rPr>
          <w:sz w:val="16"/>
          <w:szCs w:val="16"/>
          <w:rFonts w:ascii="Times New Roman" w:cs="Times New Roman" w:eastAsia="Times New Roman" w:hAnsi="Times New Roman"/>
        </w:rPr>
        <w:t xml:space="preserve">[2]	</w:t>
      </w:r>
      <w:r>
        <w:rPr>
          <w:sz w:val="16"/>
          <w:szCs w:val="16"/>
          <w:rFonts w:ascii="Times New Roman" w:cs="Times New Roman" w:eastAsia="Times New Roman" w:hAnsi="Times New Roman"/>
        </w:rPr>
        <w:t xml:space="preserve">F. V. Webster, "Traffic signal settings," Road Research Laboratory, London, U.K., Road Res. Tech. Paper no. 39, 1958.</w:t>
      </w:r>
    </w:p>
    <w:p>
      <w:pPr>
        <w:tabs>
          <w:tab w:val="left" w:pos="360"/>
        </w:tabs>
        <w:spacing w:after="20"/>
        <w:ind w:left="360" w:hanging="360"/>
        <w:jc w:val="both"/>
      </w:pPr>
      <w:r>
        <w:rPr>
          <w:sz w:val="16"/>
          <w:szCs w:val="16"/>
          <w:rFonts w:ascii="Times New Roman" w:cs="Times New Roman" w:eastAsia="Times New Roman" w:hAnsi="Times New Roman"/>
        </w:rPr>
        <w:t xml:space="preserve">[3]	</w:t>
      </w:r>
      <w:r>
        <w:rPr>
          <w:sz w:val="16"/>
          <w:szCs w:val="16"/>
          <w:rFonts w:ascii="Times New Roman" w:cs="Times New Roman" w:eastAsia="Times New Roman" w:hAnsi="Times New Roman"/>
        </w:rPr>
        <w:t xml:space="preserve">A. G. Sims and K. W. Dobinson, "The Sydney coordinated adaptive traffic (SCAT) system philosophy and benefits," </w:t>
      </w:r>
      <w:r>
        <w:rPr>
          <w:i/>
          <w:iCs/>
          <w:sz w:val="16"/>
          <w:szCs w:val="16"/>
          <w:rFonts w:ascii="Times New Roman" w:cs="Times New Roman" w:eastAsia="Times New Roman" w:hAnsi="Times New Roman"/>
        </w:rPr>
        <w:t xml:space="preserve">IEEE Trans. Veh. Technol.</w:t>
      </w:r>
      <w:r>
        <w:rPr>
          <w:sz w:val="16"/>
          <w:szCs w:val="16"/>
          <w:rFonts w:ascii="Times New Roman" w:cs="Times New Roman" w:eastAsia="Times New Roman" w:hAnsi="Times New Roman"/>
        </w:rPr>
        <w:t xml:space="preserve">, vol. 29, no. 2, pp. 130–137, May 1980, doi: 10.1109/TVT.1980.23833.</w:t>
      </w:r>
    </w:p>
    <w:p>
      <w:pPr>
        <w:tabs>
          <w:tab w:val="left" w:pos="360"/>
        </w:tabs>
        <w:spacing w:after="20"/>
        <w:ind w:left="360" w:hanging="360"/>
        <w:jc w:val="both"/>
      </w:pPr>
      <w:r>
        <w:rPr>
          <w:sz w:val="16"/>
          <w:szCs w:val="16"/>
          <w:rFonts w:ascii="Times New Roman" w:cs="Times New Roman" w:eastAsia="Times New Roman" w:hAnsi="Times New Roman"/>
        </w:rPr>
        <w:t xml:space="preserve">[4]	</w:t>
      </w:r>
      <w:r>
        <w:rPr>
          <w:sz w:val="16"/>
          <w:szCs w:val="16"/>
          <w:rFonts w:ascii="Times New Roman" w:cs="Times New Roman" w:eastAsia="Times New Roman" w:hAnsi="Times New Roman"/>
        </w:rPr>
        <w:t xml:space="preserve">P. B. Hunt, D. I. Robertson, R. D. Bretherton, and M. C. Royle, "The SCOOT on-line traffic signal optimisation technique," </w:t>
      </w:r>
      <w:r>
        <w:rPr>
          <w:i/>
          <w:iCs/>
          <w:sz w:val="16"/>
          <w:szCs w:val="16"/>
          <w:rFonts w:ascii="Times New Roman" w:cs="Times New Roman" w:eastAsia="Times New Roman" w:hAnsi="Times New Roman"/>
        </w:rPr>
        <w:t xml:space="preserve">Traffic Eng. Control</w:t>
      </w:r>
      <w:r>
        <w:rPr>
          <w:sz w:val="16"/>
          <w:szCs w:val="16"/>
          <w:rFonts w:ascii="Times New Roman" w:cs="Times New Roman" w:eastAsia="Times New Roman" w:hAnsi="Times New Roman"/>
        </w:rPr>
        <w:t xml:space="preserve">, vol. 23, no. 4, pp. 190–192, 1982.</w:t>
      </w:r>
    </w:p>
    <w:p>
      <w:pPr>
        <w:tabs>
          <w:tab w:val="left" w:pos="360"/>
        </w:tabs>
        <w:spacing w:after="20"/>
        <w:ind w:left="360" w:hanging="360"/>
        <w:jc w:val="both"/>
      </w:pPr>
      <w:r>
        <w:rPr>
          <w:sz w:val="16"/>
          <w:szCs w:val="16"/>
          <w:rFonts w:ascii="Times New Roman" w:cs="Times New Roman" w:eastAsia="Times New Roman" w:hAnsi="Times New Roman"/>
        </w:rPr>
        <w:t xml:space="preserve">[5]	</w:t>
      </w:r>
      <w:r>
        <w:rPr>
          <w:sz w:val="16"/>
          <w:szCs w:val="16"/>
          <w:rFonts w:ascii="Times New Roman" w:cs="Times New Roman" w:eastAsia="Times New Roman" w:hAnsi="Times New Roman"/>
        </w:rPr>
        <w:t xml:space="preserve">K. Pardeshi, P. Bable, M. Bhalerao, and M. Desai, "Adaptive traffic signal control system using density-based prioritization algorithm on ESP 32 platform," </w:t>
      </w:r>
      <w:r>
        <w:rPr>
          <w:i/>
          <w:iCs/>
          <w:sz w:val="16"/>
          <w:szCs w:val="16"/>
          <w:rFonts w:ascii="Times New Roman" w:cs="Times New Roman" w:eastAsia="Times New Roman" w:hAnsi="Times New Roman"/>
        </w:rPr>
        <w:t xml:space="preserve">Int. J. Eng. Res. Technol.</w:t>
      </w:r>
      <w:r>
        <w:rPr>
          <w:sz w:val="16"/>
          <w:szCs w:val="16"/>
          <w:rFonts w:ascii="Times New Roman" w:cs="Times New Roman" w:eastAsia="Times New Roman" w:hAnsi="Times New Roman"/>
        </w:rPr>
        <w:t xml:space="preserve">, vol. 15, no. 5, May 2026, doi: 10.5281/zenodo.20205923.</w:t>
      </w:r>
    </w:p>
    <w:p>
      <w:pPr>
        <w:tabs>
          <w:tab w:val="left" w:pos="360"/>
        </w:tabs>
        <w:spacing w:after="20"/>
        <w:ind w:left="360" w:hanging="360"/>
        <w:jc w:val="both"/>
      </w:pPr>
      <w:r>
        <w:rPr>
          <w:sz w:val="16"/>
          <w:szCs w:val="16"/>
          <w:rFonts w:ascii="Times New Roman" w:cs="Times New Roman" w:eastAsia="Times New Roman" w:hAnsi="Times New Roman"/>
        </w:rPr>
        <w:t xml:space="preserve">[6]	</w:t>
      </w:r>
      <w:r>
        <w:rPr>
          <w:sz w:val="16"/>
          <w:szCs w:val="16"/>
          <w:rFonts w:ascii="Times New Roman" w:cs="Times New Roman" w:eastAsia="Times New Roman" w:hAnsi="Times New Roman"/>
        </w:rPr>
        <w:t xml:space="preserve">V. B. Kamble, O. N. Mundhe, C. M. Walunjkar, and G. A. Kale, "AI-driven smart traffic management system," </w:t>
      </w:r>
      <w:r>
        <w:rPr>
          <w:i/>
          <w:iCs/>
          <w:sz w:val="16"/>
          <w:szCs w:val="16"/>
          <w:rFonts w:ascii="Times New Roman" w:cs="Times New Roman" w:eastAsia="Times New Roman" w:hAnsi="Times New Roman"/>
        </w:rPr>
        <w:t xml:space="preserve">Int. J. Multidiscip. Sci. Manage.</w:t>
      </w:r>
      <w:r>
        <w:rPr>
          <w:sz w:val="16"/>
          <w:szCs w:val="16"/>
          <w:rFonts w:ascii="Times New Roman" w:cs="Times New Roman" w:eastAsia="Times New Roman" w:hAnsi="Times New Roman"/>
        </w:rPr>
        <w:t xml:space="preserve">, vol. 2, no. 2, pp. 66–72, 2025.</w:t>
      </w:r>
    </w:p>
    <w:p>
      <w:pPr>
        <w:tabs>
          <w:tab w:val="left" w:pos="360"/>
        </w:tabs>
        <w:spacing w:after="20"/>
        <w:ind w:left="360" w:hanging="360"/>
        <w:jc w:val="both"/>
      </w:pPr>
      <w:r>
        <w:rPr>
          <w:sz w:val="16"/>
          <w:szCs w:val="16"/>
          <w:rFonts w:ascii="Times New Roman" w:cs="Times New Roman" w:eastAsia="Times New Roman" w:hAnsi="Times New Roman"/>
        </w:rPr>
        <w:t xml:space="preserve">[7]	</w:t>
      </w:r>
      <w:r>
        <w:rPr>
          <w:sz w:val="16"/>
          <w:szCs w:val="16"/>
          <w:rFonts w:ascii="Times New Roman" w:cs="Times New Roman" w:eastAsia="Times New Roman" w:hAnsi="Times New Roman"/>
        </w:rPr>
        <w:t xml:space="preserve">J. Redmon, S. Divvala, R. Girshick, and A. Farhadi, "You only look once: Unified, real-time object detection," in </w:t>
      </w:r>
      <w:r>
        <w:rPr>
          <w:i/>
          <w:iCs/>
          <w:sz w:val="16"/>
          <w:szCs w:val="16"/>
          <w:rFonts w:ascii="Times New Roman" w:cs="Times New Roman" w:eastAsia="Times New Roman" w:hAnsi="Times New Roman"/>
        </w:rPr>
        <w:t xml:space="preserve">Proc. IEEE Conf. Comput. Vis. Pattern Recognit. (CVPR)</w:t>
      </w:r>
      <w:r>
        <w:rPr>
          <w:sz w:val="16"/>
          <w:szCs w:val="16"/>
          <w:rFonts w:ascii="Times New Roman" w:cs="Times New Roman" w:eastAsia="Times New Roman" w:hAnsi="Times New Roman"/>
        </w:rPr>
        <w:t xml:space="preserve">, Las Vegas, NV, USA, 2016, pp. 779–788, doi: 10.1109/CVPR.2016.91.</w:t>
      </w:r>
    </w:p>
    <w:p>
      <w:pPr>
        <w:tabs>
          <w:tab w:val="left" w:pos="360"/>
        </w:tabs>
        <w:spacing w:after="20"/>
        <w:ind w:left="360" w:hanging="360"/>
        <w:jc w:val="both"/>
      </w:pPr>
      <w:r>
        <w:rPr>
          <w:sz w:val="16"/>
          <w:szCs w:val="16"/>
          <w:rFonts w:ascii="Times New Roman" w:cs="Times New Roman" w:eastAsia="Times New Roman" w:hAnsi="Times New Roman"/>
        </w:rPr>
        <w:t xml:space="preserve">[8]	</w:t>
      </w:r>
      <w:r>
        <w:rPr>
          <w:sz w:val="16"/>
          <w:szCs w:val="16"/>
          <w:rFonts w:ascii="Times New Roman" w:cs="Times New Roman" w:eastAsia="Times New Roman" w:hAnsi="Times New Roman"/>
        </w:rPr>
        <w:t xml:space="preserve">Z. Hu, W. H. K. Lam, S. C. Wong, A. H. F. Chow, and W. Ma, "Turning traffic surveillance cameras into intelligent sensors for traffic density estimation," </w:t>
      </w:r>
      <w:r>
        <w:rPr>
          <w:i/>
          <w:iCs/>
          <w:sz w:val="16"/>
          <w:szCs w:val="16"/>
          <w:rFonts w:ascii="Times New Roman" w:cs="Times New Roman" w:eastAsia="Times New Roman" w:hAnsi="Times New Roman"/>
        </w:rPr>
        <w:t xml:space="preserve">Complex Intell. Syst.</w:t>
      </w:r>
      <w:r>
        <w:rPr>
          <w:sz w:val="16"/>
          <w:szCs w:val="16"/>
          <w:rFonts w:ascii="Times New Roman" w:cs="Times New Roman" w:eastAsia="Times New Roman" w:hAnsi="Times New Roman"/>
        </w:rPr>
        <w:t xml:space="preserve">, vol. 9, no. 6, pp. 7171–7195, Dec. 2023, doi: 10.1007/s40747-023-01117-0.</w:t>
      </w:r>
    </w:p>
    <w:p>
      <w:pPr>
        <w:tabs>
          <w:tab w:val="left" w:pos="360"/>
        </w:tabs>
        <w:spacing w:after="20"/>
        <w:ind w:left="360" w:hanging="360"/>
        <w:jc w:val="both"/>
      </w:pPr>
      <w:r>
        <w:rPr>
          <w:sz w:val="16"/>
          <w:szCs w:val="16"/>
          <w:rFonts w:ascii="Times New Roman" w:cs="Times New Roman" w:eastAsia="Times New Roman" w:hAnsi="Times New Roman"/>
        </w:rPr>
        <w:t xml:space="preserve">[9]	</w:t>
      </w:r>
      <w:r>
        <w:rPr>
          <w:sz w:val="16"/>
          <w:szCs w:val="16"/>
          <w:rFonts w:ascii="Times New Roman" w:cs="Times New Roman" w:eastAsia="Times New Roman" w:hAnsi="Times New Roman"/>
        </w:rPr>
        <w:t xml:space="preserve">S. V. Patil, S. Kureshi, and A. Gaikwad, "Vehicle density based traffic signal control system," </w:t>
      </w:r>
      <w:r>
        <w:rPr>
          <w:i/>
          <w:iCs/>
          <w:sz w:val="16"/>
          <w:szCs w:val="16"/>
          <w:rFonts w:ascii="Times New Roman" w:cs="Times New Roman" w:eastAsia="Times New Roman" w:hAnsi="Times New Roman"/>
        </w:rPr>
        <w:t xml:space="preserve">Int. J. Novel Res. Develop.</w:t>
      </w:r>
      <w:r>
        <w:rPr>
          <w:sz w:val="16"/>
          <w:szCs w:val="16"/>
          <w:rFonts w:ascii="Times New Roman" w:cs="Times New Roman" w:eastAsia="Times New Roman" w:hAnsi="Times New Roman"/>
        </w:rPr>
        <w:t xml:space="preserve">, vol. 9, no. 5, pp. g284–g288, May 2024.</w:t>
      </w:r>
    </w:p>
    <w:p>
      <w:pPr>
        <w:tabs>
          <w:tab w:val="left" w:pos="360"/>
        </w:tabs>
        <w:spacing w:after="20"/>
        <w:ind w:left="360" w:hanging="360"/>
        <w:jc w:val="both"/>
      </w:pPr>
      <w:r>
        <w:rPr>
          <w:sz w:val="16"/>
          <w:szCs w:val="16"/>
          <w:rFonts w:ascii="Times New Roman" w:cs="Times New Roman" w:eastAsia="Times New Roman" w:hAnsi="Times New Roman"/>
        </w:rPr>
        <w:t xml:space="preserve">[10]	</w:t>
      </w:r>
      <w:r>
        <w:rPr>
          <w:sz w:val="16"/>
          <w:szCs w:val="16"/>
          <w:rFonts w:ascii="Times New Roman" w:cs="Times New Roman" w:eastAsia="Times New Roman" w:hAnsi="Times New Roman"/>
        </w:rPr>
        <w:t xml:space="preserve">C. M. Thomas, A. B. Nair, A. E. Varghese, A. B. Kumar, and A. P. Seena, "Adaptive traffic signal control using real-time vehicle density," in </w:t>
      </w:r>
      <w:r>
        <w:rPr>
          <w:i/>
          <w:iCs/>
          <w:sz w:val="16"/>
          <w:szCs w:val="16"/>
          <w:rFonts w:ascii="Times New Roman" w:cs="Times New Roman" w:eastAsia="Times New Roman" w:hAnsi="Times New Roman"/>
        </w:rPr>
        <w:t xml:space="preserve">AIP Conf. Proc.</w:t>
      </w:r>
      <w:r>
        <w:rPr>
          <w:sz w:val="16"/>
          <w:szCs w:val="16"/>
          <w:rFonts w:ascii="Times New Roman" w:cs="Times New Roman" w:eastAsia="Times New Roman" w:hAnsi="Times New Roman"/>
        </w:rPr>
        <w:t xml:space="preserve">, vol. 3260, Art. no. 020031, 2025, doi: 10.1063/5.0263715.</w:t>
      </w:r>
    </w:p>
    <w:p>
      <w:pPr>
        <w:tabs>
          <w:tab w:val="left" w:pos="360"/>
        </w:tabs>
        <w:spacing w:after="20"/>
        <w:ind w:left="360" w:hanging="360"/>
        <w:jc w:val="both"/>
      </w:pPr>
      <w:r>
        <w:rPr>
          <w:sz w:val="16"/>
          <w:szCs w:val="16"/>
          <w:rFonts w:ascii="Times New Roman" w:cs="Times New Roman" w:eastAsia="Times New Roman" w:hAnsi="Times New Roman"/>
        </w:rPr>
        <w:t xml:space="preserve">[11]	</w:t>
      </w:r>
      <w:r>
        <w:rPr>
          <w:sz w:val="16"/>
          <w:szCs w:val="16"/>
          <w:rFonts w:ascii="Times New Roman" w:cs="Times New Roman" w:eastAsia="Times New Roman" w:hAnsi="Times New Roman"/>
        </w:rPr>
        <w:t xml:space="preserve">P. Varaiya, "Max pressure control of a network of signalized intersections," </w:t>
      </w:r>
      <w:r>
        <w:rPr>
          <w:i/>
          <w:iCs/>
          <w:sz w:val="16"/>
          <w:szCs w:val="16"/>
          <w:rFonts w:ascii="Times New Roman" w:cs="Times New Roman" w:eastAsia="Times New Roman" w:hAnsi="Times New Roman"/>
        </w:rPr>
        <w:t xml:space="preserve">Transp. Res. C, Emerg. Technol.</w:t>
      </w:r>
      <w:r>
        <w:rPr>
          <w:sz w:val="16"/>
          <w:szCs w:val="16"/>
          <w:rFonts w:ascii="Times New Roman" w:cs="Times New Roman" w:eastAsia="Times New Roman" w:hAnsi="Times New Roman"/>
        </w:rPr>
        <w:t xml:space="preserve">, vol. 36, pp. 177–195, Nov. 2013, doi: 10.1016/j.trc.2013.08.014.</w:t>
      </w:r>
    </w:p>
    <w:p>
      <w:pPr>
        <w:tabs>
          <w:tab w:val="left" w:pos="360"/>
        </w:tabs>
        <w:spacing w:after="20"/>
        <w:ind w:left="360" w:hanging="360"/>
        <w:jc w:val="both"/>
      </w:pPr>
      <w:r>
        <w:rPr>
          <w:sz w:val="16"/>
          <w:szCs w:val="16"/>
          <w:rFonts w:ascii="Times New Roman" w:cs="Times New Roman" w:eastAsia="Times New Roman" w:hAnsi="Times New Roman"/>
        </w:rPr>
        <w:t xml:space="preserve">[12]	</w:t>
      </w:r>
      <w:r>
        <w:rPr>
          <w:sz w:val="16"/>
          <w:szCs w:val="16"/>
          <w:rFonts w:ascii="Times New Roman" w:cs="Times New Roman" w:eastAsia="Times New Roman" w:hAnsi="Times New Roman"/>
        </w:rPr>
        <w:t xml:space="preserve">H. Wei, G. Zheng, V. Gayah, and Z. Li, "Recent advances in reinforcement learning for traffic signal control," </w:t>
      </w:r>
      <w:r>
        <w:rPr>
          <w:i/>
          <w:iCs/>
          <w:sz w:val="16"/>
          <w:szCs w:val="16"/>
          <w:rFonts w:ascii="Times New Roman" w:cs="Times New Roman" w:eastAsia="Times New Roman" w:hAnsi="Times New Roman"/>
        </w:rPr>
        <w:t xml:space="preserve">ACM SIGKDD Explor. Newsl.</w:t>
      </w:r>
      <w:r>
        <w:rPr>
          <w:sz w:val="16"/>
          <w:szCs w:val="16"/>
          <w:rFonts w:ascii="Times New Roman" w:cs="Times New Roman" w:eastAsia="Times New Roman" w:hAnsi="Times New Roman"/>
        </w:rPr>
        <w:t xml:space="preserve">, vol. 22, no. 2, pp. 12–18, Jan. 2021, doi: 10.1145/3447556.3447565.</w:t>
      </w:r>
    </w:p>
    <w:p>
      <w:pPr>
        <w:tabs>
          <w:tab w:val="left" w:pos="360"/>
        </w:tabs>
        <w:spacing w:after="20"/>
        <w:ind w:left="360" w:hanging="360"/>
        <w:jc w:val="both"/>
      </w:pPr>
      <w:r>
        <w:rPr>
          <w:sz w:val="16"/>
          <w:szCs w:val="16"/>
          <w:rFonts w:ascii="Times New Roman" w:cs="Times New Roman" w:eastAsia="Times New Roman" w:hAnsi="Times New Roman"/>
        </w:rPr>
        <w:t xml:space="preserve">[13]	</w:t>
      </w:r>
      <w:r>
        <w:rPr>
          <w:sz w:val="16"/>
          <w:szCs w:val="16"/>
          <w:rFonts w:ascii="Times New Roman" w:cs="Times New Roman" w:eastAsia="Times New Roman" w:hAnsi="Times New Roman"/>
        </w:rPr>
        <w:t xml:space="preserve">O. Alzamzami, Z. Alsaggaf, R. AlMalki, R. Alghamdi, A. Babour, and L. Al Khuzayem, "Passable: An intelligent traffic light system with integrated incident detection and vehicle alerting," </w:t>
      </w:r>
      <w:r>
        <w:rPr>
          <w:i/>
          <w:iCs/>
          <w:sz w:val="16"/>
          <w:szCs w:val="16"/>
          <w:rFonts w:ascii="Times New Roman" w:cs="Times New Roman" w:eastAsia="Times New Roman" w:hAnsi="Times New Roman"/>
        </w:rPr>
        <w:t xml:space="preserve">Sensors</w:t>
      </w:r>
      <w:r>
        <w:rPr>
          <w:sz w:val="16"/>
          <w:szCs w:val="16"/>
          <w:rFonts w:ascii="Times New Roman" w:cs="Times New Roman" w:eastAsia="Times New Roman" w:hAnsi="Times New Roman"/>
        </w:rPr>
        <w:t xml:space="preserve">, vol. 25, no. 18, Art. no. 5760, Sep. 2025, doi: 10.3390/s25185760.</w:t>
      </w:r>
    </w:p>
    <w:p>
      <w:pPr>
        <w:tabs>
          <w:tab w:val="left" w:pos="360"/>
        </w:tabs>
        <w:spacing w:after="20"/>
        <w:ind w:left="360" w:hanging="360"/>
        <w:jc w:val="both"/>
      </w:pPr>
      <w:r>
        <w:rPr>
          <w:sz w:val="16"/>
          <w:szCs w:val="16"/>
          <w:rFonts w:ascii="Times New Roman" w:cs="Times New Roman" w:eastAsia="Times New Roman" w:hAnsi="Times New Roman"/>
        </w:rPr>
        <w:t xml:space="preserve">[14]	</w:t>
      </w:r>
      <w:r>
        <w:rPr>
          <w:sz w:val="16"/>
          <w:szCs w:val="16"/>
          <w:rFonts w:ascii="Times New Roman" w:cs="Times New Roman" w:eastAsia="Times New Roman" w:hAnsi="Times New Roman"/>
        </w:rPr>
        <w:t xml:space="preserve">T. G. Phakathi, M. Sumbwanyambe, and T. S. Hlalele, "Designing intelligent traffic light system with the application of artificial intelligence," in </w:t>
      </w:r>
      <w:r>
        <w:rPr>
          <w:i/>
          <w:iCs/>
          <w:sz w:val="16"/>
          <w:szCs w:val="16"/>
          <w:rFonts w:ascii="Times New Roman" w:cs="Times New Roman" w:eastAsia="Times New Roman" w:hAnsi="Times New Roman"/>
        </w:rPr>
        <w:t xml:space="preserve">Proc. Int. Conf. Artif. Intell., Big Data, Comput. Data Commun. Syst.</w:t>
      </w:r>
      <w:r>
        <w:rPr>
          <w:sz w:val="16"/>
          <w:szCs w:val="16"/>
          <w:rFonts w:ascii="Times New Roman" w:cs="Times New Roman" w:eastAsia="Times New Roman" w:hAnsi="Times New Roman"/>
        </w:rPr>
        <w:t xml:space="preserve">, 2025, pp. 1–9, doi: 10.1145/3759023.3759090.</w:t>
      </w:r>
    </w:p>
    <w:p>
      <w:pPr>
        <w:tabs>
          <w:tab w:val="left" w:pos="360"/>
        </w:tabs>
        <w:spacing w:after="20"/>
        <w:ind w:left="360" w:hanging="360"/>
        <w:jc w:val="both"/>
      </w:pPr>
      <w:r>
        <w:rPr>
          <w:sz w:val="16"/>
          <w:szCs w:val="16"/>
          <w:rFonts w:ascii="Times New Roman" w:cs="Times New Roman" w:eastAsia="Times New Roman" w:hAnsi="Times New Roman"/>
        </w:rPr>
        <w:t xml:space="preserve">[15]	</w:t>
      </w:r>
      <w:r>
        <w:rPr>
          <w:sz w:val="16"/>
          <w:szCs w:val="16"/>
          <w:rFonts w:ascii="Times New Roman" w:cs="Times New Roman" w:eastAsia="Times New Roman" w:hAnsi="Times New Roman"/>
        </w:rPr>
        <w:t xml:space="preserve">M. Tolani et al., "Machine learning based adaptive traffic prediction and control using edge impulse platform," </w:t>
      </w:r>
      <w:r>
        <w:rPr>
          <w:i/>
          <w:iCs/>
          <w:sz w:val="16"/>
          <w:szCs w:val="16"/>
          <w:rFonts w:ascii="Times New Roman" w:cs="Times New Roman" w:eastAsia="Times New Roman" w:hAnsi="Times New Roman"/>
        </w:rPr>
        <w:t xml:space="preserve">Sci. Rep.</w:t>
      </w:r>
      <w:r>
        <w:rPr>
          <w:sz w:val="16"/>
          <w:szCs w:val="16"/>
          <w:rFonts w:ascii="Times New Roman" w:cs="Times New Roman" w:eastAsia="Times New Roman" w:hAnsi="Times New Roman"/>
        </w:rPr>
        <w:t xml:space="preserve">, vol. 15, Art. no. 17161, May 2025, doi: 10.1038/s41598-025-00762-4.</w:t>
      </w:r>
    </w:p>
    <w:p>
      <w:pPr>
        <w:tabs>
          <w:tab w:val="left" w:pos="360"/>
        </w:tabs>
        <w:spacing w:after="20"/>
        <w:ind w:left="360" w:hanging="360"/>
        <w:jc w:val="both"/>
      </w:pPr>
      <w:r>
        <w:rPr>
          <w:sz w:val="16"/>
          <w:szCs w:val="16"/>
          <w:rFonts w:ascii="Times New Roman" w:cs="Times New Roman" w:eastAsia="Times New Roman" w:hAnsi="Times New Roman"/>
        </w:rPr>
        <w:t xml:space="preserve">[16]	</w:t>
      </w:r>
      <w:r>
        <w:rPr>
          <w:sz w:val="16"/>
          <w:szCs w:val="16"/>
          <w:rFonts w:ascii="Times New Roman" w:cs="Times New Roman" w:eastAsia="Times New Roman" w:hAnsi="Times New Roman"/>
        </w:rPr>
        <w:t xml:space="preserve">P. Viola and M. Jones, "Rapid object detection using a boosted cascade of simple features," in </w:t>
      </w:r>
      <w:r>
        <w:rPr>
          <w:i/>
          <w:iCs/>
          <w:sz w:val="16"/>
          <w:szCs w:val="16"/>
          <w:rFonts w:ascii="Times New Roman" w:cs="Times New Roman" w:eastAsia="Times New Roman" w:hAnsi="Times New Roman"/>
        </w:rPr>
        <w:t xml:space="preserve">Proc. IEEE Comput. Soc. Conf. Comput. Vis. Pattern Recognit. (CVPR)</w:t>
      </w:r>
      <w:r>
        <w:rPr>
          <w:sz w:val="16"/>
          <w:szCs w:val="16"/>
          <w:rFonts w:ascii="Times New Roman" w:cs="Times New Roman" w:eastAsia="Times New Roman" w:hAnsi="Times New Roman"/>
        </w:rPr>
        <w:t xml:space="preserve">, Kauai, HI, USA, 2001, pp. I-511–I-518, doi: 10.1109/CVPR.2001.990517.</w:t>
      </w:r>
    </w:p>
    <w:p>
      <w:pPr>
        <w:tabs>
          <w:tab w:val="left" w:pos="360"/>
        </w:tabs>
        <w:spacing w:after="20"/>
        <w:ind w:left="360" w:hanging="360"/>
        <w:jc w:val="both"/>
      </w:pPr>
      <w:r>
        <w:rPr>
          <w:sz w:val="16"/>
          <w:szCs w:val="16"/>
          <w:rFonts w:ascii="Times New Roman" w:cs="Times New Roman" w:eastAsia="Times New Roman" w:hAnsi="Times New Roman"/>
        </w:rPr>
        <w:t xml:space="preserve">[17]	</w:t>
      </w:r>
      <w:r>
        <w:rPr>
          <w:sz w:val="16"/>
          <w:szCs w:val="16"/>
          <w:rFonts w:ascii="Times New Roman" w:cs="Times New Roman" w:eastAsia="Times New Roman" w:hAnsi="Times New Roman"/>
        </w:rPr>
        <w:t xml:space="preserve">Y. Zhang et al., "ByteTrack: Multi-object tracking by associating every detection box," in </w:t>
      </w:r>
      <w:r>
        <w:rPr>
          <w:i/>
          <w:iCs/>
          <w:sz w:val="16"/>
          <w:szCs w:val="16"/>
          <w:rFonts w:ascii="Times New Roman" w:cs="Times New Roman" w:eastAsia="Times New Roman" w:hAnsi="Times New Roman"/>
        </w:rPr>
        <w:t xml:space="preserve">Computer Vision – ECCV 2022</w:t>
      </w:r>
      <w:r>
        <w:rPr>
          <w:sz w:val="16"/>
          <w:szCs w:val="16"/>
          <w:rFonts w:ascii="Times New Roman" w:cs="Times New Roman" w:eastAsia="Times New Roman" w:hAnsi="Times New Roman"/>
        </w:rPr>
        <w:t xml:space="preserve">, Cham, Switzerland: Springer, 2022, pp. 1–21, doi: 10.1007/978-3-031-20047-2_1.</w:t>
      </w:r>
    </w:p>
    <w:p>
      <w:pPr>
        <w:tabs>
          <w:tab w:val="left" w:pos="360"/>
        </w:tabs>
        <w:spacing w:after="20"/>
        <w:ind w:left="360" w:hanging="360"/>
        <w:jc w:val="both"/>
      </w:pPr>
      <w:r>
        <w:rPr>
          <w:sz w:val="16"/>
          <w:szCs w:val="16"/>
          <w:rFonts w:ascii="Times New Roman" w:cs="Times New Roman" w:eastAsia="Times New Roman" w:hAnsi="Times New Roman"/>
        </w:rPr>
        <w:t xml:space="preserve">[18]	</w:t>
      </w:r>
      <w:r>
        <w:rPr>
          <w:sz w:val="16"/>
          <w:szCs w:val="16"/>
          <w:rFonts w:ascii="Times New Roman" w:cs="Times New Roman" w:eastAsia="Times New Roman" w:hAnsi="Times New Roman"/>
        </w:rPr>
        <w:t xml:space="preserve">R. E. Kalman, "A new approach to linear filtering and prediction problems," </w:t>
      </w:r>
      <w:r>
        <w:rPr>
          <w:i/>
          <w:iCs/>
          <w:sz w:val="16"/>
          <w:szCs w:val="16"/>
          <w:rFonts w:ascii="Times New Roman" w:cs="Times New Roman" w:eastAsia="Times New Roman" w:hAnsi="Times New Roman"/>
        </w:rPr>
        <w:t xml:space="preserve">J. Basic Eng.</w:t>
      </w:r>
      <w:r>
        <w:rPr>
          <w:sz w:val="16"/>
          <w:szCs w:val="16"/>
          <w:rFonts w:ascii="Times New Roman" w:cs="Times New Roman" w:eastAsia="Times New Roman" w:hAnsi="Times New Roman"/>
        </w:rPr>
        <w:t xml:space="preserve">, vol. 82, no. 1, pp. 35–45, Mar. 1960, doi: 10.1115/1.3662552.</w:t>
      </w:r>
    </w:p>
    <w:p>
      <w:pPr>
        <w:tabs>
          <w:tab w:val="left" w:pos="360"/>
        </w:tabs>
        <w:spacing w:after="20"/>
        <w:ind w:left="360" w:hanging="360"/>
        <w:jc w:val="both"/>
      </w:pPr>
      <w:r>
        <w:rPr>
          <w:sz w:val="16"/>
          <w:szCs w:val="16"/>
          <w:rFonts w:ascii="Times New Roman" w:cs="Times New Roman" w:eastAsia="Times New Roman" w:hAnsi="Times New Roman"/>
        </w:rPr>
        <w:t xml:space="preserve">[19]	</w:t>
      </w:r>
      <w:r>
        <w:rPr>
          <w:sz w:val="16"/>
          <w:szCs w:val="16"/>
          <w:rFonts w:ascii="Times New Roman" w:cs="Times New Roman" w:eastAsia="Times New Roman" w:hAnsi="Times New Roman"/>
        </w:rPr>
        <w:t xml:space="preserve">H. W. Kuhn, "The Hungarian method for the assignment problem," </w:t>
      </w:r>
      <w:r>
        <w:rPr>
          <w:i/>
          <w:iCs/>
          <w:sz w:val="16"/>
          <w:szCs w:val="16"/>
          <w:rFonts w:ascii="Times New Roman" w:cs="Times New Roman" w:eastAsia="Times New Roman" w:hAnsi="Times New Roman"/>
        </w:rPr>
        <w:t xml:space="preserve">Naval Res. Logist. Quart.</w:t>
      </w:r>
      <w:r>
        <w:rPr>
          <w:sz w:val="16"/>
          <w:szCs w:val="16"/>
          <w:rFonts w:ascii="Times New Roman" w:cs="Times New Roman" w:eastAsia="Times New Roman" w:hAnsi="Times New Roman"/>
        </w:rPr>
        <w:t xml:space="preserve">, vol. 2, nos. 1–2, pp. 83–97, Mar. 1955, doi: 10.1002/nav.3800020109.</w:t>
      </w:r>
    </w:p>
    <w:p>
      <w:pPr>
        <w:tabs>
          <w:tab w:val="left" w:pos="360"/>
        </w:tabs>
        <w:spacing w:after="20"/>
        <w:ind w:left="360" w:hanging="360"/>
        <w:jc w:val="both"/>
      </w:pPr>
      <w:r>
        <w:rPr>
          <w:sz w:val="16"/>
          <w:szCs w:val="16"/>
          <w:rFonts w:ascii="Times New Roman" w:cs="Times New Roman" w:eastAsia="Times New Roman" w:hAnsi="Times New Roman"/>
        </w:rPr>
        <w:t xml:space="preserve">[20]	</w:t>
      </w:r>
      <w:r>
        <w:rPr>
          <w:sz w:val="16"/>
          <w:szCs w:val="16"/>
          <w:rFonts w:ascii="Times New Roman" w:cs="Times New Roman" w:eastAsia="Times New Roman" w:hAnsi="Times New Roman"/>
        </w:rPr>
        <w:t xml:space="preserve">K. Nellore and G. P. Hancke, "Traffic management for emergency vehicle priority based on visual sensing," </w:t>
      </w:r>
      <w:r>
        <w:rPr>
          <w:i/>
          <w:iCs/>
          <w:sz w:val="16"/>
          <w:szCs w:val="16"/>
          <w:rFonts w:ascii="Times New Roman" w:cs="Times New Roman" w:eastAsia="Times New Roman" w:hAnsi="Times New Roman"/>
        </w:rPr>
        <w:t xml:space="preserve">Sensors</w:t>
      </w:r>
      <w:r>
        <w:rPr>
          <w:sz w:val="16"/>
          <w:szCs w:val="16"/>
          <w:rFonts w:ascii="Times New Roman" w:cs="Times New Roman" w:eastAsia="Times New Roman" w:hAnsi="Times New Roman"/>
        </w:rPr>
        <w:t xml:space="preserve">, vol. 16, no. 11, Art. no. 1892, Nov. 2016, doi: 10.3390/s16111892.</w:t>
      </w:r>
    </w:p>
    <w:p>
      <w:pPr>
        <w:tabs>
          <w:tab w:val="left" w:pos="360"/>
        </w:tabs>
        <w:spacing w:after="20"/>
        <w:ind w:left="360" w:hanging="360"/>
        <w:jc w:val="both"/>
      </w:pPr>
      <w:r>
        <w:rPr>
          <w:sz w:val="16"/>
          <w:szCs w:val="16"/>
          <w:rFonts w:ascii="Times New Roman" w:cs="Times New Roman" w:eastAsia="Times New Roman" w:hAnsi="Times New Roman"/>
        </w:rPr>
        <w:t xml:space="preserve">[21]	</w:t>
      </w:r>
      <w:r>
        <w:rPr>
          <w:sz w:val="16"/>
          <w:szCs w:val="16"/>
          <w:rFonts w:ascii="Times New Roman" w:cs="Times New Roman" w:eastAsia="Times New Roman" w:hAnsi="Times New Roman"/>
        </w:rPr>
        <w:t xml:space="preserve">P. G. Gipps, "A behavioural car-following model for computer simulation," </w:t>
      </w:r>
      <w:r>
        <w:rPr>
          <w:i/>
          <w:iCs/>
          <w:sz w:val="16"/>
          <w:szCs w:val="16"/>
          <w:rFonts w:ascii="Times New Roman" w:cs="Times New Roman" w:eastAsia="Times New Roman" w:hAnsi="Times New Roman"/>
        </w:rPr>
        <w:t xml:space="preserve">Transp. Res. B, Methodol.</w:t>
      </w:r>
      <w:r>
        <w:rPr>
          <w:sz w:val="16"/>
          <w:szCs w:val="16"/>
          <w:rFonts w:ascii="Times New Roman" w:cs="Times New Roman" w:eastAsia="Times New Roman" w:hAnsi="Times New Roman"/>
        </w:rPr>
        <w:t xml:space="preserve">, vol. 15, no. 2, pp. 105–111, Apr. 1981, doi: 10.1016/0191-2615(81)90037-0.</w:t>
      </w:r>
    </w:p>
    <w:p>
      <w:pPr>
        <w:tabs>
          <w:tab w:val="left" w:pos="360"/>
        </w:tabs>
        <w:spacing w:after="20"/>
        <w:ind w:left="360" w:hanging="360"/>
        <w:jc w:val="both"/>
      </w:pPr>
      <w:r>
        <w:rPr>
          <w:sz w:val="16"/>
          <w:szCs w:val="16"/>
          <w:rFonts w:ascii="Times New Roman" w:cs="Times New Roman" w:eastAsia="Times New Roman" w:hAnsi="Times New Roman"/>
        </w:rPr>
        <w:t xml:space="preserve">[22]	</w:t>
      </w:r>
      <w:r>
        <w:rPr>
          <w:sz w:val="16"/>
          <w:szCs w:val="16"/>
          <w:rFonts w:ascii="Times New Roman" w:cs="Times New Roman" w:eastAsia="Times New Roman" w:hAnsi="Times New Roman"/>
        </w:rPr>
        <w:t xml:space="preserve">P. A. Lopez et al., "Microscopic traffic simulation using SUMO," in </w:t>
      </w:r>
      <w:r>
        <w:rPr>
          <w:i/>
          <w:iCs/>
          <w:sz w:val="16"/>
          <w:szCs w:val="16"/>
          <w:rFonts w:ascii="Times New Roman" w:cs="Times New Roman" w:eastAsia="Times New Roman" w:hAnsi="Times New Roman"/>
        </w:rPr>
        <w:t xml:space="preserve">Proc. 21st Int. Conf. Intell. Transp. Syst. (ITSC)</w:t>
      </w:r>
      <w:r>
        <w:rPr>
          <w:sz w:val="16"/>
          <w:szCs w:val="16"/>
          <w:rFonts w:ascii="Times New Roman" w:cs="Times New Roman" w:eastAsia="Times New Roman" w:hAnsi="Times New Roman"/>
        </w:rPr>
        <w:t xml:space="preserve">, Maui, HI, USA, 2018, pp. 2575–2582, doi: 10.1109/ITSC.2018.8569938.</w:t>
      </w:r>
    </w:p>
    <w:p>
      <w:pPr>
        <w:tabs>
          <w:tab w:val="left" w:pos="360"/>
        </w:tabs>
        <w:spacing w:after="20"/>
        <w:ind w:left="360" w:hanging="360"/>
        <w:jc w:val="both"/>
      </w:pPr>
      <w:r>
        <w:rPr>
          <w:sz w:val="16"/>
          <w:szCs w:val="16"/>
          <w:rFonts w:ascii="Times New Roman" w:cs="Times New Roman" w:eastAsia="Times New Roman" w:hAnsi="Times New Roman"/>
        </w:rPr>
        <w:t xml:space="preserve">[23]	</w:t>
      </w:r>
      <w:r>
        <w:rPr>
          <w:sz w:val="16"/>
          <w:szCs w:val="16"/>
          <w:rFonts w:ascii="Times New Roman" w:cs="Times New Roman" w:eastAsia="Times New Roman" w:hAnsi="Times New Roman"/>
        </w:rPr>
        <w:t xml:space="preserve">P. Koonce et al., "Traffic signal timing manual," Federal Highway Administration, Washington, DC, USA, Rep. FHWA-HOP-08-024, 2008.</w:t>
      </w:r>
    </w:p>
    <w:p>
      <w:pPr>
        <w:tabs>
          <w:tab w:val="left" w:pos="360"/>
        </w:tabs>
        <w:spacing w:after="20"/>
        <w:ind w:left="360" w:hanging="360"/>
        <w:jc w:val="both"/>
      </w:pPr>
      <w:r>
        <w:rPr>
          <w:sz w:val="16"/>
          <w:szCs w:val="16"/>
          <w:rFonts w:ascii="Times New Roman" w:cs="Times New Roman" w:eastAsia="Times New Roman" w:hAnsi="Times New Roman"/>
        </w:rPr>
        <w:t xml:space="preserve">[24]	</w:t>
      </w:r>
      <w:r>
        <w:rPr>
          <w:i/>
          <w:iCs/>
          <w:sz w:val="16"/>
          <w:szCs w:val="16"/>
          <w:rFonts w:ascii="Times New Roman" w:cs="Times New Roman" w:eastAsia="Times New Roman" w:hAnsi="Times New Roman"/>
        </w:rPr>
        <w:t xml:space="preserve">Highway Capacity Manual 2010</w:t>
      </w:r>
      <w:r>
        <w:rPr>
          <w:sz w:val="16"/>
          <w:szCs w:val="16"/>
          <w:rFonts w:ascii="Times New Roman" w:cs="Times New Roman" w:eastAsia="Times New Roman" w:hAnsi="Times New Roman"/>
        </w:rPr>
        <w:t xml:space="preserve">. Washington, DC, USA: Transportation Research Board, 2010.</w:t>
      </w:r>
    </w:p>
    <w:p>
      <w:pPr>
        <w:tabs>
          <w:tab w:val="left" w:pos="360"/>
        </w:tabs>
        <w:spacing w:after="20"/>
        <w:ind w:left="360" w:hanging="360"/>
        <w:jc w:val="both"/>
      </w:pPr>
      <w:r>
        <w:rPr>
          <w:sz w:val="16"/>
          <w:szCs w:val="16"/>
          <w:rFonts w:ascii="Times New Roman" w:cs="Times New Roman" w:eastAsia="Times New Roman" w:hAnsi="Times New Roman"/>
        </w:rPr>
        <w:t xml:space="preserve">[25]	</w:t>
      </w:r>
      <w:r>
        <w:rPr>
          <w:sz w:val="16"/>
          <w:szCs w:val="16"/>
          <w:rFonts w:ascii="Times New Roman" w:cs="Times New Roman" w:eastAsia="Times New Roman" w:hAnsi="Times New Roman"/>
        </w:rPr>
        <w:t xml:space="preserve">S. Krauß, "Microscopic modeling of traffic flow: Investigation of collision free vehicle dynamics," Ph.D. dissertation, Univ. of Cologne, Cologne, Germany, 1998.</w:t>
      </w:r>
    </w:p>
    <w:sectPr>
      <w:type w:val="continuous"/>
      <w:pgSz w:w="12240" w:h="15840" w:orient="portrait"/>
      <w:pgMar w:top="1080" w:right="900" w:bottom="144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13139a141004d48715f76f2c37280bb39d71759.png"/><Relationship Id="rId7" Type="http://schemas.openxmlformats.org/officeDocument/2006/relationships/image" Target="media/7f0fe6726e48551154285abaa59362f3af441aff.png"/><Relationship Id="rId8" Type="http://schemas.openxmlformats.org/officeDocument/2006/relationships/image" Target="media/dded2584d7bbef744a681e3be827f4f4136ed0a2.png"/><Relationship Id="rId9" Type="http://schemas.openxmlformats.org/officeDocument/2006/relationships/image" Target="media/83a4e14f0b527c5f4eb1072229e15cde2b0727b2.png"/><Relationship Id="rId10" Type="http://schemas.openxmlformats.org/officeDocument/2006/relationships/image" Target="media/3bd1bfc5df69c84bdd2b0f98655c34330040b618.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Traffic Control System Using Vehicle Density Analysis (revised)</dc:title>
  <dc:creator>Madhav Goel, Akash Varshney, Abhisekh Chaudhary, Shivam Goel, Ruchi Gupta</dc:creator>
  <cp:lastModifiedBy>Un-named</cp:lastModifiedBy>
  <cp:revision>1</cp:revision>
  <dcterms:created xsi:type="dcterms:W3CDTF">2026-10-27T06:38:56.120Z</dcterms:created>
  <dcterms:modified xsi:type="dcterms:W3CDTF">2026-10-27T06:38:56.128Z</dcterms:modified>
</cp:coreProperties>
</file>

<file path=docProps/custom.xml><?xml version="1.0" encoding="utf-8"?>
<Properties xmlns="http://schemas.openxmlformats.org/officeDocument/2006/custom-properties" xmlns:vt="http://schemas.openxmlformats.org/officeDocument/2006/docPropsVTypes"/>
</file>