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Fonts w:ascii="Times New Roman" w:cs="Times New Roman" w:eastAsia="Times New Roman" w:hAnsi="Times New Roman"/>
        </w:rPr>
        <w:t xml:space="preserve">Response to Reviewers</w:t>
      </w:r>
    </w:p>
    <w:p>
      <w:pPr>
        <w:spacing w:after="240" w:before="0"/>
        <w:jc w:val="center"/>
      </w:pPr>
      <w:r>
        <w:rPr>
          <w:sz w:val="22"/>
          <w:szCs w:val="22"/>
          <w:rFonts w:ascii="Times New Roman" w:cs="Times New Roman" w:eastAsia="Times New Roman" w:hAnsi="Times New Roman"/>
        </w:rPr>
        <w:t xml:space="preserve">AISUMMIT-2026 · Paper ID 2017 · "Smart Traffic Control System Using Vehicle Density Analysis"</w:t>
      </w:r>
    </w:p>
    <w:p>
      <w:pPr>
        <w:spacing w:after="120" w:before="0"/>
        <w:jc w:val="both"/>
      </w:pPr>
      <w:r>
        <w:rPr>
          <w:sz w:val="22"/>
          <w:szCs w:val="22"/>
          <w:rFonts w:ascii="Times New Roman" w:cs="Times New Roman" w:eastAsia="Times New Roman" w:hAnsi="Times New Roman"/>
        </w:rPr>
        <w:t xml:space="preserve">We thank the reviewers for their comments. Below, each comment is followed by our response and the exact changes in the revised manuscript (section, table and figure numbers refer to the revised version). Every number in the revised paper is produced by scripts in the public repository (github.com/shivam-G05/Smart-Traffic-Management): scripts/benchmark.py (Tables II, V and X), scripts/oversaturation.py (Tables III, IV and X, Fig. 4), scripts/peak_period.py (Fig. 5), scripts/sensing.py (Tables XI-XII), scripts/calibrate_weights.py (Table XIII), scripts/ablation.py (Table VI), scripts/vision_eval.py (Tables VII and VIII) and scripts/kinematics_check.py (Table IX).</w:t>
      </w:r>
    </w:p>
    <w:p>
      <w:pPr>
        <w:spacing w:after="120" w:before="0"/>
        <w:jc w:val="both"/>
      </w:pPr>
      <w:r>
        <w:rPr>
          <w:sz w:val="22"/>
          <w:szCs w:val="22"/>
          <w:rFonts w:ascii="Times New Roman" w:cs="Times New Roman" w:eastAsia="Times New Roman" w:hAnsi="Times New Roman"/>
        </w:rPr>
        <w:t xml:space="preserve">The revision changes one of the paper's conclusions, and we state this plainly: when compared with stronger baselines, the density-based controller's gain below capacity is matched by a Webster-optimized fixed plan, vehicle-actuated control and max-pressure control. The revised paper reports this, identifies a failure mode of density-only switching near capacity, and adds a discharge-hold rule that corrects it.</w:t>
      </w:r>
    </w:p>
    <w:p>
      <w:pPr>
        <w:keepNext/>
        <w:spacing w:before="240" w:after="120"/>
      </w:pPr>
      <w:r>
        <w:rPr>
          <w:b/>
          <w:bCs/>
          <w:sz w:val="26"/>
          <w:szCs w:val="26"/>
          <w:rFonts w:ascii="Times New Roman" w:cs="Times New Roman" w:eastAsia="Times New Roman" w:hAnsi="Times New Roman"/>
        </w:rPr>
        <w:t xml:space="preserve">Reviewer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1.1</w:t>
            </w:r>
            <w:r>
              <w:rPr>
                <w:sz w:val="22"/>
                <w:szCs w:val="22"/>
                <w:rFonts w:ascii="Times New Roman" w:cs="Times New Roman" w:eastAsia="Times New Roman" w:hAnsi="Times New Roman"/>
              </w:rPr>
              <w:t xml:space="preserve"> — Clearly explain the motivation and novelty of the proposed method and how it differs from existing approaches.</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We added two paragraphs to the Introduction. The motivation paragraph names the questions that existing low-cost density-based systems leave open: whether variable greens keep safe change intervals, how emergency priority interacts with density-based timing, how the controller behaves near and above capacity, and how much of a reported gain is due to density logic rather than to replacing an untuned fixed plan. The novelty paragraph states how this work differs: it studies the timing logic under statistically paired conditions against re-implementations of the strategies used by existing approaches, tests demand up to 1.5 times capacity, verifies change-interval safety at every step, and contributes a discharge-hold rule that removes a capacity loss of density-only switching.</w:t>
            </w:r>
          </w:p>
          <w:p>
            <w:pPr>
              <w:pStyle w:val="ListParagraph"/>
              <w:numPr>
                <w:ilvl w:val="0"/>
                <w:numId w:val="1"/>
              </w:numPr>
              <w:spacing w:after="40"/>
            </w:pPr>
            <w:r>
              <w:rPr>
                <w:sz w:val="22"/>
                <w:szCs w:val="22"/>
                <w:rFonts w:ascii="Times New Roman" w:cs="Times New Roman" w:eastAsia="Times New Roman" w:hAnsi="Times New Roman"/>
              </w:rPr>
              <w:t xml:space="preserve">Sec. I: new "Motivation" and "Novelty and difference from existing approaches" paragraphs; contributions list updated (discharge hold, stronger evaluation).</w:t>
            </w:r>
          </w:p>
          <w:p>
            <w:pPr>
              <w:pStyle w:val="ListParagraph"/>
              <w:numPr>
                <w:ilvl w:val="0"/>
                <w:numId w:val="1"/>
              </w:numPr>
              <w:spacing w:after="40"/>
            </w:pPr>
            <w:r>
              <w:rPr>
                <w:sz w:val="22"/>
                <w:szCs w:val="22"/>
                <w:rFonts w:ascii="Times New Roman" w:cs="Times New Roman" w:eastAsia="Times New Roman" w:hAnsi="Times New Roman"/>
              </w:rPr>
              <w:t xml:space="preserve">Sec. II-A: vehicle-actuated control and gap-out added to the related work [23]; Sec. II-B ends with how this work differs.</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1.2</w:t>
            </w:r>
            <w:r>
              <w:rPr>
                <w:sz w:val="22"/>
                <w:szCs w:val="22"/>
                <w:rFonts w:ascii="Times New Roman" w:cs="Times New Roman" w:eastAsia="Times New Roman" w:hAnsi="Times New Roman"/>
              </w:rPr>
              <w:t xml:space="preserve"> — Strengthen the experimental results by comparing them with recent methods and including an ablation study.</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We re-implemented four strategies from the related work in the same simulator and compared them with the proposed controller on identical seeded traffic (ten paired seeds per condition): a Webster-optimized fixed plan [2], vehicle-actuated control [23], max-pressure control [11] (which also represents busiest-lane-first control [6]) and three-level density control [1]. All share the same phase sequence and change intervals, so the comparison isolates the switching decision. Below capacity (Table II) the proposed controller reduced delay by 35.3–36.1% relative to the 20 s fixed plan, but the Webster plan, actuated and max-pressure control did as well (37.5–39.7%, 37.2–39.9%, 37.3–39.8%); three-level density control was worse than the fixed plan at medium and high demand. Near and above capacity (Tables III and IV, Fig. 4) the original density rule lost 18.9% of capacity; the discharge-hold rule restored it (+9.8% relative to fixed timing). The ablation (Table VI) was extended from four to ten variants. It shows that the score's benefit comes from the queued/moving distinction (removing it: +35.1% and +33.0% delay at medium and high demand), not from the class weights (setting them to 1: −3.9% and −3.2%). This corrects a statement in the original Conclusion.</w:t>
            </w:r>
          </w:p>
          <w:p>
            <w:pPr>
              <w:pStyle w:val="ListParagraph"/>
              <w:numPr>
                <w:ilvl w:val="0"/>
                <w:numId w:val="1"/>
              </w:numPr>
              <w:spacing w:after="40"/>
            </w:pPr>
            <w:r>
              <w:rPr>
                <w:sz w:val="22"/>
                <w:szCs w:val="22"/>
                <w:rFonts w:ascii="Times New Roman" w:cs="Times New Roman" w:eastAsia="Times New Roman" w:hAnsi="Times New Roman"/>
              </w:rPr>
              <w:t xml:space="preserve">Sec. IV-E (new): the four comparison controllers.</w:t>
            </w:r>
          </w:p>
          <w:p>
            <w:pPr>
              <w:pStyle w:val="ListParagraph"/>
              <w:numPr>
                <w:ilvl w:val="0"/>
                <w:numId w:val="1"/>
              </w:numPr>
              <w:spacing w:after="40"/>
            </w:pPr>
            <w:r>
              <w:rPr>
                <w:sz w:val="22"/>
                <w:szCs w:val="22"/>
                <w:rFonts w:ascii="Times New Roman" w:cs="Times New Roman" w:eastAsia="Times New Roman" w:hAnsi="Times New Roman"/>
              </w:rPr>
              <w:t xml:space="preserve">Sec. V-C and Table II: comparison of seven controllers at three demand levels.</w:t>
            </w:r>
          </w:p>
          <w:p>
            <w:pPr>
              <w:pStyle w:val="ListParagraph"/>
              <w:numPr>
                <w:ilvl w:val="0"/>
                <w:numId w:val="1"/>
              </w:numPr>
              <w:spacing w:after="40"/>
            </w:pPr>
            <w:r>
              <w:rPr>
                <w:sz w:val="22"/>
                <w:szCs w:val="22"/>
                <w:rFonts w:ascii="Times New Roman" w:cs="Times New Roman" w:eastAsia="Times New Roman" w:hAnsi="Times New Roman"/>
              </w:rPr>
              <w:t xml:space="preserve">Sec. V-D, Tables III–IV and Fig. 4 (new): capacity and delay from 0.6 to 1.5 times capacity.</w:t>
            </w:r>
          </w:p>
          <w:p>
            <w:pPr>
              <w:pStyle w:val="ListParagraph"/>
              <w:numPr>
                <w:ilvl w:val="0"/>
                <w:numId w:val="1"/>
              </w:numPr>
              <w:spacing w:after="40"/>
            </w:pPr>
            <w:r>
              <w:rPr>
                <w:sz w:val="22"/>
                <w:szCs w:val="22"/>
                <w:rFonts w:ascii="Times New Roman" w:cs="Times New Roman" w:eastAsia="Times New Roman" w:hAnsi="Times New Roman"/>
              </w:rPr>
              <w:t xml:space="preserve">Sec. V-F and Table VI: ablation extended (score components, θ, discharge-hold zone, preemption).</w:t>
            </w:r>
          </w:p>
          <w:p>
            <w:pPr>
              <w:pStyle w:val="ListParagraph"/>
              <w:numPr>
                <w:ilvl w:val="0"/>
                <w:numId w:val="1"/>
              </w:numPr>
              <w:spacing w:after="40"/>
            </w:pPr>
            <w:r>
              <w:rPr>
                <w:sz w:val="22"/>
                <w:szCs w:val="22"/>
                <w:rFonts w:ascii="Times New Roman" w:cs="Times New Roman" w:eastAsia="Times New Roman" w:hAnsi="Times New Roman"/>
              </w:rPr>
              <w:t xml:space="preserve">Abstract, Sec. VI-A and Sec. VII rewritten to report these results, including the corrected conclusion about class weights.</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1.3</w:t>
            </w:r>
            <w:r>
              <w:rPr>
                <w:sz w:val="22"/>
                <w:szCs w:val="22"/>
                <w:rFonts w:ascii="Times New Roman" w:cs="Times New Roman" w:eastAsia="Times New Roman" w:hAnsi="Times New Roman"/>
              </w:rPr>
              <w:t xml:space="preserve"> — Include a figure illustrating the overall framework of the proposed method.</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The original Fig. 1 showed the software architecture. We added Fig. 2, a method workflow figure: (a) the per-step control pipeline (sense, score, decide, protect, actuate) and (b) a flowchart of the green-end decision, including the new discharge-hold test. Fig. 1 was redrawn to show the controller options.</w:t>
            </w:r>
          </w:p>
          <w:p>
            <w:pPr>
              <w:pStyle w:val="ListParagraph"/>
              <w:numPr>
                <w:ilvl w:val="0"/>
                <w:numId w:val="1"/>
              </w:numPr>
              <w:spacing w:after="40"/>
            </w:pPr>
            <w:r>
              <w:rPr>
                <w:sz w:val="22"/>
                <w:szCs w:val="22"/>
                <w:rFonts w:ascii="Times New Roman" w:cs="Times New Roman" w:eastAsia="Times New Roman" w:hAnsi="Times New Roman"/>
              </w:rPr>
              <w:t xml:space="preserve">Sec. III: new paragraph "Method workflow" and new Fig. 2.</w:t>
            </w:r>
          </w:p>
          <w:p>
            <w:pPr>
              <w:pStyle w:val="ListParagraph"/>
              <w:numPr>
                <w:ilvl w:val="0"/>
                <w:numId w:val="1"/>
              </w:numPr>
              <w:spacing w:after="40"/>
            </w:pPr>
            <w:r>
              <w:rPr>
                <w:sz w:val="22"/>
                <w:szCs w:val="22"/>
                <w:rFonts w:ascii="Times New Roman" w:cs="Times New Roman" w:eastAsia="Times New Roman" w:hAnsi="Times New Roman"/>
              </w:rPr>
              <w:t xml:space="preserve">Fig. 1 updated; Fig. 3 (preemption states) redrawn.</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1.4</w:t>
            </w:r>
            <w:r>
              <w:rPr>
                <w:sz w:val="22"/>
                <w:szCs w:val="22"/>
                <w:rFonts w:ascii="Times New Roman" w:cs="Times New Roman" w:eastAsia="Times New Roman" w:hAnsi="Times New Roman"/>
              </w:rPr>
              <w:t xml:space="preserve"> — Discuss the limitations of the proposed method and correct minor language and formatting errors.</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The Limitations subsection was rewritten. The bullet on under-saturated demand was removed because that condition is now tested, and new limitations were added: the high simulated saturation flow (no driver reaction time), the deterministic arrival model, the frequency of emergency vehicles, the use of re-implemented baselines with ideal sensing, and the uncalibrated class weights. We also corrected a factual error: the original text described the arrivals as a Poisson process, whereas the simulator uses deterministic headways at a rate redrawn every 15 s; Sec. IV-A now says so. The manuscript was edited throughout for consistent terminology, units and table/figure references.</w:t>
            </w:r>
          </w:p>
          <w:p>
            <w:pPr>
              <w:pStyle w:val="ListParagraph"/>
              <w:numPr>
                <w:ilvl w:val="0"/>
                <w:numId w:val="1"/>
              </w:numPr>
              <w:spacing w:after="40"/>
            </w:pPr>
            <w:r>
              <w:rPr>
                <w:sz w:val="22"/>
                <w:szCs w:val="22"/>
                <w:rFonts w:ascii="Times New Roman" w:cs="Times New Roman" w:eastAsia="Times New Roman" w:hAnsi="Times New Roman"/>
              </w:rPr>
              <w:t xml:space="preserve">Sec. VI-B: limitations rewritten.</w:t>
            </w:r>
          </w:p>
          <w:p>
            <w:pPr>
              <w:pStyle w:val="ListParagraph"/>
              <w:numPr>
                <w:ilvl w:val="0"/>
                <w:numId w:val="1"/>
              </w:numPr>
              <w:spacing w:after="40"/>
            </w:pPr>
            <w:r>
              <w:rPr>
                <w:sz w:val="22"/>
                <w:szCs w:val="22"/>
                <w:rFonts w:ascii="Times New Roman" w:cs="Times New Roman" w:eastAsia="Times New Roman" w:hAnsi="Times New Roman"/>
              </w:rPr>
              <w:t xml:space="preserve">Sec. IV-A: arrival model corrected; above-capacity simulation options described.</w:t>
            </w:r>
          </w:p>
          <w:p>
            <w:pPr>
              <w:pStyle w:val="ListParagraph"/>
              <w:numPr>
                <w:ilvl w:val="0"/>
                <w:numId w:val="1"/>
              </w:numPr>
              <w:spacing w:after="40"/>
            </w:pPr>
            <w:r>
              <w:rPr>
                <w:sz w:val="22"/>
                <w:szCs w:val="22"/>
                <w:rFonts w:ascii="Times New Roman" w:cs="Times New Roman" w:eastAsia="Times New Roman" w:hAnsi="Times New Roman"/>
              </w:rPr>
              <w:t xml:space="preserve">Whole manuscript: language and formatting pass; test count updated (68 → 119).</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 We would welcome the reviewers' check of the language in the final version.</w:t>
            </w:r>
          </w:p>
        </w:tc>
      </w:tr>
    </w:tbl>
    <w:p>
      <w:pPr>
        <w:spacing w:after="160" w:before="0"/>
        <w:jc w:val="both"/>
      </w:pPr>
    </w:p>
    <w:p>
      <w:pPr>
        <w:keepNext/>
        <w:spacing w:before="240" w:after="120"/>
      </w:pPr>
      <w:r>
        <w:rPr>
          <w:b/>
          <w:bCs/>
          <w:sz w:val="26"/>
          <w:szCs w:val="26"/>
          <w:rFonts w:ascii="Times New Roman" w:cs="Times New Roman" w:eastAsia="Times New Roman" w:hAnsi="Times New Roman"/>
        </w:rPr>
        <w:t xml:space="preserve">Reviewer 2</w:t>
      </w:r>
    </w:p>
    <w:p>
      <w:pPr>
        <w:spacing w:after="120" w:before="0"/>
        <w:jc w:val="both"/>
      </w:pPr>
      <w:r>
        <w:rPr>
          <w:sz w:val="22"/>
          <w:szCs w:val="22"/>
          <w:rFonts w:ascii="Times New Roman" w:cs="Times New Roman" w:eastAsia="Times New Roman" w:hAnsi="Times New Roman"/>
        </w:rPr>
        <w:t xml:space="preserve">Several of these comments name components our paper does not have (a ball tracker, a keypoint model, RANSAC, detector mAP), so they may have been written for another submission. We have answered each one as it applies to our system, and would be grateful if the committee could confirm they were intended for this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2.1</w:t>
            </w:r>
            <w:r>
              <w:rPr>
                <w:sz w:val="22"/>
                <w:szCs w:val="22"/>
                <w:rFonts w:ascii="Times New Roman" w:cs="Times New Roman" w:eastAsia="Times New Roman" w:hAnsi="Times New Roman"/>
              </w:rPr>
              <w:t xml:space="preserve"> — Validate kinematic outputs against external ground truth, not only detector mAP.</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We validated two kinds of kinematic output. (a) The tracker's speed estimates: for every confirmed track on a real vehicle, the Kalman velocity was compared with the vehicle's true speed (Table VIII). The result is negative and reported as such: the mean absolute error was 0.53 m/s over 82 estimates, but the vehicles concerned moved at only 0.56 m/s on average, because tracks are confirmed almost only on queued vehicles; the pipeline therefore provides no usable kinematics for moving traffic. (b) The simulator's own kinematics against external field values: we measured queue discharge at the stop line as a traffic engineer would and compared it with the Highway Capacity Manual's base saturation flow (1900 veh/h/lane, 1.89 s headway). This revealed that the model discharged cars every 0.51 s, far too fast, because its car-following rule had no driver reaction time. We added a reaction time, calibrated it to 1.6 s (1.92 s, 1877 veh/h/lane), and repeated all main comparisons with the calibrated model: below capacity the adaptive controller reduced delay by 33.7–35.4% relative to the fixed plan. The calibration also revealed that the discharge hold's 10 m stop-line zone, chosen for the old kinematics, is too short for realistic vehicle spacing (capacity −3.7% relative to fixed timing); re-tuned on a separate seed to 20 m it reached +6.1% (Table X). We report both.</w:t>
            </w:r>
          </w:p>
          <w:p>
            <w:pPr>
              <w:pStyle w:val="ListParagraph"/>
              <w:numPr>
                <w:ilvl w:val="0"/>
                <w:numId w:val="1"/>
              </w:numPr>
              <w:spacing w:after="40"/>
            </w:pPr>
            <w:r>
              <w:rPr>
                <w:sz w:val="22"/>
                <w:szCs w:val="22"/>
                <w:rFonts w:ascii="Times New Roman" w:cs="Times New Roman" w:eastAsia="Times New Roman" w:hAnsi="Times New Roman"/>
              </w:rPr>
              <w:t xml:space="preserve">Sec. IV-A: reaction time introduced as an option of rule (1).</w:t>
            </w:r>
          </w:p>
          <w:p>
            <w:pPr>
              <w:pStyle w:val="ListParagraph"/>
              <w:numPr>
                <w:ilvl w:val="0"/>
                <w:numId w:val="1"/>
              </w:numPr>
              <w:spacing w:after="40"/>
            </w:pPr>
            <w:r>
              <w:rPr>
                <w:sz w:val="22"/>
                <w:szCs w:val="22"/>
                <w:rFonts w:ascii="Times New Roman" w:cs="Times New Roman" w:eastAsia="Times New Roman" w:hAnsi="Times New Roman"/>
              </w:rPr>
              <w:t xml:space="preserve">Sec. V-G and Table VIII: tracked-speed error against ground truth.</w:t>
            </w:r>
          </w:p>
          <w:p>
            <w:pPr>
              <w:pStyle w:val="ListParagraph"/>
              <w:numPr>
                <w:ilvl w:val="0"/>
                <w:numId w:val="1"/>
              </w:numPr>
              <w:spacing w:after="40"/>
            </w:pPr>
            <w:r>
              <w:rPr>
                <w:sz w:val="22"/>
                <w:szCs w:val="22"/>
                <w:rFonts w:ascii="Times New Roman" w:cs="Times New Roman" w:eastAsia="Times New Roman" w:hAnsi="Times New Roman"/>
              </w:rPr>
              <w:t xml:space="preserve">Sec. V-H (new), Tables IX–X: queue discharge against HCM values, calibration, repeated comparisons.</w:t>
            </w:r>
          </w:p>
          <w:p>
            <w:pPr>
              <w:pStyle w:val="ListParagraph"/>
              <w:numPr>
                <w:ilvl w:val="0"/>
                <w:numId w:val="1"/>
              </w:numPr>
              <w:spacing w:after="40"/>
            </w:pPr>
            <w:r>
              <w:rPr>
                <w:sz w:val="22"/>
                <w:szCs w:val="22"/>
                <w:rFonts w:ascii="Times New Roman" w:cs="Times New Roman" w:eastAsia="Times New Roman" w:hAnsi="Times New Roman"/>
              </w:rPr>
              <w:t xml:space="preserve">Sec. VI-B: kinematics limitation rewritten.</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2.2</w:t>
            </w:r>
            <w:r>
              <w:rPr>
                <w:sz w:val="22"/>
                <w:szCs w:val="22"/>
                <w:rFonts w:ascii="Times New Roman" w:cs="Times New Roman" w:eastAsia="Times New Roman" w:hAnsi="Times New Roman"/>
              </w:rPr>
              <w:t xml:space="preserve"> — Add baselines/ablations (ball tracker, keypoint model, with/without RANSAC).</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The named components do not exist in our system; we added the corresponding baselines and ablations for the components it does have. For the vision pipeline: detector variants with and without upscaling and histogram equalization (Table VII), and tracker variants without the low-confidence matching stage, without the motion model, and with immediate confirmation (Table VIII). For the controller: four re-implemented control strategies and a ten-variant ablation (Comment 1.2).</w:t>
            </w:r>
          </w:p>
          <w:p>
            <w:pPr>
              <w:pStyle w:val="ListParagraph"/>
              <w:numPr>
                <w:ilvl w:val="0"/>
                <w:numId w:val="1"/>
              </w:numPr>
              <w:spacing w:after="40"/>
            </w:pPr>
            <w:r>
              <w:rPr>
                <w:sz w:val="22"/>
                <w:szCs w:val="22"/>
                <w:rFonts w:ascii="Times New Roman" w:cs="Times New Roman" w:eastAsia="Times New Roman" w:hAnsi="Times New Roman"/>
              </w:rPr>
              <w:t xml:space="preserve">Sec. V-G, Tables VII–VIII (vision ablations).</w:t>
            </w:r>
          </w:p>
          <w:p>
            <w:pPr>
              <w:pStyle w:val="ListParagraph"/>
              <w:numPr>
                <w:ilvl w:val="0"/>
                <w:numId w:val="1"/>
              </w:numPr>
              <w:spacing w:after="40"/>
            </w:pPr>
            <w:r>
              <w:rPr>
                <w:sz w:val="22"/>
                <w:szCs w:val="22"/>
                <w:rFonts w:ascii="Times New Roman" w:cs="Times New Roman" w:eastAsia="Times New Roman" w:hAnsi="Times New Roman"/>
              </w:rPr>
              <w:t xml:space="preserve">Sec. IV-E, V-C, V-D, V-F, Tables II–IV and VI (controller baselines and ablation).</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 in the form that applies to this system.</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2.3</w:t>
            </w:r>
            <w:r>
              <w:rPr>
                <w:sz w:val="22"/>
                <w:szCs w:val="22"/>
                <w:rFonts w:ascii="Times New Roman" w:cs="Times New Roman" w:eastAsia="Times New Roman" w:hAnsi="Times New Roman"/>
              </w:rPr>
              <w:t xml:space="preserve"> — Clarify dataset splits, annotation protocol and failure cases.</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Sec. IV-G now has a "Data and annotation protocol" paragraph. No real images or manual labels are used: frames are rendered from the simulator state and every ground-truth box comes from the same state, so labels are exact by construction. Nothing is trained (the cascade is pre-trained and the controller is rule-based), so there is no training split; detector and tracker parameters were fixed during development, the discharge-hold zone was chosen on a separate tuning seed (1000), capacity was measured on seeds 101–105, and all reported results use seeds 1–10 (vision: 1–4). Failure cases are quantified in Sec. V-G: 98.6% of false positives recur at fixed background locations, and recall depends strongly on vehicle class and distance (overall recall 8.2%).</w:t>
            </w:r>
          </w:p>
          <w:p>
            <w:pPr>
              <w:pStyle w:val="ListParagraph"/>
              <w:numPr>
                <w:ilvl w:val="0"/>
                <w:numId w:val="1"/>
              </w:numPr>
              <w:spacing w:after="40"/>
            </w:pPr>
            <w:r>
              <w:rPr>
                <w:sz w:val="22"/>
                <w:szCs w:val="22"/>
                <w:rFonts w:ascii="Times New Roman" w:cs="Times New Roman" w:eastAsia="Times New Roman" w:hAnsi="Times New Roman"/>
              </w:rPr>
              <w:t xml:space="preserve">Sec. IV-G: data and annotation protocol.</w:t>
            </w:r>
          </w:p>
          <w:p>
            <w:pPr>
              <w:pStyle w:val="ListParagraph"/>
              <w:numPr>
                <w:ilvl w:val="0"/>
                <w:numId w:val="1"/>
              </w:numPr>
              <w:spacing w:after="40"/>
            </w:pPr>
            <w:r>
              <w:rPr>
                <w:sz w:val="22"/>
                <w:szCs w:val="22"/>
                <w:rFonts w:ascii="Times New Roman" w:cs="Times New Roman" w:eastAsia="Times New Roman" w:hAnsi="Times New Roman"/>
              </w:rPr>
              <w:t xml:space="preserve">Sec. V-A: seed splits.</w:t>
            </w:r>
          </w:p>
          <w:p>
            <w:pPr>
              <w:pStyle w:val="ListParagraph"/>
              <w:numPr>
                <w:ilvl w:val="0"/>
                <w:numId w:val="1"/>
              </w:numPr>
              <w:spacing w:after="40"/>
            </w:pPr>
            <w:r>
              <w:rPr>
                <w:sz w:val="22"/>
                <w:szCs w:val="22"/>
                <w:rFonts w:ascii="Times New Roman" w:cs="Times New Roman" w:eastAsia="Times New Roman" w:hAnsi="Times New Roman"/>
              </w:rPr>
              <w:t xml:space="preserve">Sec. V-G: failure cases by type, class and distance.</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Comment 2.4</w:t>
            </w:r>
            <w:r>
              <w:rPr>
                <w:sz w:val="22"/>
                <w:szCs w:val="22"/>
                <w:rFonts w:ascii="Times New Roman" w:cs="Times New Roman" w:eastAsia="Times New Roman" w:hAnsi="Times New Roman"/>
              </w:rPr>
              <w:t xml:space="preserve"> — Major English/formatting edit; tone down unsupported accuracy claims.</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The manuscript was edited throughout. Claims were qualified where the new evidence requires it: the gain below capacity is reported against stronger baselines, not only the fixed plan; the conclusion about class weights was corrected; the arrival model was described correctly; the simulator's kinematics are validated and their remaining gap is stated; and all hardware values remain marked as estimates.</w:t>
            </w:r>
          </w:p>
          <w:p>
            <w:pPr>
              <w:pStyle w:val="ListParagraph"/>
              <w:numPr>
                <w:ilvl w:val="0"/>
                <w:numId w:val="1"/>
              </w:numPr>
              <w:spacing w:after="40"/>
            </w:pPr>
            <w:r>
              <w:rPr>
                <w:sz w:val="22"/>
                <w:szCs w:val="22"/>
                <w:rFonts w:ascii="Times New Roman" w:cs="Times New Roman" w:eastAsia="Times New Roman" w:hAnsi="Times New Roman"/>
              </w:rPr>
              <w:t xml:space="preserve">Abstract, Sec. IV-A, V-C, V-H, VI, VII.</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p>
      <w:pPr>
        <w:keepNext/>
        <w:spacing w:before="240" w:after="120"/>
      </w:pPr>
      <w:r>
        <w:rPr>
          <w:b/>
          <w:bCs/>
          <w:sz w:val="26"/>
          <w:szCs w:val="26"/>
          <w:rFonts w:ascii="Times New Roman" w:cs="Times New Roman" w:eastAsia="Times New Roman" w:hAnsi="Times New Roman"/>
        </w:rPr>
        <w:t xml:space="preserve">Conference-system reviews (CMT Reviewer #1 and Reviewer #2)</w:t>
      </w:r>
    </w:p>
    <w:p>
      <w:pPr>
        <w:spacing w:after="120" w:before="0"/>
        <w:jc w:val="both"/>
      </w:pPr>
      <w:r>
        <w:rPr>
          <w:sz w:val="22"/>
          <w:szCs w:val="22"/>
          <w:rFonts w:ascii="Times New Roman" w:cs="Times New Roman" w:eastAsia="Times New Roman" w:hAnsi="Times New Roman"/>
        </w:rPr>
        <w:t xml:space="preserve">The reviews received through the conference system overlap with the e-mailed comments above; each is answered here with its own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CMT Reviewer #1 (1)</w:t>
            </w:r>
            <w:r>
              <w:rPr>
                <w:sz w:val="22"/>
                <w:szCs w:val="22"/>
                <w:rFonts w:ascii="Times New Roman" w:cs="Times New Roman" w:eastAsia="Times New Roman" w:hAnsi="Times New Roman"/>
              </w:rPr>
              <w:t xml:space="preserve"> — Compare with stronger baselines such as optimized fixed-time and max-pressure control.</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Done together with Comment 1.2 above (Webster-optimized fixed plan, max-pressure, actuated and three-level density control).</w:t>
            </w:r>
          </w:p>
          <w:p>
            <w:pPr>
              <w:pStyle w:val="ListParagraph"/>
              <w:numPr>
                <w:ilvl w:val="0"/>
                <w:numId w:val="1"/>
              </w:numPr>
              <w:spacing w:after="40"/>
            </w:pPr>
            <w:r>
              <w:rPr>
                <w:sz w:val="22"/>
                <w:szCs w:val="22"/>
                <w:rFonts w:ascii="Times New Roman" w:cs="Times New Roman" w:eastAsia="Times New Roman" w:hAnsi="Times New Roman"/>
              </w:rPr>
              <w:t xml:space="preserve">Sec. IV-E, V-C, V-D; Tables II–IV; Fig. 4.</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CMT Reviewer #1 (2)</w:t>
            </w:r>
            <w:r>
              <w:rPr>
                <w:sz w:val="22"/>
                <w:szCs w:val="22"/>
                <w:rFonts w:ascii="Times New Roman" w:cs="Times New Roman" w:eastAsia="Times New Roman" w:hAnsi="Times New Roman"/>
              </w:rPr>
              <w:t xml:space="preserve"> — Clarify the limited AI/ML contribution.</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The Introduction now states the role of AI and machine learning plainly: the signal controller is a transparent rule, not a learned policy; machine learning enters through the pre-trained Haar-cascade detector, whose accuracy, failure cases and ablations are measured (Sec. V-G), and through a new data-driven calibration of the controller's parameters by search on tuning seeds with evaluation on held-out seeds (Sec. V-J). We chose to report this honestly rather than add a learned controller whose behavior could not be bounded the way rule (5) can.</w:t>
            </w:r>
          </w:p>
          <w:p>
            <w:pPr>
              <w:pStyle w:val="ListParagraph"/>
              <w:numPr>
                <w:ilvl w:val="0"/>
                <w:numId w:val="1"/>
              </w:numPr>
              <w:spacing w:after="40"/>
            </w:pPr>
            <w:r>
              <w:rPr>
                <w:sz w:val="22"/>
                <w:szCs w:val="22"/>
                <w:rFonts w:ascii="Times New Roman" w:cs="Times New Roman" w:eastAsia="Times New Roman" w:hAnsi="Times New Roman"/>
              </w:rPr>
              <w:t xml:space="preserve">Sec. I (novelty paragraph and contributions).</w:t>
            </w:r>
          </w:p>
          <w:p>
            <w:pPr>
              <w:pStyle w:val="ListParagraph"/>
              <w:numPr>
                <w:ilvl w:val="0"/>
                <w:numId w:val="1"/>
              </w:numPr>
              <w:spacing w:after="40"/>
            </w:pPr>
            <w:r>
              <w:rPr>
                <w:sz w:val="22"/>
                <w:szCs w:val="22"/>
                <w:rFonts w:ascii="Times New Roman" w:cs="Times New Roman" w:eastAsia="Times New Roman" w:hAnsi="Times New Roman"/>
              </w:rPr>
              <w:t xml:space="preserve">Sec. V-G (vision evaluation), Sec. V-J (data-driven calibration).</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 by clarification and the calibration; no learned control policy was added.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CMT Reviewer #1 (3)</w:t>
            </w:r>
            <w:r>
              <w:rPr>
                <w:sz w:val="22"/>
                <w:szCs w:val="22"/>
                <w:rFonts w:ascii="Times New Roman" w:cs="Times New Roman" w:eastAsia="Times New Roman" w:hAnsi="Times New Roman"/>
              </w:rPr>
              <w:t xml:space="preserve"> — Address the gap between ideal simulator sensing and the low-performing vision pipeline.</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We added an experiment in which the controllers see the junction through a sensor model instead of exact states: a camera's 60 m view refreshed at 2 Hz without vehicle classes, recall from 100% down to 30%, phantom detections at fixed spots, and finally the measured Haar pipeline. Near capacity the discharge-hold controller's delay rose from 7.8 s (exact states) to 8.5 s with a perfect camera view and 14.4 s at 50% recall (fixed plan 8.8 s); phantom detections near the stop line kept greens at the maximum, and with the measured pipeline delay was 11.9 s at medium demand against 7.2 s for the fixed plan. The paper now states the detector quality needed before the loop can be closed.</w:t>
            </w:r>
          </w:p>
          <w:p>
            <w:pPr>
              <w:pStyle w:val="ListParagraph"/>
              <w:numPr>
                <w:ilvl w:val="0"/>
                <w:numId w:val="1"/>
              </w:numPr>
              <w:spacing w:after="40"/>
            </w:pPr>
            <w:r>
              <w:rPr>
                <w:sz w:val="22"/>
                <w:szCs w:val="22"/>
                <w:rFonts w:ascii="Times New Roman" w:cs="Times New Roman" w:eastAsia="Times New Roman" w:hAnsi="Times New Roman"/>
              </w:rPr>
              <w:t xml:space="preserve">Sec. V-I (new), Tables XI–XII.</w:t>
            </w:r>
          </w:p>
          <w:p>
            <w:pPr>
              <w:pStyle w:val="ListParagraph"/>
              <w:numPr>
                <w:ilvl w:val="0"/>
                <w:numId w:val="1"/>
              </w:numPr>
              <w:spacing w:after="40"/>
            </w:pPr>
            <w:r>
              <w:rPr>
                <w:sz w:val="22"/>
                <w:szCs w:val="22"/>
                <w:rFonts w:ascii="Times New Roman" w:cs="Times New Roman" w:eastAsia="Times New Roman" w:hAnsi="Times New Roman"/>
              </w:rPr>
              <w:t xml:space="preserve">Sec. VI-B: sensing limitation rewritten with these results.</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CMT Reviewer #1 (4) and Reviewer #2</w:t>
            </w:r>
            <w:r>
              <w:rPr>
                <w:sz w:val="22"/>
                <w:szCs w:val="22"/>
                <w:rFonts w:ascii="Times New Roman" w:cs="Times New Roman" w:eastAsia="Times New Roman" w:hAnsi="Times New Roman"/>
              </w:rPr>
              <w:t xml:space="preserve"> — The tested demand levels are below capacity; throughput changes are very small and conclusions about congestion management are limited. Conduct experiments above capacity, including queue growth, spillback, throughput and delay.</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We agree: the original three levels were only 12–26% of capacity, which is why throughput could not differ. The revision adds three experiments. (a) Capacity: every controller's capacity was measured by flooding all approaches (Table III). (b) A steady sweep from 0.6 to 1.5 times the fixed-time capacity, ten paired seeds per level, with blocked arrivals kept in an entry queue so that unserved demand is measured; we report throughput, served share, delay including vehicles still waiting, queue growth rate, final queue and spillback (Table IV, Fig. 4). (c) A 60-minute peak period in which demand rises to 1.2 times capacity and falls back, reporting the queue over time, the peak queue, the time to clear the queue after the peak, spillback duration, peak throughput and total delay (Fig. 5). In the peak period the queue reached 495 vehicles under fixed timing and 255 with the discharge hold; fixed timing cleared it 13.9 min after the peak, the hold cleared it 7.3 min after the peak, and the original density rule did not clear it within the hour. These experiments exposed a failure of the original density rule near capacity, which the new discharge-hold rule (Sec. IV-D) corrects.</w:t>
            </w:r>
          </w:p>
          <w:p>
            <w:pPr>
              <w:pStyle w:val="ListParagraph"/>
              <w:numPr>
                <w:ilvl w:val="0"/>
                <w:numId w:val="1"/>
              </w:numPr>
              <w:spacing w:after="40"/>
            </w:pPr>
            <w:r>
              <w:rPr>
                <w:sz w:val="22"/>
                <w:szCs w:val="22"/>
                <w:rFonts w:ascii="Times New Roman" w:cs="Times New Roman" w:eastAsia="Times New Roman" w:hAnsi="Times New Roman"/>
              </w:rPr>
              <w:t xml:space="preserve">Sec. IV-A (entry queue and entry speed for these runs), IV-D (discharge hold).</w:t>
            </w:r>
          </w:p>
          <w:p>
            <w:pPr>
              <w:pStyle w:val="ListParagraph"/>
              <w:numPr>
                <w:ilvl w:val="0"/>
                <w:numId w:val="1"/>
              </w:numPr>
              <w:spacing w:after="40"/>
            </w:pPr>
            <w:r>
              <w:rPr>
                <w:sz w:val="22"/>
                <w:szCs w:val="22"/>
                <w:rFonts w:ascii="Times New Roman" w:cs="Times New Roman" w:eastAsia="Times New Roman" w:hAnsi="Times New Roman"/>
              </w:rPr>
              <w:t xml:space="preserve">Sec. V-D: capacity (Table III), steady sweep (Table IV, Fig. 4) and peak period (Fig. 5).</w:t>
            </w:r>
          </w:p>
          <w:p>
            <w:pPr>
              <w:pStyle w:val="ListParagraph"/>
              <w:numPr>
                <w:ilvl w:val="0"/>
                <w:numId w:val="1"/>
              </w:numPr>
              <w:spacing w:after="40"/>
            </w:pPr>
            <w:r>
              <w:rPr>
                <w:sz w:val="22"/>
                <w:szCs w:val="22"/>
                <w:rFonts w:ascii="Times New Roman" w:cs="Times New Roman" w:eastAsia="Times New Roman" w:hAnsi="Times New Roman"/>
              </w:rPr>
              <w:t xml:space="preserve">Abstract, Sec. VI-A and VII: conclusions about congestion management rewritten.</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 Turning traffic and stochastic arrivals remain future work (Sec. VI-B).</w:t>
            </w:r>
          </w:p>
        </w:tc>
      </w:tr>
    </w:tbl>
    <w:p>
      <w:pPr>
        <w:spacing w:after="160" w:before="0"/>
        <w:jc w:val="both"/>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EDEDED" w:color="auto" w:val="clear"/>
            <w:tcMar>
              <w:top w:type="dxa" w:w="80"/>
              <w:left w:type="dxa" w:w="120"/>
              <w:bottom w:type="dxa" w:w="80"/>
              <w:right w:type="dxa" w:w="120"/>
            </w:tcMar>
          </w:tcPr>
          <w:p>
            <w:pPr>
              <w:spacing w:after="0" w:before="0"/>
              <w:jc w:val="both"/>
            </w:pPr>
            <w:r>
              <w:rPr>
                <w:b/>
                <w:bCs/>
                <w:sz w:val="22"/>
                <w:szCs w:val="22"/>
                <w:rFonts w:ascii="Times New Roman" w:cs="Times New Roman" w:eastAsia="Times New Roman" w:hAnsi="Times New Roman"/>
              </w:rPr>
              <w:t xml:space="preserve">CMT Reviewer #1 (5)</w:t>
            </w:r>
            <w:r>
              <w:rPr>
                <w:sz w:val="22"/>
                <w:szCs w:val="22"/>
                <w:rFonts w:ascii="Times New Roman" w:cs="Times New Roman" w:eastAsia="Times New Roman" w:hAnsi="Times New Roman"/>
              </w:rPr>
              <w:t xml:space="preserve"> — Provide stronger validation/calibration of the heuristic density weights.</w:t>
            </w:r>
          </w:p>
        </w:tc>
      </w:tr>
      <w:tr>
        <w:tc>
          <w:tcPr>
            <w:tcW w:type="dxa" w:w="9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60" w:before="0"/>
              <w:jc w:val="both"/>
            </w:pPr>
            <w:r>
              <w:rPr>
                <w:b/>
                <w:bCs/>
                <w:sz w:val="22"/>
                <w:szCs w:val="22"/>
                <w:rFonts w:ascii="Times New Roman" w:cs="Times New Roman" w:eastAsia="Times New Roman" w:hAnsi="Times New Roman"/>
              </w:rPr>
              <w:t xml:space="preserve">Response.</w:t>
            </w:r>
            <w:r>
              <w:rPr>
                <w:sz w:val="22"/>
                <w:szCs w:val="22"/>
                <w:rFonts w:ascii="Times New Roman" w:cs="Times New Roman" w:eastAsia="Times New Roman" w:hAnsi="Times New Roman"/>
              </w:rPr>
              <w:t xml:space="preserve"> Two analyses were added. The extended ablation (Table VI) measures each part of the score separately: the queued/moving distinction carries the benefit, while the hand-set class weights do not help. The weights were then calibrated from data: a random search over the class weights, the queued/moving ratio and θ on tuning seeds 1001–1002, with the best setting compared against the hand-set weights on held-out seeds 1–10. On the held-out seeds the calibrated score changed delay by −2.0% (medium, p 0.374), −4.9% (high, p 0.036), +2.2% (0.9x capacity, p 0.014) relative to the hand-set weights.</w:t>
            </w:r>
          </w:p>
          <w:p>
            <w:pPr>
              <w:pStyle w:val="ListParagraph"/>
              <w:numPr>
                <w:ilvl w:val="0"/>
                <w:numId w:val="1"/>
              </w:numPr>
              <w:spacing w:after="40"/>
            </w:pPr>
            <w:r>
              <w:rPr>
                <w:sz w:val="22"/>
                <w:szCs w:val="22"/>
                <w:rFonts w:ascii="Times New Roman" w:cs="Times New Roman" w:eastAsia="Times New Roman" w:hAnsi="Times New Roman"/>
              </w:rPr>
              <w:t xml:space="preserve">Sec. V-F, Table VI (ablation).</w:t>
            </w:r>
          </w:p>
          <w:p>
            <w:pPr>
              <w:pStyle w:val="ListParagraph"/>
              <w:numPr>
                <w:ilvl w:val="0"/>
                <w:numId w:val="1"/>
              </w:numPr>
              <w:spacing w:after="40"/>
            </w:pPr>
            <w:r>
              <w:rPr>
                <w:sz w:val="22"/>
                <w:szCs w:val="22"/>
                <w:rFonts w:ascii="Times New Roman" w:cs="Times New Roman" w:eastAsia="Times New Roman" w:hAnsi="Times New Roman"/>
              </w:rPr>
              <w:t xml:space="preserve">Sec. V-J (new), Table XIII (calibration and held-out test).</w:t>
            </w:r>
          </w:p>
          <w:p>
            <w:pPr>
              <w:pStyle w:val="ListParagraph"/>
              <w:numPr>
                <w:ilvl w:val="0"/>
                <w:numId w:val="1"/>
              </w:numPr>
              <w:spacing w:after="40"/>
            </w:pPr>
            <w:r>
              <w:rPr>
                <w:sz w:val="22"/>
                <w:szCs w:val="22"/>
                <w:rFonts w:ascii="Times New Roman" w:cs="Times New Roman" w:eastAsia="Times New Roman" w:hAnsi="Times New Roman"/>
              </w:rPr>
              <w:t xml:space="preserve">Sec. VI-B.</w:t>
            </w:r>
          </w:p>
          <w:p>
            <w:pPr>
              <w:spacing w:after="0" w:before="60"/>
              <w:jc w:val="both"/>
            </w:pPr>
            <w:r>
              <w:rPr>
                <w:b/>
                <w:bCs/>
                <w:sz w:val="22"/>
                <w:szCs w:val="22"/>
                <w:rFonts w:ascii="Times New Roman" w:cs="Times New Roman" w:eastAsia="Times New Roman" w:hAnsi="Times New Roman"/>
              </w:rPr>
              <w:t xml:space="preserve">Status:</w:t>
            </w:r>
            <w:r>
              <w:rPr>
                <w:sz w:val="22"/>
                <w:szCs w:val="22"/>
                <w:rFonts w:ascii="Times New Roman" w:cs="Times New Roman" w:eastAsia="Times New Roman" w:hAnsi="Times New Roman"/>
              </w:rPr>
              <w:t xml:space="preserve"> Addressed in simulation; calibration against field data remains future work.</w:t>
            </w:r>
          </w:p>
        </w:tc>
      </w:tr>
    </w:tbl>
    <w:p>
      <w:pPr>
        <w:spacing w:after="160" w:before="0"/>
        <w:jc w:val="both"/>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2026-10-24T17:23:28.001Z</dcterms:created>
  <dcterms:modified xsi:type="dcterms:W3CDTF">2026-10-24T17:23:28.004Z</dcterms:modified>
</cp:coreProperties>
</file>

<file path=docProps/custom.xml><?xml version="1.0" encoding="utf-8"?>
<Properties xmlns="http://schemas.openxmlformats.org/officeDocument/2006/custom-properties" xmlns:vt="http://schemas.openxmlformats.org/officeDocument/2006/docPropsVTypes"/>
</file>