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Fonts w:ascii="Times New Roman" w:cs="Times New Roman" w:eastAsia="Times New Roman" w:hAnsi="Times New Roman"/>
        </w:rPr>
        <w:t xml:space="preserve">Response to Reviewers</w:t>
      </w:r>
    </w:p>
    <w:p>
      <w:pPr>
        <w:spacing w:after="240" w:before="0"/>
        <w:jc w:val="center"/>
      </w:pPr>
      <w:r>
        <w:rPr>
          <w:sz w:val="22"/>
          <w:szCs w:val="22"/>
          <w:rFonts w:ascii="Times New Roman" w:cs="Times New Roman" w:eastAsia="Times New Roman" w:hAnsi="Times New Roman"/>
        </w:rPr>
        <w:t xml:space="preserve">AISUMMIT-2026 · Paper ID 2017 · "Smart Traffic Control System Using Vehicle Density Analysis"</w:t>
      </w:r>
    </w:p>
    <w:p>
      <w:pPr>
        <w:spacing w:after="120" w:before="0"/>
        <w:jc w:val="both"/>
      </w:pPr>
      <w:r>
        <w:rPr>
          <w:sz w:val="22"/>
          <w:szCs w:val="22"/>
          <w:rFonts w:ascii="Times New Roman" w:cs="Times New Roman" w:eastAsia="Times New Roman" w:hAnsi="Times New Roman"/>
        </w:rPr>
        <w:t xml:space="preserve">We thank the reviewers for their comments. Below, each comment is followed by our response and the exact changes in the revised manuscript (section, table and figure numbers refer to the revised version). Every number in the revised paper is produced by scripts in the public repository (github.com/shivam-G05/Smart-Traffic-Management): scripts/benchmark.py (Table II, Sec. IV-D and IV-G), scripts/oversaturation.py (Tables III–IV, Fig. 4, Sec. IV-G), scripts/peak_period.py (Fig. 5), scripts/sensing.py (Table IX), scripts/calibrate_weights.py (Table X), scripts/ablation.py (Table V), scripts/vision_eval.py (Tables VI and VII) and scripts/kinematics_check.py (Table VIII).</w:t>
      </w:r>
    </w:p>
    <w:p>
      <w:pPr>
        <w:spacing w:after="120" w:before="0"/>
        <w:jc w:val="both"/>
      </w:pPr>
      <w:r>
        <w:rPr>
          <w:sz w:val="22"/>
          <w:szCs w:val="22"/>
          <w:rFonts w:ascii="Times New Roman" w:cs="Times New Roman" w:eastAsia="Times New Roman" w:hAnsi="Times New Roman"/>
        </w:rPr>
        <w:t xml:space="preserve">The revision changes one of the paper's conclusions, and we state this plainly: when compared with stronger baselines, the density-based controller's gain below capacity is matched by a Webster-optimized fixed plan, vehicle-actuated control and max-pressure control. The revised paper reports this, identifies a failure mode of density-only switching near capacity, and adds a discharge-hold rule that corrects it.</w:t>
      </w:r>
    </w:p>
    <w:p>
      <w:pPr>
        <w:keepNext/>
        <w:spacing w:before="240" w:after="120"/>
      </w:pPr>
      <w:r>
        <w:rPr>
          <w:b/>
          <w:bCs/>
          <w:sz w:val="26"/>
          <w:szCs w:val="26"/>
          <w:rFonts w:ascii="Times New Roman" w:cs="Times New Roman" w:eastAsia="Times New Roman" w:hAnsi="Times New Roman"/>
        </w:rPr>
        <w:t xml:space="preserve">Reviewer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EDEDED" w:color="auto" w:val="clear"/>
            <w:tcMar>
              <w:top w:type="dxa" w:w="80"/>
              <w:left w:type="dxa" w:w="120"/>
              <w:bottom w:type="dxa" w:w="80"/>
              <w:right w:type="dxa" w:w="120"/>
            </w:tcMar>
          </w:tcPr>
          <w:p>
            <w:pPr>
              <w:spacing w:after="0" w:before="0"/>
              <w:jc w:val="both"/>
            </w:pPr>
            <w:r>
              <w:rPr>
                <w:b/>
                <w:bCs/>
                <w:sz w:val="22"/>
                <w:szCs w:val="22"/>
                <w:rFonts w:ascii="Times New Roman" w:cs="Times New Roman" w:eastAsia="Times New Roman" w:hAnsi="Times New Roman"/>
              </w:rPr>
              <w:t xml:space="preserve">Comment 1.1</w:t>
            </w:r>
            <w:r>
              <w:rPr>
                <w:sz w:val="22"/>
                <w:szCs w:val="22"/>
                <w:rFonts w:ascii="Times New Roman" w:cs="Times New Roman" w:eastAsia="Times New Roman" w:hAnsi="Times New Roman"/>
              </w:rPr>
              <w:t xml:space="preserve"> — Clearly explain the motivation and novelty of the proposed method and how it differs from existing approaches.</w:t>
            </w:r>
          </w:p>
        </w:tc>
      </w:tr>
      <w:tr>
        <w:tc>
          <w:tcPr>
            <w:tcW w:type="dxa" w:w="93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before="0"/>
              <w:jc w:val="both"/>
            </w:pPr>
            <w:r>
              <w:rPr>
                <w:b/>
                <w:bCs/>
                <w:sz w:val="22"/>
                <w:szCs w:val="22"/>
                <w:rFonts w:ascii="Times New Roman" w:cs="Times New Roman" w:eastAsia="Times New Roman" w:hAnsi="Times New Roman"/>
              </w:rPr>
              <w:t xml:space="preserve">Response.</w:t>
            </w:r>
            <w:r>
              <w:rPr>
                <w:sz w:val="22"/>
                <w:szCs w:val="22"/>
                <w:rFonts w:ascii="Times New Roman" w:cs="Times New Roman" w:eastAsia="Times New Roman" w:hAnsi="Times New Roman"/>
              </w:rPr>
              <w:t xml:space="preserve"> We added two paragraphs to the Introduction. The motivation paragraph names the questions that existing low-cost density-based systems leave open: whether variable greens keep safe change intervals, how emergency priority interacts with density-based timing, how the controller behaves near and above capacity, and how much of a reported gain is due to density logic rather than to replacing an untuned fixed plan. The novelty paragraph states how this work differs: it studies the timing logic under statistically paired conditions against re-implementations of the strategies used by existing approaches, tests demand up to 1.5 times capacity, verifies change-interval safety at every step, and contributes a discharge-hold rule that removes a capacity loss of density-only switching.</w:t>
            </w:r>
          </w:p>
          <w:p>
            <w:pPr>
              <w:pStyle w:val="ListParagraph"/>
              <w:numPr>
                <w:ilvl w:val="0"/>
                <w:numId w:val="1"/>
              </w:numPr>
              <w:spacing w:after="40"/>
            </w:pPr>
            <w:r>
              <w:rPr>
                <w:sz w:val="22"/>
                <w:szCs w:val="22"/>
                <w:rFonts w:ascii="Times New Roman" w:cs="Times New Roman" w:eastAsia="Times New Roman" w:hAnsi="Times New Roman"/>
              </w:rPr>
              <w:t xml:space="preserve">Sec. I: new "Motivation" and "Novelty" paragraphs; contributions list updated (discharge hold, stronger evaluation).</w:t>
            </w:r>
          </w:p>
          <w:p>
            <w:pPr>
              <w:pStyle w:val="ListParagraph"/>
              <w:numPr>
                <w:ilvl w:val="0"/>
                <w:numId w:val="1"/>
              </w:numPr>
              <w:spacing w:after="40"/>
            </w:pPr>
            <w:r>
              <w:rPr>
                <w:sz w:val="22"/>
                <w:szCs w:val="22"/>
                <w:rFonts w:ascii="Times New Roman" w:cs="Times New Roman" w:eastAsia="Times New Roman" w:hAnsi="Times New Roman"/>
              </w:rPr>
              <w:t xml:space="preserve">Sec. II: vehicle-actuated control and gap-out added to the related work [23]; the section ends with how this work differs.</w:t>
            </w:r>
          </w:p>
          <w:p>
            <w:pPr>
              <w:spacing w:after="0" w:before="60"/>
              <w:jc w:val="both"/>
            </w:pPr>
            <w:r>
              <w:rPr>
                <w:b/>
                <w:bCs/>
                <w:sz w:val="22"/>
                <w:szCs w:val="22"/>
                <w:rFonts w:ascii="Times New Roman" w:cs="Times New Roman" w:eastAsia="Times New Roman" w:hAnsi="Times New Roman"/>
              </w:rPr>
              <w:t xml:space="preserve">Status:</w:t>
            </w:r>
            <w:r>
              <w:rPr>
                <w:sz w:val="22"/>
                <w:szCs w:val="22"/>
                <w:rFonts w:ascii="Times New Roman" w:cs="Times New Roman" w:eastAsia="Times New Roman" w:hAnsi="Times New Roman"/>
              </w:rPr>
              <w:t xml:space="preserve"> Addressed.</w:t>
            </w:r>
          </w:p>
        </w:tc>
      </w:tr>
    </w:tbl>
    <w:p>
      <w:pPr>
        <w:spacing w:after="160" w:before="0"/>
        <w:jc w:val="both"/>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EDEDED" w:color="auto" w:val="clear"/>
            <w:tcMar>
              <w:top w:type="dxa" w:w="80"/>
              <w:left w:type="dxa" w:w="120"/>
              <w:bottom w:type="dxa" w:w="80"/>
              <w:right w:type="dxa" w:w="120"/>
            </w:tcMar>
          </w:tcPr>
          <w:p>
            <w:pPr>
              <w:spacing w:after="0" w:before="0"/>
              <w:jc w:val="both"/>
            </w:pPr>
            <w:r>
              <w:rPr>
                <w:b/>
                <w:bCs/>
                <w:sz w:val="22"/>
                <w:szCs w:val="22"/>
                <w:rFonts w:ascii="Times New Roman" w:cs="Times New Roman" w:eastAsia="Times New Roman" w:hAnsi="Times New Roman"/>
              </w:rPr>
              <w:t xml:space="preserve">Comment 1.2</w:t>
            </w:r>
            <w:r>
              <w:rPr>
                <w:sz w:val="22"/>
                <w:szCs w:val="22"/>
                <w:rFonts w:ascii="Times New Roman" w:cs="Times New Roman" w:eastAsia="Times New Roman" w:hAnsi="Times New Roman"/>
              </w:rPr>
              <w:t xml:space="preserve"> — Strengthen the experimental results by comparing them with recent methods and including an ablation study.</w:t>
            </w:r>
          </w:p>
        </w:tc>
      </w:tr>
      <w:tr>
        <w:tc>
          <w:tcPr>
            <w:tcW w:type="dxa" w:w="93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before="0"/>
              <w:jc w:val="both"/>
            </w:pPr>
            <w:r>
              <w:rPr>
                <w:b/>
                <w:bCs/>
                <w:sz w:val="22"/>
                <w:szCs w:val="22"/>
                <w:rFonts w:ascii="Times New Roman" w:cs="Times New Roman" w:eastAsia="Times New Roman" w:hAnsi="Times New Roman"/>
              </w:rPr>
              <w:t xml:space="preserve">Response.</w:t>
            </w:r>
            <w:r>
              <w:rPr>
                <w:sz w:val="22"/>
                <w:szCs w:val="22"/>
                <w:rFonts w:ascii="Times New Roman" w:cs="Times New Roman" w:eastAsia="Times New Roman" w:hAnsi="Times New Roman"/>
              </w:rPr>
              <w:t xml:space="preserve"> We re-implemented four strategies from the related work in the same simulator and compared them with the proposed controller on identical seeded traffic (ten paired seeds per condition): a Webster-optimized fixed plan [2], vehicle-actuated control [23], max-pressure control [11] (which also represents busiest-lane-first control [6]) and three-level density control [1]. All share the same phase sequence and change intervals, so the comparison isolates the switching decision. Below capacity (Table II) the proposed controller reduced delay by 35.3–36.1% relative to the 20 s fixed plan, but the Webster plan, actuated and max-pressure control did as well (37.5–39.7%, 37.2–39.9%, 37.3–39.8%); three-level density control was worse than the fixed plan at medium and high demand. Near and above capacity (Tables III and IV, Fig. 4) the original density rule lost 18.9% of capacity; the discharge-hold rule restored it (+9.8% relative to fixed timing). The ablation (Table V) was extended from four to ten variants. It shows that the score's benefit comes from the queued/moving distinction (removing it: +35.1% and +33.0% delay at medium and high demand), not from the class weights (setting them to 1: −3.9% and −3.2%). This corrects a statement in the original Conclusion.</w:t>
            </w:r>
          </w:p>
          <w:p>
            <w:pPr>
              <w:pStyle w:val="ListParagraph"/>
              <w:numPr>
                <w:ilvl w:val="0"/>
                <w:numId w:val="1"/>
              </w:numPr>
              <w:spacing w:after="40"/>
            </w:pPr>
            <w:r>
              <w:rPr>
                <w:sz w:val="22"/>
                <w:szCs w:val="22"/>
                <w:rFonts w:ascii="Times New Roman" w:cs="Times New Roman" w:eastAsia="Times New Roman" w:hAnsi="Times New Roman"/>
              </w:rPr>
              <w:t xml:space="preserve">Sec. III-E (new): the four comparison controllers.</w:t>
            </w:r>
          </w:p>
          <w:p>
            <w:pPr>
              <w:pStyle w:val="ListParagraph"/>
              <w:numPr>
                <w:ilvl w:val="0"/>
                <w:numId w:val="1"/>
              </w:numPr>
              <w:spacing w:after="40"/>
            </w:pPr>
            <w:r>
              <w:rPr>
                <w:sz w:val="22"/>
                <w:szCs w:val="22"/>
                <w:rFonts w:ascii="Times New Roman" w:cs="Times New Roman" w:eastAsia="Times New Roman" w:hAnsi="Times New Roman"/>
              </w:rPr>
              <w:t xml:space="preserve">Sec. IV-B and Table II: comparison of seven controllers at three demand levels.</w:t>
            </w:r>
          </w:p>
          <w:p>
            <w:pPr>
              <w:pStyle w:val="ListParagraph"/>
              <w:numPr>
                <w:ilvl w:val="0"/>
                <w:numId w:val="1"/>
              </w:numPr>
              <w:spacing w:after="40"/>
            </w:pPr>
            <w:r>
              <w:rPr>
                <w:sz w:val="22"/>
                <w:szCs w:val="22"/>
                <w:rFonts w:ascii="Times New Roman" w:cs="Times New Roman" w:eastAsia="Times New Roman" w:hAnsi="Times New Roman"/>
              </w:rPr>
              <w:t xml:space="preserve">Sec. IV-C, Tables III–IV and Fig. 4 (new): capacity and delay from 0.6 to 1.5 times capacity.</w:t>
            </w:r>
          </w:p>
          <w:p>
            <w:pPr>
              <w:pStyle w:val="ListParagraph"/>
              <w:numPr>
                <w:ilvl w:val="0"/>
                <w:numId w:val="1"/>
              </w:numPr>
              <w:spacing w:after="40"/>
            </w:pPr>
            <w:r>
              <w:rPr>
                <w:sz w:val="22"/>
                <w:szCs w:val="22"/>
                <w:rFonts w:ascii="Times New Roman" w:cs="Times New Roman" w:eastAsia="Times New Roman" w:hAnsi="Times New Roman"/>
              </w:rPr>
              <w:t xml:space="preserve">Sec. IV-E and Table V: ablation extended (score components, θ, discharge-hold zone, preemption).</w:t>
            </w:r>
          </w:p>
          <w:p>
            <w:pPr>
              <w:pStyle w:val="ListParagraph"/>
              <w:numPr>
                <w:ilvl w:val="0"/>
                <w:numId w:val="1"/>
              </w:numPr>
              <w:spacing w:after="40"/>
            </w:pPr>
            <w:r>
              <w:rPr>
                <w:sz w:val="22"/>
                <w:szCs w:val="22"/>
                <w:rFonts w:ascii="Times New Roman" w:cs="Times New Roman" w:eastAsia="Times New Roman" w:hAnsi="Times New Roman"/>
              </w:rPr>
              <w:t xml:space="preserve">Abstract, Sec. V and Sec. VI rewritten to report these results, including the corrected conclusion about class weights.</w:t>
            </w:r>
          </w:p>
          <w:p>
            <w:pPr>
              <w:spacing w:after="0" w:before="60"/>
              <w:jc w:val="both"/>
            </w:pPr>
            <w:r>
              <w:rPr>
                <w:b/>
                <w:bCs/>
                <w:sz w:val="22"/>
                <w:szCs w:val="22"/>
                <w:rFonts w:ascii="Times New Roman" w:cs="Times New Roman" w:eastAsia="Times New Roman" w:hAnsi="Times New Roman"/>
              </w:rPr>
              <w:t xml:space="preserve">Status:</w:t>
            </w:r>
            <w:r>
              <w:rPr>
                <w:sz w:val="22"/>
                <w:szCs w:val="22"/>
                <w:rFonts w:ascii="Times New Roman" w:cs="Times New Roman" w:eastAsia="Times New Roman" w:hAnsi="Times New Roman"/>
              </w:rPr>
              <w:t xml:space="preserve"> Addressed.</w:t>
            </w:r>
          </w:p>
        </w:tc>
      </w:tr>
    </w:tbl>
    <w:p>
      <w:pPr>
        <w:spacing w:after="160" w:before="0"/>
        <w:jc w:val="both"/>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EDEDED" w:color="auto" w:val="clear"/>
            <w:tcMar>
              <w:top w:type="dxa" w:w="80"/>
              <w:left w:type="dxa" w:w="120"/>
              <w:bottom w:type="dxa" w:w="80"/>
              <w:right w:type="dxa" w:w="120"/>
            </w:tcMar>
          </w:tcPr>
          <w:p>
            <w:pPr>
              <w:spacing w:after="0" w:before="0"/>
              <w:jc w:val="both"/>
            </w:pPr>
            <w:r>
              <w:rPr>
                <w:b/>
                <w:bCs/>
                <w:sz w:val="22"/>
                <w:szCs w:val="22"/>
                <w:rFonts w:ascii="Times New Roman" w:cs="Times New Roman" w:eastAsia="Times New Roman" w:hAnsi="Times New Roman"/>
              </w:rPr>
              <w:t xml:space="preserve">Comment 1.3</w:t>
            </w:r>
            <w:r>
              <w:rPr>
                <w:sz w:val="22"/>
                <w:szCs w:val="22"/>
                <w:rFonts w:ascii="Times New Roman" w:cs="Times New Roman" w:eastAsia="Times New Roman" w:hAnsi="Times New Roman"/>
              </w:rPr>
              <w:t xml:space="preserve"> — Include a figure illustrating the overall framework of the proposed method.</w:t>
            </w:r>
          </w:p>
        </w:tc>
      </w:tr>
      <w:tr>
        <w:tc>
          <w:tcPr>
            <w:tcW w:type="dxa" w:w="93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before="0"/>
              <w:jc w:val="both"/>
            </w:pPr>
            <w:r>
              <w:rPr>
                <w:b/>
                <w:bCs/>
                <w:sz w:val="22"/>
                <w:szCs w:val="22"/>
                <w:rFonts w:ascii="Times New Roman" w:cs="Times New Roman" w:eastAsia="Times New Roman" w:hAnsi="Times New Roman"/>
              </w:rPr>
              <w:t xml:space="preserve">Response.</w:t>
            </w:r>
            <w:r>
              <w:rPr>
                <w:sz w:val="22"/>
                <w:szCs w:val="22"/>
                <w:rFonts w:ascii="Times New Roman" w:cs="Times New Roman" w:eastAsia="Times New Roman" w:hAnsi="Times New Roman"/>
              </w:rPr>
              <w:t xml:space="preserve"> The original Fig. 1 showed the software architecture. We added Fig. 2, a method workflow figure: (a) the per-step control pipeline (sense, score, decide, protect, actuate) and (b) a flowchart of the green-end decision, including the new discharge-hold test. Fig. 1 was redrawn to show the controller options.</w:t>
            </w:r>
          </w:p>
          <w:p>
            <w:pPr>
              <w:pStyle w:val="ListParagraph"/>
              <w:numPr>
                <w:ilvl w:val="0"/>
                <w:numId w:val="1"/>
              </w:numPr>
              <w:spacing w:after="40"/>
            </w:pPr>
            <w:r>
              <w:rPr>
                <w:sz w:val="22"/>
                <w:szCs w:val="22"/>
                <w:rFonts w:ascii="Times New Roman" w:cs="Times New Roman" w:eastAsia="Times New Roman" w:hAnsi="Times New Roman"/>
              </w:rPr>
              <w:t xml:space="preserve">Sec. III-A: method workflow description and new Fig. 2.</w:t>
            </w:r>
          </w:p>
          <w:p>
            <w:pPr>
              <w:pStyle w:val="ListParagraph"/>
              <w:numPr>
                <w:ilvl w:val="0"/>
                <w:numId w:val="1"/>
              </w:numPr>
              <w:spacing w:after="40"/>
            </w:pPr>
            <w:r>
              <w:rPr>
                <w:sz w:val="22"/>
                <w:szCs w:val="22"/>
                <w:rFonts w:ascii="Times New Roman" w:cs="Times New Roman" w:eastAsia="Times New Roman" w:hAnsi="Times New Roman"/>
              </w:rPr>
              <w:t xml:space="preserve">Fig. 1 updated; Fig. 3 (preemption states) redrawn.</w:t>
            </w:r>
          </w:p>
          <w:p>
            <w:pPr>
              <w:spacing w:after="0" w:before="60"/>
              <w:jc w:val="both"/>
            </w:pPr>
            <w:r>
              <w:rPr>
                <w:b/>
                <w:bCs/>
                <w:sz w:val="22"/>
                <w:szCs w:val="22"/>
                <w:rFonts w:ascii="Times New Roman" w:cs="Times New Roman" w:eastAsia="Times New Roman" w:hAnsi="Times New Roman"/>
              </w:rPr>
              <w:t xml:space="preserve">Status:</w:t>
            </w:r>
            <w:r>
              <w:rPr>
                <w:sz w:val="22"/>
                <w:szCs w:val="22"/>
                <w:rFonts w:ascii="Times New Roman" w:cs="Times New Roman" w:eastAsia="Times New Roman" w:hAnsi="Times New Roman"/>
              </w:rPr>
              <w:t xml:space="preserve"> Addressed.</w:t>
            </w:r>
          </w:p>
        </w:tc>
      </w:tr>
    </w:tbl>
    <w:p>
      <w:pPr>
        <w:spacing w:after="160" w:before="0"/>
        <w:jc w:val="both"/>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EDEDED" w:color="auto" w:val="clear"/>
            <w:tcMar>
              <w:top w:type="dxa" w:w="80"/>
              <w:left w:type="dxa" w:w="120"/>
              <w:bottom w:type="dxa" w:w="80"/>
              <w:right w:type="dxa" w:w="120"/>
            </w:tcMar>
          </w:tcPr>
          <w:p>
            <w:pPr>
              <w:spacing w:after="0" w:before="0"/>
              <w:jc w:val="both"/>
            </w:pPr>
            <w:r>
              <w:rPr>
                <w:b/>
                <w:bCs/>
                <w:sz w:val="22"/>
                <w:szCs w:val="22"/>
                <w:rFonts w:ascii="Times New Roman" w:cs="Times New Roman" w:eastAsia="Times New Roman" w:hAnsi="Times New Roman"/>
              </w:rPr>
              <w:t xml:space="preserve">Comment 1.4</w:t>
            </w:r>
            <w:r>
              <w:rPr>
                <w:sz w:val="22"/>
                <w:szCs w:val="22"/>
                <w:rFonts w:ascii="Times New Roman" w:cs="Times New Roman" w:eastAsia="Times New Roman" w:hAnsi="Times New Roman"/>
              </w:rPr>
              <w:t xml:space="preserve"> — Discuss the limitations of the proposed method and correct minor language and formatting errors.</w:t>
            </w:r>
          </w:p>
        </w:tc>
      </w:tr>
      <w:tr>
        <w:tc>
          <w:tcPr>
            <w:tcW w:type="dxa" w:w="93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before="0"/>
              <w:jc w:val="both"/>
            </w:pPr>
            <w:r>
              <w:rPr>
                <w:b/>
                <w:bCs/>
                <w:sz w:val="22"/>
                <w:szCs w:val="22"/>
                <w:rFonts w:ascii="Times New Roman" w:cs="Times New Roman" w:eastAsia="Times New Roman" w:hAnsi="Times New Roman"/>
              </w:rPr>
              <w:t xml:space="preserve">Response.</w:t>
            </w:r>
            <w:r>
              <w:rPr>
                <w:sz w:val="22"/>
                <w:szCs w:val="22"/>
                <w:rFonts w:ascii="Times New Roman" w:cs="Times New Roman" w:eastAsia="Times New Roman" w:hAnsi="Times New Roman"/>
              </w:rPr>
              <w:t xml:space="preserve"> The Limitations paragraph was rewritten. The bullet on under-saturated demand was removed because that condition is now tested, and new limitations were added: the high simulated saturation flow (no driver reaction time), the deterministic arrival model, the frequency of emergency vehicles, the use of re-implemented baselines with ideal sensing, and the uncalibrated class weights. We also corrected a factual error: the original text described the arrivals as a Poisson process, whereas the simulator uses deterministic headways at a rate redrawn every 15 s; Sec. III-B now says so. The manuscript was edited throughout for consistent terminology, units and table/figure references.</w:t>
            </w:r>
          </w:p>
          <w:p>
            <w:pPr>
              <w:pStyle w:val="ListParagraph"/>
              <w:numPr>
                <w:ilvl w:val="0"/>
                <w:numId w:val="1"/>
              </w:numPr>
              <w:spacing w:after="40"/>
            </w:pPr>
            <w:r>
              <w:rPr>
                <w:sz w:val="22"/>
                <w:szCs w:val="22"/>
                <w:rFonts w:ascii="Times New Roman" w:cs="Times New Roman" w:eastAsia="Times New Roman" w:hAnsi="Times New Roman"/>
              </w:rPr>
              <w:t xml:space="preserve">Sec. V: limitations paragraph rewritten.</w:t>
            </w:r>
          </w:p>
          <w:p>
            <w:pPr>
              <w:pStyle w:val="ListParagraph"/>
              <w:numPr>
                <w:ilvl w:val="0"/>
                <w:numId w:val="1"/>
              </w:numPr>
              <w:spacing w:after="40"/>
            </w:pPr>
            <w:r>
              <w:rPr>
                <w:sz w:val="22"/>
                <w:szCs w:val="22"/>
                <w:rFonts w:ascii="Times New Roman" w:cs="Times New Roman" w:eastAsia="Times New Roman" w:hAnsi="Times New Roman"/>
              </w:rPr>
              <w:t xml:space="preserve">Sec. III-B: arrival model corrected; above-capacity simulation options described.</w:t>
            </w:r>
          </w:p>
          <w:p>
            <w:pPr>
              <w:pStyle w:val="ListParagraph"/>
              <w:numPr>
                <w:ilvl w:val="0"/>
                <w:numId w:val="1"/>
              </w:numPr>
              <w:spacing w:after="40"/>
            </w:pPr>
            <w:r>
              <w:rPr>
                <w:sz w:val="22"/>
                <w:szCs w:val="22"/>
                <w:rFonts w:ascii="Times New Roman" w:cs="Times New Roman" w:eastAsia="Times New Roman" w:hAnsi="Times New Roman"/>
              </w:rPr>
              <w:t xml:space="preserve">Whole manuscript: language and formatting pass; test count updated (68 → 119); condensed to seven pages.</w:t>
            </w:r>
          </w:p>
          <w:p>
            <w:pPr>
              <w:spacing w:after="0" w:before="60"/>
              <w:jc w:val="both"/>
            </w:pPr>
            <w:r>
              <w:rPr>
                <w:b/>
                <w:bCs/>
                <w:sz w:val="22"/>
                <w:szCs w:val="22"/>
                <w:rFonts w:ascii="Times New Roman" w:cs="Times New Roman" w:eastAsia="Times New Roman" w:hAnsi="Times New Roman"/>
              </w:rPr>
              <w:t xml:space="preserve">Status:</w:t>
            </w:r>
            <w:r>
              <w:rPr>
                <w:sz w:val="22"/>
                <w:szCs w:val="22"/>
                <w:rFonts w:ascii="Times New Roman" w:cs="Times New Roman" w:eastAsia="Times New Roman" w:hAnsi="Times New Roman"/>
              </w:rPr>
              <w:t xml:space="preserve"> Addressed. We would welcome the reviewers' check of the language in the final version.</w:t>
            </w:r>
          </w:p>
        </w:tc>
      </w:tr>
    </w:tbl>
    <w:p>
      <w:pPr>
        <w:spacing w:after="160" w:before="0"/>
        <w:jc w:val="both"/>
      </w:pPr>
    </w:p>
    <w:p>
      <w:pPr>
        <w:keepNext/>
        <w:spacing w:before="240" w:after="120"/>
      </w:pPr>
      <w:r>
        <w:rPr>
          <w:b/>
          <w:bCs/>
          <w:sz w:val="26"/>
          <w:szCs w:val="26"/>
          <w:rFonts w:ascii="Times New Roman" w:cs="Times New Roman" w:eastAsia="Times New Roman" w:hAnsi="Times New Roman"/>
        </w:rPr>
        <w:t xml:space="preserve">Reviewer 2</w:t>
      </w:r>
    </w:p>
    <w:p>
      <w:pPr>
        <w:spacing w:after="120" w:before="0"/>
        <w:jc w:val="both"/>
      </w:pPr>
      <w:r>
        <w:rPr>
          <w:sz w:val="22"/>
          <w:szCs w:val="22"/>
          <w:rFonts w:ascii="Times New Roman" w:cs="Times New Roman" w:eastAsia="Times New Roman" w:hAnsi="Times New Roman"/>
        </w:rPr>
        <w:t xml:space="preserve">Several of these comments name components our paper does not have (a ball tracker, a keypoint model, RANSAC, detector mAP), so they may have been written for another submission. We have answered each one as it applies to our system, and would be grateful if the committee could confirm they were intended for this paper.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EDEDED" w:color="auto" w:val="clear"/>
            <w:tcMar>
              <w:top w:type="dxa" w:w="80"/>
              <w:left w:type="dxa" w:w="120"/>
              <w:bottom w:type="dxa" w:w="80"/>
              <w:right w:type="dxa" w:w="120"/>
            </w:tcMar>
          </w:tcPr>
          <w:p>
            <w:pPr>
              <w:spacing w:after="0" w:before="0"/>
              <w:jc w:val="both"/>
            </w:pPr>
            <w:r>
              <w:rPr>
                <w:b/>
                <w:bCs/>
                <w:sz w:val="22"/>
                <w:szCs w:val="22"/>
                <w:rFonts w:ascii="Times New Roman" w:cs="Times New Roman" w:eastAsia="Times New Roman" w:hAnsi="Times New Roman"/>
              </w:rPr>
              <w:t xml:space="preserve">Comment 2.1</w:t>
            </w:r>
            <w:r>
              <w:rPr>
                <w:sz w:val="22"/>
                <w:szCs w:val="22"/>
                <w:rFonts w:ascii="Times New Roman" w:cs="Times New Roman" w:eastAsia="Times New Roman" w:hAnsi="Times New Roman"/>
              </w:rPr>
              <w:t xml:space="preserve"> — Validate kinematic outputs against external ground truth, not only detector mAP.</w:t>
            </w:r>
          </w:p>
        </w:tc>
      </w:tr>
      <w:tr>
        <w:tc>
          <w:tcPr>
            <w:tcW w:type="dxa" w:w="93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before="0"/>
              <w:jc w:val="both"/>
            </w:pPr>
            <w:r>
              <w:rPr>
                <w:b/>
                <w:bCs/>
                <w:sz w:val="22"/>
                <w:szCs w:val="22"/>
                <w:rFonts w:ascii="Times New Roman" w:cs="Times New Roman" w:eastAsia="Times New Roman" w:hAnsi="Times New Roman"/>
              </w:rPr>
              <w:t xml:space="preserve">Response.</w:t>
            </w:r>
            <w:r>
              <w:rPr>
                <w:sz w:val="22"/>
                <w:szCs w:val="22"/>
                <w:rFonts w:ascii="Times New Roman" w:cs="Times New Roman" w:eastAsia="Times New Roman" w:hAnsi="Times New Roman"/>
              </w:rPr>
              <w:t xml:space="preserve"> We validated two kinds of kinematic output. (a) The tracker's speed estimates: for every confirmed track on a real vehicle, the Kalman velocity was compared with the vehicle's true speed (Table VII). The result is negative and reported as such: the mean absolute error was 0.53 m/s over 82 estimates, but the vehicles concerned moved at only 0.56 m/s on average, because tracks are confirmed almost only on queued vehicles; the pipeline therefore provides no usable kinematics for moving traffic. (b) The simulator's own kinematics against external field values: we measured queue discharge at the stop line as a traffic engineer would and compared it with the Highway Capacity Manual's base saturation flow (1900 veh/h/lane, 1.89 s headway). This revealed that the model discharged cars every 0.51 s, far too fast, because its car-following rule had no driver reaction time. We added a reaction time, calibrated it to 1.6 s (1.92 s, 1877 veh/h/lane), and repeated all main comparisons with the calibrated model: below capacity the adaptive controller reduced delay by 33.7–35.4% relative to the fixed plan. The calibration also revealed that the discharge hold's 10 m stop-line zone, chosen for the old kinematics, is too short for realistic vehicle spacing (capacity −3.7% relative to fixed timing); re-tuned on a separate seed to 20 m it reached +6.1% (Sec. IV-G). We report both.</w:t>
            </w:r>
          </w:p>
          <w:p>
            <w:pPr>
              <w:pStyle w:val="ListParagraph"/>
              <w:numPr>
                <w:ilvl w:val="0"/>
                <w:numId w:val="1"/>
              </w:numPr>
              <w:spacing w:after="40"/>
            </w:pPr>
            <w:r>
              <w:rPr>
                <w:sz w:val="22"/>
                <w:szCs w:val="22"/>
                <w:rFonts w:ascii="Times New Roman" w:cs="Times New Roman" w:eastAsia="Times New Roman" w:hAnsi="Times New Roman"/>
              </w:rPr>
              <w:t xml:space="preserve">Sec. III-B and IV-G: reaction time introduced as an option of rule (1).</w:t>
            </w:r>
          </w:p>
          <w:p>
            <w:pPr>
              <w:pStyle w:val="ListParagraph"/>
              <w:numPr>
                <w:ilvl w:val="0"/>
                <w:numId w:val="1"/>
              </w:numPr>
              <w:spacing w:after="40"/>
            </w:pPr>
            <w:r>
              <w:rPr>
                <w:sz w:val="22"/>
                <w:szCs w:val="22"/>
                <w:rFonts w:ascii="Times New Roman" w:cs="Times New Roman" w:eastAsia="Times New Roman" w:hAnsi="Times New Roman"/>
              </w:rPr>
              <w:t xml:space="preserve">Sec. IV-F and Table VII: tracked-speed error against ground truth.</w:t>
            </w:r>
          </w:p>
          <w:p>
            <w:pPr>
              <w:pStyle w:val="ListParagraph"/>
              <w:numPr>
                <w:ilvl w:val="0"/>
                <w:numId w:val="1"/>
              </w:numPr>
              <w:spacing w:after="40"/>
            </w:pPr>
            <w:r>
              <w:rPr>
                <w:sz w:val="22"/>
                <w:szCs w:val="22"/>
                <w:rFonts w:ascii="Times New Roman" w:cs="Times New Roman" w:eastAsia="Times New Roman" w:hAnsi="Times New Roman"/>
              </w:rPr>
              <w:t xml:space="preserve">Sec. IV-G (new), Table VIII: queue discharge against HCM values, calibration, repeated comparisons.</w:t>
            </w:r>
          </w:p>
          <w:p>
            <w:pPr>
              <w:pStyle w:val="ListParagraph"/>
              <w:numPr>
                <w:ilvl w:val="0"/>
                <w:numId w:val="1"/>
              </w:numPr>
              <w:spacing w:after="40"/>
            </w:pPr>
            <w:r>
              <w:rPr>
                <w:sz w:val="22"/>
                <w:szCs w:val="22"/>
                <w:rFonts w:ascii="Times New Roman" w:cs="Times New Roman" w:eastAsia="Times New Roman" w:hAnsi="Times New Roman"/>
              </w:rPr>
              <w:t xml:space="preserve">Sec. V: kinematics limitation rewritten.</w:t>
            </w:r>
          </w:p>
          <w:p>
            <w:pPr>
              <w:spacing w:after="0" w:before="60"/>
              <w:jc w:val="both"/>
            </w:pPr>
            <w:r>
              <w:rPr>
                <w:b/>
                <w:bCs/>
                <w:sz w:val="22"/>
                <w:szCs w:val="22"/>
                <w:rFonts w:ascii="Times New Roman" w:cs="Times New Roman" w:eastAsia="Times New Roman" w:hAnsi="Times New Roman"/>
              </w:rPr>
              <w:t xml:space="preserve">Status:</w:t>
            </w:r>
            <w:r>
              <w:rPr>
                <w:sz w:val="22"/>
                <w:szCs w:val="22"/>
                <w:rFonts w:ascii="Times New Roman" w:cs="Times New Roman" w:eastAsia="Times New Roman" w:hAnsi="Times New Roman"/>
              </w:rPr>
              <w:t xml:space="preserve"> Addressed.</w:t>
            </w:r>
          </w:p>
        </w:tc>
      </w:tr>
    </w:tbl>
    <w:p>
      <w:pPr>
        <w:spacing w:after="160" w:before="0"/>
        <w:jc w:val="both"/>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EDEDED" w:color="auto" w:val="clear"/>
            <w:tcMar>
              <w:top w:type="dxa" w:w="80"/>
              <w:left w:type="dxa" w:w="120"/>
              <w:bottom w:type="dxa" w:w="80"/>
              <w:right w:type="dxa" w:w="120"/>
            </w:tcMar>
          </w:tcPr>
          <w:p>
            <w:pPr>
              <w:spacing w:after="0" w:before="0"/>
              <w:jc w:val="both"/>
            </w:pPr>
            <w:r>
              <w:rPr>
                <w:b/>
                <w:bCs/>
                <w:sz w:val="22"/>
                <w:szCs w:val="22"/>
                <w:rFonts w:ascii="Times New Roman" w:cs="Times New Roman" w:eastAsia="Times New Roman" w:hAnsi="Times New Roman"/>
              </w:rPr>
              <w:t xml:space="preserve">Comment 2.2</w:t>
            </w:r>
            <w:r>
              <w:rPr>
                <w:sz w:val="22"/>
                <w:szCs w:val="22"/>
                <w:rFonts w:ascii="Times New Roman" w:cs="Times New Roman" w:eastAsia="Times New Roman" w:hAnsi="Times New Roman"/>
              </w:rPr>
              <w:t xml:space="preserve"> — Add baselines/ablations (ball tracker, keypoint model, with/without RANSAC).</w:t>
            </w:r>
          </w:p>
        </w:tc>
      </w:tr>
      <w:tr>
        <w:tc>
          <w:tcPr>
            <w:tcW w:type="dxa" w:w="93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before="0"/>
              <w:jc w:val="both"/>
            </w:pPr>
            <w:r>
              <w:rPr>
                <w:b/>
                <w:bCs/>
                <w:sz w:val="22"/>
                <w:szCs w:val="22"/>
                <w:rFonts w:ascii="Times New Roman" w:cs="Times New Roman" w:eastAsia="Times New Roman" w:hAnsi="Times New Roman"/>
              </w:rPr>
              <w:t xml:space="preserve">Response.</w:t>
            </w:r>
            <w:r>
              <w:rPr>
                <w:sz w:val="22"/>
                <w:szCs w:val="22"/>
                <w:rFonts w:ascii="Times New Roman" w:cs="Times New Roman" w:eastAsia="Times New Roman" w:hAnsi="Times New Roman"/>
              </w:rPr>
              <w:t xml:space="preserve"> The named components do not exist in our system; we added the corresponding baselines and ablations for the components it does have. For the vision pipeline: detector variants with and without upscaling and histogram equalization (Table VI), and tracker variants without the low-confidence matching stage, without the motion model, and with immediate confirmation (Table VII). For the controller: four re-implemented control strategies and a ten-variant ablation (Comment 1.2).</w:t>
            </w:r>
          </w:p>
          <w:p>
            <w:pPr>
              <w:pStyle w:val="ListParagraph"/>
              <w:numPr>
                <w:ilvl w:val="0"/>
                <w:numId w:val="1"/>
              </w:numPr>
              <w:spacing w:after="40"/>
            </w:pPr>
            <w:r>
              <w:rPr>
                <w:sz w:val="22"/>
                <w:szCs w:val="22"/>
                <w:rFonts w:ascii="Times New Roman" w:cs="Times New Roman" w:eastAsia="Times New Roman" w:hAnsi="Times New Roman"/>
              </w:rPr>
              <w:t xml:space="preserve">Sec. IV-F, Tables VI–VII (vision ablations).</w:t>
            </w:r>
          </w:p>
          <w:p>
            <w:pPr>
              <w:pStyle w:val="ListParagraph"/>
              <w:numPr>
                <w:ilvl w:val="0"/>
                <w:numId w:val="1"/>
              </w:numPr>
              <w:spacing w:after="40"/>
            </w:pPr>
            <w:r>
              <w:rPr>
                <w:sz w:val="22"/>
                <w:szCs w:val="22"/>
                <w:rFonts w:ascii="Times New Roman" w:cs="Times New Roman" w:eastAsia="Times New Roman" w:hAnsi="Times New Roman"/>
              </w:rPr>
              <w:t xml:space="preserve">Sec. III-E, IV-B, IV-C, IV-E, Tables II–V (controller baselines and ablation).</w:t>
            </w:r>
          </w:p>
          <w:p>
            <w:pPr>
              <w:spacing w:after="0" w:before="60"/>
              <w:jc w:val="both"/>
            </w:pPr>
            <w:r>
              <w:rPr>
                <w:b/>
                <w:bCs/>
                <w:sz w:val="22"/>
                <w:szCs w:val="22"/>
                <w:rFonts w:ascii="Times New Roman" w:cs="Times New Roman" w:eastAsia="Times New Roman" w:hAnsi="Times New Roman"/>
              </w:rPr>
              <w:t xml:space="preserve">Status:</w:t>
            </w:r>
            <w:r>
              <w:rPr>
                <w:sz w:val="22"/>
                <w:szCs w:val="22"/>
                <w:rFonts w:ascii="Times New Roman" w:cs="Times New Roman" w:eastAsia="Times New Roman" w:hAnsi="Times New Roman"/>
              </w:rPr>
              <w:t xml:space="preserve"> Addressed in the form that applies to this system.</w:t>
            </w:r>
          </w:p>
        </w:tc>
      </w:tr>
    </w:tbl>
    <w:p>
      <w:pPr>
        <w:spacing w:after="160" w:before="0"/>
        <w:jc w:val="both"/>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EDEDED" w:color="auto" w:val="clear"/>
            <w:tcMar>
              <w:top w:type="dxa" w:w="80"/>
              <w:left w:type="dxa" w:w="120"/>
              <w:bottom w:type="dxa" w:w="80"/>
              <w:right w:type="dxa" w:w="120"/>
            </w:tcMar>
          </w:tcPr>
          <w:p>
            <w:pPr>
              <w:spacing w:after="0" w:before="0"/>
              <w:jc w:val="both"/>
            </w:pPr>
            <w:r>
              <w:rPr>
                <w:b/>
                <w:bCs/>
                <w:sz w:val="22"/>
                <w:szCs w:val="22"/>
                <w:rFonts w:ascii="Times New Roman" w:cs="Times New Roman" w:eastAsia="Times New Roman" w:hAnsi="Times New Roman"/>
              </w:rPr>
              <w:t xml:space="preserve">Comment 2.3</w:t>
            </w:r>
            <w:r>
              <w:rPr>
                <w:sz w:val="22"/>
                <w:szCs w:val="22"/>
                <w:rFonts w:ascii="Times New Roman" w:cs="Times New Roman" w:eastAsia="Times New Roman" w:hAnsi="Times New Roman"/>
              </w:rPr>
              <w:t xml:space="preserve"> — Clarify dataset splits, annotation protocol and failure cases.</w:t>
            </w:r>
          </w:p>
        </w:tc>
      </w:tr>
      <w:tr>
        <w:tc>
          <w:tcPr>
            <w:tcW w:type="dxa" w:w="93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before="0"/>
              <w:jc w:val="both"/>
            </w:pPr>
            <w:r>
              <w:rPr>
                <w:b/>
                <w:bCs/>
                <w:sz w:val="22"/>
                <w:szCs w:val="22"/>
                <w:rFonts w:ascii="Times New Roman" w:cs="Times New Roman" w:eastAsia="Times New Roman" w:hAnsi="Times New Roman"/>
              </w:rPr>
              <w:t xml:space="preserve">Response.</w:t>
            </w:r>
            <w:r>
              <w:rPr>
                <w:sz w:val="22"/>
                <w:szCs w:val="22"/>
                <w:rFonts w:ascii="Times New Roman" w:cs="Times New Roman" w:eastAsia="Times New Roman" w:hAnsi="Times New Roman"/>
              </w:rPr>
              <w:t xml:space="preserve"> Sec. III-G now has a data and annotation protocol. No real images or manual labels are used: frames are rendered from the simulator state and every ground-truth box comes from the same state, so labels are exact by construction. Nothing is trained (the cascade is pre-trained and the controller is rule-based), so there is no training split; detector and tracker parameters were fixed during development, the discharge-hold zone was chosen on a separate tuning seed (1000), capacity was measured on seeds 101–105, and all reported results use seeds 1–10 (vision: 1–4). Failure cases are quantified in Sec. IV-F: 98.6% of false positives recur at fixed background locations, and recall depends strongly on vehicle class and distance (overall recall 8.2%).</w:t>
            </w:r>
          </w:p>
          <w:p>
            <w:pPr>
              <w:pStyle w:val="ListParagraph"/>
              <w:numPr>
                <w:ilvl w:val="0"/>
                <w:numId w:val="1"/>
              </w:numPr>
              <w:spacing w:after="40"/>
            </w:pPr>
            <w:r>
              <w:rPr>
                <w:sz w:val="22"/>
                <w:szCs w:val="22"/>
                <w:rFonts w:ascii="Times New Roman" w:cs="Times New Roman" w:eastAsia="Times New Roman" w:hAnsi="Times New Roman"/>
              </w:rPr>
              <w:t xml:space="preserve">Sec. III-G: data and annotation protocol.</w:t>
            </w:r>
          </w:p>
          <w:p>
            <w:pPr>
              <w:pStyle w:val="ListParagraph"/>
              <w:numPr>
                <w:ilvl w:val="0"/>
                <w:numId w:val="1"/>
              </w:numPr>
              <w:spacing w:after="40"/>
            </w:pPr>
            <w:r>
              <w:rPr>
                <w:sz w:val="22"/>
                <w:szCs w:val="22"/>
                <w:rFonts w:ascii="Times New Roman" w:cs="Times New Roman" w:eastAsia="Times New Roman" w:hAnsi="Times New Roman"/>
              </w:rPr>
              <w:t xml:space="preserve">Sec. IV-A: seed splits.</w:t>
            </w:r>
          </w:p>
          <w:p>
            <w:pPr>
              <w:pStyle w:val="ListParagraph"/>
              <w:numPr>
                <w:ilvl w:val="0"/>
                <w:numId w:val="1"/>
              </w:numPr>
              <w:spacing w:after="40"/>
            </w:pPr>
            <w:r>
              <w:rPr>
                <w:sz w:val="22"/>
                <w:szCs w:val="22"/>
                <w:rFonts w:ascii="Times New Roman" w:cs="Times New Roman" w:eastAsia="Times New Roman" w:hAnsi="Times New Roman"/>
              </w:rPr>
              <w:t xml:space="preserve">Sec. IV-F: failure cases by type, class and distance.</w:t>
            </w:r>
          </w:p>
          <w:p>
            <w:pPr>
              <w:spacing w:after="0" w:before="60"/>
              <w:jc w:val="both"/>
            </w:pPr>
            <w:r>
              <w:rPr>
                <w:b/>
                <w:bCs/>
                <w:sz w:val="22"/>
                <w:szCs w:val="22"/>
                <w:rFonts w:ascii="Times New Roman" w:cs="Times New Roman" w:eastAsia="Times New Roman" w:hAnsi="Times New Roman"/>
              </w:rPr>
              <w:t xml:space="preserve">Status:</w:t>
            </w:r>
            <w:r>
              <w:rPr>
                <w:sz w:val="22"/>
                <w:szCs w:val="22"/>
                <w:rFonts w:ascii="Times New Roman" w:cs="Times New Roman" w:eastAsia="Times New Roman" w:hAnsi="Times New Roman"/>
              </w:rPr>
              <w:t xml:space="preserve"> Addressed.</w:t>
            </w:r>
          </w:p>
        </w:tc>
      </w:tr>
    </w:tbl>
    <w:p>
      <w:pPr>
        <w:spacing w:after="160" w:before="0"/>
        <w:jc w:val="both"/>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EDEDED" w:color="auto" w:val="clear"/>
            <w:tcMar>
              <w:top w:type="dxa" w:w="80"/>
              <w:left w:type="dxa" w:w="120"/>
              <w:bottom w:type="dxa" w:w="80"/>
              <w:right w:type="dxa" w:w="120"/>
            </w:tcMar>
          </w:tcPr>
          <w:p>
            <w:pPr>
              <w:spacing w:after="0" w:before="0"/>
              <w:jc w:val="both"/>
            </w:pPr>
            <w:r>
              <w:rPr>
                <w:b/>
                <w:bCs/>
                <w:sz w:val="22"/>
                <w:szCs w:val="22"/>
                <w:rFonts w:ascii="Times New Roman" w:cs="Times New Roman" w:eastAsia="Times New Roman" w:hAnsi="Times New Roman"/>
              </w:rPr>
              <w:t xml:space="preserve">Comment 2.4</w:t>
            </w:r>
            <w:r>
              <w:rPr>
                <w:sz w:val="22"/>
                <w:szCs w:val="22"/>
                <w:rFonts w:ascii="Times New Roman" w:cs="Times New Roman" w:eastAsia="Times New Roman" w:hAnsi="Times New Roman"/>
              </w:rPr>
              <w:t xml:space="preserve"> — Major English/formatting edit; tone down unsupported accuracy claims.</w:t>
            </w:r>
          </w:p>
        </w:tc>
      </w:tr>
      <w:tr>
        <w:tc>
          <w:tcPr>
            <w:tcW w:type="dxa" w:w="93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before="0"/>
              <w:jc w:val="both"/>
            </w:pPr>
            <w:r>
              <w:rPr>
                <w:b/>
                <w:bCs/>
                <w:sz w:val="22"/>
                <w:szCs w:val="22"/>
                <w:rFonts w:ascii="Times New Roman" w:cs="Times New Roman" w:eastAsia="Times New Roman" w:hAnsi="Times New Roman"/>
              </w:rPr>
              <w:t xml:space="preserve">Response.</w:t>
            </w:r>
            <w:r>
              <w:rPr>
                <w:sz w:val="22"/>
                <w:szCs w:val="22"/>
                <w:rFonts w:ascii="Times New Roman" w:cs="Times New Roman" w:eastAsia="Times New Roman" w:hAnsi="Times New Roman"/>
              </w:rPr>
              <w:t xml:space="preserve"> The manuscript was edited throughout. Claims were qualified where the new evidence requires it: the gain below capacity is reported against stronger baselines, not only the fixed plan; the conclusion about class weights was corrected; the arrival model was described correctly; the simulator's kinematics are validated and their remaining gap is stated; and all hardware values remain marked as estimates.</w:t>
            </w:r>
          </w:p>
          <w:p>
            <w:pPr>
              <w:pStyle w:val="ListParagraph"/>
              <w:numPr>
                <w:ilvl w:val="0"/>
                <w:numId w:val="1"/>
              </w:numPr>
              <w:spacing w:after="40"/>
            </w:pPr>
            <w:r>
              <w:rPr>
                <w:sz w:val="22"/>
                <w:szCs w:val="22"/>
                <w:rFonts w:ascii="Times New Roman" w:cs="Times New Roman" w:eastAsia="Times New Roman" w:hAnsi="Times New Roman"/>
              </w:rPr>
              <w:t xml:space="preserve">Abstract, Sec. III-B, IV-B, IV-G, V, VI.</w:t>
            </w:r>
          </w:p>
          <w:p>
            <w:pPr>
              <w:spacing w:after="0" w:before="60"/>
              <w:jc w:val="both"/>
            </w:pPr>
            <w:r>
              <w:rPr>
                <w:b/>
                <w:bCs/>
                <w:sz w:val="22"/>
                <w:szCs w:val="22"/>
                <w:rFonts w:ascii="Times New Roman" w:cs="Times New Roman" w:eastAsia="Times New Roman" w:hAnsi="Times New Roman"/>
              </w:rPr>
              <w:t xml:space="preserve">Status:</w:t>
            </w:r>
            <w:r>
              <w:rPr>
                <w:sz w:val="22"/>
                <w:szCs w:val="22"/>
                <w:rFonts w:ascii="Times New Roman" w:cs="Times New Roman" w:eastAsia="Times New Roman" w:hAnsi="Times New Roman"/>
              </w:rPr>
              <w:t xml:space="preserve"> Addressed.</w:t>
            </w:r>
          </w:p>
        </w:tc>
      </w:tr>
    </w:tbl>
    <w:p>
      <w:pPr>
        <w:spacing w:after="160" w:before="0"/>
        <w:jc w:val="both"/>
      </w:pPr>
    </w:p>
    <w:p>
      <w:pPr>
        <w:keepNext/>
        <w:spacing w:before="240" w:after="120"/>
      </w:pPr>
      <w:r>
        <w:rPr>
          <w:b/>
          <w:bCs/>
          <w:sz w:val="26"/>
          <w:szCs w:val="26"/>
          <w:rFonts w:ascii="Times New Roman" w:cs="Times New Roman" w:eastAsia="Times New Roman" w:hAnsi="Times New Roman"/>
        </w:rPr>
        <w:t xml:space="preserve">Conference-system reviews (CMT Reviewer #1 and Reviewer #2)</w:t>
      </w:r>
    </w:p>
    <w:p>
      <w:pPr>
        <w:spacing w:after="120" w:before="0"/>
        <w:jc w:val="both"/>
      </w:pPr>
      <w:r>
        <w:rPr>
          <w:sz w:val="22"/>
          <w:szCs w:val="22"/>
          <w:rFonts w:ascii="Times New Roman" w:cs="Times New Roman" w:eastAsia="Times New Roman" w:hAnsi="Times New Roman"/>
        </w:rPr>
        <w:t xml:space="preserve">The reviews received through the conference system overlap with the e-mailed comments above; each is answered here with its own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EDEDED" w:color="auto" w:val="clear"/>
            <w:tcMar>
              <w:top w:type="dxa" w:w="80"/>
              <w:left w:type="dxa" w:w="120"/>
              <w:bottom w:type="dxa" w:w="80"/>
              <w:right w:type="dxa" w:w="120"/>
            </w:tcMar>
          </w:tcPr>
          <w:p>
            <w:pPr>
              <w:spacing w:after="0" w:before="0"/>
              <w:jc w:val="both"/>
            </w:pPr>
            <w:r>
              <w:rPr>
                <w:b/>
                <w:bCs/>
                <w:sz w:val="22"/>
                <w:szCs w:val="22"/>
                <w:rFonts w:ascii="Times New Roman" w:cs="Times New Roman" w:eastAsia="Times New Roman" w:hAnsi="Times New Roman"/>
              </w:rPr>
              <w:t xml:space="preserve">CMT Reviewer #1 (1)</w:t>
            </w:r>
            <w:r>
              <w:rPr>
                <w:sz w:val="22"/>
                <w:szCs w:val="22"/>
                <w:rFonts w:ascii="Times New Roman" w:cs="Times New Roman" w:eastAsia="Times New Roman" w:hAnsi="Times New Roman"/>
              </w:rPr>
              <w:t xml:space="preserve"> — Compare with stronger baselines such as optimized fixed-time and max-pressure control.</w:t>
            </w:r>
          </w:p>
        </w:tc>
      </w:tr>
      <w:tr>
        <w:tc>
          <w:tcPr>
            <w:tcW w:type="dxa" w:w="93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before="0"/>
              <w:jc w:val="both"/>
            </w:pPr>
            <w:r>
              <w:rPr>
                <w:b/>
                <w:bCs/>
                <w:sz w:val="22"/>
                <w:szCs w:val="22"/>
                <w:rFonts w:ascii="Times New Roman" w:cs="Times New Roman" w:eastAsia="Times New Roman" w:hAnsi="Times New Roman"/>
              </w:rPr>
              <w:t xml:space="preserve">Response.</w:t>
            </w:r>
            <w:r>
              <w:rPr>
                <w:sz w:val="22"/>
                <w:szCs w:val="22"/>
                <w:rFonts w:ascii="Times New Roman" w:cs="Times New Roman" w:eastAsia="Times New Roman" w:hAnsi="Times New Roman"/>
              </w:rPr>
              <w:t xml:space="preserve"> Done together with Comment 1.2 above (Webster-optimized fixed plan, max-pressure, actuated and three-level density control).</w:t>
            </w:r>
          </w:p>
          <w:p>
            <w:pPr>
              <w:pStyle w:val="ListParagraph"/>
              <w:numPr>
                <w:ilvl w:val="0"/>
                <w:numId w:val="1"/>
              </w:numPr>
              <w:spacing w:after="40"/>
            </w:pPr>
            <w:r>
              <w:rPr>
                <w:sz w:val="22"/>
                <w:szCs w:val="22"/>
                <w:rFonts w:ascii="Times New Roman" w:cs="Times New Roman" w:eastAsia="Times New Roman" w:hAnsi="Times New Roman"/>
              </w:rPr>
              <w:t xml:space="preserve">Sec. III-E, IV-B, IV-C; Tables II–IV; Fig. 4.</w:t>
            </w:r>
          </w:p>
          <w:p>
            <w:pPr>
              <w:spacing w:after="0" w:before="60"/>
              <w:jc w:val="both"/>
            </w:pPr>
            <w:r>
              <w:rPr>
                <w:b/>
                <w:bCs/>
                <w:sz w:val="22"/>
                <w:szCs w:val="22"/>
                <w:rFonts w:ascii="Times New Roman" w:cs="Times New Roman" w:eastAsia="Times New Roman" w:hAnsi="Times New Roman"/>
              </w:rPr>
              <w:t xml:space="preserve">Status:</w:t>
            </w:r>
            <w:r>
              <w:rPr>
                <w:sz w:val="22"/>
                <w:szCs w:val="22"/>
                <w:rFonts w:ascii="Times New Roman" w:cs="Times New Roman" w:eastAsia="Times New Roman" w:hAnsi="Times New Roman"/>
              </w:rPr>
              <w:t xml:space="preserve"> Addressed.</w:t>
            </w:r>
          </w:p>
        </w:tc>
      </w:tr>
    </w:tbl>
    <w:p>
      <w:pPr>
        <w:spacing w:after="160" w:before="0"/>
        <w:jc w:val="both"/>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EDEDED" w:color="auto" w:val="clear"/>
            <w:tcMar>
              <w:top w:type="dxa" w:w="80"/>
              <w:left w:type="dxa" w:w="120"/>
              <w:bottom w:type="dxa" w:w="80"/>
              <w:right w:type="dxa" w:w="120"/>
            </w:tcMar>
          </w:tcPr>
          <w:p>
            <w:pPr>
              <w:spacing w:after="0" w:before="0"/>
              <w:jc w:val="both"/>
            </w:pPr>
            <w:r>
              <w:rPr>
                <w:b/>
                <w:bCs/>
                <w:sz w:val="22"/>
                <w:szCs w:val="22"/>
                <w:rFonts w:ascii="Times New Roman" w:cs="Times New Roman" w:eastAsia="Times New Roman" w:hAnsi="Times New Roman"/>
              </w:rPr>
              <w:t xml:space="preserve">CMT Reviewer #1 (2)</w:t>
            </w:r>
            <w:r>
              <w:rPr>
                <w:sz w:val="22"/>
                <w:szCs w:val="22"/>
                <w:rFonts w:ascii="Times New Roman" w:cs="Times New Roman" w:eastAsia="Times New Roman" w:hAnsi="Times New Roman"/>
              </w:rPr>
              <w:t xml:space="preserve"> — Clarify the limited AI/ML contribution.</w:t>
            </w:r>
          </w:p>
        </w:tc>
      </w:tr>
      <w:tr>
        <w:tc>
          <w:tcPr>
            <w:tcW w:type="dxa" w:w="93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before="0"/>
              <w:jc w:val="both"/>
            </w:pPr>
            <w:r>
              <w:rPr>
                <w:b/>
                <w:bCs/>
                <w:sz w:val="22"/>
                <w:szCs w:val="22"/>
                <w:rFonts w:ascii="Times New Roman" w:cs="Times New Roman" w:eastAsia="Times New Roman" w:hAnsi="Times New Roman"/>
              </w:rPr>
              <w:t xml:space="preserve">Response.</w:t>
            </w:r>
            <w:r>
              <w:rPr>
                <w:sz w:val="22"/>
                <w:szCs w:val="22"/>
                <w:rFonts w:ascii="Times New Roman" w:cs="Times New Roman" w:eastAsia="Times New Roman" w:hAnsi="Times New Roman"/>
              </w:rPr>
              <w:t xml:space="preserve"> The Introduction now states the role of AI and machine learning plainly: the signal controller is a transparent rule, not a learned policy; machine learning enters through the pre-trained Haar-cascade detector, whose accuracy, failure cases and ablations are measured (Sec. IV-F), and through a new data-driven calibration of the controller's parameters by search on tuning seeds with evaluation on held-out seeds (Sec. IV-I). We chose to report this honestly rather than add a learned controller whose behavior could not be bounded the way rule (5) can.</w:t>
            </w:r>
          </w:p>
          <w:p>
            <w:pPr>
              <w:pStyle w:val="ListParagraph"/>
              <w:numPr>
                <w:ilvl w:val="0"/>
                <w:numId w:val="1"/>
              </w:numPr>
              <w:spacing w:after="40"/>
            </w:pPr>
            <w:r>
              <w:rPr>
                <w:sz w:val="22"/>
                <w:szCs w:val="22"/>
                <w:rFonts w:ascii="Times New Roman" w:cs="Times New Roman" w:eastAsia="Times New Roman" w:hAnsi="Times New Roman"/>
              </w:rPr>
              <w:t xml:space="preserve">Sec. I (novelty paragraph and contributions).</w:t>
            </w:r>
          </w:p>
          <w:p>
            <w:pPr>
              <w:pStyle w:val="ListParagraph"/>
              <w:numPr>
                <w:ilvl w:val="0"/>
                <w:numId w:val="1"/>
              </w:numPr>
              <w:spacing w:after="40"/>
            </w:pPr>
            <w:r>
              <w:rPr>
                <w:sz w:val="22"/>
                <w:szCs w:val="22"/>
                <w:rFonts w:ascii="Times New Roman" w:cs="Times New Roman" w:eastAsia="Times New Roman" w:hAnsi="Times New Roman"/>
              </w:rPr>
              <w:t xml:space="preserve">Sec. IV-F (vision evaluation), Sec. IV-I (data-driven calibration).</w:t>
            </w:r>
          </w:p>
          <w:p>
            <w:pPr>
              <w:spacing w:after="0" w:before="60"/>
              <w:jc w:val="both"/>
            </w:pPr>
            <w:r>
              <w:rPr>
                <w:b/>
                <w:bCs/>
                <w:sz w:val="22"/>
                <w:szCs w:val="22"/>
                <w:rFonts w:ascii="Times New Roman" w:cs="Times New Roman" w:eastAsia="Times New Roman" w:hAnsi="Times New Roman"/>
              </w:rPr>
              <w:t xml:space="preserve">Status:</w:t>
            </w:r>
            <w:r>
              <w:rPr>
                <w:sz w:val="22"/>
                <w:szCs w:val="22"/>
                <w:rFonts w:ascii="Times New Roman" w:cs="Times New Roman" w:eastAsia="Times New Roman" w:hAnsi="Times New Roman"/>
              </w:rPr>
              <w:t xml:space="preserve"> Addressed by clarification and the calibration; no learned control policy was added.</w:t>
            </w:r>
          </w:p>
        </w:tc>
      </w:tr>
    </w:tbl>
    <w:p>
      <w:pPr>
        <w:spacing w:after="160" w:before="0"/>
        <w:jc w:val="both"/>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EDEDED" w:color="auto" w:val="clear"/>
            <w:tcMar>
              <w:top w:type="dxa" w:w="80"/>
              <w:left w:type="dxa" w:w="120"/>
              <w:bottom w:type="dxa" w:w="80"/>
              <w:right w:type="dxa" w:w="120"/>
            </w:tcMar>
          </w:tcPr>
          <w:p>
            <w:pPr>
              <w:spacing w:after="0" w:before="0"/>
              <w:jc w:val="both"/>
            </w:pPr>
            <w:r>
              <w:rPr>
                <w:b/>
                <w:bCs/>
                <w:sz w:val="22"/>
                <w:szCs w:val="22"/>
                <w:rFonts w:ascii="Times New Roman" w:cs="Times New Roman" w:eastAsia="Times New Roman" w:hAnsi="Times New Roman"/>
              </w:rPr>
              <w:t xml:space="preserve">CMT Reviewer #1 (3)</w:t>
            </w:r>
            <w:r>
              <w:rPr>
                <w:sz w:val="22"/>
                <w:szCs w:val="22"/>
                <w:rFonts w:ascii="Times New Roman" w:cs="Times New Roman" w:eastAsia="Times New Roman" w:hAnsi="Times New Roman"/>
              </w:rPr>
              <w:t xml:space="preserve"> — Address the gap between ideal simulator sensing and the low-performing vision pipeline.</w:t>
            </w:r>
          </w:p>
        </w:tc>
      </w:tr>
      <w:tr>
        <w:tc>
          <w:tcPr>
            <w:tcW w:type="dxa" w:w="93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before="0"/>
              <w:jc w:val="both"/>
            </w:pPr>
            <w:r>
              <w:rPr>
                <w:b/>
                <w:bCs/>
                <w:sz w:val="22"/>
                <w:szCs w:val="22"/>
                <w:rFonts w:ascii="Times New Roman" w:cs="Times New Roman" w:eastAsia="Times New Roman" w:hAnsi="Times New Roman"/>
              </w:rPr>
              <w:t xml:space="preserve">Response.</w:t>
            </w:r>
            <w:r>
              <w:rPr>
                <w:sz w:val="22"/>
                <w:szCs w:val="22"/>
                <w:rFonts w:ascii="Times New Roman" w:cs="Times New Roman" w:eastAsia="Times New Roman" w:hAnsi="Times New Roman"/>
              </w:rPr>
              <w:t xml:space="preserve"> We added an experiment in which the controllers see the junction through a sensor model instead of exact states: a camera's 60 m view refreshed at 2 Hz without vehicle classes, recall from 100% down to 30%, phantom detections at fixed spots, and finally the measured Haar pipeline. Near capacity the discharge-hold controller's delay rose from 7.8 s (exact states) to 8.5 s with a perfect camera view and 14.4 s at 50% recall (fixed plan 8.8 s); phantom detections near the stop line kept greens at the maximum, and with the measured pipeline delay was 11.9 s at medium demand against 7.2 s for the fixed plan. The paper now states the detector quality needed before the loop can be closed.</w:t>
            </w:r>
          </w:p>
          <w:p>
            <w:pPr>
              <w:pStyle w:val="ListParagraph"/>
              <w:numPr>
                <w:ilvl w:val="0"/>
                <w:numId w:val="1"/>
              </w:numPr>
              <w:spacing w:after="40"/>
            </w:pPr>
            <w:r>
              <w:rPr>
                <w:sz w:val="22"/>
                <w:szCs w:val="22"/>
                <w:rFonts w:ascii="Times New Roman" w:cs="Times New Roman" w:eastAsia="Times New Roman" w:hAnsi="Times New Roman"/>
              </w:rPr>
              <w:t xml:space="preserve">Sec. IV-H (new), Table IX.</w:t>
            </w:r>
          </w:p>
          <w:p>
            <w:pPr>
              <w:pStyle w:val="ListParagraph"/>
              <w:numPr>
                <w:ilvl w:val="0"/>
                <w:numId w:val="1"/>
              </w:numPr>
              <w:spacing w:after="40"/>
            </w:pPr>
            <w:r>
              <w:rPr>
                <w:sz w:val="22"/>
                <w:szCs w:val="22"/>
                <w:rFonts w:ascii="Times New Roman" w:cs="Times New Roman" w:eastAsia="Times New Roman" w:hAnsi="Times New Roman"/>
              </w:rPr>
              <w:t xml:space="preserve">Sec. V: sensing limitation rewritten with these results.</w:t>
            </w:r>
          </w:p>
          <w:p>
            <w:pPr>
              <w:spacing w:after="0" w:before="60"/>
              <w:jc w:val="both"/>
            </w:pPr>
            <w:r>
              <w:rPr>
                <w:b/>
                <w:bCs/>
                <w:sz w:val="22"/>
                <w:szCs w:val="22"/>
                <w:rFonts w:ascii="Times New Roman" w:cs="Times New Roman" w:eastAsia="Times New Roman" w:hAnsi="Times New Roman"/>
              </w:rPr>
              <w:t xml:space="preserve">Status:</w:t>
            </w:r>
            <w:r>
              <w:rPr>
                <w:sz w:val="22"/>
                <w:szCs w:val="22"/>
                <w:rFonts w:ascii="Times New Roman" w:cs="Times New Roman" w:eastAsia="Times New Roman" w:hAnsi="Times New Roman"/>
              </w:rPr>
              <w:t xml:space="preserve"> Addressed.</w:t>
            </w:r>
          </w:p>
        </w:tc>
      </w:tr>
    </w:tbl>
    <w:p>
      <w:pPr>
        <w:spacing w:after="160" w:before="0"/>
        <w:jc w:val="both"/>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EDEDED" w:color="auto" w:val="clear"/>
            <w:tcMar>
              <w:top w:type="dxa" w:w="80"/>
              <w:left w:type="dxa" w:w="120"/>
              <w:bottom w:type="dxa" w:w="80"/>
              <w:right w:type="dxa" w:w="120"/>
            </w:tcMar>
          </w:tcPr>
          <w:p>
            <w:pPr>
              <w:spacing w:after="0" w:before="0"/>
              <w:jc w:val="both"/>
            </w:pPr>
            <w:r>
              <w:rPr>
                <w:b/>
                <w:bCs/>
                <w:sz w:val="22"/>
                <w:szCs w:val="22"/>
                <w:rFonts w:ascii="Times New Roman" w:cs="Times New Roman" w:eastAsia="Times New Roman" w:hAnsi="Times New Roman"/>
              </w:rPr>
              <w:t xml:space="preserve">CMT Reviewer #1 (4) and Reviewer #2</w:t>
            </w:r>
            <w:r>
              <w:rPr>
                <w:sz w:val="22"/>
                <w:szCs w:val="22"/>
                <w:rFonts w:ascii="Times New Roman" w:cs="Times New Roman" w:eastAsia="Times New Roman" w:hAnsi="Times New Roman"/>
              </w:rPr>
              <w:t xml:space="preserve"> — The tested demand levels are below capacity; throughput changes are very small and conclusions about congestion management are limited. Conduct experiments above capacity, including queue growth, spillback, throughput and delay.</w:t>
            </w:r>
          </w:p>
        </w:tc>
      </w:tr>
      <w:tr>
        <w:tc>
          <w:tcPr>
            <w:tcW w:type="dxa" w:w="93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before="0"/>
              <w:jc w:val="both"/>
            </w:pPr>
            <w:r>
              <w:rPr>
                <w:b/>
                <w:bCs/>
                <w:sz w:val="22"/>
                <w:szCs w:val="22"/>
                <w:rFonts w:ascii="Times New Roman" w:cs="Times New Roman" w:eastAsia="Times New Roman" w:hAnsi="Times New Roman"/>
              </w:rPr>
              <w:t xml:space="preserve">Response.</w:t>
            </w:r>
            <w:r>
              <w:rPr>
                <w:sz w:val="22"/>
                <w:szCs w:val="22"/>
                <w:rFonts w:ascii="Times New Roman" w:cs="Times New Roman" w:eastAsia="Times New Roman" w:hAnsi="Times New Roman"/>
              </w:rPr>
              <w:t xml:space="preserve"> We agree: the original three levels were only 12–26% of capacity, which is why throughput could not differ. The revision adds three experiments. (a) Capacity: every controller's capacity was measured by flooding all approaches (Table III). (b) A steady sweep from 0.6 to 1.5 times the fixed-time capacity, ten paired seeds per level, with blocked arrivals kept in an entry queue so that unserved demand is measured; we report throughput, served share, delay including vehicles still waiting, queue growth rate, final queue and spillback (Table IV, Fig. 4). (c) A 60-minute peak period in which demand rises to 1.2 times capacity and falls back, reporting the queue over time, the peak queue, the time to clear the queue after the peak, spillback duration, peak throughput and total delay (Fig. 5). In the peak period the queue reached 495 vehicles under fixed timing and 255 with the discharge hold; fixed timing cleared it 13.9 min after the peak, the hold cleared it 7.3 min after the peak, and the original density rule did not clear it within the hour. These experiments exposed a failure of the original density rule near capacity, which the new discharge-hold rule (Sec. III-D) corrects.</w:t>
            </w:r>
          </w:p>
          <w:p>
            <w:pPr>
              <w:pStyle w:val="ListParagraph"/>
              <w:numPr>
                <w:ilvl w:val="0"/>
                <w:numId w:val="1"/>
              </w:numPr>
              <w:spacing w:after="40"/>
            </w:pPr>
            <w:r>
              <w:rPr>
                <w:sz w:val="22"/>
                <w:szCs w:val="22"/>
                <w:rFonts w:ascii="Times New Roman" w:cs="Times New Roman" w:eastAsia="Times New Roman" w:hAnsi="Times New Roman"/>
              </w:rPr>
              <w:t xml:space="preserve">Sec. III-B (entry queue and entry speed for these runs), III-D (discharge hold).</w:t>
            </w:r>
          </w:p>
          <w:p>
            <w:pPr>
              <w:pStyle w:val="ListParagraph"/>
              <w:numPr>
                <w:ilvl w:val="0"/>
                <w:numId w:val="1"/>
              </w:numPr>
              <w:spacing w:after="40"/>
            </w:pPr>
            <w:r>
              <w:rPr>
                <w:sz w:val="22"/>
                <w:szCs w:val="22"/>
                <w:rFonts w:ascii="Times New Roman" w:cs="Times New Roman" w:eastAsia="Times New Roman" w:hAnsi="Times New Roman"/>
              </w:rPr>
              <w:t xml:space="preserve">Sec. IV-C: capacity (Table III), steady sweep (Table IV, Fig. 4) and peak period (Fig. 5).</w:t>
            </w:r>
          </w:p>
          <w:p>
            <w:pPr>
              <w:pStyle w:val="ListParagraph"/>
              <w:numPr>
                <w:ilvl w:val="0"/>
                <w:numId w:val="1"/>
              </w:numPr>
              <w:spacing w:after="40"/>
            </w:pPr>
            <w:r>
              <w:rPr>
                <w:sz w:val="22"/>
                <w:szCs w:val="22"/>
                <w:rFonts w:ascii="Times New Roman" w:cs="Times New Roman" w:eastAsia="Times New Roman" w:hAnsi="Times New Roman"/>
              </w:rPr>
              <w:t xml:space="preserve">Abstract, Sec. V and VI: conclusions about congestion management rewritten.</w:t>
            </w:r>
          </w:p>
          <w:p>
            <w:pPr>
              <w:spacing w:after="0" w:before="60"/>
              <w:jc w:val="both"/>
            </w:pPr>
            <w:r>
              <w:rPr>
                <w:b/>
                <w:bCs/>
                <w:sz w:val="22"/>
                <w:szCs w:val="22"/>
                <w:rFonts w:ascii="Times New Roman" w:cs="Times New Roman" w:eastAsia="Times New Roman" w:hAnsi="Times New Roman"/>
              </w:rPr>
              <w:t xml:space="preserve">Status:</w:t>
            </w:r>
            <w:r>
              <w:rPr>
                <w:sz w:val="22"/>
                <w:szCs w:val="22"/>
                <w:rFonts w:ascii="Times New Roman" w:cs="Times New Roman" w:eastAsia="Times New Roman" w:hAnsi="Times New Roman"/>
              </w:rPr>
              <w:t xml:space="preserve"> Addressed. Turning traffic and stochastic arrivals remain future work (Sec. V).</w:t>
            </w:r>
          </w:p>
        </w:tc>
      </w:tr>
    </w:tbl>
    <w:p>
      <w:pPr>
        <w:spacing w:after="160" w:before="0"/>
        <w:jc w:val="both"/>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EDEDED" w:color="auto" w:val="clear"/>
            <w:tcMar>
              <w:top w:type="dxa" w:w="80"/>
              <w:left w:type="dxa" w:w="120"/>
              <w:bottom w:type="dxa" w:w="80"/>
              <w:right w:type="dxa" w:w="120"/>
            </w:tcMar>
          </w:tcPr>
          <w:p>
            <w:pPr>
              <w:spacing w:after="0" w:before="0"/>
              <w:jc w:val="both"/>
            </w:pPr>
            <w:r>
              <w:rPr>
                <w:b/>
                <w:bCs/>
                <w:sz w:val="22"/>
                <w:szCs w:val="22"/>
                <w:rFonts w:ascii="Times New Roman" w:cs="Times New Roman" w:eastAsia="Times New Roman" w:hAnsi="Times New Roman"/>
              </w:rPr>
              <w:t xml:space="preserve">CMT Reviewer #1 (5)</w:t>
            </w:r>
            <w:r>
              <w:rPr>
                <w:sz w:val="22"/>
                <w:szCs w:val="22"/>
                <w:rFonts w:ascii="Times New Roman" w:cs="Times New Roman" w:eastAsia="Times New Roman" w:hAnsi="Times New Roman"/>
              </w:rPr>
              <w:t xml:space="preserve"> — Provide stronger validation/calibration of the heuristic density weights.</w:t>
            </w:r>
          </w:p>
        </w:tc>
      </w:tr>
      <w:tr>
        <w:tc>
          <w:tcPr>
            <w:tcW w:type="dxa" w:w="93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60" w:before="0"/>
              <w:jc w:val="both"/>
            </w:pPr>
            <w:r>
              <w:rPr>
                <w:b/>
                <w:bCs/>
                <w:sz w:val="22"/>
                <w:szCs w:val="22"/>
                <w:rFonts w:ascii="Times New Roman" w:cs="Times New Roman" w:eastAsia="Times New Roman" w:hAnsi="Times New Roman"/>
              </w:rPr>
              <w:t xml:space="preserve">Response.</w:t>
            </w:r>
            <w:r>
              <w:rPr>
                <w:sz w:val="22"/>
                <w:szCs w:val="22"/>
                <w:rFonts w:ascii="Times New Roman" w:cs="Times New Roman" w:eastAsia="Times New Roman" w:hAnsi="Times New Roman"/>
              </w:rPr>
              <w:t xml:space="preserve"> Two analyses were added. The extended ablation (Table V) measures each part of the score separately: the queued/moving distinction carries the benefit, while the hand-set class weights do not help. The weights were then calibrated from data: a random search over the class weights, the queued/moving ratio and θ on tuning seeds 1001–1002, with the best setting compared against the hand-set weights on held-out seeds 1–10. On the held-out seeds the calibrated score changed delay by −2.0% (medium, p 0.374), −4.9% (high, p 0.036), +2.2% (0.9x capacity, p 0.014) relative to the hand-set weights.</w:t>
            </w:r>
          </w:p>
          <w:p>
            <w:pPr>
              <w:pStyle w:val="ListParagraph"/>
              <w:numPr>
                <w:ilvl w:val="0"/>
                <w:numId w:val="1"/>
              </w:numPr>
              <w:spacing w:after="40"/>
            </w:pPr>
            <w:r>
              <w:rPr>
                <w:sz w:val="22"/>
                <w:szCs w:val="22"/>
                <w:rFonts w:ascii="Times New Roman" w:cs="Times New Roman" w:eastAsia="Times New Roman" w:hAnsi="Times New Roman"/>
              </w:rPr>
              <w:t xml:space="preserve">Sec. IV-E, Table V (ablation).</w:t>
            </w:r>
          </w:p>
          <w:p>
            <w:pPr>
              <w:pStyle w:val="ListParagraph"/>
              <w:numPr>
                <w:ilvl w:val="0"/>
                <w:numId w:val="1"/>
              </w:numPr>
              <w:spacing w:after="40"/>
            </w:pPr>
            <w:r>
              <w:rPr>
                <w:sz w:val="22"/>
                <w:szCs w:val="22"/>
                <w:rFonts w:ascii="Times New Roman" w:cs="Times New Roman" w:eastAsia="Times New Roman" w:hAnsi="Times New Roman"/>
              </w:rPr>
              <w:t xml:space="preserve">Sec. IV-I (new), Table X (calibration and held-out test).</w:t>
            </w:r>
          </w:p>
          <w:p>
            <w:pPr>
              <w:pStyle w:val="ListParagraph"/>
              <w:numPr>
                <w:ilvl w:val="0"/>
                <w:numId w:val="1"/>
              </w:numPr>
              <w:spacing w:after="40"/>
            </w:pPr>
            <w:r>
              <w:rPr>
                <w:sz w:val="22"/>
                <w:szCs w:val="22"/>
                <w:rFonts w:ascii="Times New Roman" w:cs="Times New Roman" w:eastAsia="Times New Roman" w:hAnsi="Times New Roman"/>
              </w:rPr>
              <w:t xml:space="preserve">Sec. V.</w:t>
            </w:r>
          </w:p>
          <w:p>
            <w:pPr>
              <w:spacing w:after="0" w:before="60"/>
              <w:jc w:val="both"/>
            </w:pPr>
            <w:r>
              <w:rPr>
                <w:b/>
                <w:bCs/>
                <w:sz w:val="22"/>
                <w:szCs w:val="22"/>
                <w:rFonts w:ascii="Times New Roman" w:cs="Times New Roman" w:eastAsia="Times New Roman" w:hAnsi="Times New Roman"/>
              </w:rPr>
              <w:t xml:space="preserve">Status:</w:t>
            </w:r>
            <w:r>
              <w:rPr>
                <w:sz w:val="22"/>
                <w:szCs w:val="22"/>
                <w:rFonts w:ascii="Times New Roman" w:cs="Times New Roman" w:eastAsia="Times New Roman" w:hAnsi="Times New Roman"/>
              </w:rPr>
              <w:t xml:space="preserve"> Addressed in simulation; calibration against field data remains future work.</w:t>
            </w:r>
          </w:p>
        </w:tc>
      </w:tr>
    </w:tbl>
    <w:p>
      <w:pPr>
        <w:spacing w:after="160" w:before="0"/>
        <w:jc w:val="both"/>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Times New Roman" w:cs="Times New Roman" w:eastAsia="Times New Roman" w:hAnsi="Times New Roman"/>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2026-10-24T17:35:01.697Z</dcterms:created>
  <dcterms:modified xsi:type="dcterms:W3CDTF">2026-10-24T17:35:01.699Z</dcterms:modified>
</cp:coreProperties>
</file>

<file path=docProps/custom.xml><?xml version="1.0" encoding="utf-8"?>
<Properties xmlns="http://schemas.openxmlformats.org/officeDocument/2006/custom-properties" xmlns:vt="http://schemas.openxmlformats.org/officeDocument/2006/docPropsVTypes"/>
</file>