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PATENT APPLICATION</w:t>
      </w:r>
    </w:p>
    <w:p>
      <w:r>
        <w:rPr>
          <w:b/>
        </w:rPr>
        <w:t xml:space="preserve">Title: </w:t>
      </w:r>
      <w:r>
        <w:t>Chinnam AAC: An Offline-First Assistive Communication and Real-Time Multilingual Translation System for Non-Verbal and Speech-Impaired Individuals</w:t>
      </w:r>
    </w:p>
    <w:p>
      <w:r>
        <w:rPr>
          <w:b/>
        </w:rPr>
        <w:t xml:space="preserve">Inventor: </w:t>
      </w:r>
    </w:p>
    <w:p>
      <w:r>
        <w:rPr>
          <w:b/>
        </w:rPr>
        <w:t xml:space="preserve">Applicant: </w:t>
      </w:r>
    </w:p>
    <w:p>
      <w:r>
        <w:rPr>
          <w:b/>
        </w:rPr>
        <w:t xml:space="preserve">Date of Application: </w:t>
      </w:r>
      <w:r>
        <w:t>31 July 2026</w:t>
      </w:r>
    </w:p>
    <w:p>
      <w:pPr>
        <w:pStyle w:val="Heading1"/>
      </w:pPr>
      <w:r>
        <w:t>Abstract</w:t>
      </w:r>
    </w:p>
    <w:p>
      <w:r>
        <w:t>This invention relates to an assistive communication and translation system designed to empower non-verbal individuals, speech-impaired children, stroke survivors, and individuals with neurodevelopmental conditions such as Autism Spectrum Disorder, Cerebral Palsy, and Aphasia. The system integrates a dynamic visual picture communication grid, an automated sentence synthesis engine, an on-device offline translation processing unit, and a caregiver data management dashboard into a single portable software platform.</w:t>
      </w:r>
    </w:p>
    <w:p>
      <w:r>
        <w:t>Existing assistive communication tools are often dependent on constant cloud connectivity, expensive monthly subscriptions, or lack localized regional language support for non-English speakers. This invention solves these limitations by combining a zero-latency Fitzgerald Key color-coded picture board, persistent local relational databases, and on-device machine learning translation. Users can select visual picture tiles to form complex sentences, which are immediately spoken aloud via speech synthesis or translated into local Indian languages without transmitting private user voice data to external servers. The system includes an accessible pinned quick-access row for emergency words, dynamic grid scaling for varying motor capabilities, and caregiver usage telemetry for therapeutic evaluation.</w:t>
      </w:r>
    </w:p>
    <w:p>
      <w:pPr>
        <w:pStyle w:val="Heading1"/>
      </w:pPr>
      <w:r>
        <w:t>Background of the Invention</w:t>
      </w:r>
    </w:p>
    <w:p>
      <w:r>
        <w:t>Communication is a fundamental human right. However, millions of children and adults worldwide live with speech and language disorders. Conditions such as cerebral palsy, autism, motor neuron disease, stroke, and traumatic brain injury often impair an individual's physical ability to articulate spoken words, even while their cognitive understanding remains intact.</w:t>
      </w:r>
    </w:p>
    <w:p>
      <w:r>
        <w:t>Existing Augmentative and Alternative Communication (AAC) solutions present several critical challenges:</w:t>
      </w:r>
    </w:p>
    <w:p>
      <w:r>
        <w:rPr>
          <w:b/>
        </w:rPr>
        <w:t xml:space="preserve">1. High Cost and Subscription Locks: </w:t>
      </w:r>
      <w:r>
        <w:t>Many commercial AAC applications require dedicated proprietary hardware or monthly cloud subscriptions, making them unaffordable for low-resource communities and families in developing regions.</w:t>
      </w:r>
    </w:p>
    <w:p>
      <w:r>
        <w:rPr>
          <w:b/>
        </w:rPr>
        <w:t xml:space="preserve">2. Cloud Dependency and Latency: </w:t>
      </w:r>
      <w:r>
        <w:t>Conventional voice translation and speech platforms rely on active internet connections. In rural areas, travel, or locations with poor network coverage, cloud-based apps stop functioning, leaving non-verbal individuals without a voice.</w:t>
      </w:r>
    </w:p>
    <w:p>
      <w:r>
        <w:rPr>
          <w:b/>
        </w:rPr>
        <w:t xml:space="preserve">3. Lack of Native Regional Language Support: </w:t>
      </w:r>
      <w:r>
        <w:t>Most global AAC tools are designed exclusively for English or major Western European languages. Non-verbal individuals living in multilingual households are unable to communicate with grandparents, family members, or peers in their local mother tongue.</w:t>
      </w:r>
    </w:p>
    <w:p>
      <w:r>
        <w:rPr>
          <w:b/>
        </w:rPr>
        <w:t xml:space="preserve">4. Privacy and Data Security Concerns: </w:t>
      </w:r>
      <w:r>
        <w:t>Transmitting private voice recordings, personal photographs, and daily family conversations to third-party cloud servers raises serious ethical and privacy concerns.</w:t>
      </w:r>
    </w:p>
    <w:p>
      <w:r>
        <w:t>This invention addresses these challenges by offering a cost-free, completely offline, privacy-focused, and multilingual AAC framework that operates reliably on standard mobile devices and tablets.</w:t>
      </w:r>
    </w:p>
    <w:p>
      <w:pPr>
        <w:pStyle w:val="Heading1"/>
      </w:pPr>
      <w:r>
        <w:t>Summary of the Invention</w:t>
      </w:r>
    </w:p>
    <w:p>
      <w:r>
        <w:t>The Chinnam AAC Assistive Communication System provides a standalone, real-time method for non-verbal individuals to express their thoughts, build sentences, and translate speech across multiple regional languages.</w:t>
      </w:r>
    </w:p>
    <w:p>
      <w:r>
        <w:rPr>
          <w:b/>
        </w:rPr>
        <w:t>Key Features and Innovations:</w:t>
      </w:r>
    </w:p>
    <w:p>
      <w:pPr>
        <w:pStyle w:val="ListBullet"/>
      </w:pPr>
      <w:r>
        <w:rPr>
          <w:b/>
        </w:rPr>
        <w:t xml:space="preserve">Fitzgerald Key Color-Coded Picture Board: </w:t>
      </w:r>
      <w:r>
        <w:t>Visual tiles are systematically organized using standardized research-backed color coding. Red represents quick social words, green denotes people, blue indicates action verbs, yellow marks feelings, purple designates question words, and pink identifies time-related terms.</w:t>
      </w:r>
    </w:p>
    <w:p>
      <w:pPr>
        <w:pStyle w:val="ListBullet"/>
      </w:pPr>
      <w:r>
        <w:rPr>
          <w:b/>
        </w:rPr>
        <w:t xml:space="preserve">On-Device Offline Neural Translation: </w:t>
      </w:r>
      <w:r>
        <w:t>The system incorporates a hybrid translation engine combining an instant pre-loaded offline translation dictionary with device-side machine learning models. This guarantees immediate translation across nine languages (English, Hindi, Tamil, Telugu, Kannada, Malayalam, Marathi, Bengali, and Gujarati) without requiring an internet connection.</w:t>
      </w:r>
    </w:p>
    <w:p>
      <w:pPr>
        <w:pStyle w:val="ListBullet"/>
      </w:pPr>
      <w:r>
        <w:rPr>
          <w:b/>
        </w:rPr>
        <w:t xml:space="preserve">Dynamic Sentence Synthesis: </w:t>
      </w:r>
      <w:r>
        <w:t>Tapped picture tiles automatically assemble into a visual sentence bar. A single tap converts the visual sequence into clear, natural-sounding audio speech using Text-to-Speech synthesis.</w:t>
      </w:r>
    </w:p>
    <w:p>
      <w:pPr>
        <w:pStyle w:val="ListBullet"/>
      </w:pPr>
      <w:r>
        <w:rPr>
          <w:b/>
        </w:rPr>
        <w:t xml:space="preserve">Pinned Frozen Row Accessibility Banner: </w:t>
      </w:r>
      <w:r>
        <w:t>A persistent top bar holds essential, high-priority communication cards (such as "Yes" and "No") fixed on screen, ensuring immediate single-tap access regardless of how deep the user navigates into sub-categories.</w:t>
      </w:r>
    </w:p>
    <w:p>
      <w:pPr>
        <w:pStyle w:val="ListBullet"/>
      </w:pPr>
      <w:r>
        <w:rPr>
          <w:b/>
        </w:rPr>
        <w:t xml:space="preserve">Caregiver Customization and Telemetry: </w:t>
      </w:r>
      <w:r>
        <w:t>Speech therapists and parents can capture real photos via device hardware to create personalized picture tiles, track card tap frequencies, view time-stamped communication logs, and export system backups via secure JSON files.</w:t>
      </w:r>
    </w:p>
    <w:p>
      <w:pPr>
        <w:pStyle w:val="Heading1"/>
      </w:pPr>
      <w:r>
        <w:t>Detailed Description of the Invention</w:t>
      </w:r>
    </w:p>
    <w:p>
      <w:pPr>
        <w:pStyle w:val="Heading2"/>
      </w:pPr>
      <w:r>
        <w:t>1. System Architecture and Component Layering</w:t>
      </w:r>
    </w:p>
    <w:p>
      <w:r>
        <w:t>The system operates as a multi-layered software architecture built on top of native mobile operating systems. It comprises five core operational modules:</w:t>
      </w:r>
    </w:p>
    <w:p>
      <w:pPr>
        <w:pStyle w:val="Heading3"/>
      </w:pPr>
      <w:r>
        <w:t>A. Presentation and User Interface Layer</w:t>
      </w:r>
    </w:p>
    <w:p>
      <w:r>
        <w:t>Constructed with a hardware-accelerated cross-platform UI framework operating at 60 frames per second. It provides responsive visual layouts that adapt dynamically to varying screen sizes, from handheld smartphones to large therapy tablets. It includes visual scaling engines for text and icons, light and dark visual themes, and an ultra-high-contrast mode designed for visual impairments.</w:t>
      </w:r>
    </w:p>
    <w:p>
      <w:pPr>
        <w:pStyle w:val="Heading3"/>
      </w:pPr>
      <w:r>
        <w:t>B. Reactive State Management Controller</w:t>
      </w:r>
    </w:p>
    <w:p>
      <w:r>
        <w:t>Manages operational application states using a decoupled provider pattern. When a user taps a picture tile, the state controller simultaneously updates the visual sentence bar, increments usage analytics in memory, and triggers the audio synthesis dispatcher without introducing screen latency.</w:t>
      </w:r>
    </w:p>
    <w:p>
      <w:pPr>
        <w:pStyle w:val="Heading3"/>
      </w:pPr>
      <w:r>
        <w:t>C. Local Data Persistence Layer</w:t>
      </w:r>
    </w:p>
    <w:p>
      <w:r>
        <w:t>Employs an embedded SQLite relational database combined with a persistent key-value configuration cache. The database stores custom vocabulary records, category hierarchies, tap counts, and date-stamped session logs locally. This architecture ensures that user configurations and vocabulary updates persist across device reboots without relying on remote servers.</w:t>
      </w:r>
    </w:p>
    <w:p>
      <w:pPr>
        <w:pStyle w:val="Heading3"/>
      </w:pPr>
      <w:r>
        <w:t>D. Offline Machine Learning and Translation Engine</w:t>
      </w:r>
    </w:p>
    <w:p>
      <w:r>
        <w:t>Integrates a dual-stage translation pipeline:</w:t>
        <w:br/>
        <w:t>• Primary Stage (Instant Local Dictionary): Executes synchronous string lookup across a built-in pre-translated dictionary covering core communication vocabulary in nine languages. This yields zero-latency translation for standard AAC words.</w:t>
        <w:br/>
        <w:t>• Secondary Stage (On-Device Neural Machine Translation): For custom or complex user-entered phrases, the system routes queries through a device-side neural translation engine operating entirely within local device memory.</w:t>
      </w:r>
    </w:p>
    <w:p>
      <w:pPr>
        <w:pStyle w:val="Heading3"/>
      </w:pPr>
      <w:r>
        <w:t>E. Speech Synthesis and Voice Recognition Subsystems</w:t>
      </w:r>
    </w:p>
    <w:p>
      <w:r>
        <w:t>• Text-to-Speech (TTS) Synthesizer: Interfaces directly with native platform speech engines to synthesize spoken audio. It provides granular controls for speech rate, pitch adjustment, and accent switching.</w:t>
        <w:br/>
        <w:t>• Speech-to-Text (STT) Receiver: Captures microphone input to transcribe spoken phrases into written text, allowing caregivers to speak directly into the device for two-way communication.</w:t>
      </w:r>
    </w:p>
    <w:p>
      <w:pPr>
        <w:pStyle w:val="Heading2"/>
      </w:pPr>
      <w:r>
        <w:t>2. Functionality and System Workflow</w:t>
      </w:r>
    </w:p>
    <w:p>
      <w:pPr>
        <w:pStyle w:val="Heading3"/>
      </w:pPr>
      <w:r>
        <w:t>Mode 1: Sentence Building and Voice Output</w:t>
      </w:r>
    </w:p>
    <w:p>
      <w:r>
        <w:t>1. The user opens the primary visual board.</w:t>
      </w:r>
    </w:p>
    <w:p>
      <w:r>
        <w:t>2. The user navigates through visual categories or taps the "All" category tile to view all words.</w:t>
      </w:r>
    </w:p>
    <w:p>
      <w:r>
        <w:t>3. Tapping a picture card triggers a subtle visual animation, appends the word chip to the top sentence bar, and optionally plays the word sound if auto-speak is enabled.</w:t>
      </w:r>
    </w:p>
    <w:p>
      <w:r>
        <w:t>4. The user taps the speaker button on the sentence bar.</w:t>
      </w:r>
    </w:p>
    <w:p>
      <w:r>
        <w:t>5. The state controller compiles the ordered array of words into a full sentence string and dispatches it to the speech synthesis engine, which speaks the sentence aloud through the device speakers.</w:t>
      </w:r>
    </w:p>
    <w:p>
      <w:pPr>
        <w:pStyle w:val="Heading3"/>
      </w:pPr>
      <w:r>
        <w:t>Mode 2: Multi-Language Translation</w:t>
      </w:r>
    </w:p>
    <w:p>
      <w:r>
        <w:t>1. The user or caregiver selects a target language in the settings menu (for example, switching from English to Tamil).</w:t>
      </w:r>
    </w:p>
    <w:p>
      <w:r>
        <w:t>2. The system triggers a locale update across all active user interface controllers.</w:t>
      </w:r>
    </w:p>
    <w:p>
      <w:r>
        <w:t>3. Visual cards, group titles, sentence bar hints, and quick-access buttons update their display labels instantly using the local translation engine.</w:t>
      </w:r>
    </w:p>
    <w:p>
      <w:r>
        <w:t>4. When a card is tapped, the spoken audio is synthesized using the appropriate regional accent and phonetics.</w:t>
      </w:r>
    </w:p>
    <w:p>
      <w:pPr>
        <w:pStyle w:val="Heading3"/>
      </w:pPr>
      <w:r>
        <w:t>Mode 3: Caregiver Card Creation and Customization</w:t>
      </w:r>
    </w:p>
    <w:p>
      <w:r>
        <w:t>1. The caregiver accesses the tile creation module.</w:t>
      </w:r>
    </w:p>
    <w:p>
      <w:r>
        <w:t>2. The caregiver captures a photograph using the device camera or selects an existing picture from the local photo gallery.</w:t>
      </w:r>
    </w:p>
    <w:p>
      <w:r>
        <w:t>3. The caregiver enters a primary word label, optional contextual subtitle text, assigns a category, and chooses a Fitzgerald color scheme.</w:t>
      </w:r>
    </w:p>
    <w:p>
      <w:r>
        <w:t>4. The system generates a cryptographic 128-bit unique identifier for the item and commits the entry to the local relational database.</w:t>
      </w:r>
    </w:p>
    <w:p>
      <w:r>
        <w:t>5. The new card immediately appears on the user's communication grid.</w:t>
      </w:r>
    </w:p>
    <w:p>
      <w:pPr>
        <w:pStyle w:val="Heading3"/>
      </w:pPr>
      <w:r>
        <w:t>Mode 4: Remote Communication Analytics and Backup</w:t>
      </w:r>
    </w:p>
    <w:p>
      <w:r>
        <w:t>1. The system logs card tap events, timestamped sentence creations, and interaction durations into local database tables.</w:t>
      </w:r>
    </w:p>
    <w:p>
      <w:r>
        <w:t>2. The caregiver opens the dashboard tab to review most-frequently-used words and interaction trends.</w:t>
      </w:r>
    </w:p>
    <w:p>
      <w:r>
        <w:t>3. The caregiver selects the backup option. The system serializes all database records and user settings into a JSON backup file.</w:t>
      </w:r>
    </w:p>
    <w:p>
      <w:r>
        <w:t>4. The file can be exported via native OS functions to email, local storage, or messaging applications for review by speech therapists.</w:t>
      </w:r>
    </w:p>
    <w:p>
      <w:pPr>
        <w:pStyle w:val="Heading2"/>
      </w:pPr>
      <w:r>
        <w:t>3. Design and Adaptive Accessibility Dimensions</w:t>
      </w:r>
    </w:p>
    <w:p>
      <w:pPr>
        <w:pStyle w:val="ListBullet"/>
      </w:pPr>
      <w:r>
        <w:rPr>
          <w:b/>
        </w:rPr>
        <w:t xml:space="preserve">Grid Matrix Layouts: </w:t>
      </w:r>
      <w:r>
        <w:t>Configurable grid configurations ranging from 2 rows by 2 columns (for early learners or severe motor limitations) up to 5 rows by 4 columns (for advanced communicators).</w:t>
      </w:r>
    </w:p>
    <w:p>
      <w:pPr>
        <w:pStyle w:val="ListBullet"/>
      </w:pPr>
      <w:r>
        <w:rPr>
          <w:b/>
        </w:rPr>
        <w:t xml:space="preserve">Icon and Font Scaling: </w:t>
      </w:r>
      <w:r>
        <w:t>Linear scaling controls allow visual tiles and text fonts to expand up to 200 percent of standard sizes.</w:t>
      </w:r>
    </w:p>
    <w:p>
      <w:pPr>
        <w:pStyle w:val="ListBullet"/>
      </w:pPr>
      <w:r>
        <w:rPr>
          <w:b/>
        </w:rPr>
        <w:t xml:space="preserve">Color Contrast Management: </w:t>
      </w:r>
      <w:r>
        <w:t>Standard visual modes adhere to Web Content Accessibility Guidelines (WCAG 2.1 AA), with high-contrast modes providing pure black backgrounds with vivid colored borders for low-vision support.</w:t>
      </w:r>
    </w:p>
    <w:p>
      <w:pPr>
        <w:pStyle w:val="Heading1"/>
      </w:pPr>
      <w:r>
        <w:t>Claims</w:t>
      </w:r>
    </w:p>
    <w:p>
      <w:pPr>
        <w:pStyle w:val="Heading2"/>
      </w:pPr>
      <w:r>
        <w:t>Claim 1</w:t>
      </w:r>
    </w:p>
    <w:p>
      <w:r>
        <w:t>A portable, offline-first assistive communication and translation device comprising:</w:t>
        <w:br/>
        <w:t>• A visual picture communication board containing color-coded category cards;</w:t>
        <w:br/>
        <w:t>• An interactive sentence builder bar for assembling sequential picture tile messages;</w:t>
        <w:br/>
        <w:t>• A dual-stage translation subsystem combining a local pre-translated dictionary lookup with an on-device neural translation model;</w:t>
        <w:br/>
        <w:t>• A text-to-speech audio synthesis module for vocalizing assembled sentences; and</w:t>
        <w:br/>
        <w:t>• An embedded local database that records custom vocabulary records and usage metrics without external cloud connectivity.</w:t>
      </w:r>
    </w:p>
    <w:p>
      <w:pPr>
        <w:pStyle w:val="Heading2"/>
      </w:pPr>
      <w:r>
        <w:t>Claim 2</w:t>
      </w:r>
    </w:p>
    <w:p>
      <w:r>
        <w:t>The system of Claim 1, wherein the visual picture cards are organized using a Fitzgerald Key color-coding scheme, in which specific parts of speech and social interactions are assigned dedicated visual colors comprising red for quick social responses, green for people, blue for action verbs, yellow for feelings, purple for questions, and pink for time expressions.</w:t>
      </w:r>
    </w:p>
    <w:p>
      <w:pPr>
        <w:pStyle w:val="Heading2"/>
      </w:pPr>
      <w:r>
        <w:t>Claim 3</w:t>
      </w:r>
    </w:p>
    <w:p>
      <w:r>
        <w:t>The system of Claim 1, further comprising a pinned quick-access row positioned at the top of the communication interface that holds selected high-priority cards fixed in place while lower visual grid areas navigate through different sub-categories.</w:t>
      </w:r>
    </w:p>
    <w:p>
      <w:pPr>
        <w:pStyle w:val="Heading2"/>
      </w:pPr>
      <w:r>
        <w:t>Claim 4</w:t>
      </w:r>
    </w:p>
    <w:p>
      <w:r>
        <w:t>The system of Claim 1, wherein the dual-stage translation subsystem translates user interface labels, picture card descriptions, and synthesized audio speech across nine languages comprising English, Hindi, Tamil, Telugu, Kannada, Malayalam, Marathi, Bengali, and Gujarati entirely within local device memory.</w:t>
      </w:r>
    </w:p>
    <w:p>
      <w:pPr>
        <w:pStyle w:val="Heading2"/>
      </w:pPr>
      <w:r>
        <w:t>Claim 5</w:t>
      </w:r>
    </w:p>
    <w:p>
      <w:r>
        <w:t>The system of Claim 1, further comprising a caregiver administration dashboard configured to capture local camera photographs, assign custom voice triggers, track usage frequency statistics, and generate encrypted JSON data exports for cross-device synchronization and therapeutic analysis.</w:t>
      </w:r>
    </w:p>
    <w:p>
      <w:pPr>
        <w:pStyle w:val="Heading1"/>
      </w:pPr>
      <w:r>
        <w:t>Potential Applications and Commercialization</w:t>
      </w:r>
    </w:p>
    <w:p>
      <w:pPr>
        <w:pStyle w:val="ListBullet"/>
      </w:pPr>
      <w:r>
        <w:rPr>
          <w:b/>
        </w:rPr>
        <w:t xml:space="preserve">Special Education Schools and Inclusion Centers: </w:t>
      </w:r>
      <w:r>
        <w:t>Deployment in special education classrooms as a primary communication tool for non-verbal students.</w:t>
      </w:r>
    </w:p>
    <w:p>
      <w:pPr>
        <w:pStyle w:val="ListBullet"/>
      </w:pPr>
      <w:r>
        <w:rPr>
          <w:b/>
        </w:rPr>
        <w:t xml:space="preserve">Hospitals and Rehabilitation Clinics: </w:t>
      </w:r>
      <w:r>
        <w:t>Use in post-stroke recovery units, ICU facilities, and speech-language therapy centers where patients temporarily or permanently lose the ability to speak.</w:t>
      </w:r>
    </w:p>
    <w:p>
      <w:pPr>
        <w:pStyle w:val="ListBullet"/>
      </w:pPr>
      <w:r>
        <w:rPr>
          <w:b/>
        </w:rPr>
        <w:t xml:space="preserve">Home Care and Family Assistive Technology: </w:t>
      </w:r>
      <w:r>
        <w:t>Direct adoption by parents, family members, and in-home caregivers seeking an affordable alternative to costly dedicated AAC speech devices.</w:t>
      </w:r>
    </w:p>
    <w:p>
      <w:pPr>
        <w:pStyle w:val="ListBullet"/>
      </w:pPr>
      <w:r>
        <w:rPr>
          <w:b/>
        </w:rPr>
        <w:t xml:space="preserve">NGO and Healthcare Initiatives: </w:t>
      </w:r>
      <w:r>
        <w:t>Distribution in low-resource and rural communities across developing regions to support inclusive communication for underserved populations.</w:t>
      </w:r>
    </w:p>
    <w:p>
      <w:pPr>
        <w:pStyle w:val="Heading1"/>
      </w:pPr>
      <w:r>
        <w:t>Conclusion</w:t>
      </w:r>
    </w:p>
    <w:p>
      <w:r>
        <w:t>This invention delivers a complete, cost-effective, and offline-capable assistive communication solution tailored for non-verbal individuals and their support networks. By integrating research-backed visual board layouts, dynamic sentence building, on-device machine translation across regional languages, and detailed caregiver management tools, the system bridges critical communication gaps. It promotes personal independence, preserves user privacy, and ensures that every non-verbal individual has access to a reliable digital voice regardless of location or economic background.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