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4C5C"/>
          <w:sz w:val="44"/>
        </w:rPr>
        <w:t>JalYantra Water Watch</w:t>
      </w:r>
    </w:p>
    <w:p>
      <w:pPr>
        <w:jc w:val="center"/>
      </w:pPr>
      <w:r>
        <w:rPr>
          <w:rFonts w:ascii="Calibri" w:hAnsi="Calibri"/>
          <w:b/>
          <w:color w:val="2A6F6A"/>
          <w:sz w:val="32"/>
        </w:rPr>
        <w:t>01 — Product Overview</w:t>
      </w:r>
    </w:p>
    <w:p>
      <w:pPr>
        <w:jc w:val="center"/>
      </w:pPr>
      <w:r>
        <w:rPr>
          <w:rFonts w:ascii="Calibri" w:hAnsi="Calibri"/>
          <w:color w:val="555555"/>
          <w:sz w:val="20"/>
        </w:rPr>
        <w:t>What JalYantra is · Who it is for · Screens · Features · Tech stack</w:t>
      </w:r>
    </w:p>
    <w:p/>
    <w:p>
      <w:pPr>
        <w:pStyle w:val="Heading1"/>
      </w:pPr>
      <w:r>
        <w:t>What this app is (in plain language)</w:t>
      </w:r>
    </w:p>
    <w:p>
      <w:pPr>
        <w:spacing w:after="160"/>
      </w:pPr>
      <w:r>
        <w:rPr>
          <w:rFonts w:ascii="Calibri" w:hAnsi="Calibri"/>
          <w:sz w:val="22"/>
        </w:rPr>
        <w:t>JalYantra Water Watch is a groundwater monitoring product for rural India, focused on Maharashtra. It watches how deep water sits in agricultural borewells and open wells, and how pumps pull that water out, using small IoT sensors installed in the field.</w:t>
      </w:r>
    </w:p>
    <w:p>
      <w:pPr>
        <w:spacing w:after="160"/>
      </w:pPr>
      <w:r>
        <w:rPr>
          <w:rFonts w:ascii="Calibri" w:hAnsi="Calibri"/>
          <w:sz w:val="22"/>
        </w:rPr>
        <w:t>Think of it as a “health check for underground water”: instead of someone visiting a well once in a while with a measuring tape, devices continuously report water depth. The app turns those readings into maps, alerts, trends, and simple stories that farmers, NGOs, panchayats, CSR teams, and researchers can understand.</w:t>
      </w:r>
    </w:p>
    <w:p>
      <w:pPr>
        <w:spacing w:after="160"/>
      </w:pPr>
      <w:r>
        <w:rPr>
          <w:rFonts w:ascii="Calibri" w:hAnsi="Calibri"/>
          <w:sz w:val="22"/>
        </w:rPr>
        <w:t>The product has three faces:</w:t>
      </w:r>
    </w:p>
    <w:p>
      <w:pPr>
        <w:pStyle w:val="ListNumber"/>
      </w:pPr>
      <w:r>
        <w:rPr>
          <w:rFonts w:ascii="Calibri" w:hAnsi="Calibri"/>
          <w:sz w:val="22"/>
        </w:rPr>
        <w:t>A public website — explains JalYantra, shows real deployments, highlights partners (especially Krushi Vikas), and invites pilots or partnerships.</w:t>
      </w:r>
    </w:p>
    <w:p>
      <w:pPr>
        <w:pStyle w:val="ListNumber"/>
      </w:pPr>
      <w:r>
        <w:rPr>
          <w:rFonts w:ascii="Calibri" w:hAnsi="Calibri"/>
          <w:sz w:val="22"/>
        </w:rPr>
        <w:t>A live monitoring dashboard — map of sensors, KPIs, alerts, well-by-well charts, pump run analytics, and CSV export.</w:t>
      </w:r>
    </w:p>
    <w:p>
      <w:pPr>
        <w:pStyle w:val="ListNumber"/>
      </w:pPr>
      <w:r>
        <w:rPr>
          <w:rFonts w:ascii="Calibri" w:hAnsi="Calibri"/>
          <w:sz w:val="22"/>
        </w:rPr>
        <w:t>A private admin console — update website content, manage devices, sync telemetry, and control what the public sees.</w:t>
      </w:r>
    </w:p>
    <w:p>
      <w:pPr>
        <w:pStyle w:val="Heading1"/>
      </w:pPr>
      <w:r>
        <w:t>Who it is for</w:t>
      </w:r>
    </w:p>
    <w:tbl>
      <w:tblPr>
        <w:tblStyle w:val="TableGrid"/>
        <w:tblW w:type="auto" w:w="0"/>
        <w:tblLook w:firstColumn="1" w:firstRow="1" w:lastColumn="0" w:lastRow="0" w:noHBand="0" w:noVBand="1" w:val="04A0"/>
      </w:tblPr>
      <w:tblGrid>
        <w:gridCol w:w="4680"/>
        <w:gridCol w:w="4680"/>
      </w:tblGrid>
      <w:tr>
        <w:tc>
          <w:tcPr>
            <w:tcW w:type="dxa" w:w="3312"/>
            <w:shd w:fill="0F4C5C" w:val="clear"/>
          </w:tcPr>
          <w:p>
            <w:r>
              <w:rPr>
                <w:rFonts w:ascii="Calibri" w:hAnsi="Calibri"/>
                <w:b/>
                <w:color w:val="FFFFFF"/>
                <w:sz w:val="20"/>
              </w:rPr>
              <w:t>Audience</w:t>
            </w:r>
          </w:p>
        </w:tc>
        <w:tc>
          <w:tcPr>
            <w:tcW w:type="dxa" w:w="6048"/>
            <w:shd w:fill="0F4C5C" w:val="clear"/>
          </w:tcPr>
          <w:p>
            <w:r>
              <w:rPr>
                <w:rFonts w:ascii="Calibri" w:hAnsi="Calibri"/>
                <w:b/>
                <w:color w:val="FFFFFF"/>
                <w:sz w:val="20"/>
              </w:rPr>
              <w:t>What they get</w:t>
            </w:r>
          </w:p>
        </w:tc>
      </w:tr>
      <w:tr>
        <w:tc>
          <w:tcPr>
            <w:tcW w:type="dxa" w:w="3312"/>
          </w:tcPr>
          <w:p>
            <w:r>
              <w:rPr>
                <w:rFonts w:ascii="Calibri" w:hAnsi="Calibri"/>
                <w:sz w:val="18"/>
              </w:rPr>
              <w:t>Farmers / village users</w:t>
            </w:r>
          </w:p>
        </w:tc>
        <w:tc>
          <w:tcPr>
            <w:tcW w:type="dxa" w:w="6048"/>
          </w:tcPr>
          <w:p>
            <w:r>
              <w:rPr>
                <w:rFonts w:ascii="Calibri" w:hAnsi="Calibri"/>
                <w:sz w:val="18"/>
              </w:rPr>
              <w:t>Water depth, stress, dry-run risk visuals; on-page translation</w:t>
            </w:r>
          </w:p>
        </w:tc>
      </w:tr>
      <w:tr>
        <w:tc>
          <w:tcPr>
            <w:tcW w:type="dxa" w:w="3312"/>
            <w:shd w:fill="E8F4F2" w:val="clear"/>
          </w:tcPr>
          <w:p>
            <w:r>
              <w:rPr>
                <w:rFonts w:ascii="Calibri" w:hAnsi="Calibri"/>
                <w:sz w:val="18"/>
              </w:rPr>
              <w:t>Field NGOs / partners (e.g. Krushi Vikas)</w:t>
            </w:r>
          </w:p>
        </w:tc>
        <w:tc>
          <w:tcPr>
            <w:tcW w:type="dxa" w:w="6048"/>
            <w:shd w:fill="E8F4F2" w:val="clear"/>
          </w:tcPr>
          <w:p>
            <w:r>
              <w:rPr>
                <w:rFonts w:ascii="Calibri" w:hAnsi="Calibri"/>
                <w:sz w:val="18"/>
              </w:rPr>
              <w:t>Deployment stories; shared monitoring; field knowledge + data</w:t>
            </w:r>
          </w:p>
        </w:tc>
      </w:tr>
      <w:tr>
        <w:tc>
          <w:tcPr>
            <w:tcW w:type="dxa" w:w="3312"/>
          </w:tcPr>
          <w:p>
            <w:r>
              <w:rPr>
                <w:rFonts w:ascii="Calibri" w:hAnsi="Calibri"/>
                <w:sz w:val="18"/>
              </w:rPr>
              <w:t>Panchayats / water governance</w:t>
            </w:r>
          </w:p>
        </w:tc>
        <w:tc>
          <w:tcPr>
            <w:tcW w:type="dxa" w:w="6048"/>
          </w:tcPr>
          <w:p>
            <w:r>
              <w:rPr>
                <w:rFonts w:ascii="Calibri" w:hAnsi="Calibri"/>
                <w:sz w:val="18"/>
              </w:rPr>
              <w:t>District-level stress, trends, critical wells</w:t>
            </w:r>
          </w:p>
        </w:tc>
      </w:tr>
      <w:tr>
        <w:tc>
          <w:tcPr>
            <w:tcW w:type="dxa" w:w="3312"/>
            <w:shd w:fill="E8F4F2" w:val="clear"/>
          </w:tcPr>
          <w:p>
            <w:r>
              <w:rPr>
                <w:rFonts w:ascii="Calibri" w:hAnsi="Calibri"/>
                <w:sz w:val="18"/>
              </w:rPr>
              <w:t>CSR / research / institutions</w:t>
            </w:r>
          </w:p>
        </w:tc>
        <w:tc>
          <w:tcPr>
            <w:tcW w:type="dxa" w:w="6048"/>
            <w:shd w:fill="E8F4F2" w:val="clear"/>
          </w:tcPr>
          <w:p>
            <w:r>
              <w:rPr>
                <w:rFonts w:ascii="Calibri" w:hAnsi="Calibri"/>
                <w:sz w:val="18"/>
              </w:rPr>
              <w:t>Pilot evidence, certificates, partnership inquiries</w:t>
            </w:r>
          </w:p>
        </w:tc>
      </w:tr>
      <w:tr>
        <w:tc>
          <w:tcPr>
            <w:tcW w:type="dxa" w:w="3312"/>
          </w:tcPr>
          <w:p>
            <w:r>
              <w:rPr>
                <w:rFonts w:ascii="Calibri" w:hAnsi="Calibri"/>
                <w:sz w:val="18"/>
              </w:rPr>
              <w:t>JalYantra operators / admins</w:t>
            </w:r>
          </w:p>
        </w:tc>
        <w:tc>
          <w:tcPr>
            <w:tcW w:type="dxa" w:w="6048"/>
          </w:tcPr>
          <w:p>
            <w:r>
              <w:rPr>
                <w:rFonts w:ascii="Calibri" w:hAnsi="Calibri"/>
                <w:sz w:val="18"/>
              </w:rPr>
              <w:t>CMS, device setup, telemetry sync, visibility controls</w:t>
            </w:r>
          </w:p>
        </w:tc>
      </w:tr>
    </w:tbl>
    <w:p/>
    <w:p>
      <w:pPr>
        <w:pStyle w:val="Heading1"/>
      </w:pPr>
      <w:r>
        <w:t>Problem it solves</w:t>
      </w:r>
    </w:p>
    <w:p>
      <w:pPr>
        <w:spacing w:after="160"/>
      </w:pPr>
      <w:r>
        <w:rPr>
          <w:rFonts w:ascii="Calibri" w:hAnsi="Calibri"/>
          <w:sz w:val="22"/>
        </w:rPr>
        <w:t>In drought-prone farming areas, groundwater is often managed by guesswork and rare spot checks. That leads to dry-run pump risk, no early warning on fast declines, hard-to-prove impact, and partners wanting shareable field evidence.</w:t>
      </w:r>
    </w:p>
    <w:p>
      <w:pPr>
        <w:spacing w:after="160"/>
      </w:pPr>
      <w:r>
        <w:rPr>
          <w:rFonts w:ascii="Calibri" w:hAnsi="Calibri"/>
          <w:sz w:val="22"/>
        </w:rPr>
        <w:t>JalYantra’s answer: sensors in wells → live depth → healthy/stressed/critical status → extraction and days-left estimates → alerts → stories for communities and partners.</w:t>
      </w:r>
    </w:p>
    <w:p>
      <w:pPr>
        <w:pStyle w:val="Heading1"/>
      </w:pPr>
      <w:r>
        <w:t>Layman workflow</w:t>
      </w:r>
    </w:p>
    <w:p>
      <w:pPr>
        <w:pStyle w:val="ListNumber"/>
      </w:pPr>
      <w:r>
        <w:rPr>
          <w:rFonts w:ascii="Calibri" w:hAnsi="Calibri"/>
          <w:sz w:val="22"/>
        </w:rPr>
        <w:t>Install — device in well measures depth and online state.</w:t>
      </w:r>
    </w:p>
    <w:p>
      <w:pPr>
        <w:pStyle w:val="ListNumber"/>
      </w:pPr>
      <w:r>
        <w:rPr>
          <w:rFonts w:ascii="Calibri" w:hAnsi="Calibri"/>
          <w:sz w:val="22"/>
        </w:rPr>
        <w:t>Classify — admin marks pump-connected or observation-only; enters well size.</w:t>
      </w:r>
    </w:p>
    <w:p>
      <w:pPr>
        <w:pStyle w:val="ListNumber"/>
      </w:pPr>
      <w:r>
        <w:rPr>
          <w:rFonts w:ascii="Calibri" w:hAnsi="Calibri"/>
          <w:sz w:val="22"/>
        </w:rPr>
        <w:t>Stream — live readings go to real-time sensor database.</w:t>
      </w:r>
    </w:p>
    <w:p>
      <w:pPr>
        <w:pStyle w:val="ListNumber"/>
      </w:pPr>
      <w:r>
        <w:rPr>
          <w:rFonts w:ascii="Calibri" w:hAnsi="Calibri"/>
          <w:sz w:val="22"/>
        </w:rPr>
        <w:t>Sync &amp; calculate — structured DB computes pump runs, drawdown, health, remaining water, alerts.</w:t>
      </w:r>
    </w:p>
    <w:p>
      <w:pPr>
        <w:pStyle w:val="ListNumber"/>
      </w:pPr>
      <w:r>
        <w:rPr>
          <w:rFonts w:ascii="Calibri" w:hAnsi="Calibri"/>
          <w:sz w:val="22"/>
        </w:rPr>
        <w:t>Monitor — filter by district/well; open charts; export CSV.</w:t>
      </w:r>
    </w:p>
    <w:p>
      <w:pPr>
        <w:pStyle w:val="ListNumber"/>
      </w:pPr>
      <w:r>
        <w:rPr>
          <w:rFonts w:ascii="Calibri" w:hAnsi="Calibri"/>
          <w:sz w:val="22"/>
        </w:rPr>
        <w:t>Tell the story — Deployments and Partners pages show field work.</w:t>
      </w:r>
    </w:p>
    <w:p>
      <w:pPr>
        <w:pStyle w:val="ListNumber"/>
      </w:pPr>
      <w:r>
        <w:rPr>
          <w:rFonts w:ascii="Calibri" w:hAnsi="Calibri"/>
          <w:sz w:val="22"/>
        </w:rPr>
        <w:t>Operate the site — admins toggle sections and edit content without developers.</w:t>
      </w:r>
    </w:p>
    <w:p>
      <w:pPr>
        <w:pStyle w:val="Heading1"/>
      </w:pPr>
      <w:r>
        <w:t>Screens</w:t>
      </w:r>
    </w:p>
    <w:p>
      <w:pPr>
        <w:pStyle w:val="Heading2"/>
      </w:pPr>
      <w:r>
        <w:t>Home</w:t>
      </w:r>
    </w:p>
    <w:p>
      <w:pPr>
        <w:pStyle w:val="ListBullet"/>
      </w:pPr>
      <w:r>
        <w:rPr>
          <w:rFonts w:ascii="Calibri" w:hAnsi="Calibri"/>
          <w:sz w:val="22"/>
        </w:rPr>
        <w:t>Hero media</w:t>
      </w:r>
    </w:p>
    <w:p>
      <w:pPr>
        <w:pStyle w:val="ListBullet"/>
      </w:pPr>
      <w:r>
        <w:rPr>
          <w:rFonts w:ascii="Calibri" w:hAnsi="Calibri"/>
          <w:sz w:val="22"/>
        </w:rPr>
        <w:t>How-it-works insights</w:t>
      </w:r>
    </w:p>
    <w:p>
      <w:pPr>
        <w:pStyle w:val="ListBullet"/>
      </w:pPr>
      <w:r>
        <w:rPr>
          <w:rFonts w:ascii="Calibri" w:hAnsi="Calibri"/>
          <w:sz w:val="22"/>
        </w:rPr>
        <w:t>Impact numbers</w:t>
      </w:r>
    </w:p>
    <w:p>
      <w:pPr>
        <w:pStyle w:val="ListBullet"/>
      </w:pPr>
      <w:r>
        <w:rPr>
          <w:rFonts w:ascii="Calibri" w:hAnsi="Calibri"/>
          <w:sz w:val="22"/>
        </w:rPr>
        <w:t>Dashboard preview</w:t>
      </w:r>
    </w:p>
    <w:p>
      <w:pPr>
        <w:pStyle w:val="ListBullet"/>
      </w:pPr>
      <w:r>
        <w:rPr>
          <w:rFonts w:ascii="Calibri" w:hAnsi="Calibri"/>
          <w:sz w:val="22"/>
        </w:rPr>
        <w:t>Deployments preview</w:t>
      </w:r>
    </w:p>
    <w:p>
      <w:pPr>
        <w:pStyle w:val="ListBullet"/>
      </w:pPr>
      <w:r>
        <w:rPr>
          <w:rFonts w:ascii="Calibri" w:hAnsi="Calibri"/>
          <w:sz w:val="22"/>
        </w:rPr>
        <w:t>Validation/certificates</w:t>
      </w:r>
    </w:p>
    <w:p>
      <w:pPr>
        <w:pStyle w:val="ListBullet"/>
      </w:pPr>
      <w:r>
        <w:rPr>
          <w:rFonts w:ascii="Calibri" w:hAnsi="Calibri"/>
          <w:sz w:val="22"/>
        </w:rPr>
        <w:t>Pilot contact form</w:t>
      </w:r>
    </w:p>
    <w:p>
      <w:pPr>
        <w:pStyle w:val="ListBullet"/>
      </w:pPr>
      <w:r>
        <w:rPr>
          <w:rFonts w:ascii="Calibri" w:hAnsi="Calibri"/>
          <w:sz w:val="22"/>
        </w:rPr>
        <w:t>Language translation</w:t>
      </w:r>
    </w:p>
    <w:p>
      <w:pPr>
        <w:pStyle w:val="Heading2"/>
      </w:pPr>
      <w:r>
        <w:t>Live Dashboard</w:t>
      </w:r>
    </w:p>
    <w:p>
      <w:pPr>
        <w:pStyle w:val="ListBullet"/>
      </w:pPr>
      <w:r>
        <w:rPr>
          <w:rFonts w:ascii="Calibri" w:hAnsi="Calibri"/>
          <w:sz w:val="22"/>
        </w:rPr>
        <w:t>KPI cards</w:t>
      </w:r>
    </w:p>
    <w:p>
      <w:pPr>
        <w:pStyle w:val="ListBullet"/>
      </w:pPr>
      <w:r>
        <w:rPr>
          <w:rFonts w:ascii="Calibri" w:hAnsi="Calibri"/>
          <w:sz w:val="22"/>
        </w:rPr>
        <w:t>Alerts strip</w:t>
      </w:r>
    </w:p>
    <w:p>
      <w:pPr>
        <w:pStyle w:val="ListBullet"/>
      </w:pPr>
      <w:r>
        <w:rPr>
          <w:rFonts w:ascii="Calibri" w:hAnsi="Calibri"/>
          <w:sz w:val="22"/>
        </w:rPr>
        <w:t>India/Maharashtra map</w:t>
      </w:r>
    </w:p>
    <w:p>
      <w:pPr>
        <w:pStyle w:val="ListBullet"/>
      </w:pPr>
      <w:r>
        <w:rPr>
          <w:rFonts w:ascii="Calibri" w:hAnsi="Calibri"/>
          <w:sz w:val="22"/>
        </w:rPr>
        <w:t>District/well filters + live toggle</w:t>
      </w:r>
    </w:p>
    <w:p>
      <w:pPr>
        <w:pStyle w:val="ListBullet"/>
      </w:pPr>
      <w:r>
        <w:rPr>
          <w:rFonts w:ascii="Calibri" w:hAnsi="Calibri"/>
          <w:sz w:val="22"/>
        </w:rPr>
        <w:t>Depth trend chart (~14 days)</w:t>
      </w:r>
    </w:p>
    <w:p>
      <w:pPr>
        <w:pStyle w:val="ListBullet"/>
      </w:pPr>
      <w:r>
        <w:rPr>
          <w:rFonts w:ascii="Calibri" w:hAnsi="Calibri"/>
          <w:sz w:val="22"/>
        </w:rPr>
        <w:t>Well insights table</w:t>
      </w:r>
    </w:p>
    <w:p>
      <w:pPr>
        <w:pStyle w:val="ListBullet"/>
      </w:pPr>
      <w:r>
        <w:rPr>
          <w:rFonts w:ascii="Calibri" w:hAnsi="Calibri"/>
          <w:sz w:val="22"/>
        </w:rPr>
        <w:t>District panel + CSV</w:t>
      </w:r>
    </w:p>
    <w:p>
      <w:pPr>
        <w:pStyle w:val="ListBullet"/>
      </w:pPr>
      <w:r>
        <w:rPr>
          <w:rFonts w:ascii="Calibri" w:hAnsi="Calibri"/>
          <w:sz w:val="22"/>
        </w:rPr>
        <w:t>Sensor detail (pump drawdown or non-pump median)</w:t>
      </w:r>
    </w:p>
    <w:p>
      <w:pPr>
        <w:pStyle w:val="ListBullet"/>
      </w:pPr>
      <w:r>
        <w:rPr>
          <w:rFonts w:ascii="Calibri" w:hAnsi="Calibri"/>
          <w:sz w:val="22"/>
        </w:rPr>
        <w:t>History + CSV export</w:t>
      </w:r>
    </w:p>
    <w:p>
      <w:pPr>
        <w:pStyle w:val="Heading2"/>
      </w:pPr>
      <w:r>
        <w:t>Deployments / Partners / Admin</w:t>
      </w:r>
    </w:p>
    <w:p>
      <w:pPr>
        <w:spacing w:after="160"/>
      </w:pPr>
      <w:r>
        <w:rPr>
          <w:rFonts w:ascii="Calibri" w:hAnsi="Calibri"/>
          <w:sz w:val="22"/>
        </w:rPr>
        <w:t>Deployments: field program stories, videos, installation notes, galleries. Partners: Krushi Vikas feature, stats, inquiry form. Admin (login required): visibility flags, full CMS, live device masters, telemetry sync, media upload.</w:t>
      </w:r>
    </w:p>
    <w:p>
      <w:pPr>
        <w:pStyle w:val="Heading1"/>
      </w:pPr>
      <w:r>
        <w:t>Feature catalog</w:t>
      </w:r>
    </w:p>
    <w:p>
      <w:pPr>
        <w:pStyle w:val="Heading2"/>
      </w:pPr>
      <w:r>
        <w:t>Monitoring &amp; analytics</w:t>
      </w:r>
    </w:p>
    <w:p>
      <w:pPr>
        <w:pStyle w:val="ListBullet"/>
      </w:pPr>
      <w:r>
        <w:rPr>
          <w:rFonts w:ascii="Calibri" w:hAnsi="Calibri"/>
          <w:sz w:val="22"/>
        </w:rPr>
        <w:t>Real-time depth</w:t>
      </w:r>
    </w:p>
    <w:p>
      <w:pPr>
        <w:pStyle w:val="ListBullet"/>
      </w:pPr>
      <w:r>
        <w:rPr>
          <w:rFonts w:ascii="Calibri" w:hAnsi="Calibri"/>
          <w:sz w:val="22"/>
        </w:rPr>
        <w:t>Health/risk states</w:t>
      </w:r>
    </w:p>
    <w:p>
      <w:pPr>
        <w:pStyle w:val="ListBullet"/>
      </w:pPr>
      <w:r>
        <w:rPr>
          <w:rFonts w:ascii="Calibri" w:hAnsi="Calibri"/>
          <w:sz w:val="22"/>
        </w:rPr>
        <w:t>District aggregation</w:t>
      </w:r>
    </w:p>
    <w:p>
      <w:pPr>
        <w:pStyle w:val="ListBullet"/>
      </w:pPr>
      <w:r>
        <w:rPr>
          <w:rFonts w:ascii="Calibri" w:hAnsi="Calibri"/>
          <w:sz w:val="22"/>
        </w:rPr>
        <w:t>Multi-well trends</w:t>
      </w:r>
    </w:p>
    <w:p>
      <w:pPr>
        <w:pStyle w:val="ListBullet"/>
      </w:pPr>
      <w:r>
        <w:rPr>
          <w:rFonts w:ascii="Calibri" w:hAnsi="Calibri"/>
          <w:sz w:val="22"/>
        </w:rPr>
        <w:t>Pump run detection</w:t>
      </w:r>
    </w:p>
    <w:p>
      <w:pPr>
        <w:pStyle w:val="ListBullet"/>
      </w:pPr>
      <w:r>
        <w:rPr>
          <w:rFonts w:ascii="Calibri" w:hAnsi="Calibri"/>
          <w:sz w:val="22"/>
        </w:rPr>
        <w:t>Drawdown depth/rate</w:t>
      </w:r>
    </w:p>
    <w:p>
      <w:pPr>
        <w:pStyle w:val="ListBullet"/>
      </w:pPr>
      <w:r>
        <w:rPr>
          <w:rFonts w:ascii="Calibri" w:hAnsi="Calibri"/>
          <w:sz w:val="22"/>
        </w:rPr>
        <w:t>Extraction liters</w:t>
      </w:r>
    </w:p>
    <w:p>
      <w:pPr>
        <w:pStyle w:val="ListBullet"/>
      </w:pPr>
      <w:r>
        <w:rPr>
          <w:rFonts w:ascii="Calibri" w:hAnsi="Calibri"/>
          <w:sz w:val="22"/>
        </w:rPr>
        <w:t>Days-of-water estimates</w:t>
      </w:r>
    </w:p>
    <w:p>
      <w:pPr>
        <w:pStyle w:val="ListBullet"/>
      </w:pPr>
      <w:r>
        <w:rPr>
          <w:rFonts w:ascii="Calibri" w:hAnsi="Calibri"/>
          <w:sz w:val="22"/>
        </w:rPr>
        <w:t>Daily/weekly/monthly summaries</w:t>
      </w:r>
    </w:p>
    <w:p>
      <w:pPr>
        <w:pStyle w:val="ListBullet"/>
      </w:pPr>
      <w:r>
        <w:rPr>
          <w:rFonts w:ascii="Calibri" w:hAnsi="Calibri"/>
          <w:sz w:val="22"/>
        </w:rPr>
        <w:t>Alerts (low water, dry-run, unsafe pump, poor recovery, offline)</w:t>
      </w:r>
    </w:p>
    <w:p>
      <w:pPr>
        <w:pStyle w:val="ListBullet"/>
      </w:pPr>
      <w:r>
        <w:rPr>
          <w:rFonts w:ascii="Calibri" w:hAnsi="Calibri"/>
          <w:sz w:val="22"/>
        </w:rPr>
        <w:t>Live vs snapshot</w:t>
      </w:r>
    </w:p>
    <w:p>
      <w:pPr>
        <w:pStyle w:val="ListBullet"/>
      </w:pPr>
      <w:r>
        <w:rPr>
          <w:rFonts w:ascii="Calibri" w:hAnsi="Calibri"/>
          <w:sz w:val="22"/>
        </w:rPr>
        <w:t>CSV downloads</w:t>
      </w:r>
    </w:p>
    <w:p>
      <w:pPr>
        <w:pStyle w:val="Heading2"/>
      </w:pPr>
      <w:r>
        <w:t>Other capabilities</w:t>
      </w:r>
    </w:p>
    <w:p>
      <w:pPr>
        <w:pStyle w:val="ListBullet"/>
      </w:pPr>
      <w:r>
        <w:rPr>
          <w:rFonts w:ascii="Calibri" w:hAnsi="Calibri"/>
          <w:sz w:val="22"/>
        </w:rPr>
        <w:t>Interactive map + filters</w:t>
      </w:r>
    </w:p>
    <w:p>
      <w:pPr>
        <w:pStyle w:val="ListBullet"/>
      </w:pPr>
      <w:r>
        <w:rPr>
          <w:rFonts w:ascii="Calibri" w:hAnsi="Calibri"/>
          <w:sz w:val="22"/>
        </w:rPr>
        <w:t>Pump vs non-pump device intelligence</w:t>
      </w:r>
    </w:p>
    <w:p>
      <w:pPr>
        <w:pStyle w:val="ListBullet"/>
      </w:pPr>
      <w:r>
        <w:rPr>
          <w:rFonts w:ascii="Calibri" w:hAnsi="Calibri"/>
          <w:sz w:val="22"/>
        </w:rPr>
        <w:t>CMS storytelling + Drive media</w:t>
      </w:r>
    </w:p>
    <w:p>
      <w:pPr>
        <w:pStyle w:val="ListBullet"/>
      </w:pPr>
      <w:r>
        <w:rPr>
          <w:rFonts w:ascii="Calibri" w:hAnsi="Calibri"/>
          <w:sz w:val="22"/>
        </w:rPr>
        <w:t>Pilot/partner forms + mailer</w:t>
      </w:r>
    </w:p>
    <w:p>
      <w:pPr>
        <w:pStyle w:val="ListBullet"/>
      </w:pPr>
      <w:r>
        <w:rPr>
          <w:rFonts w:ascii="Calibri" w:hAnsi="Calibri"/>
          <w:sz w:val="22"/>
        </w:rPr>
        <w:t>Google Translate</w:t>
      </w:r>
    </w:p>
    <w:p>
      <w:pPr>
        <w:pStyle w:val="ListBullet"/>
      </w:pPr>
      <w:r>
        <w:rPr>
          <w:rFonts w:ascii="Calibri" w:hAnsi="Calibri"/>
          <w:sz w:val="22"/>
        </w:rPr>
        <w:t>Admin auth + feature flags + sync pipeline</w:t>
      </w:r>
    </w:p>
    <w:p>
      <w:pPr>
        <w:pStyle w:val="Heading1"/>
      </w:pPr>
      <w:r>
        <w:t>Technical stack</w:t>
      </w:r>
    </w:p>
    <w:tbl>
      <w:tblPr>
        <w:tblStyle w:val="TableGrid"/>
        <w:tblW w:type="auto" w:w="0"/>
        <w:tblLook w:firstColumn="1" w:firstRow="1" w:lastColumn="0" w:lastRow="0" w:noHBand="0" w:noVBand="1" w:val="04A0"/>
      </w:tblPr>
      <w:tblGrid>
        <w:gridCol w:w="4680"/>
        <w:gridCol w:w="4680"/>
      </w:tblGrid>
      <w:tr>
        <w:tc>
          <w:tcPr>
            <w:tcW w:type="dxa" w:w="2880"/>
            <w:shd w:fill="0F4C5C" w:val="clear"/>
          </w:tcPr>
          <w:p>
            <w:r>
              <w:rPr>
                <w:rFonts w:ascii="Calibri" w:hAnsi="Calibri"/>
                <w:b/>
                <w:color w:val="FFFFFF"/>
                <w:sz w:val="20"/>
              </w:rPr>
              <w:t>Layer</w:t>
            </w:r>
          </w:p>
        </w:tc>
        <w:tc>
          <w:tcPr>
            <w:tcW w:type="dxa" w:w="6480"/>
            <w:shd w:fill="0F4C5C" w:val="clear"/>
          </w:tcPr>
          <w:p>
            <w:r>
              <w:rPr>
                <w:rFonts w:ascii="Calibri" w:hAnsi="Calibri"/>
                <w:b/>
                <w:color w:val="FFFFFF"/>
                <w:sz w:val="20"/>
              </w:rPr>
              <w:t>Technology</w:t>
            </w:r>
          </w:p>
        </w:tc>
      </w:tr>
      <w:tr>
        <w:tc>
          <w:tcPr>
            <w:tcW w:type="dxa" w:w="2880"/>
          </w:tcPr>
          <w:p>
            <w:r>
              <w:rPr>
                <w:rFonts w:ascii="Calibri" w:hAnsi="Calibri"/>
                <w:sz w:val="18"/>
              </w:rPr>
              <w:t>Frontend</w:t>
            </w:r>
          </w:p>
        </w:tc>
        <w:tc>
          <w:tcPr>
            <w:tcW w:type="dxa" w:w="6480"/>
          </w:tcPr>
          <w:p>
            <w:r>
              <w:rPr>
                <w:rFonts w:ascii="Calibri" w:hAnsi="Calibri"/>
                <w:sz w:val="18"/>
              </w:rPr>
              <w:t>React 18, TypeScript, Vite, React Router</w:t>
            </w:r>
          </w:p>
        </w:tc>
      </w:tr>
      <w:tr>
        <w:tc>
          <w:tcPr>
            <w:tcW w:type="dxa" w:w="2880"/>
            <w:shd w:fill="E8F4F2" w:val="clear"/>
          </w:tcPr>
          <w:p>
            <w:r>
              <w:rPr>
                <w:rFonts w:ascii="Calibri" w:hAnsi="Calibri"/>
                <w:sz w:val="18"/>
              </w:rPr>
              <w:t>UI</w:t>
            </w:r>
          </w:p>
        </w:tc>
        <w:tc>
          <w:tcPr>
            <w:tcW w:type="dxa" w:w="6480"/>
            <w:shd w:fill="E8F4F2" w:val="clear"/>
          </w:tcPr>
          <w:p>
            <w:r>
              <w:rPr>
                <w:rFonts w:ascii="Calibri" w:hAnsi="Calibri"/>
                <w:sz w:val="18"/>
              </w:rPr>
              <w:t>Tailwind, shadcn/ui, Lucide, Framer Motion</w:t>
            </w:r>
          </w:p>
        </w:tc>
      </w:tr>
      <w:tr>
        <w:tc>
          <w:tcPr>
            <w:tcW w:type="dxa" w:w="2880"/>
          </w:tcPr>
          <w:p>
            <w:r>
              <w:rPr>
                <w:rFonts w:ascii="Calibri" w:hAnsi="Calibri"/>
                <w:sz w:val="18"/>
              </w:rPr>
              <w:t>Charts / Maps</w:t>
            </w:r>
          </w:p>
        </w:tc>
        <w:tc>
          <w:tcPr>
            <w:tcW w:type="dxa" w:w="6480"/>
          </w:tcPr>
          <w:p>
            <w:r>
              <w:rPr>
                <w:rFonts w:ascii="Calibri" w:hAnsi="Calibri"/>
                <w:sz w:val="18"/>
              </w:rPr>
              <w:t>Recharts; Leaflet (react-leaflet)</w:t>
            </w:r>
          </w:p>
        </w:tc>
      </w:tr>
      <w:tr>
        <w:tc>
          <w:tcPr>
            <w:tcW w:type="dxa" w:w="2880"/>
            <w:shd w:fill="E8F4F2" w:val="clear"/>
          </w:tcPr>
          <w:p>
            <w:r>
              <w:rPr>
                <w:rFonts w:ascii="Calibri" w:hAnsi="Calibri"/>
                <w:sz w:val="18"/>
              </w:rPr>
              <w:t>Data cache / forms</w:t>
            </w:r>
          </w:p>
        </w:tc>
        <w:tc>
          <w:tcPr>
            <w:tcW w:type="dxa" w:w="6480"/>
            <w:shd w:fill="E8F4F2" w:val="clear"/>
          </w:tcPr>
          <w:p>
            <w:r>
              <w:rPr>
                <w:rFonts w:ascii="Calibri" w:hAnsi="Calibri"/>
                <w:sz w:val="18"/>
              </w:rPr>
              <w:t>TanStack React Query; React Hook Form + Zod</w:t>
            </w:r>
          </w:p>
        </w:tc>
      </w:tr>
      <w:tr>
        <w:tc>
          <w:tcPr>
            <w:tcW w:type="dxa" w:w="2880"/>
          </w:tcPr>
          <w:p>
            <w:r>
              <w:rPr>
                <w:rFonts w:ascii="Calibri" w:hAnsi="Calibri"/>
                <w:sz w:val="18"/>
              </w:rPr>
              <w:t>Live sensors</w:t>
            </w:r>
          </w:p>
        </w:tc>
        <w:tc>
          <w:tcPr>
            <w:tcW w:type="dxa" w:w="6480"/>
          </w:tcPr>
          <w:p>
            <w:r>
              <w:rPr>
                <w:rFonts w:ascii="Calibri" w:hAnsi="Calibri"/>
                <w:sz w:val="18"/>
              </w:rPr>
              <w:t>Firebase Realtime Database</w:t>
            </w:r>
          </w:p>
        </w:tc>
      </w:tr>
      <w:tr>
        <w:tc>
          <w:tcPr>
            <w:tcW w:type="dxa" w:w="2880"/>
            <w:shd w:fill="E8F4F2" w:val="clear"/>
          </w:tcPr>
          <w:p>
            <w:r>
              <w:rPr>
                <w:rFonts w:ascii="Calibri" w:hAnsi="Calibri"/>
                <w:sz w:val="18"/>
              </w:rPr>
              <w:t>Backend</w:t>
            </w:r>
          </w:p>
        </w:tc>
        <w:tc>
          <w:tcPr>
            <w:tcW w:type="dxa" w:w="6480"/>
            <w:shd w:fill="E8F4F2" w:val="clear"/>
          </w:tcPr>
          <w:p>
            <w:r>
              <w:rPr>
                <w:rFonts w:ascii="Calibri" w:hAnsi="Calibri"/>
                <w:sz w:val="18"/>
              </w:rPr>
              <w:t>Supabase Auth, Postgres, Storage, Realtime, Edge Functions (Deno)</w:t>
            </w:r>
          </w:p>
        </w:tc>
      </w:tr>
      <w:tr>
        <w:tc>
          <w:tcPr>
            <w:tcW w:type="dxa" w:w="2880"/>
          </w:tcPr>
          <w:p>
            <w:r>
              <w:rPr>
                <w:rFonts w:ascii="Calibri" w:hAnsi="Calibri"/>
                <w:sz w:val="18"/>
              </w:rPr>
              <w:t>Email</w:t>
            </w:r>
          </w:p>
        </w:tc>
        <w:tc>
          <w:tcPr>
            <w:tcW w:type="dxa" w:w="6480"/>
          </w:tcPr>
          <w:p>
            <w:r>
              <w:rPr>
                <w:rFonts w:ascii="Calibri" w:hAnsi="Calibri"/>
                <w:sz w:val="18"/>
              </w:rPr>
              <w:t>Node Express + Nodemailer on Vercel</w:t>
            </w:r>
          </w:p>
        </w:tc>
      </w:tr>
      <w:tr>
        <w:tc>
          <w:tcPr>
            <w:tcW w:type="dxa" w:w="2880"/>
            <w:shd w:fill="E8F4F2" w:val="clear"/>
          </w:tcPr>
          <w:p>
            <w:r>
              <w:rPr>
                <w:rFonts w:ascii="Calibri" w:hAnsi="Calibri"/>
                <w:sz w:val="18"/>
              </w:rPr>
              <w:t>Testing / deploy</w:t>
            </w:r>
          </w:p>
        </w:tc>
        <w:tc>
          <w:tcPr>
            <w:tcW w:type="dxa" w:w="6480"/>
            <w:shd w:fill="E8F4F2" w:val="clear"/>
          </w:tcPr>
          <w:p>
            <w:r>
              <w:rPr>
                <w:rFonts w:ascii="Calibri" w:hAnsi="Calibri"/>
                <w:sz w:val="18"/>
              </w:rPr>
              <w:t>Vitest; static SPA to Netlify/Vercel/similar</w:t>
            </w:r>
          </w:p>
        </w:tc>
      </w:tr>
    </w:tbl>
    <w:p/>
    <w:p>
      <w:pPr>
        <w:spacing w:after="160"/>
      </w:pPr>
      <w:r>
        <w:rPr>
          <w:rFonts w:ascii="Calibri" w:hAnsi="Calibri"/>
          <w:sz w:val="22"/>
        </w:rPr>
        <w:t>Data path: Sensors → Firebase (live raw) → sync/processing → Supabase (masters + calculated + CMS) → UI.</w:t>
      </w:r>
    </w:p>
    <w:p>
      <w:pPr>
        <w:pStyle w:val="Heading1"/>
      </w:pPr>
      <w:r>
        <w:t>Roles &amp; business value</w:t>
      </w:r>
    </w:p>
    <w:p>
      <w:pPr>
        <w:pStyle w:val="ListBullet"/>
      </w:pPr>
      <w:r>
        <w:rPr>
          <w:rFonts w:ascii="Calibri" w:hAnsi="Calibri"/>
          <w:sz w:val="22"/>
        </w:rPr>
        <w:t>Public visitor — home, dashboard, deployments, partners</w:t>
      </w:r>
    </w:p>
    <w:p>
      <w:pPr>
        <w:pStyle w:val="ListBullet"/>
      </w:pPr>
      <w:r>
        <w:rPr>
          <w:rFonts w:ascii="Calibri" w:hAnsi="Calibri"/>
          <w:sz w:val="22"/>
        </w:rPr>
        <w:t>Admin — CMS + devices + telemetry</w:t>
      </w:r>
    </w:p>
    <w:p>
      <w:pPr>
        <w:spacing w:after="160"/>
      </w:pPr>
      <w:r>
        <w:rPr>
          <w:rFonts w:ascii="Calibri" w:hAnsi="Calibri"/>
          <w:sz w:val="22"/>
        </w:rPr>
        <w:t>Value: earlier community warning; partner village visibility; credible pilot showcase; operators run content without daily engineering; focus on rural Maharashtra groundwater resilience.</w:t>
      </w:r>
    </w:p>
    <w:p>
      <w:pPr>
        <w:spacing w:after="160"/>
      </w:pPr>
      <w:r>
        <w:rPr>
          <w:rFonts w:ascii="Calibri" w:hAnsi="Calibri"/>
          <w:sz w:val="22"/>
        </w:rPr>
        <w:t>Bottom line: IoT groundwater intelligence wrapped in a partner-facing website — maps, health scores, pump drawdown, alerts, and field stories.</w:t>
      </w:r>
    </w:p>
    <w:p>
      <w:pPr>
        <w:jc w:val="center"/>
      </w:pPr>
      <w:r>
        <w:rPr>
          <w:i/>
          <w:color w:val="777777"/>
          <w:sz w:val="18"/>
        </w:rPr>
        <w:br/>
        <w:t>— End of Product Overview —</w:t>
        <w:br/>
        <w:t>JalYantra Water Watch · Competition pack · JALYANTRA_DETAILS.md kept unchanged</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F4C5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F4C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F4C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