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center"/>
      </w:pPr>
      <w:r>
        <w:rPr>
          <w:rFonts w:ascii="Times New Roman" w:hAnsi="Times New Roman"/>
          <w:b/>
          <w:sz w:val="32"/>
        </w:rPr>
        <w:t>Chapter 1</w:t>
      </w:r>
    </w:p>
    <w:p>
      <w:pPr>
        <w:spacing w:line="420" w:lineRule="exact"/>
        <w:jc w:val="center"/>
      </w:pPr>
      <w:r>
        <w:rPr>
          <w:rFonts w:ascii="Times New Roman" w:hAnsi="Times New Roman"/>
          <w:b/>
          <w:sz w:val="32"/>
        </w:rPr>
        <w:t>Introduction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1.1 Background</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left"/>
      </w:pPr>
      <w:r>
        <w:rPr>
          <w:rFonts w:ascii="Times New Roman" w:hAnsi="Times New Roman"/>
          <w:b/>
          <w:sz w:val="28"/>
        </w:rPr>
        <w:t>1.2 Problem Statement and Motivation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left"/>
      </w:pPr>
      <w:r>
        <w:rPr>
          <w:rFonts w:ascii="Times New Roman" w:hAnsi="Times New Roman"/>
          <w:b/>
          <w:sz w:val="28"/>
        </w:rPr>
        <w:t>1.3 Existing Systems and Technologies</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left"/>
      </w:pPr>
      <w:r>
        <w:rPr>
          <w:rFonts w:ascii="Times New Roman" w:hAnsi="Times New Roman"/>
          <w:b/>
          <w:sz w:val="28"/>
        </w:rPr>
        <w:t>1.4 Proposed Approach</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left"/>
      </w:pPr>
      <w:r>
        <w:rPr>
          <w:rFonts w:ascii="Times New Roman" w:hAnsi="Times New Roman"/>
          <w:b/>
          <w:sz w:val="28"/>
        </w:rPr>
        <w:t>1.5 Objectives of the Project</w:t>
      </w:r>
    </w:p>
    <w:p>
      <w:pPr>
        <w:spacing w:line="420" w:lineRule="exact"/>
        <w:jc w:val="both"/>
      </w:pPr>
      <w:r>
        <w:rPr>
          <w:rFonts w:ascii="Times New Roman" w:hAnsi="Times New Roman"/>
          <w:b w:val="0"/>
          <w:sz w:val="24"/>
        </w:rPr>
        <w:t>The KrishiMitra project is guided by the following core technical and operational objectives:</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left"/>
      </w:pPr>
      <w:r>
        <w:rPr>
          <w:rFonts w:ascii="Times New Roman" w:hAnsi="Times New Roman"/>
          <w:b/>
          <w:sz w:val="28"/>
        </w:rPr>
        <w:t>1.6 Sustainable Development Goals (SDGs)</w:t>
      </w:r>
    </w:p>
    <w:p>
      <w:pPr>
        <w:spacing w:line="420" w:lineRule="exact"/>
        <w:jc w:val="both"/>
      </w:pPr>
      <w:r>
        <w:rPr>
          <w:rFonts w:ascii="Times New Roman" w:hAnsi="Times New Roman"/>
          <w:b w:val="0"/>
          <w:sz w:val="24"/>
        </w:rPr>
        <w:t>The KrishiMitra initiative is intricately aligned with the United Nations Sustainable Development Goals (SDGs), representing a concrete technological intervention towards global sustainability targets: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left"/>
      </w:pPr>
      <w:r>
        <w:rPr>
          <w:rFonts w:ascii="Times New Roman" w:hAnsi="Times New Roman"/>
          <w:b/>
          <w:sz w:val="28"/>
        </w:rPr>
        <w:t>1.7 Overview of Project Report</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r>
        <w:br w:type="page"/>
      </w:r>
    </w:p>
    <w:p>
      <w:pPr>
        <w:spacing w:line="420" w:lineRule="exact"/>
        <w:jc w:val="center"/>
      </w:pPr>
      <w:r>
        <w:rPr>
          <w:rFonts w:ascii="Times New Roman" w:hAnsi="Times New Roman"/>
          <w:b/>
          <w:sz w:val="32"/>
        </w:rPr>
        <w:t>Chapter 2</w:t>
      </w:r>
    </w:p>
    <w:p>
      <w:pPr>
        <w:spacing w:line="420" w:lineRule="exact"/>
        <w:jc w:val="center"/>
      </w:pPr>
      <w:r>
        <w:rPr>
          <w:rFonts w:ascii="Times New Roman" w:hAnsi="Times New Roman"/>
          <w:b/>
          <w:sz w:val="32"/>
        </w:rPr>
        <w:t>Literature Review</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center"/>
      </w:pPr>
      <w:r>
        <w:rPr>
          <w:rFonts w:ascii="Times New Roman" w:hAnsi="Times New Roman"/>
          <w:b/>
          <w:sz w:val="32"/>
        </w:rPr>
        <w:t>Chapter 3</w:t>
      </w:r>
    </w:p>
    <w:p>
      <w:pPr>
        <w:spacing w:line="420" w:lineRule="exact"/>
        <w:jc w:val="center"/>
      </w:pPr>
      <w:r>
        <w:rPr>
          <w:rFonts w:ascii="Times New Roman" w:hAnsi="Times New Roman"/>
          <w:b/>
          <w:sz w:val="32"/>
        </w:rPr>
        <w:t>Methodology</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left"/>
      </w:pPr>
      <w:r>
        <w:rPr>
          <w:rFonts w:ascii="Times New Roman" w:hAnsi="Times New Roman"/>
          <w:b/>
          <w:sz w:val="28"/>
        </w:rPr>
        <w:t>3.1 Data Collection and Preprocessing</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left"/>
      </w:pPr>
      <w:r>
        <w:rPr>
          <w:rFonts w:ascii="Times New Roman" w:hAnsi="Times New Roman"/>
          <w:b/>
          <w:sz w:val="28"/>
        </w:rPr>
        <w:t>3.2 Machine Learning Algorithmic Foundations</w:t>
      </w:r>
    </w:p>
    <w:p>
      <w:pPr>
        <w:spacing w:line="420" w:lineRule="exact"/>
        <w:jc w:val="left"/>
      </w:pPr>
      <w:r>
        <w:rPr>
          <w:rFonts w:ascii="Times New Roman" w:hAnsi="Times New Roman"/>
          <w:b/>
          <w:sz w:val="24"/>
        </w:rPr>
        <w:t>3.2.1 Deep Residual Networks (ResNet50) and Transfer Learning</w:t>
      </w:r>
    </w:p>
    <w:p>
      <w:pPr>
        <w:spacing w:line="420" w:lineRule="exact"/>
        <w:jc w:val="both"/>
      </w:pPr>
      <w:r>
        <w:rPr>
          <w:rFonts w:ascii="Times New Roman" w:hAnsi="Times New Roman"/>
          <w:b w:val="0"/>
          <w:sz w:val="24"/>
        </w:rPr>
        <w:t>The selection of ResNet50 over linear CNN architectures (like VGG16) was a deliberate methodological choice driven by the 'degradation problem'. As neural networks become deeper to extract more complex, abstract features, accuracy often saturates and then rapidly degrades, not due to overfitting, but due to vanishing or exploding gradients that prevent effective weight updates during backpropagation. ResNet solves this via residual blocks containing 'shortcut connections' that perform identity mapping. If a specific layer is unnecessary, the network can easily learn to drive the weights of that layer to zero, effectively skipping it and leaving the identity mapping intact. This architecture allowed the KrishiMitra model to leverage 50 deep layers of feature extraction without suffering from gradient vanishing, making it exceptionally adept at identifying the subtle geometric and textural anomalies indicative of early-stage foliar diseases.</w:t>
      </w:r>
    </w:p>
    <w:p>
      <w:pPr>
        <w:spacing w:line="420" w:lineRule="exact"/>
        <w:jc w:val="left"/>
      </w:pPr>
      <w:r>
        <w:rPr>
          <w:rFonts w:ascii="Times New Roman" w:hAnsi="Times New Roman"/>
          <w:b/>
          <w:sz w:val="24"/>
        </w:rPr>
        <w:t>3.2.2 Explainable AI via Grad-CAM</w:t>
      </w:r>
    </w:p>
    <w:p>
      <w:pPr>
        <w:spacing w:line="420" w:lineRule="exact"/>
        <w:jc w:val="both"/>
      </w:pPr>
      <w:r>
        <w:rPr>
          <w:rFonts w:ascii="Times New Roman" w:hAnsi="Times New Roman"/>
          <w:b w:val="0"/>
          <w:sz w:val="24"/>
        </w:rPr>
        <w:t>To achieve algorithmic transparency, the methodology incorporated Gradient-weighted Class Activation Mapping (Grad-CAM). Traditional CNNs output a singular probability distribution, offering no insight into which visual features drove that prediction. Grad-CAM overcomes this by utilizing the spatial information preserved in the final convolutional layers. Specifically, the gradients of the target concept (the predicted disease class) are routed backward into the final convolutional feature map. These gradients are globally average-pooled to obtain 'importance weights' for each feature channel. A weighted combination of forward activation maps is then computed, followed by a ReLU activation to isolate only those features that have a positive influence on the target class. The resulting 2D spatial map is upsampled to the original image dimensions and overlaid as a colormap, providing farmers with a visual, intuitive explanation (a 'heat map') of the specific leaf lesions the AI utilized to form its diagnosis.</w:t>
      </w:r>
    </w:p>
    <w:p>
      <w:pPr>
        <w:spacing w:line="420" w:lineRule="exact"/>
        <w:jc w:val="left"/>
      </w:pPr>
      <w:r>
        <w:rPr>
          <w:rFonts w:ascii="Times New Roman" w:hAnsi="Times New Roman"/>
          <w:b/>
          <w:sz w:val="24"/>
        </w:rPr>
        <w:t>3.2.3 Long Short-Term Memory (LSTM) Networks for Time-Series</w:t>
      </w:r>
    </w:p>
    <w:p>
      <w:pPr>
        <w:spacing w:line="420" w:lineRule="exact"/>
        <w:jc w:val="both"/>
      </w:pPr>
      <w:r>
        <w:rPr>
          <w:rFonts w:ascii="Times New Roman" w:hAnsi="Times New Roman"/>
          <w:b w:val="0"/>
          <w:sz w:val="24"/>
        </w:rPr>
        <w:t>Predicting agricultural commodity prices is a highly complex, non-linear time-series problem, heavily influenced by seasonality, weather, and localized supply-demand shocks. Traditional statistical methods like ARIMA often fail to capture the complex, long-term dependencies inherent in such data. The methodology therefore utilized LSTM networks, a specialized variant of Recurrent Neural Networks (RNNs) explicitly designed to avoid the long-term dependency problem. LSTMs achieve this via a complex cell state governed by three distinct regulatory gates: the forget gate (which decides what information to discard from the cell state), the input gate (which decides which new information to store), and the output gate (which determines what the next hidden state should be). By training on historical windows of 30-day sequential mandi prices, the LSTM network learns to filter out transient daily noise and identify the underlying trajectory, generating robust short-term forecasts that assist farmers in strategic market timing.</w:t>
      </w:r>
    </w:p>
    <w:p>
      <w:r>
        <w:br w:type="page"/>
      </w:r>
    </w:p>
    <w:p>
      <w:pPr>
        <w:spacing w:line="420" w:lineRule="exact"/>
        <w:jc w:val="center"/>
      </w:pPr>
      <w:r>
        <w:rPr>
          <w:rFonts w:ascii="Times New Roman" w:hAnsi="Times New Roman"/>
          <w:b/>
          <w:sz w:val="32"/>
        </w:rPr>
        <w:t>Chapter 4</w:t>
      </w:r>
    </w:p>
    <w:p>
      <w:pPr>
        <w:spacing w:line="420" w:lineRule="exact"/>
        <w:jc w:val="center"/>
      </w:pPr>
      <w:r>
        <w:rPr>
          <w:rFonts w:ascii="Times New Roman" w:hAnsi="Times New Roman"/>
          <w:b/>
          <w:sz w:val="32"/>
        </w:rPr>
        <w:t>Project Management</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left"/>
      </w:pPr>
      <w:r>
        <w:rPr>
          <w:rFonts w:ascii="Times New Roman" w:hAnsi="Times New Roman"/>
          <w:b/>
          <w:sz w:val="28"/>
        </w:rPr>
        <w:t>4.1 Detailed Project Timeline and Milestones</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left"/>
      </w:pPr>
      <w:r>
        <w:rPr>
          <w:rFonts w:ascii="Times New Roman" w:hAnsi="Times New Roman"/>
          <w:b/>
          <w:sz w:val="28"/>
        </w:rPr>
        <w:t>4.2 Comprehensive Risk Analysis and Mitigation Strategies</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center"/>
      </w:pPr>
      <w:r>
        <w:rPr>
          <w:rFonts w:ascii="Times New Roman" w:hAnsi="Times New Roman"/>
          <w:b/>
          <w:sz w:val="32"/>
        </w:rPr>
        <w:t>Chapter 5</w:t>
      </w:r>
    </w:p>
    <w:p>
      <w:pPr>
        <w:spacing w:line="420" w:lineRule="exact"/>
        <w:jc w:val="center"/>
      </w:pPr>
      <w:r>
        <w:rPr>
          <w:rFonts w:ascii="Times New Roman" w:hAnsi="Times New Roman"/>
          <w:b/>
          <w:sz w:val="32"/>
        </w:rPr>
        <w:t>System Analysis and Design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5.1 Feasibility Study</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left"/>
      </w:pPr>
      <w:r>
        <w:rPr>
          <w:rFonts w:ascii="Times New Roman" w:hAnsi="Times New Roman"/>
          <w:b/>
          <w:sz w:val="28"/>
        </w:rPr>
        <w:t>5.2 Requirement Specifications</w:t>
      </w:r>
    </w:p>
    <w:p>
      <w:pPr>
        <w:spacing w:line="420" w:lineRule="exact"/>
        <w:jc w:val="both"/>
      </w:pPr>
      <w:r>
        <w:rPr>
          <w:rFonts w:ascii="Times New Roman" w:hAnsi="Times New Roman"/>
          <w:b w:val="0"/>
          <w:sz w:val="24"/>
        </w:rPr>
        <w:t>The system requirements were rigorously categorized to guide the subsequent architectural design.</w:t>
      </w:r>
    </w:p>
    <w:p>
      <w:pPr>
        <w:spacing w:line="420" w:lineRule="exact"/>
        <w:jc w:val="left"/>
      </w:pPr>
      <w:r>
        <w:rPr>
          <w:rFonts w:ascii="Times New Roman" w:hAnsi="Times New Roman"/>
          <w:b/>
          <w:sz w:val="24"/>
        </w:rPr>
        <w:t>5.2.1 Functional Requirements</w:t>
      </w:r>
    </w:p>
    <w:p>
      <w:pPr>
        <w:spacing w:line="420" w:lineRule="exact"/>
        <w:jc w:val="both"/>
      </w:pPr>
      <w:r>
        <w:rPr>
          <w:rFonts w:ascii="Times New Roman" w:hAnsi="Times New Roman"/>
          <w:b w:val="0"/>
          <w:sz w:val="24"/>
        </w:rPr>
        <w:t>1. User Management: The system must allow users to register and authenticate using an OTP-based mechanism, assigning specific roles (Farmer or Buyer) that dictate UI navigation and access permissions.</w:t>
      </w:r>
    </w:p>
    <w:p>
      <w:pPr>
        <w:spacing w:line="420" w:lineRule="exact"/>
        <w:jc w:val="both"/>
      </w:pPr>
      <w:r>
        <w:rPr>
          <w:rFonts w:ascii="Times New Roman" w:hAnsi="Times New Roman"/>
          <w:b w:val="0"/>
          <w:sz w:val="24"/>
        </w:rPr>
        <w:t>2. Diagnostic AI: The system must accept image uploads of crop foliage, process them via the ResNet50 model, and return a specific disease classification alongside a Grad-CAM heatmap visualization.</w:t>
      </w:r>
    </w:p>
    <w:p>
      <w:pPr>
        <w:spacing w:line="420" w:lineRule="exact"/>
        <w:jc w:val="both"/>
      </w:pPr>
      <w:r>
        <w:rPr>
          <w:rFonts w:ascii="Times New Roman" w:hAnsi="Times New Roman"/>
          <w:b w:val="0"/>
          <w:sz w:val="24"/>
        </w:rPr>
        <w:t>3. Soil Advisory: The system must accept numeric inputs for N, P, K, pH, and Moisture, process them via the KNN engine, and return an ordered list of optimal crops and fertilizer correction advice.</w:t>
      </w:r>
    </w:p>
    <w:p>
      <w:pPr>
        <w:spacing w:line="420" w:lineRule="exact"/>
        <w:jc w:val="both"/>
      </w:pPr>
      <w:r>
        <w:rPr>
          <w:rFonts w:ascii="Times New Roman" w:hAnsi="Times New Roman"/>
          <w:b w:val="0"/>
          <w:sz w:val="24"/>
        </w:rPr>
        <w:t>4. Market Intelligence: The system must autonomously poll the Agmarknet API, ingest the data, and render predictive price trend graphs using the LSTM module.</w:t>
      </w:r>
    </w:p>
    <w:p>
      <w:pPr>
        <w:spacing w:line="420" w:lineRule="exact"/>
        <w:jc w:val="both"/>
      </w:pPr>
      <w:r>
        <w:rPr>
          <w:rFonts w:ascii="Times New Roman" w:hAnsi="Times New Roman"/>
          <w:b w:val="0"/>
          <w:sz w:val="24"/>
        </w:rPr>
        <w:t>5. P2P Marketplace: The system must allow Farmers to create crop listings and Buyers to browse, initiate chats, negotiate, and execute purchases, with automated state transitions (Pending -&gt; Confirmed -&gt; Completed).</w:t>
      </w:r>
    </w:p>
    <w:p>
      <w:pPr>
        <w:spacing w:line="420" w:lineRule="exact"/>
        <w:jc w:val="left"/>
      </w:pPr>
      <w:r>
        <w:rPr>
          <w:rFonts w:ascii="Times New Roman" w:hAnsi="Times New Roman"/>
          <w:b/>
          <w:sz w:val="24"/>
        </w:rPr>
        <w:t>5.2.2 Non-Functional Requirements</w:t>
      </w:r>
    </w:p>
    <w:p>
      <w:pPr>
        <w:spacing w:line="420" w:lineRule="exact"/>
        <w:jc w:val="both"/>
      </w:pPr>
      <w:r>
        <w:rPr>
          <w:rFonts w:ascii="Times New Roman" w:hAnsi="Times New Roman"/>
          <w:b w:val="0"/>
          <w:sz w:val="24"/>
        </w:rPr>
        <w:t>1. Latency: The core diagnostic inference pipeline (image upload to heatmap return) must execute in under 3.0 seconds over a standard 4G network connection.</w:t>
      </w:r>
    </w:p>
    <w:p>
      <w:pPr>
        <w:spacing w:line="420" w:lineRule="exact"/>
        <w:jc w:val="both"/>
      </w:pPr>
      <w:r>
        <w:rPr>
          <w:rFonts w:ascii="Times New Roman" w:hAnsi="Times New Roman"/>
          <w:b w:val="0"/>
          <w:sz w:val="24"/>
        </w:rPr>
        <w:t>2. Reliability: The Flask backend must gracefully handle malformed requests or API timeouts, returning intelligible error messages to the Flutter client without crashing.</w:t>
      </w:r>
    </w:p>
    <w:p>
      <w:pPr>
        <w:spacing w:line="420" w:lineRule="exact"/>
        <w:jc w:val="both"/>
      </w:pPr>
      <w:r>
        <w:rPr>
          <w:rFonts w:ascii="Times New Roman" w:hAnsi="Times New Roman"/>
          <w:b w:val="0"/>
          <w:sz w:val="24"/>
        </w:rPr>
        <w:t>3. Security: All API communication must occur over HTTPS, and user session tokens must be securely stored in the mobile device's encrypted storage utilizing the flutter_secure_storage package.</w:t>
      </w:r>
    </w:p>
    <w:p>
      <w:pPr>
        <w:spacing w:line="420" w:lineRule="exact"/>
        <w:jc w:val="left"/>
      </w:pPr>
      <w:r>
        <w:rPr>
          <w:rFonts w:ascii="Times New Roman" w:hAnsi="Times New Roman"/>
          <w:b/>
          <w:sz w:val="28"/>
        </w:rPr>
        <w:t>5.3 Unified Modeling Language (UML) Diagrams</w:t>
      </w:r>
    </w:p>
    <w:p>
      <w:pPr>
        <w:spacing w:line="420" w:lineRule="exact"/>
        <w:jc w:val="left"/>
      </w:pPr>
      <w:r>
        <w:rPr>
          <w:rFonts w:ascii="Times New Roman" w:hAnsi="Times New Roman"/>
          <w:b/>
          <w:sz w:val="24"/>
        </w:rPr>
        <w:t>5.3.1 Use Case Diagrams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left"/>
      </w:pPr>
      <w:r>
        <w:rPr>
          <w:rFonts w:ascii="Times New Roman" w:hAnsi="Times New Roman"/>
          <w:b/>
          <w:sz w:val="24"/>
        </w:rPr>
        <w:t>5.3.2 Data Flow Diagrams (DFD)</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left"/>
      </w:pPr>
      <w:r>
        <w:rPr>
          <w:rFonts w:ascii="Times New Roman" w:hAnsi="Times New Roman"/>
          <w:b/>
          <w:sz w:val="28"/>
        </w:rPr>
        <w:t>5.4 Database Design and Data Dictionary</w:t>
      </w:r>
    </w:p>
    <w:p>
      <w:pPr>
        <w:spacing w:line="420" w:lineRule="exact"/>
        <w:jc w:val="both"/>
      </w:pPr>
      <w:r>
        <w:rPr>
          <w:rFonts w:ascii="Times New Roman" w:hAnsi="Times New Roman"/>
          <w:b w:val="0"/>
          <w:sz w:val="24"/>
        </w:rPr>
        <w:t>To ensure relational integrity and optimal query performance, the application state is managed via an SQLite database, abstracted through the SQLAlchemy ORM. The schema consists of seven highly normalized tables.</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r>
        <w:br w:type="page"/>
      </w:r>
    </w:p>
    <w:p>
      <w:pPr>
        <w:spacing w:line="420" w:lineRule="exact"/>
        <w:jc w:val="center"/>
      </w:pPr>
      <w:r>
        <w:rPr>
          <w:rFonts w:ascii="Times New Roman" w:hAnsi="Times New Roman"/>
          <w:b/>
          <w:sz w:val="32"/>
        </w:rPr>
        <w:t>Chapter 6</w:t>
      </w:r>
    </w:p>
    <w:p>
      <w:pPr>
        <w:spacing w:line="420" w:lineRule="exact"/>
        <w:jc w:val="center"/>
      </w:pPr>
      <w:r>
        <w:rPr>
          <w:rFonts w:ascii="Times New Roman" w:hAnsi="Times New Roman"/>
          <w:b/>
          <w:sz w:val="32"/>
        </w:rPr>
        <w:t>Implementation and Simulation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6.1 Hardware and Software Environment</w:t>
      </w:r>
    </w:p>
    <w:p>
      <w:pPr>
        <w:spacing w:line="420" w:lineRule="exact"/>
        <w:jc w:val="both"/>
      </w:pPr>
      <w:r>
        <w:rPr>
          <w:rFonts w:ascii="Times New Roman" w:hAnsi="Times New Roman"/>
          <w:b w:val="0"/>
          <w:sz w:val="24"/>
        </w:rPr>
        <w:t>The development and simulation of the platform required specific hardware and software configurations to support both the intensive ML training phases and the agile mobile development cycles.</w:t>
      </w:r>
    </w:p>
    <w:p>
      <w:pPr>
        <w:spacing w:line="420" w:lineRule="exact"/>
        <w:jc w:val="both"/>
      </w:pPr>
      <w:r>
        <w:rPr>
          <w:rFonts w:ascii="Times New Roman" w:hAnsi="Times New Roman"/>
          <w:b w:val="0"/>
          <w:sz w:val="24"/>
        </w:rPr>
        <w:t>Hardware Specifications:</w:t>
      </w:r>
    </w:p>
    <w:p>
      <w:pPr>
        <w:spacing w:line="420" w:lineRule="exact"/>
        <w:jc w:val="both"/>
      </w:pPr>
      <w:r>
        <w:rPr>
          <w:rFonts w:ascii="Times New Roman" w:hAnsi="Times New Roman"/>
          <w:b w:val="0"/>
          <w:sz w:val="24"/>
        </w:rPr>
        <w:t>• Development Workstation: Intel Core i7 (12th Gen) / AMD Ryzen 7, 32GB DDR4 RAM, 1TB NVMe SSD. For model training, reliance was placed on NVIDIA RTX 3060 (12GB VRAM) for local prototyping, seamlessly scaling to Google Colab Pro instances (NVIDIA A100 GPUs) for final epoch training of the ResNet50 architecture.</w:t>
      </w:r>
    </w:p>
    <w:p>
      <w:pPr>
        <w:spacing w:line="420" w:lineRule="exact"/>
        <w:jc w:val="both"/>
      </w:pPr>
      <w:r>
        <w:rPr>
          <w:rFonts w:ascii="Times New Roman" w:hAnsi="Times New Roman"/>
          <w:b w:val="0"/>
          <w:sz w:val="24"/>
        </w:rPr>
        <w:t>• Simulation Devices: Physical testing was conducted on a spectrum of Android hardware to ensure UI responsiveness. Devices included a high-end Pixel 7 Pro (for ideal baseline metrics) and a low-end Redmi Note 10 (to simulate resource-constrained rural environments).</w:t>
      </w:r>
    </w:p>
    <w:p>
      <w:pPr>
        <w:spacing w:line="420" w:lineRule="exact"/>
        <w:jc w:val="both"/>
      </w:pPr>
      <w:r>
        <w:rPr>
          <w:rFonts w:ascii="Times New Roman" w:hAnsi="Times New Roman"/>
          <w:b w:val="0"/>
          <w:sz w:val="24"/>
        </w:rPr>
        <w:t>Software Specifications:</w:t>
      </w:r>
    </w:p>
    <w:p>
      <w:pPr>
        <w:spacing w:line="420" w:lineRule="exact"/>
        <w:jc w:val="both"/>
      </w:pPr>
      <w:r>
        <w:rPr>
          <w:rFonts w:ascii="Times New Roman" w:hAnsi="Times New Roman"/>
          <w:b w:val="0"/>
          <w:sz w:val="24"/>
        </w:rPr>
        <w:t>• Frontend Framework: Flutter SDK 3.19.x, utilizing the Dart 3.x programming language.</w:t>
      </w:r>
    </w:p>
    <w:p>
      <w:pPr>
        <w:spacing w:line="420" w:lineRule="exact"/>
        <w:jc w:val="both"/>
      </w:pPr>
      <w:r>
        <w:rPr>
          <w:rFonts w:ascii="Times New Roman" w:hAnsi="Times New Roman"/>
          <w:b w:val="0"/>
          <w:sz w:val="24"/>
        </w:rPr>
        <w:t>• Backend Framework: Python 3.11.x executing the Flask 2.3.x micro-framework. WSGI serving managed via Gunicorn/Waitress depending on the OS deployment environment.</w:t>
      </w:r>
    </w:p>
    <w:p>
      <w:pPr>
        <w:spacing w:line="420" w:lineRule="exact"/>
        <w:jc w:val="both"/>
      </w:pPr>
      <w:r>
        <w:rPr>
          <w:rFonts w:ascii="Times New Roman" w:hAnsi="Times New Roman"/>
          <w:b w:val="0"/>
          <w:sz w:val="24"/>
        </w:rPr>
        <w:t>• Machine Learning Stack: TensorFlow 2.15.x and Keras for deep learning; pure Python standard libraries (math, collections) for the custom KNN implementation.</w:t>
      </w:r>
    </w:p>
    <w:p>
      <w:pPr>
        <w:spacing w:line="420" w:lineRule="exact"/>
        <w:jc w:val="left"/>
      </w:pPr>
      <w:r>
        <w:rPr>
          <w:rFonts w:ascii="Times New Roman" w:hAnsi="Times New Roman"/>
          <w:b/>
          <w:sz w:val="28"/>
        </w:rPr>
        <w:t>6.2 Implementation Details of Core Modules</w:t>
      </w:r>
    </w:p>
    <w:p>
      <w:pPr>
        <w:spacing w:line="420" w:lineRule="exact"/>
        <w:jc w:val="left"/>
      </w:pPr>
      <w:r>
        <w:rPr>
          <w:rFonts w:ascii="Times New Roman" w:hAnsi="Times New Roman"/>
          <w:b/>
          <w:sz w:val="24"/>
        </w:rPr>
        <w:t>6.2.1 Deep Learning Vision Module (ResNet50 &amp; Grad-CAM)</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left"/>
      </w:pPr>
      <w:r>
        <w:rPr>
          <w:rFonts w:ascii="Times New Roman" w:hAnsi="Times New Roman"/>
          <w:b/>
          <w:sz w:val="24"/>
        </w:rPr>
        <w:t>6.2.2 Dependency-Free KNN Soil Engine</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left"/>
      </w:pPr>
      <w:r>
        <w:rPr>
          <w:rFonts w:ascii="Times New Roman" w:hAnsi="Times New Roman"/>
          <w:b/>
          <w:sz w:val="28"/>
        </w:rPr>
        <w:t>6.3 Frontend Integration and State Management</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center"/>
      </w:pPr>
      <w:r>
        <w:rPr>
          <w:rFonts w:ascii="Times New Roman" w:hAnsi="Times New Roman"/>
          <w:b/>
          <w:sz w:val="32"/>
        </w:rPr>
        <w:t>Chapter 7</w:t>
      </w:r>
    </w:p>
    <w:p>
      <w:pPr>
        <w:spacing w:line="420" w:lineRule="exact"/>
        <w:jc w:val="center"/>
      </w:pPr>
      <w:r>
        <w:rPr>
          <w:rFonts w:ascii="Times New Roman" w:hAnsi="Times New Roman"/>
          <w:b/>
          <w:sz w:val="32"/>
        </w:rPr>
        <w:t>Evaluation and Results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7.1 Software Testing Methodology</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left"/>
      </w:pPr>
      <w:r>
        <w:rPr>
          <w:rFonts w:ascii="Times New Roman" w:hAnsi="Times New Roman"/>
          <w:b/>
          <w:sz w:val="28"/>
        </w:rPr>
        <w:t>7.2 Deep Learning Model Evaluation Metrics</w:t>
      </w:r>
    </w:p>
    <w:p>
      <w:pPr>
        <w:spacing w:line="420" w:lineRule="exact"/>
        <w:jc w:val="left"/>
      </w:pPr>
      <w:r>
        <w:rPr>
          <w:rFonts w:ascii="Times New Roman" w:hAnsi="Times New Roman"/>
          <w:b/>
          <w:sz w:val="24"/>
        </w:rPr>
        <w:t>7.2.1 ResNet50 Classification Performance</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left"/>
      </w:pPr>
      <w:r>
        <w:rPr>
          <w:rFonts w:ascii="Times New Roman" w:hAnsi="Times New Roman"/>
          <w:b/>
          <w:sz w:val="24"/>
        </w:rPr>
        <w:t>7.2.2 End-to-End System Latency</w:t>
      </w:r>
    </w:p>
    <w:p>
      <w:pPr>
        <w:spacing w:line="420" w:lineRule="exact"/>
        <w:jc w:val="both"/>
      </w:pPr>
      <w:r>
        <w:rPr>
          <w:rFonts w:ascii="Times New Roman" w:hAnsi="Times New Roman"/>
          <w:b w:val="0"/>
          <w:sz w:val="24"/>
        </w:rPr>
        <w:t>To guarantee operational feasibility in rural settings, rigorous latency benchmarking was conducted over standard 4G network profiles.</w:t>
      </w:r>
    </w:p>
    <w:p>
      <w:pPr>
        <w:spacing w:line="420" w:lineRule="exact"/>
        <w:jc w:val="both"/>
      </w:pPr>
      <w:r>
        <w:rPr>
          <w:rFonts w:ascii="Times New Roman" w:hAnsi="Times New Roman"/>
          <w:b w:val="0"/>
          <w:sz w:val="24"/>
        </w:rPr>
        <w:t>• Image Inference Pipeline: From the moment the 'Scan' button was pressed on the Flutter client, the image was compressed, transmitted over HTTPS, processed by ResNet50, the Grad-CAM heatmap generated, and the JSON response rendered. Average time: 2.1 seconds.</w:t>
      </w:r>
    </w:p>
    <w:p>
      <w:pPr>
        <w:spacing w:line="420" w:lineRule="exact"/>
        <w:jc w:val="both"/>
      </w:pPr>
      <w:r>
        <w:rPr>
          <w:rFonts w:ascii="Times New Roman" w:hAnsi="Times New Roman"/>
          <w:b w:val="0"/>
          <w:sz w:val="24"/>
        </w:rPr>
        <w:t>• Soil Recommendation: Executing the pure-Python KNN algorithm locally on the Flask server averaged 0.15 seconds, representing negligible overhead.</w:t>
      </w:r>
    </w:p>
    <w:p>
      <w:pPr>
        <w:spacing w:line="420" w:lineRule="exact"/>
        <w:jc w:val="both"/>
      </w:pPr>
      <w:r>
        <w:rPr>
          <w:rFonts w:ascii="Times New Roman" w:hAnsi="Times New Roman"/>
          <w:b w:val="0"/>
          <w:sz w:val="24"/>
        </w:rPr>
        <w:t>• LLM Advisory: Proxying natural language queries to the Groq LLaMA 3.3 endpoint and streaming the response back to the client UI averaged 0.9 seconds, providing a near-instantaneous conversational experience.</w:t>
      </w:r>
    </w:p>
    <w:p>
      <w:pPr>
        <w:spacing w:line="420" w:lineRule="exact"/>
        <w:jc w:val="left"/>
      </w:pPr>
      <w:r>
        <w:rPr>
          <w:rFonts w:ascii="Times New Roman" w:hAnsi="Times New Roman"/>
          <w:b/>
          <w:sz w:val="28"/>
        </w:rPr>
        <w:t>7.3 Marketplace Pilot Study Outcomes</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r>
        <w:br w:type="page"/>
      </w:r>
    </w:p>
    <w:p>
      <w:pPr>
        <w:spacing w:line="420" w:lineRule="exact"/>
        <w:jc w:val="center"/>
      </w:pPr>
      <w:r>
        <w:rPr>
          <w:rFonts w:ascii="Times New Roman" w:hAnsi="Times New Roman"/>
          <w:b/>
          <w:sz w:val="32"/>
        </w:rPr>
        <w:t>Chapter 8</w:t>
      </w:r>
    </w:p>
    <w:p>
      <w:pPr>
        <w:spacing w:line="420" w:lineRule="exact"/>
        <w:jc w:val="center"/>
      </w:pPr>
      <w:r>
        <w:rPr>
          <w:rFonts w:ascii="Times New Roman" w:hAnsi="Times New Roman"/>
          <w:b/>
          <w:sz w:val="32"/>
        </w:rPr>
        <w:t>Social, Legal, Ethical, Sustainability and Safety Aspects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8.1 Social and Ethical Implications</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left"/>
      </w:pPr>
      <w:r>
        <w:rPr>
          <w:rFonts w:ascii="Times New Roman" w:hAnsi="Times New Roman"/>
          <w:b/>
          <w:sz w:val="28"/>
        </w:rPr>
        <w:t>8.2 Legal Compliance and Data Privacy</w:t>
      </w:r>
    </w:p>
    <w:p>
      <w:pPr>
        <w:spacing w:line="420" w:lineRule="exact"/>
        <w:jc w:val="both"/>
      </w:pPr>
      <w:r>
        <w:rPr>
          <w:rFonts w:ascii="Times New Roman" w:hAnsi="Times New Roman"/>
          <w:b w:val="0"/>
          <w:sz w:val="24"/>
        </w:rPr>
        <w:t>The platform is engineered in strict compliance with prevailing data protection regulations, notably addressing the tenets of the Indian Information Technology (Reasonable Security Practices and Procedures and Sensitive Personal Data or Information) Rules. User authentication utilizes secure OTP methodologies, and all communication between the mobile client and the Flask backend is encrypted via HTTPS protocols. Crucially, the P2P marketplace does not collect or process sensitive financial instruments (such as credit card numbers or UPI PINs); the platform merely facilitates discovery and negotiation, leaving the actual physical transfer of funds to the discretion of the transacting parties, thereby significantly mitigating legal liabilities and regulatory overhead.</w:t>
      </w:r>
    </w:p>
    <w:p>
      <w:pPr>
        <w:spacing w:line="420" w:lineRule="exact"/>
        <w:jc w:val="left"/>
      </w:pPr>
      <w:r>
        <w:rPr>
          <w:rFonts w:ascii="Times New Roman" w:hAnsi="Times New Roman"/>
          <w:b/>
          <w:sz w:val="28"/>
        </w:rPr>
        <w:t>8.3 Sustainability and Environmental Safety</w:t>
      </w:r>
    </w:p>
    <w:p>
      <w:pPr>
        <w:spacing w:line="420" w:lineRule="exact"/>
        <w:jc w:val="both"/>
      </w:pPr>
      <w:r>
        <w:rPr>
          <w:rFonts w:ascii="Times New Roman" w:hAnsi="Times New Roman"/>
          <w:b w:val="0"/>
          <w:sz w:val="24"/>
        </w:rPr>
        <w:t>The KNN soil recommendation module is intrinsically aligned with environmental sustainability. Traditional farming practices in India frequently involve the prophylactic and excessive application of synthetic fertilizers (particularly Urea), which leads to severe soil acidification, eutrophication of local water bodies via chemical runoff, and long-term degradation of arable land. By providing highly specific, localized fertilizer dosage adjustments based on precise soil parameters and crop requirements, KrishiMitra actively promotes precision agriculture. This optimization prevents chemical overuse, ensures long-term soil vitality, and promotes ecologically safe agricultural practices.</w:t>
      </w:r>
    </w:p>
    <w:p>
      <w:r>
        <w:br w:type="page"/>
      </w:r>
    </w:p>
    <w:p>
      <w:pPr>
        <w:spacing w:line="420" w:lineRule="exact"/>
        <w:jc w:val="center"/>
      </w:pPr>
      <w:r>
        <w:rPr>
          <w:rFonts w:ascii="Times New Roman" w:hAnsi="Times New Roman"/>
          <w:b/>
          <w:sz w:val="32"/>
        </w:rPr>
        <w:t>Chapter 9</w:t>
      </w:r>
    </w:p>
    <w:p>
      <w:pPr>
        <w:spacing w:line="420" w:lineRule="exact"/>
        <w:jc w:val="center"/>
      </w:pPr>
      <w:r>
        <w:rPr>
          <w:rFonts w:ascii="Times New Roman" w:hAnsi="Times New Roman"/>
          <w:b/>
          <w:sz w:val="32"/>
        </w:rPr>
        <w:t>Conclusion and Future Work</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9.1 Conclusion</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left"/>
      </w:pPr>
      <w:r>
        <w:rPr>
          <w:rFonts w:ascii="Times New Roman" w:hAnsi="Times New Roman"/>
          <w:b/>
          <w:sz w:val="28"/>
        </w:rPr>
        <w:t>9.2 Scope for Future Work</w:t>
      </w:r>
    </w:p>
    <w:p>
      <w:pPr>
        <w:spacing w:line="420" w:lineRule="exact"/>
        <w:jc w:val="both"/>
      </w:pPr>
      <w:r>
        <w:rPr>
          <w:rFonts w:ascii="Times New Roman" w:hAnsi="Times New Roman"/>
          <w:b w:val="0"/>
          <w:sz w:val="24"/>
        </w:rPr>
        <w:t>While the current iteration of KrishiMitra is highly functional, several promising avenues exist for future expansion and research:</w:t>
      </w:r>
    </w:p>
    <w:p>
      <w:pPr>
        <w:spacing w:line="420" w:lineRule="exact"/>
        <w:jc w:val="both"/>
      </w:pPr>
      <w:r>
        <w:rPr>
          <w:rFonts w:ascii="Times New Roman" w:hAnsi="Times New Roman"/>
          <w:b w:val="0"/>
          <w:sz w:val="24"/>
        </w:rPr>
        <w:t>1. Expanded Deep Learning Taxonomy: The ResNet50 model, currently restricted to three primary classes for proof-of-concept, must be expanded to encompass the full PlantVillage taxonomy, capable of detecting over 26 distinct disease profiles across a wider variety of staple and cash crops (e.g., wheat, rice, sugarcane).</w:t>
      </w:r>
    </w:p>
    <w:p>
      <w:pPr>
        <w:spacing w:line="420" w:lineRule="exact"/>
        <w:jc w:val="both"/>
      </w:pPr>
      <w:r>
        <w:rPr>
          <w:rFonts w:ascii="Times New Roman" w:hAnsi="Times New Roman"/>
          <w:b w:val="0"/>
          <w:sz w:val="24"/>
        </w:rPr>
        <w:t>2. On-Device Inference via TFLite: To fully mitigate the risks associated with rural network intermittency, future versions will explore exporting the TensorFlow models to the TFLite format with INT8 quantization. This would enable the Flutter application to execute complex disease classification entirely offline, directly on the mobile CPU/NPU.</w:t>
      </w:r>
    </w:p>
    <w:p>
      <w:pPr>
        <w:spacing w:line="420" w:lineRule="exact"/>
        <w:jc w:val="both"/>
      </w:pPr>
      <w:r>
        <w:rPr>
          <w:rFonts w:ascii="Times New Roman" w:hAnsi="Times New Roman"/>
          <w:b w:val="0"/>
          <w:sz w:val="24"/>
        </w:rPr>
        <w:t>3. Multimodal Satellite Integration: Incorporating remote sensing APIs (such as Sentinel-2 optical imagery) to provide farmers with macro-level Normalized Difference Vegetation Index (NDVI) mapping. This would allow the platform to detect large-scale crop stress or water deficits before they manifest as visible foliar symptoms.</w:t>
      </w:r>
    </w:p>
    <w:p>
      <w:pPr>
        <w:spacing w:line="420" w:lineRule="exact"/>
        <w:jc w:val="both"/>
      </w:pPr>
      <w:r>
        <w:rPr>
          <w:rFonts w:ascii="Times New Roman" w:hAnsi="Times New Roman"/>
          <w:b w:val="0"/>
          <w:sz w:val="24"/>
        </w:rPr>
        <w:t>4. Voice-First Conversational Interface: Given the varying literacy levels in rural demographics, the current text-based LLM advisory chat should be upgraded to support regional voice inputs (speech-to-text) and outputs (text-to-speech), utilizing models like Bhashini or Whisper, thereby removing the textual barrier to entry.</w:t>
      </w:r>
    </w:p>
    <w:p>
      <w:pPr>
        <w:spacing w:line="420" w:lineRule="exact"/>
        <w:jc w:val="both"/>
      </w:pPr>
      <w:r>
        <w:rPr>
          <w:rFonts w:ascii="Times New Roman" w:hAnsi="Times New Roman"/>
          <w:b w:val="0"/>
          <w:sz w:val="24"/>
        </w:rPr>
        <w:t>5. Federated Learning Protocols: Implementing federated learning would allow the diagnostic models to continuously update and learn from diverse field photographs captured by users globally, significantly improving model robustness without ever requiring the centralized transmission or storage of privacy-sensitive user images.</w:t>
      </w:r>
    </w:p>
    <w:p>
      <w:r>
        <w:br w:type="page"/>
      </w:r>
    </w:p>
    <w:p>
      <w:pPr>
        <w:spacing w:line="420" w:lineRule="exact"/>
        <w:jc w:val="center"/>
      </w:pPr>
      <w:r>
        <w:rPr>
          <w:rFonts w:ascii="Times New Roman" w:hAnsi="Times New Roman"/>
          <w:b/>
          <w:sz w:val="32"/>
        </w:rPr>
        <w:t>References</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[1] Food and Agriculture Organization of the United Nations, "The State of Food and Agriculture: Moving forward on food loss and waste reduction," FAO, Rome, 2019.</w:t>
      </w:r>
    </w:p>
    <w:p>
      <w:pPr>
        <w:spacing w:line="420" w:lineRule="exact"/>
        <w:jc w:val="both"/>
      </w:pPr>
      <w:r>
        <w:rPr>
          <w:rFonts w:ascii="Times New Roman" w:hAnsi="Times New Roman"/>
          <w:b w:val="0"/>
          <w:sz w:val="24"/>
        </w:rPr>
        <w:t>[2] S. P. Mohanty, D. P. Hughes, and M. Salathé, "Using deep learning for image-based plant disease detection," Frontiers in Plant Science, vol. 7, p. 1419, 2016.</w:t>
      </w:r>
    </w:p>
    <w:p>
      <w:pPr>
        <w:spacing w:line="420" w:lineRule="exact"/>
        <w:jc w:val="both"/>
      </w:pPr>
      <w:r>
        <w:rPr>
          <w:rFonts w:ascii="Times New Roman" w:hAnsi="Times New Roman"/>
          <w:b w:val="0"/>
          <w:sz w:val="24"/>
        </w:rPr>
        <w:t>[3] M. Brahimi, K. Boukhalfa, and A. Moussaoui, "Deep learning for tomato diseases: classification and symptoms visualization," Applied Artificial Intelligence, vol. 31, no. 4, pp. 299–315, 2017.</w:t>
      </w:r>
    </w:p>
    <w:p>
      <w:pPr>
        <w:spacing w:line="420" w:lineRule="exact"/>
        <w:jc w:val="both"/>
      </w:pPr>
      <w:r>
        <w:rPr>
          <w:rFonts w:ascii="Times New Roman" w:hAnsi="Times New Roman"/>
          <w:b w:val="0"/>
          <w:sz w:val="24"/>
        </w:rPr>
        <w:t>[4] K. P. Ferentinos, "Deep learning models for plant disease detection and diagnosis," Computers and Electronics in Agriculture, vol. 145, pp. 311–318, 2018.</w:t>
      </w:r>
    </w:p>
    <w:p>
      <w:pPr>
        <w:spacing w:line="420" w:lineRule="exact"/>
        <w:jc w:val="both"/>
      </w:pPr>
      <w:r>
        <w:rPr>
          <w:rFonts w:ascii="Times New Roman" w:hAnsi="Times New Roman"/>
          <w:b w:val="0"/>
          <w:sz w:val="24"/>
        </w:rPr>
        <w:t>[5] R. R. Selvaraju, M. Cogswell, A. Das, R. Vedantam, D. Parikh, and D. Batra, "Grad-CAM: visual explanations from deep networks via gradient-based localization," in Proceedings of the IEEE International Conference on Computer Vision (ICCV), Venice, Italy, 2017, pp. 618–626.</w:t>
      </w:r>
    </w:p>
    <w:p>
      <w:pPr>
        <w:spacing w:line="420" w:lineRule="exact"/>
        <w:jc w:val="both"/>
      </w:pPr>
      <w:r>
        <w:rPr>
          <w:rFonts w:ascii="Times New Roman" w:hAnsi="Times New Roman"/>
          <w:b w:val="0"/>
          <w:sz w:val="24"/>
        </w:rPr>
        <w:t>[6] A. Ramcharan, K. Baranowski, P. McCloskey, B. Ahmed, J. Legg, and D. P. Hughes, "Deep learning for image-based cassava disease detection," Frontiers in Plant Science, vol. 8, p. 1852, 2017.</w:t>
      </w:r>
    </w:p>
    <w:p>
      <w:pPr>
        <w:spacing w:line="420" w:lineRule="exact"/>
        <w:jc w:val="both"/>
      </w:pPr>
      <w:r>
        <w:rPr>
          <w:rFonts w:ascii="Times New Roman" w:hAnsi="Times New Roman"/>
          <w:b w:val="0"/>
          <w:sz w:val="24"/>
        </w:rPr>
        <w:t>[7] M. Ayaz, M. Ammad-Uddin, Z. Sharif, A. Mansour, and E. -H. M. Aggoune, "Internet-of-Things (IoT)-based smart agriculture: toward making the fields talk," IEEE Access, vol. 7, pp. 129551–129583, 2019.</w:t>
      </w:r>
    </w:p>
    <w:p>
      <w:pPr>
        <w:spacing w:line="420" w:lineRule="exact"/>
        <w:jc w:val="both"/>
      </w:pPr>
      <w:r>
        <w:rPr>
          <w:rFonts w:ascii="Times New Roman" w:hAnsi="Times New Roman"/>
          <w:b w:val="0"/>
          <w:sz w:val="24"/>
        </w:rPr>
        <w:t>[8] A. Kamilaris and F. X. Prenafeta-Boldú, "Deep learning in agriculture: a survey," Computers and Electronics in Agriculture, vol. 147, pp. 70–90, 2018.</w:t>
      </w:r>
    </w:p>
    <w:p>
      <w:pPr>
        <w:spacing w:line="420" w:lineRule="exact"/>
        <w:jc w:val="both"/>
      </w:pPr>
      <w:r>
        <w:rPr>
          <w:rFonts w:ascii="Times New Roman" w:hAnsi="Times New Roman"/>
          <w:b w:val="0"/>
          <w:sz w:val="24"/>
        </w:rPr>
        <w:t>[9] S. Pudumalar, E. Ramanujam, R. H. Rajashree, C. Kavya, T. Kiruthika, and J. Nisha, "Crop recommendation system for precision agriculture," in Proceedings of the 8th International Conference on Advanced Computing (ICoAC), Chennai, India, 2017, pp. 32–36.</w:t>
      </w:r>
    </w:p>
    <w:p>
      <w:pPr>
        <w:spacing w:line="420" w:lineRule="exact"/>
        <w:jc w:val="both"/>
      </w:pPr>
      <w:r>
        <w:rPr>
          <w:rFonts w:ascii="Times New Roman" w:hAnsi="Times New Roman"/>
          <w:b w:val="0"/>
          <w:sz w:val="24"/>
        </w:rPr>
        <w:t>[10] N. Bendre, H. R. Thakur, and P. Bhange, "An NLP-based intelligent agricultural advisory system for farmers," in Proceedings of the IEEE International Conference on Computing, Communication, Control and Automation (ICCUBEA), Pune, India, 2021, pp. 1–6.</w:t>
      </w:r>
    </w:p>
    <w:p>
      <w:pPr>
        <w:spacing w:line="420" w:lineRule="exact"/>
        <w:jc w:val="both"/>
      </w:pPr>
      <w:r>
        <w:rPr>
          <w:rFonts w:ascii="Times New Roman" w:hAnsi="Times New Roman"/>
          <w:b w:val="0"/>
          <w:sz w:val="24"/>
        </w:rPr>
        <w:t>[11] A. K. Misra, A. Rathore, and R. Gupta, "Impact of real-time mandi price information on farmer income," Journal of Agricultural Economics, vol. 74, no. 2, pp. 512–532, 2023.</w:t>
      </w:r>
    </w:p>
    <w:p>
      <w:pPr>
        <w:spacing w:line="420" w:lineRule="exact"/>
        <w:jc w:val="both"/>
      </w:pPr>
      <w:r>
        <w:rPr>
          <w:rFonts w:ascii="Times New Roman" w:hAnsi="Times New Roman"/>
          <w:b w:val="0"/>
          <w:sz w:val="24"/>
        </w:rPr>
        <w:t>[12] S. Hochreiter and J. Schmidhuber, "Long short-term memory," Neural Computation, vol. 9, no. 8, pp. 1735–1780, 1997.</w:t>
      </w:r>
    </w:p>
    <w:p>
      <w:pPr>
        <w:spacing w:line="420" w:lineRule="exact"/>
        <w:jc w:val="both"/>
      </w:pPr>
      <w:r>
        <w:rPr>
          <w:rFonts w:ascii="Times New Roman" w:hAnsi="Times New Roman"/>
          <w:b w:val="0"/>
          <w:sz w:val="24"/>
        </w:rPr>
        <w:t>[13] A. Dosovitskiy et al., "An image is worth 16x16 words: transformers for image recognition at scale," in Proceedings of the International Conference on Learning Representations (ICLR), 2021.</w:t>
      </w:r>
    </w:p>
    <w:p>
      <w:pPr>
        <w:spacing w:line="420" w:lineRule="exact"/>
        <w:jc w:val="both"/>
      </w:pPr>
      <w:r>
        <w:rPr>
          <w:rFonts w:ascii="Times New Roman" w:hAnsi="Times New Roman"/>
          <w:b w:val="0"/>
          <w:sz w:val="24"/>
        </w:rPr>
        <w:t>[14] K. Bonawitz et al., "Towards federated learning at scale: a system design," in Proceedings of the 2nd SysML Conference, Palo Alto, CA, USA, 2019.</w:t>
      </w:r>
    </w:p>
    <w:p>
      <w:pPr>
        <w:spacing w:line="420" w:lineRule="exact"/>
        <w:jc w:val="both"/>
      </w:pPr>
      <w:r>
        <w:rPr>
          <w:rFonts w:ascii="Times New Roman" w:hAnsi="Times New Roman"/>
          <w:b w:val="0"/>
          <w:sz w:val="24"/>
        </w:rPr>
        <w:t>[15] P. Abadi et al., "TensorFlow: a system for large-scale machine learning," in Proceedings of the 12th USENIX Symposium on Operating Systems Design and Implementation (OSDI), Savannah, GA, USA, 2016, pp. 265–283.</w:t>
      </w:r>
    </w:p>
    <w:p>
      <w:r>
        <w:br w:type="page"/>
      </w:r>
    </w:p>
    <w:p>
      <w:pPr>
        <w:spacing w:line="420" w:lineRule="exact"/>
        <w:jc w:val="center"/>
      </w:pPr>
      <w:r>
        <w:rPr>
          <w:rFonts w:ascii="Times New Roman" w:hAnsi="Times New Roman"/>
          <w:b/>
          <w:sz w:val="32"/>
        </w:rPr>
        <w:t>Appendix</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A: Software Dependencies</w:t>
      </w:r>
    </w:p>
    <w:p>
      <w:pPr>
        <w:spacing w:line="420" w:lineRule="exact"/>
        <w:jc w:val="both"/>
      </w:pPr>
      <w:r>
        <w:rPr>
          <w:rFonts w:ascii="Times New Roman" w:hAnsi="Times New Roman"/>
          <w:b w:val="0"/>
          <w:sz w:val="24"/>
        </w:rPr>
        <w:t>The following primary dependencies were utilized in the construction of the KrishiMitra platform:</w:t>
      </w:r>
    </w:p>
    <w:p>
      <w:pPr>
        <w:spacing w:line="420" w:lineRule="exact"/>
        <w:jc w:val="both"/>
      </w:pPr>
      <w:r>
        <w:rPr>
          <w:rFonts w:ascii="Times New Roman" w:hAnsi="Times New Roman"/>
          <w:b w:val="0"/>
          <w:sz w:val="24"/>
        </w:rPr>
        <w:t>Frontend Application:</w:t>
      </w:r>
    </w:p>
    <w:p>
      <w:pPr>
        <w:spacing w:line="420" w:lineRule="exact"/>
        <w:jc w:val="both"/>
      </w:pPr>
      <w:r>
        <w:rPr>
          <w:rFonts w:ascii="Times New Roman" w:hAnsi="Times New Roman"/>
          <w:b w:val="0"/>
          <w:sz w:val="24"/>
        </w:rPr>
        <w:t>• Flutter SDK (3.19.x): The core UI toolkit for building natively compiled applications.</w:t>
      </w:r>
    </w:p>
    <w:p>
      <w:pPr>
        <w:spacing w:line="420" w:lineRule="exact"/>
        <w:jc w:val="both"/>
      </w:pPr>
      <w:r>
        <w:rPr>
          <w:rFonts w:ascii="Times New Roman" w:hAnsi="Times New Roman"/>
          <w:b w:val="0"/>
          <w:sz w:val="24"/>
        </w:rPr>
        <w:t>• flutter_riverpod (2.4.x): Robust, compile-safe state management.</w:t>
      </w:r>
    </w:p>
    <w:p>
      <w:pPr>
        <w:spacing w:line="420" w:lineRule="exact"/>
        <w:jc w:val="both"/>
      </w:pPr>
      <w:r>
        <w:rPr>
          <w:rFonts w:ascii="Times New Roman" w:hAnsi="Times New Roman"/>
          <w:b w:val="0"/>
          <w:sz w:val="24"/>
        </w:rPr>
        <w:t>• go_router (13.2.x): Declarative routing system capable of handling deep links.</w:t>
      </w:r>
    </w:p>
    <w:p>
      <w:pPr>
        <w:spacing w:line="420" w:lineRule="exact"/>
        <w:jc w:val="both"/>
      </w:pPr>
      <w:r>
        <w:rPr>
          <w:rFonts w:ascii="Times New Roman" w:hAnsi="Times New Roman"/>
          <w:b w:val="0"/>
          <w:sz w:val="24"/>
        </w:rPr>
        <w:t>• dio (5.4.x): Advanced HTTP client for Dart with interceptor support.</w:t>
      </w:r>
    </w:p>
    <w:p>
      <w:pPr>
        <w:spacing w:line="420" w:lineRule="exact"/>
        <w:jc w:val="both"/>
      </w:pPr>
      <w:r>
        <w:rPr>
          <w:rFonts w:ascii="Times New Roman" w:hAnsi="Times New Roman"/>
          <w:b w:val="0"/>
          <w:sz w:val="24"/>
        </w:rPr>
        <w:t>• fl_chart (0.66.x): Highly customizable library for rendering the LSTM price graphs natively.</w:t>
      </w:r>
    </w:p>
    <w:p>
      <w:pPr>
        <w:spacing w:line="420" w:lineRule="exact"/>
        <w:jc w:val="both"/>
      </w:pPr>
      <w:r>
        <w:rPr>
          <w:rFonts w:ascii="Times New Roman" w:hAnsi="Times New Roman"/>
          <w:b w:val="0"/>
          <w:sz w:val="24"/>
        </w:rPr>
        <w:t>Backend Application:</w:t>
      </w:r>
    </w:p>
    <w:p>
      <w:pPr>
        <w:spacing w:line="420" w:lineRule="exact"/>
        <w:jc w:val="both"/>
      </w:pPr>
      <w:r>
        <w:rPr>
          <w:rFonts w:ascii="Times New Roman" w:hAnsi="Times New Roman"/>
          <w:b w:val="0"/>
          <w:sz w:val="24"/>
        </w:rPr>
        <w:t>• Python (3.11.x): Primary server-side execution environment.</w:t>
      </w:r>
    </w:p>
    <w:p>
      <w:pPr>
        <w:spacing w:line="420" w:lineRule="exact"/>
        <w:jc w:val="both"/>
      </w:pPr>
      <w:r>
        <w:rPr>
          <w:rFonts w:ascii="Times New Roman" w:hAnsi="Times New Roman"/>
          <w:b w:val="0"/>
          <w:sz w:val="24"/>
        </w:rPr>
        <w:t>• Flask (2.3.x): Lightweight WSGI web application framework.</w:t>
      </w:r>
    </w:p>
    <w:p>
      <w:pPr>
        <w:spacing w:line="420" w:lineRule="exact"/>
        <w:jc w:val="both"/>
      </w:pPr>
      <w:r>
        <w:rPr>
          <w:rFonts w:ascii="Times New Roman" w:hAnsi="Times New Roman"/>
          <w:b w:val="0"/>
          <w:sz w:val="24"/>
        </w:rPr>
        <w:t>• SQLAlchemy (2.0.x): Database ORM abstraction layer.</w:t>
      </w:r>
    </w:p>
    <w:p>
      <w:pPr>
        <w:spacing w:line="420" w:lineRule="exact"/>
        <w:jc w:val="both"/>
      </w:pPr>
      <w:r>
        <w:rPr>
          <w:rFonts w:ascii="Times New Roman" w:hAnsi="Times New Roman"/>
          <w:b w:val="0"/>
          <w:sz w:val="24"/>
        </w:rPr>
        <w:t>• SQLite3: Serverless database engine utilized for persistent storage.</w:t>
      </w:r>
    </w:p>
    <w:p>
      <w:pPr>
        <w:spacing w:line="420" w:lineRule="exact"/>
        <w:jc w:val="both"/>
      </w:pPr>
      <w:r>
        <w:rPr>
          <w:rFonts w:ascii="Times New Roman" w:hAnsi="Times New Roman"/>
          <w:b w:val="0"/>
          <w:sz w:val="24"/>
        </w:rPr>
        <w:t>Machine Learning Layer:</w:t>
      </w:r>
    </w:p>
    <w:p>
      <w:pPr>
        <w:spacing w:line="420" w:lineRule="exact"/>
        <w:jc w:val="both"/>
      </w:pPr>
      <w:r>
        <w:rPr>
          <w:rFonts w:ascii="Times New Roman" w:hAnsi="Times New Roman"/>
          <w:b w:val="0"/>
          <w:sz w:val="24"/>
        </w:rPr>
        <w:t>• TensorFlow (2.15.x): Comprehensive open-source platform for training the ResNet50 vision model.</w:t>
      </w:r>
    </w:p>
    <w:p>
      <w:pPr>
        <w:spacing w:line="420" w:lineRule="exact"/>
        <w:jc w:val="both"/>
      </w:pPr>
      <w:r>
        <w:rPr>
          <w:rFonts w:ascii="Times New Roman" w:hAnsi="Times New Roman"/>
          <w:b w:val="0"/>
          <w:sz w:val="24"/>
        </w:rPr>
        <w:t>• OpenCV-Python (4.8.x): Computer vision library utilized for applying the JET colormap to the Grad-CAM tensor.</w:t>
      </w:r>
    </w:p>
    <w:p>
      <w:pPr>
        <w:spacing w:line="420" w:lineRule="exact"/>
        <w:jc w:val="both"/>
      </w:pPr>
      <w:r>
        <w:rPr>
          <w:rFonts w:ascii="Times New Roman" w:hAnsi="Times New Roman"/>
          <w:b w:val="0"/>
          <w:sz w:val="24"/>
        </w:rPr>
        <w:t>• Groq Python SDK (0.4.x): Interface client for querying the LLaMA 3.3 70B model.</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B: Code Listing - Grad-CAM Generation Algorithm</w:t>
      </w:r>
    </w:p>
    <w:p>
      <w:pPr>
        <w:spacing w:line="420" w:lineRule="exact"/>
        <w:jc w:val="both"/>
      </w:pPr>
      <w:r>
        <w:rPr>
          <w:rFonts w:ascii="Times New Roman" w:hAnsi="Times New Roman"/>
          <w:b w:val="0"/>
          <w:sz w:val="24"/>
        </w:rPr>
        <w:t>The following Python snippet outlines the core logic utilized to generate the explanatory heatmaps from the ResNet50 architecture:</w:t>
      </w:r>
    </w:p>
    <w:p>
      <w:pPr>
        <w:spacing w:line="420" w:lineRule="exact"/>
        <w:jc w:val="both"/>
      </w:pPr>
      <w:r>
        <w:rPr>
          <w:rFonts w:ascii="Times New Roman" w:hAnsi="Times New Roman"/>
          <w:b w:val="0"/>
          <w:sz w:val="24"/>
        </w:rPr>
        <w:t>def make_gradcam_heatmap(img_array, model, last_conv_layer_name, pred_index=None):</w:t>
      </w:r>
    </w:p>
    <w:p>
      <w:pPr>
        <w:spacing w:line="420" w:lineRule="exact"/>
        <w:jc w:val="both"/>
      </w:pPr>
      <w:r>
        <w:rPr>
          <w:rFonts w:ascii="Times New Roman" w:hAnsi="Times New Roman"/>
          <w:b w:val="0"/>
          <w:sz w:val="24"/>
        </w:rPr>
        <w:t xml:space="preserve">    # 1. Create a model that maps the input image to the activations of the last conv layer</w:t>
      </w:r>
    </w:p>
    <w:p>
      <w:pPr>
        <w:spacing w:line="420" w:lineRule="exact"/>
        <w:jc w:val="both"/>
      </w:pPr>
      <w:r>
        <w:rPr>
          <w:rFonts w:ascii="Times New Roman" w:hAnsi="Times New Roman"/>
          <w:b w:val="0"/>
          <w:sz w:val="24"/>
        </w:rPr>
        <w:t xml:space="preserve">    grad_model = keras.models.Model(</w:t>
      </w:r>
    </w:p>
    <w:p>
      <w:pPr>
        <w:spacing w:line="420" w:lineRule="exact"/>
        <w:jc w:val="both"/>
      </w:pPr>
      <w:r>
        <w:rPr>
          <w:rFonts w:ascii="Times New Roman" w:hAnsi="Times New Roman"/>
          <w:b w:val="0"/>
          <w:sz w:val="24"/>
        </w:rPr>
        <w:t xml:space="preserve">        model.inputs, [model.get_layer(last_conv_layer_name).output, model.output]</w:t>
      </w:r>
    </w:p>
    <w:p>
      <w:pPr>
        <w:spacing w:line="420" w:lineRule="exact"/>
        <w:jc w:val="both"/>
      </w:pPr>
      <w:r>
        <w:rPr>
          <w:rFonts w:ascii="Times New Roman" w:hAnsi="Times New Roman"/>
          <w:b w:val="0"/>
          <w:sz w:val="24"/>
        </w:rPr>
        <w:t xml:space="preserve">    )</w:t>
      </w:r>
    </w:p>
    <w:p>
      <w:pPr>
        <w:spacing w:line="420" w:lineRule="exact"/>
        <w:jc w:val="both"/>
      </w:pPr>
      <w:r>
        <w:rPr>
          <w:rFonts w:ascii="Times New Roman" w:hAnsi="Times New Roman"/>
          <w:b w:val="0"/>
          <w:sz w:val="24"/>
        </w:rPr>
        <w:t xml:space="preserve">    # 2. Compute the gradient of the top predicted class for our input image</w:t>
      </w:r>
    </w:p>
    <w:p>
      <w:pPr>
        <w:spacing w:line="420" w:lineRule="exact"/>
        <w:jc w:val="both"/>
      </w:pPr>
      <w:r>
        <w:rPr>
          <w:rFonts w:ascii="Times New Roman" w:hAnsi="Times New Roman"/>
          <w:b w:val="0"/>
          <w:sz w:val="24"/>
        </w:rPr>
        <w:t xml:space="preserve">    with tf.GradientTape() as tape:</w:t>
      </w:r>
    </w:p>
    <w:p>
      <w:pPr>
        <w:spacing w:line="420" w:lineRule="exact"/>
        <w:jc w:val="both"/>
      </w:pPr>
      <w:r>
        <w:rPr>
          <w:rFonts w:ascii="Times New Roman" w:hAnsi="Times New Roman"/>
          <w:b w:val="0"/>
          <w:sz w:val="24"/>
        </w:rPr>
        <w:t xml:space="preserve">        last_conv_layer_output, preds = grad_model(img_array)</w:t>
      </w:r>
    </w:p>
    <w:p>
      <w:pPr>
        <w:spacing w:line="420" w:lineRule="exact"/>
        <w:jc w:val="both"/>
      </w:pPr>
      <w:r>
        <w:rPr>
          <w:rFonts w:ascii="Times New Roman" w:hAnsi="Times New Roman"/>
          <w:b w:val="0"/>
          <w:sz w:val="24"/>
        </w:rPr>
        <w:t xml:space="preserve">        if pred_index is None:</w:t>
      </w:r>
    </w:p>
    <w:p>
      <w:pPr>
        <w:spacing w:line="420" w:lineRule="exact"/>
        <w:jc w:val="both"/>
      </w:pPr>
      <w:r>
        <w:rPr>
          <w:rFonts w:ascii="Times New Roman" w:hAnsi="Times New Roman"/>
          <w:b w:val="0"/>
          <w:sz w:val="24"/>
        </w:rPr>
        <w:t xml:space="preserve">            pred_index = tf.argmax(preds[0])</w:t>
      </w:r>
    </w:p>
    <w:p>
      <w:pPr>
        <w:spacing w:line="420" w:lineRule="exact"/>
        <w:jc w:val="both"/>
      </w:pPr>
      <w:r>
        <w:rPr>
          <w:rFonts w:ascii="Times New Roman" w:hAnsi="Times New Roman"/>
          <w:b w:val="0"/>
          <w:sz w:val="24"/>
        </w:rPr>
        <w:t xml:space="preserve">        class_channel = preds[:, pred_index]</w:t>
      </w:r>
    </w:p>
    <w:p>
      <w:pPr>
        <w:spacing w:line="420" w:lineRule="exact"/>
        <w:jc w:val="both"/>
      </w:pPr>
      <w:r>
        <w:rPr>
          <w:rFonts w:ascii="Times New Roman" w:hAnsi="Times New Roman"/>
          <w:b w:val="0"/>
          <w:sz w:val="24"/>
        </w:rPr>
        <w:t xml:space="preserve">    # 3. This is the gradient of the output neuron with regard to the output feature map</w:t>
      </w:r>
    </w:p>
    <w:p>
      <w:pPr>
        <w:spacing w:line="420" w:lineRule="exact"/>
        <w:jc w:val="both"/>
      </w:pPr>
      <w:r>
        <w:rPr>
          <w:rFonts w:ascii="Times New Roman" w:hAnsi="Times New Roman"/>
          <w:b w:val="0"/>
          <w:sz w:val="24"/>
        </w:rPr>
        <w:t xml:space="preserve">    grads = tape.gradient(class_channel, last_conv_layer_output)</w:t>
      </w:r>
    </w:p>
    <w:p>
      <w:pPr>
        <w:spacing w:line="420" w:lineRule="exact"/>
        <w:jc w:val="both"/>
      </w:pPr>
      <w:r>
        <w:rPr>
          <w:rFonts w:ascii="Times New Roman" w:hAnsi="Times New Roman"/>
          <w:b w:val="0"/>
          <w:sz w:val="24"/>
        </w:rPr>
        <w:t xml:space="preserve">    # 4. This is a vector where each entry is the mean intensity of the gradient over a specific feature map channel</w:t>
      </w:r>
    </w:p>
    <w:p>
      <w:pPr>
        <w:spacing w:line="420" w:lineRule="exact"/>
        <w:jc w:val="both"/>
      </w:pPr>
      <w:r>
        <w:rPr>
          <w:rFonts w:ascii="Times New Roman" w:hAnsi="Times New Roman"/>
          <w:b w:val="0"/>
          <w:sz w:val="24"/>
        </w:rPr>
        <w:t xml:space="preserve">    pooled_grads = tf.reduce_mean(grads, axis=(0, 1, 2))</w:t>
      </w:r>
    </w:p>
    <w:p>
      <w:pPr>
        <w:spacing w:line="420" w:lineRule="exact"/>
        <w:jc w:val="both"/>
      </w:pPr>
      <w:r>
        <w:rPr>
          <w:rFonts w:ascii="Times New Roman" w:hAnsi="Times New Roman"/>
          <w:b w:val="0"/>
          <w:sz w:val="24"/>
        </w:rPr>
        <w:t xml:space="preserve">    # 5. Multiply each channel by 'how important this channel is' to the top predicted class</w:t>
      </w:r>
    </w:p>
    <w:p>
      <w:pPr>
        <w:spacing w:line="420" w:lineRule="exact"/>
        <w:jc w:val="both"/>
      </w:pPr>
      <w:r>
        <w:rPr>
          <w:rFonts w:ascii="Times New Roman" w:hAnsi="Times New Roman"/>
          <w:b w:val="0"/>
          <w:sz w:val="24"/>
        </w:rPr>
        <w:t xml:space="preserve">    last_conv_layer_output = last_conv_layer_output[0]</w:t>
      </w:r>
    </w:p>
    <w:p>
      <w:pPr>
        <w:spacing w:line="420" w:lineRule="exact"/>
        <w:jc w:val="both"/>
      </w:pPr>
      <w:r>
        <w:rPr>
          <w:rFonts w:ascii="Times New Roman" w:hAnsi="Times New Roman"/>
          <w:b w:val="0"/>
          <w:sz w:val="24"/>
        </w:rPr>
        <w:t xml:space="preserve">    heatmap = last_conv_layer_output @ pooled_grads[..., tf.newaxis]</w:t>
      </w:r>
    </w:p>
    <w:p>
      <w:pPr>
        <w:spacing w:line="420" w:lineRule="exact"/>
        <w:jc w:val="both"/>
      </w:pPr>
      <w:r>
        <w:rPr>
          <w:rFonts w:ascii="Times New Roman" w:hAnsi="Times New Roman"/>
          <w:b w:val="0"/>
          <w:sz w:val="24"/>
        </w:rPr>
        <w:t xml:space="preserve">    heatmap = tf.squeeze(heatmap)</w:t>
      </w:r>
    </w:p>
    <w:p>
      <w:pPr>
        <w:spacing w:line="420" w:lineRule="exact"/>
        <w:jc w:val="both"/>
      </w:pPr>
      <w:r>
        <w:rPr>
          <w:rFonts w:ascii="Times New Roman" w:hAnsi="Times New Roman"/>
          <w:b w:val="0"/>
          <w:sz w:val="24"/>
        </w:rPr>
        <w:t xml:space="preserve">    # 6. Normalize the heatmap between 0 and 1 via ReLU</w:t>
      </w:r>
    </w:p>
    <w:p>
      <w:pPr>
        <w:spacing w:line="420" w:lineRule="exact"/>
        <w:jc w:val="both"/>
      </w:pPr>
      <w:r>
        <w:rPr>
          <w:rFonts w:ascii="Times New Roman" w:hAnsi="Times New Roman"/>
          <w:b w:val="0"/>
          <w:sz w:val="24"/>
        </w:rPr>
        <w:t xml:space="preserve">    heatmap = tf.maximum(heatmap, 0) / tf.math.reduce_max(heatmap)</w:t>
      </w:r>
    </w:p>
    <w:p>
      <w:pPr>
        <w:spacing w:line="420" w:lineRule="exact"/>
        <w:jc w:val="both"/>
      </w:pPr>
      <w:r>
        <w:rPr>
          <w:rFonts w:ascii="Times New Roman" w:hAnsi="Times New Roman"/>
          <w:b w:val="0"/>
          <w:sz w:val="24"/>
        </w:rPr>
        <w:t xml:space="preserve">    return heatmap.numpy()</w:t>
      </w:r>
    </w:p>
    <w:p>
      <w:r>
        <w:br w:type="page"/>
      </w:r>
    </w:p>
    <w:p>
      <w:pPr>
        <w:spacing w:line="420" w:lineRule="exact"/>
        <w:jc w:val="left"/>
      </w:pPr>
      <w:r>
        <w:rPr>
          <w:rFonts w:ascii="Times New Roman" w:hAnsi="Times New Roman"/>
          <w:b/>
          <w:sz w:val="28"/>
        </w:rPr>
        <w:t>Appendix C: Application User Interfaces (Simulation Screenshots)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val="0"/>
          <w:sz w:val="24"/>
        </w:rPr>
        <w:t>The following figures demonstrate the implemented UI screens for the various intelligent modules of the KrishiMitra mobile application, developed using the Flutter framework.</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8038682"/>
            <wp:docPr id="1" name="Picture 1"/>
            <wp:cNvGraphicFramePr>
              <a:graphicFrameLocks noChangeAspect="1"/>
            </wp:cNvGraphicFramePr>
            <a:graphic>
              <a:graphicData uri="http://schemas.openxmlformats.org/drawingml/2006/picture">
                <pic:pic>
                  <pic:nvPicPr>
                    <pic:cNvPr id="0" name="screen.png"/>
                    <pic:cNvPicPr/>
                  </pic:nvPicPr>
                  <pic:blipFill>
                    <a:blip r:embed="rId9"/>
                    <a:stretch>
                      <a:fillRect/>
                    </a:stretch>
                  </pic:blipFill>
                  <pic:spPr>
                    <a:xfrm>
                      <a:off x="0" y="0"/>
                      <a:ext cx="3200400" cy="8038682"/>
                    </a:xfrm>
                    <a:prstGeom prst="rect"/>
                  </pic:spPr>
                </pic:pic>
              </a:graphicData>
            </a:graphic>
          </wp:inline>
        </w:drawing>
      </w:r>
    </w:p>
    <w:p>
      <w:pPr>
        <w:jc w:val="center"/>
      </w:pPr>
      <w:r>
        <w:rPr>
          <w:rFonts w:ascii="Times New Roman" w:hAnsi="Times New Roman"/>
          <w:b/>
          <w:sz w:val="24"/>
        </w:rPr>
        <w:t>Figure C.1: User Authentication and Role Selection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159669"/>
            <wp:docPr id="2" name="Picture 2"/>
            <wp:cNvGraphicFramePr>
              <a:graphicFrameLocks noChangeAspect="1"/>
            </wp:cNvGraphicFramePr>
            <a:graphic>
              <a:graphicData uri="http://schemas.openxmlformats.org/drawingml/2006/picture">
                <pic:pic>
                  <pic:nvPicPr>
                    <pic:cNvPr id="0" name="screen.png"/>
                    <pic:cNvPicPr/>
                  </pic:nvPicPr>
                  <pic:blipFill>
                    <a:blip r:embed="rId10"/>
                    <a:stretch>
                      <a:fillRect/>
                    </a:stretch>
                  </pic:blipFill>
                  <pic:spPr>
                    <a:xfrm>
                      <a:off x="0" y="0"/>
                      <a:ext cx="3200400" cy="21159669"/>
                    </a:xfrm>
                    <a:prstGeom prst="rect"/>
                  </pic:spPr>
                </pic:pic>
              </a:graphicData>
            </a:graphic>
          </wp:inline>
        </w:drawing>
      </w:r>
    </w:p>
    <w:p>
      <w:pPr>
        <w:jc w:val="center"/>
      </w:pPr>
      <w:r>
        <w:rPr>
          <w:rFonts w:ascii="Times New Roman" w:hAnsi="Times New Roman"/>
          <w:b/>
          <w:sz w:val="24"/>
        </w:rPr>
        <w:t>Figure C.2: Primary Farmer Dashboard (Navigation Hub)</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0002500"/>
            <wp:docPr id="3" name="Picture 3"/>
            <wp:cNvGraphicFramePr>
              <a:graphicFrameLocks noChangeAspect="1"/>
            </wp:cNvGraphicFramePr>
            <a:graphic>
              <a:graphicData uri="http://schemas.openxmlformats.org/drawingml/2006/picture">
                <pic:pic>
                  <pic:nvPicPr>
                    <pic:cNvPr id="0" name="screen.png"/>
                    <pic:cNvPicPr/>
                  </pic:nvPicPr>
                  <pic:blipFill>
                    <a:blip r:embed="rId11"/>
                    <a:stretch>
                      <a:fillRect/>
                    </a:stretch>
                  </pic:blipFill>
                  <pic:spPr>
                    <a:xfrm>
                      <a:off x="0" y="0"/>
                      <a:ext cx="3200400" cy="20002500"/>
                    </a:xfrm>
                    <a:prstGeom prst="rect"/>
                  </pic:spPr>
                </pic:pic>
              </a:graphicData>
            </a:graphic>
          </wp:inline>
        </w:drawing>
      </w:r>
    </w:p>
    <w:p>
      <w:pPr>
        <w:jc w:val="center"/>
      </w:pPr>
      <w:r>
        <w:rPr>
          <w:rFonts w:ascii="Times New Roman" w:hAnsi="Times New Roman"/>
          <w:b/>
          <w:sz w:val="24"/>
        </w:rPr>
        <w:t>Figure C.3: Premium Analytics Dashboard</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6955762"/>
            <wp:docPr id="4" name="Picture 4"/>
            <wp:cNvGraphicFramePr>
              <a:graphicFrameLocks noChangeAspect="1"/>
            </wp:cNvGraphicFramePr>
            <a:graphic>
              <a:graphicData uri="http://schemas.openxmlformats.org/drawingml/2006/picture">
                <pic:pic>
                  <pic:nvPicPr>
                    <pic:cNvPr id="0" name="screen.png"/>
                    <pic:cNvPicPr/>
                  </pic:nvPicPr>
                  <pic:blipFill>
                    <a:blip r:embed="rId12"/>
                    <a:stretch>
                      <a:fillRect/>
                    </a:stretch>
                  </pic:blipFill>
                  <pic:spPr>
                    <a:xfrm>
                      <a:off x="0" y="0"/>
                      <a:ext cx="3200400" cy="16955762"/>
                    </a:xfrm>
                    <a:prstGeom prst="rect"/>
                  </pic:spPr>
                </pic:pic>
              </a:graphicData>
            </a:graphic>
          </wp:inline>
        </w:drawing>
      </w:r>
    </w:p>
    <w:p>
      <w:pPr>
        <w:jc w:val="center"/>
      </w:pPr>
      <w:r>
        <w:rPr>
          <w:rFonts w:ascii="Times New Roman" w:hAnsi="Times New Roman"/>
          <w:b/>
          <w:sz w:val="24"/>
        </w:rPr>
        <w:t>Figure C.4: ResNet50 Leaf Disease Detection with Grad-CAM</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9428966"/>
            <wp:docPr id="5" name="Picture 5"/>
            <wp:cNvGraphicFramePr>
              <a:graphicFrameLocks noChangeAspect="1"/>
            </wp:cNvGraphicFramePr>
            <a:graphic>
              <a:graphicData uri="http://schemas.openxmlformats.org/drawingml/2006/picture">
                <pic:pic>
                  <pic:nvPicPr>
                    <pic:cNvPr id="0" name="screen.png"/>
                    <pic:cNvPicPr/>
                  </pic:nvPicPr>
                  <pic:blipFill>
                    <a:blip r:embed="rId13"/>
                    <a:stretch>
                      <a:fillRect/>
                    </a:stretch>
                  </pic:blipFill>
                  <pic:spPr>
                    <a:xfrm>
                      <a:off x="0" y="0"/>
                      <a:ext cx="3200400" cy="29428966"/>
                    </a:xfrm>
                    <a:prstGeom prst="rect"/>
                  </pic:spPr>
                </pic:pic>
              </a:graphicData>
            </a:graphic>
          </wp:inline>
        </w:drawing>
      </w:r>
    </w:p>
    <w:p>
      <w:pPr>
        <w:jc w:val="center"/>
      </w:pPr>
      <w:r>
        <w:rPr>
          <w:rFonts w:ascii="Times New Roman" w:hAnsi="Times New Roman"/>
          <w:b/>
          <w:sz w:val="24"/>
        </w:rPr>
        <w:t>Figure C.5: KNN Soil Recommendation and Health Score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8553043"/>
            <wp:docPr id="6" name="Picture 6"/>
            <wp:cNvGraphicFramePr>
              <a:graphicFrameLocks noChangeAspect="1"/>
            </wp:cNvGraphicFramePr>
            <a:graphic>
              <a:graphicData uri="http://schemas.openxmlformats.org/drawingml/2006/picture">
                <pic:pic>
                  <pic:nvPicPr>
                    <pic:cNvPr id="0" name="screen.png"/>
                    <pic:cNvPicPr/>
                  </pic:nvPicPr>
                  <pic:blipFill>
                    <a:blip r:embed="rId14"/>
                    <a:stretch>
                      <a:fillRect/>
                    </a:stretch>
                  </pic:blipFill>
                  <pic:spPr>
                    <a:xfrm>
                      <a:off x="0" y="0"/>
                      <a:ext cx="3200400" cy="18553043"/>
                    </a:xfrm>
                    <a:prstGeom prst="rect"/>
                  </pic:spPr>
                </pic:pic>
              </a:graphicData>
            </a:graphic>
          </wp:inline>
        </w:drawing>
      </w:r>
    </w:p>
    <w:p>
      <w:pPr>
        <w:jc w:val="center"/>
      </w:pPr>
      <w:r>
        <w:rPr>
          <w:rFonts w:ascii="Times New Roman" w:hAnsi="Times New Roman"/>
          <w:b/>
          <w:sz w:val="24"/>
        </w:rPr>
        <w:t>Figure C.6: LSTM Mandi Price Trend Forecasting</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0160000"/>
            <wp:docPr id="7" name="Picture 7"/>
            <wp:cNvGraphicFramePr>
              <a:graphicFrameLocks noChangeAspect="1"/>
            </wp:cNvGraphicFramePr>
            <a:graphic>
              <a:graphicData uri="http://schemas.openxmlformats.org/drawingml/2006/picture">
                <pic:pic>
                  <pic:nvPicPr>
                    <pic:cNvPr id="0" name="screen.png"/>
                    <pic:cNvPicPr/>
                  </pic:nvPicPr>
                  <pic:blipFill>
                    <a:blip r:embed="rId15"/>
                    <a:stretch>
                      <a:fillRect/>
                    </a:stretch>
                  </pic:blipFill>
                  <pic:spPr>
                    <a:xfrm>
                      <a:off x="0" y="0"/>
                      <a:ext cx="3200400" cy="10160000"/>
                    </a:xfrm>
                    <a:prstGeom prst="rect"/>
                  </pic:spPr>
                </pic:pic>
              </a:graphicData>
            </a:graphic>
          </wp:inline>
        </w:drawing>
      </w:r>
    </w:p>
    <w:p>
      <w:pPr>
        <w:jc w:val="center"/>
      </w:pPr>
      <w:r>
        <w:rPr>
          <w:rFonts w:ascii="Times New Roman" w:hAnsi="Times New Roman"/>
          <w:b/>
          <w:sz w:val="24"/>
        </w:rPr>
        <w:t>Figure C.7: Groq LLaMA 3.3 Conversational Advisory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3275636"/>
            <wp:docPr id="8" name="Picture 8"/>
            <wp:cNvGraphicFramePr>
              <a:graphicFrameLocks noChangeAspect="1"/>
            </wp:cNvGraphicFramePr>
            <a:graphic>
              <a:graphicData uri="http://schemas.openxmlformats.org/drawingml/2006/picture">
                <pic:pic>
                  <pic:nvPicPr>
                    <pic:cNvPr id="0" name="screen.png"/>
                    <pic:cNvPicPr/>
                  </pic:nvPicPr>
                  <pic:blipFill>
                    <a:blip r:embed="rId16"/>
                    <a:stretch>
                      <a:fillRect/>
                    </a:stretch>
                  </pic:blipFill>
                  <pic:spPr>
                    <a:xfrm>
                      <a:off x="0" y="0"/>
                      <a:ext cx="3200400" cy="23275636"/>
                    </a:xfrm>
                    <a:prstGeom prst="rect"/>
                  </pic:spPr>
                </pic:pic>
              </a:graphicData>
            </a:graphic>
          </wp:inline>
        </w:drawing>
      </w:r>
    </w:p>
    <w:p>
      <w:pPr>
        <w:jc w:val="center"/>
      </w:pPr>
      <w:r>
        <w:rPr>
          <w:rFonts w:ascii="Times New Roman" w:hAnsi="Times New Roman"/>
          <w:b/>
          <w:sz w:val="24"/>
        </w:rPr>
        <w:t>Figure C.8: P2P Crop Marketplace - Buyer Feed</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697627"/>
            <wp:docPr id="9" name="Picture 9"/>
            <wp:cNvGraphicFramePr>
              <a:graphicFrameLocks noChangeAspect="1"/>
            </wp:cNvGraphicFramePr>
            <a:graphic>
              <a:graphicData uri="http://schemas.openxmlformats.org/drawingml/2006/picture">
                <pic:pic>
                  <pic:nvPicPr>
                    <pic:cNvPr id="0" name="screen.png"/>
                    <pic:cNvPicPr/>
                  </pic:nvPicPr>
                  <pic:blipFill>
                    <a:blip r:embed="rId17"/>
                    <a:stretch>
                      <a:fillRect/>
                    </a:stretch>
                  </pic:blipFill>
                  <pic:spPr>
                    <a:xfrm>
                      <a:off x="0" y="0"/>
                      <a:ext cx="3200400" cy="21697627"/>
                    </a:xfrm>
                    <a:prstGeom prst="rect"/>
                  </pic:spPr>
                </pic:pic>
              </a:graphicData>
            </a:graphic>
          </wp:inline>
        </w:drawing>
      </w:r>
    </w:p>
    <w:p>
      <w:pPr>
        <w:jc w:val="center"/>
      </w:pPr>
      <w:r>
        <w:rPr>
          <w:rFonts w:ascii="Times New Roman" w:hAnsi="Times New Roman"/>
          <w:b/>
          <w:sz w:val="24"/>
        </w:rPr>
        <w:t>Figure C.9: Marketplace Crop Listing Details</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7253031"/>
            <wp:docPr id="10" name="Picture 10"/>
            <wp:cNvGraphicFramePr>
              <a:graphicFrameLocks noChangeAspect="1"/>
            </wp:cNvGraphicFramePr>
            <a:graphic>
              <a:graphicData uri="http://schemas.openxmlformats.org/drawingml/2006/picture">
                <pic:pic>
                  <pic:nvPicPr>
                    <pic:cNvPr id="0" name="screen.png"/>
                    <pic:cNvPicPr/>
                  </pic:nvPicPr>
                  <pic:blipFill>
                    <a:blip r:embed="rId18"/>
                    <a:stretch>
                      <a:fillRect/>
                    </a:stretch>
                  </pic:blipFill>
                  <pic:spPr>
                    <a:xfrm>
                      <a:off x="0" y="0"/>
                      <a:ext cx="3200400" cy="7253031"/>
                    </a:xfrm>
                    <a:prstGeom prst="rect"/>
                  </pic:spPr>
                </pic:pic>
              </a:graphicData>
            </a:graphic>
          </wp:inline>
        </w:drawing>
      </w:r>
    </w:p>
    <w:p>
      <w:pPr>
        <w:jc w:val="center"/>
      </w:pPr>
      <w:r>
        <w:rPr>
          <w:rFonts w:ascii="Times New Roman" w:hAnsi="Times New Roman"/>
          <w:b/>
          <w:sz w:val="24"/>
        </w:rPr>
        <w:t>Figure C.10: Real-Time Negotiation Chat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3816930"/>
            <wp:docPr id="11" name="Picture 11"/>
            <wp:cNvGraphicFramePr>
              <a:graphicFrameLocks noChangeAspect="1"/>
            </wp:cNvGraphicFramePr>
            <a:graphic>
              <a:graphicData uri="http://schemas.openxmlformats.org/drawingml/2006/picture">
                <pic:pic>
                  <pic:nvPicPr>
                    <pic:cNvPr id="0" name="screen.png"/>
                    <pic:cNvPicPr/>
                  </pic:nvPicPr>
                  <pic:blipFill>
                    <a:blip r:embed="rId19"/>
                    <a:stretch>
                      <a:fillRect/>
                    </a:stretch>
                  </pic:blipFill>
                  <pic:spPr>
                    <a:xfrm>
                      <a:off x="0" y="0"/>
                      <a:ext cx="3200400" cy="23816930"/>
                    </a:xfrm>
                    <a:prstGeom prst="rect"/>
                  </pic:spPr>
                </pic:pic>
              </a:graphicData>
            </a:graphic>
          </wp:inline>
        </w:drawing>
      </w:r>
    </w:p>
    <w:p>
      <w:pPr>
        <w:jc w:val="center"/>
      </w:pPr>
      <w:r>
        <w:rPr>
          <w:rFonts w:ascii="Times New Roman" w:hAnsi="Times New Roman"/>
          <w:b/>
          <w:sz w:val="24"/>
        </w:rPr>
        <w:t>Figure C.11: Automated Farming Task Calendar</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7383102"/>
            <wp:docPr id="12" name="Picture 12"/>
            <wp:cNvGraphicFramePr>
              <a:graphicFrameLocks noChangeAspect="1"/>
            </wp:cNvGraphicFramePr>
            <a:graphic>
              <a:graphicData uri="http://schemas.openxmlformats.org/drawingml/2006/picture">
                <pic:pic>
                  <pic:nvPicPr>
                    <pic:cNvPr id="0" name="screen.png"/>
                    <pic:cNvPicPr/>
                  </pic:nvPicPr>
                  <pic:blipFill>
                    <a:blip r:embed="rId20"/>
                    <a:stretch>
                      <a:fillRect/>
                    </a:stretch>
                  </pic:blipFill>
                  <pic:spPr>
                    <a:xfrm>
                      <a:off x="0" y="0"/>
                      <a:ext cx="3200400" cy="27383102"/>
                    </a:xfrm>
                    <a:prstGeom prst="rect"/>
                  </pic:spPr>
                </pic:pic>
              </a:graphicData>
            </a:graphic>
          </wp:inline>
        </w:drawing>
      </w:r>
    </w:p>
    <w:p>
      <w:pPr>
        <w:jc w:val="center"/>
      </w:pPr>
      <w:r>
        <w:rPr>
          <w:rFonts w:ascii="Times New Roman" w:hAnsi="Times New Roman"/>
          <w:b/>
          <w:sz w:val="24"/>
        </w:rPr>
        <w:t>Figure C.12: Government Subsidies and Schemes Hub</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425272"/>
            <wp:docPr id="13" name="Picture 13"/>
            <wp:cNvGraphicFramePr>
              <a:graphicFrameLocks noChangeAspect="1"/>
            </wp:cNvGraphicFramePr>
            <a:graphic>
              <a:graphicData uri="http://schemas.openxmlformats.org/drawingml/2006/picture">
                <pic:pic>
                  <pic:nvPicPr>
                    <pic:cNvPr id="0" name="screen.png"/>
                    <pic:cNvPicPr/>
                  </pic:nvPicPr>
                  <pic:blipFill>
                    <a:blip r:embed="rId21"/>
                    <a:stretch>
                      <a:fillRect/>
                    </a:stretch>
                  </pic:blipFill>
                  <pic:spPr>
                    <a:xfrm>
                      <a:off x="0" y="0"/>
                      <a:ext cx="3200400" cy="21425272"/>
                    </a:xfrm>
                    <a:prstGeom prst="rect"/>
                  </pic:spPr>
                </pic:pic>
              </a:graphicData>
            </a:graphic>
          </wp:inline>
        </w:drawing>
      </w:r>
    </w:p>
    <w:p>
      <w:pPr>
        <w:jc w:val="center"/>
      </w:pPr>
      <w:r>
        <w:rPr>
          <w:rFonts w:ascii="Times New Roman" w:hAnsi="Times New Roman"/>
          <w:b/>
          <w:sz w:val="24"/>
        </w:rPr>
        <w:t>Figure C.13: User Profile and Financial Analytics</w:t>
      </w:r>
    </w:p>
    <w:p>
      <w:pPr>
        <w:spacing w:line="420" w:lineRule="exact"/>
        <w:jc w:val="left"/>
      </w:pPr>
      <w:r>
        <w:rPr>
          <w:rFonts w:ascii="Times New Roman" w:hAnsi="Times New Roman"/>
          <w:b w:val="0"/>
          <w:sz w:val="24"/>
        </w:rPr>
      </w:r>
    </w:p>
    <w:p>
      <w:r>
        <w:br w:type="page"/>
      </w:r>
    </w:p>
    <w:p>
      <w:pPr>
        <w:jc w:val="left"/>
      </w:pPr>
      <w:r>
        <w:rPr>
          <w:rFonts w:ascii="Times New Roman" w:hAnsi="Times New Roman"/>
          <w:b/>
          <w:sz w:val="28"/>
        </w:rPr>
        <w:t>Appendix D: System Diagrams and Architecture</w:t>
      </w:r>
    </w:p>
    <w:p>
      <w:pPr>
        <w:spacing w:line="420" w:lineRule="exact"/>
      </w:pPr>
      <w:r>
        <w:rPr>
          <w:rFonts w:ascii="Times New Roman" w:hAnsi="Times New Roman"/>
          <w:sz w:val="24"/>
        </w:rPr>
        <w:t>The following basic architectural diagrams, ER models, DFDs, and flowcharts outline the structural logic and data pathways of the KrishiMitra platform.</w:t>
      </w:r>
    </w:p>
    <w:p>
      <w:pPr>
        <w:jc w:val="center"/>
      </w:pPr>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basic_arch.png"/>
                    <pic:cNvPicPr/>
                  </pic:nvPicPr>
                  <pic:blipFill>
                    <a:blip r:embed="rId22"/>
                    <a:stretch>
                      <a:fillRect/>
                    </a:stretch>
                  </pic:blipFill>
                  <pic:spPr>
                    <a:xfrm>
                      <a:off x="0" y="0"/>
                      <a:ext cx="4572000" cy="3429000"/>
                    </a:xfrm>
                    <a:prstGeom prst="rect"/>
                  </pic:spPr>
                </pic:pic>
              </a:graphicData>
            </a:graphic>
          </wp:inline>
        </w:drawing>
      </w:r>
    </w:p>
    <w:p>
      <w:pPr>
        <w:jc w:val="center"/>
      </w:pPr>
      <w:r>
        <w:rPr>
          <w:rFonts w:ascii="Times New Roman" w:hAnsi="Times New Roman"/>
          <w:b/>
          <w:sz w:val="24"/>
        </w:rPr>
        <w:t>Figure D.1: System Architecture Design</w:t>
      </w:r>
    </w:p>
    <w:p/>
    <w:p>
      <w:pPr>
        <w:jc w:val="center"/>
      </w:pPr>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basic_er.png"/>
                    <pic:cNvPicPr/>
                  </pic:nvPicPr>
                  <pic:blipFill>
                    <a:blip r:embed="rId23"/>
                    <a:stretch>
                      <a:fillRect/>
                    </a:stretch>
                  </pic:blipFill>
                  <pic:spPr>
                    <a:xfrm>
                      <a:off x="0" y="0"/>
                      <a:ext cx="4572000" cy="3429000"/>
                    </a:xfrm>
                    <a:prstGeom prst="rect"/>
                  </pic:spPr>
                </pic:pic>
              </a:graphicData>
            </a:graphic>
          </wp:inline>
        </w:drawing>
      </w:r>
    </w:p>
    <w:p>
      <w:pPr>
        <w:jc w:val="center"/>
      </w:pPr>
      <w:r>
        <w:rPr>
          <w:rFonts w:ascii="Times New Roman" w:hAnsi="Times New Roman"/>
          <w:b/>
          <w:sz w:val="24"/>
        </w:rPr>
        <w:t>Figure D.2: Entity-Relationship (ER) Diagram</w:t>
      </w:r>
    </w:p>
    <w:p/>
    <w:p>
      <w:pPr>
        <w:jc w:val="center"/>
      </w:pPr>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basic_dfd.png"/>
                    <pic:cNvPicPr/>
                  </pic:nvPicPr>
                  <pic:blipFill>
                    <a:blip r:embed="rId24"/>
                    <a:stretch>
                      <a:fillRect/>
                    </a:stretch>
                  </pic:blipFill>
                  <pic:spPr>
                    <a:xfrm>
                      <a:off x="0" y="0"/>
                      <a:ext cx="4572000" cy="3429000"/>
                    </a:xfrm>
                    <a:prstGeom prst="rect"/>
                  </pic:spPr>
                </pic:pic>
              </a:graphicData>
            </a:graphic>
          </wp:inline>
        </w:drawing>
      </w:r>
    </w:p>
    <w:p>
      <w:pPr>
        <w:jc w:val="center"/>
      </w:pPr>
      <w:r>
        <w:rPr>
          <w:rFonts w:ascii="Times New Roman" w:hAnsi="Times New Roman"/>
          <w:b/>
          <w:sz w:val="24"/>
        </w:rPr>
        <w:t>Figure D.3: Data Flow Diagram (Level 0 Context Diagram)</w:t>
      </w:r>
    </w:p>
    <w:p/>
    <w:p>
      <w:pPr>
        <w:jc w:val="center"/>
      </w:pPr>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basic_flow.png"/>
                    <pic:cNvPicPr/>
                  </pic:nvPicPr>
                  <pic:blipFill>
                    <a:blip r:embed="rId25"/>
                    <a:stretch>
                      <a:fillRect/>
                    </a:stretch>
                  </pic:blipFill>
                  <pic:spPr>
                    <a:xfrm>
                      <a:off x="0" y="0"/>
                      <a:ext cx="4572000" cy="3429000"/>
                    </a:xfrm>
                    <a:prstGeom prst="rect"/>
                  </pic:spPr>
                </pic:pic>
              </a:graphicData>
            </a:graphic>
          </wp:inline>
        </w:drawing>
      </w:r>
    </w:p>
    <w:p>
      <w:pPr>
        <w:jc w:val="center"/>
      </w:pPr>
      <w:r>
        <w:rPr>
          <w:rFonts w:ascii="Times New Roman" w:hAnsi="Times New Roman"/>
          <w:b/>
          <w:sz w:val="24"/>
        </w:rPr>
        <w:t>Figure D.4: Flowchart: Disease Detection Pipeline</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