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center"/>
      </w:pPr>
      <w:r>
        <w:rPr>
          <w:rFonts w:ascii="Times New Roman" w:hAnsi="Times New Roman"/>
          <w:b/>
          <w:sz w:val="32"/>
        </w:rPr>
        <w:t>Chapter 1</w:t>
      </w:r>
    </w:p>
    <w:p>
      <w:pPr>
        <w:spacing w:line="420" w:lineRule="exact"/>
        <w:jc w:val="center"/>
      </w:pPr>
      <w:r>
        <w:rPr>
          <w:rFonts w:ascii="Times New Roman" w:hAnsi="Times New Roman"/>
          <w:b/>
          <w:sz w:val="32"/>
        </w:rPr>
        <w:t>Introduction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1.1 Background</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both"/>
      </w:pPr>
      <w:r>
        <w:rPr>
          <w:rFonts w:ascii="Times New Roman" w:hAnsi="Times New Roman"/>
          <w:b w:val="0"/>
          <w:sz w:val="24"/>
        </w:rPr>
        <w:t>Agriculture remains the undisputed backbone of the Indian economy, directly or indirectly supporting over 58% of the rural population and contributing significantly to the nation's Gross Domestic Product (GDP). Despite its critical importance, the sector is fraught with multifaceted challenges that hinder its optimal performance. Smallholder farmers, who constitute the vast majority of the agricultural workforce, operate in an environment characterized by deep information asymmetry, unpredictable climatic conditions, and limited access to modern agronomic expertise. The consequences of these systemic inefficiencies are starkly evident in crop yield statistics and farmer income levels. According to comprehensive studies conducted by the Food and Agriculture Organization (FAO) of the United Nations, global agricultural production suffers from staggering annual losses—estimated between 20% and 40%—directly attributable to the proliferation of plant diseases, invasive pests, and suboptimal resource management. In the Indian context, where agricultural practices are often deeply traditional and reliant on inherited generational knowledge rather than data-driven insights, these losses represent not merely a statistical deficit but a profound socio-economic crisis that perpetuates cycles of rural poverty.</w:t>
      </w:r>
    </w:p>
    <w:p>
      <w:pPr>
        <w:spacing w:line="420" w:lineRule="exact"/>
        <w:jc w:val="both"/>
      </w:pPr>
      <w:r>
        <w:rPr>
          <w:rFonts w:ascii="Times New Roman" w:hAnsi="Times New Roman"/>
          <w:b w:val="0"/>
          <w:sz w:val="24"/>
        </w:rPr>
        <w:t>Compounding these challenges is the fragmented nature of agricultural supply chains and the historical reliance on intermediaries, commonly known as commission agents or 'arhtiyas'. These middlemen dictate wholesale commodity prices at physical marketplaces (mandis), often leading to a scenario where the primary producer captures only a fractional percentage of the final retail value of their crop. Furthermore, while the Indian government has initiated numerous subsidized schemes, crop insurance policies, and financial assistance programs designed to alleviate rural distress, the penetration and awareness of these schemes at the grassroots level remain alarmingly low. The average smallholder farmer is frequently unaware of their entitlements, lacking the bureaucratic literacy and digital access required to navigate the complex application processes. Thus, there exists a critical void between the availability of agricultural support mechanisms and their actual utilization by the intended beneficiaries.</w:t>
      </w:r>
    </w:p>
    <w:p>
      <w:pPr>
        <w:spacing w:line="420" w:lineRule="exact"/>
        <w:jc w:val="both"/>
      </w:pPr>
      <w:r>
        <w:rPr>
          <w:rFonts w:ascii="Times New Roman" w:hAnsi="Times New Roman"/>
          <w:b w:val="0"/>
          <w:sz w:val="24"/>
        </w:rPr>
        <w:t>However, a paradigm shift is currently underway, catalyzed by the rapid proliferation of affordable mobile telecommunications infrastructure across rural India. The digital divide is narrowing at an unprecedented pace, with recent reports indicating that over 65% of Indian villages now possess reliable 4G cellular coverage, and smartphone penetration among rural households has reached an all-time high. This digital awakening presents an unparalleled opportunity to circumvent traditional, inefficient channels of information dissemination. By leveraging the ubiquity of the smartphone, it is now feasible to deliver hyper-localized, real-time, and highly accurate agricultural intelligence directly into the hands of the farmer. Concurrently, the exponential advancements in Artificial Intelligence (AI), specifically in the domains of Deep Learning for computer vision and Large Language Models (LLMs) for natural language processing, have dramatically lowered the technical and financial barriers required to build sophisticated, responsive, and highly scalable digital advisory services.</w:t>
      </w:r>
    </w:p>
    <w:p>
      <w:pPr>
        <w:spacing w:line="420" w:lineRule="exact"/>
        <w:jc w:val="left"/>
      </w:pPr>
      <w:r>
        <w:rPr>
          <w:rFonts w:ascii="Times New Roman" w:hAnsi="Times New Roman"/>
          <w:b/>
          <w:sz w:val="28"/>
        </w:rPr>
        <w:t>1.2 Problem Statement and Motivation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both"/>
      </w:pPr>
      <w:r>
        <w:rPr>
          <w:rFonts w:ascii="Times New Roman" w:hAnsi="Times New Roman"/>
          <w:b w:val="0"/>
          <w:sz w:val="24"/>
        </w:rPr>
        <w:t>The fundamental problem addressed by this project is the lack of a unified, intelligent, and highly accessible digital ecosystem capable of solving the distinct yet interconnected challenges faced by modern smallholder farmers. Currently, a farmer seeking to optimize their agricultural output must navigate a labyrinth of disparate solutions: one application or service for identifying crop diseases, another physical laboratory for soil testing and fertilizer recommendations, a different portal for checking daily mandi prices, and entirely separate channels (often informal word-of-mouth) for seeking agronomic advice or discovering government subsidies. This fragmented approach is inherently inefficient and contributes to high cognitive load, low adoption rates, and ultimately, suboptimal decision-making. The absence of an integrated platform means that data generated in one domain (e.g., soil health) cannot inform decisions in another (e.g., crop selection or fertilizer procurement).</w:t>
      </w:r>
    </w:p>
    <w:p>
      <w:pPr>
        <w:spacing w:line="420" w:lineRule="exact"/>
        <w:jc w:val="both"/>
      </w:pPr>
      <w:r>
        <w:rPr>
          <w:rFonts w:ascii="Times New Roman" w:hAnsi="Times New Roman"/>
          <w:b w:val="0"/>
          <w:sz w:val="24"/>
        </w:rPr>
        <w:t>The motivation behind the KrishiMitra project is rooted in the urgent necessity to democratize access to advanced agricultural technologies and consolidate these essential services into a singular, cohesive, mobile-first platform. By weaving together deep learning diagnostics, precise soil analysis without heavy computational dependencies, real-time market forecasting, and generative AI-based conversational advisory, KrishiMitra aims to empower the farmer with a holistic digital companion. The project is driven by the conviction that empowering farmers with data-driven insights—ranging from the micro-level detection of a fungal leaf infection to the macro-level prediction of commodity price trends—can catalyze a substantial increase in both agricultural productivity and socio-economic equity. Furthermore, the motivation extends to fostering a more transparent agricultural economy through the facilitation of a peer-to-peer (P2P) crop marketplace, directly connecting producers with buyers to eliminate intermediary exploitation.</w:t>
      </w:r>
    </w:p>
    <w:p>
      <w:pPr>
        <w:spacing w:line="420" w:lineRule="exact"/>
        <w:jc w:val="left"/>
      </w:pPr>
      <w:r>
        <w:rPr>
          <w:rFonts w:ascii="Times New Roman" w:hAnsi="Times New Roman"/>
          <w:b/>
          <w:sz w:val="28"/>
        </w:rPr>
        <w:t>1.3 Existing Systems and Technologies</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both"/>
      </w:pPr>
      <w:r>
        <w:rPr>
          <w:rFonts w:ascii="Times New Roman" w:hAnsi="Times New Roman"/>
          <w:b w:val="0"/>
          <w:sz w:val="24"/>
        </w:rPr>
        <w:t>A critical analysis of the current landscape of agricultural advisory systems reveals significant limitations in both scope and technological sophistication. Traditional extension services, primarily reliant on government-appointed agricultural officers visiting individual farms, are severely constrained by manpower shortages and geographical vastness, resulting in infrequent and often generic advice. In the digital realm, early iterations of agricultural mobile applications were predominantly rule-based systems or simple directories, lacking dynamic responsiveness to the unique, evolving conditions of an individual farmer's plot. While the past decade has witnessed the introduction of specialized applications offering image-based disease detection utilizing Convolutional Neural Networks (CNNs), these systems frequently suffer from a critical flaw: the 'black box' problem. Farmers, generally unfamiliar with the intricacies of artificial intelligence, are presented with a probabilistic diagnosis without any accompanying visual or logical justification. This lack of interpretability breeds skepticism and acts as a profound barrier to widespread adoption and trust.</w:t>
      </w:r>
    </w:p>
    <w:p>
      <w:pPr>
        <w:spacing w:line="420" w:lineRule="exact"/>
        <w:jc w:val="both"/>
      </w:pPr>
      <w:r>
        <w:rPr>
          <w:rFonts w:ascii="Times New Roman" w:hAnsi="Times New Roman"/>
          <w:b w:val="0"/>
          <w:sz w:val="24"/>
        </w:rPr>
        <w:t>Similarly, existing market information systems typically provide retrospective or real-time data on wholesale prices but fail to offer predictive analytics that could aid farmers in strategic harvest timing. Platforms offering soil analysis usually demand that samples be sent to centralized laboratories, a process that is time-consuming, expensive, and logistically burdensome for smallholders. Even digital soil advisory tools often rely on heavyweight machine learning libraries (such as scikit-learn or TensorFlow) that necessitate robust server infrastructure and constant internet connectivity. Comprehensive platforms that successfully integrate these disparate functionalities—diagnostic vision models with Explainable AI (XAI) overlays, lightweight and localized soil analytics, temporal market forecasting, and highly contextual conversational AI—remain largely absent from the market available to the average Indian agriculturalist.</w:t>
      </w:r>
    </w:p>
    <w:p>
      <w:pPr>
        <w:spacing w:line="420" w:lineRule="exact"/>
        <w:jc w:val="left"/>
      </w:pPr>
      <w:r>
        <w:rPr>
          <w:rFonts w:ascii="Times New Roman" w:hAnsi="Times New Roman"/>
          <w:b/>
          <w:sz w:val="28"/>
        </w:rPr>
        <w:t>1.4 Proposed Approach</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both"/>
      </w:pPr>
      <w:r>
        <w:rPr>
          <w:rFonts w:ascii="Times New Roman" w:hAnsi="Times New Roman"/>
          <w:b w:val="0"/>
          <w:sz w:val="24"/>
        </w:rPr>
        <w:t>The KrishiMitra platform proposes a paradigm-shifting approach by orchestrating a symphony of advanced computational techniques within a robust, highly scalable three-tier system architecture. The foundation of this approach is a cross-platform mobile client engineered using the Flutter framework, ensuring native performance and a fluid, intuitive user interface across both Android and iOS devices, which is critical for user retention in rural demographics. This client interfaces seamlessly via RESTful protocols with a secure, highly concurrent application server built on the Python Flask micro-framework, which handles business logic, state management, and data persistence via an Object-Relational Mapping (ORM) layer over an SQLite database.</w:t>
      </w:r>
    </w:p>
    <w:p>
      <w:pPr>
        <w:spacing w:line="420" w:lineRule="exact"/>
        <w:jc w:val="both"/>
      </w:pPr>
      <w:r>
        <w:rPr>
          <w:rFonts w:ascii="Times New Roman" w:hAnsi="Times New Roman"/>
          <w:b w:val="0"/>
          <w:sz w:val="24"/>
        </w:rPr>
        <w:t>The most significant innovation of the proposed approach lies in its dedicated Intelligence Layer. This tier serves as the cognitive engine of KrishiMitra, housing a suite of specialized, decoupled machine learning models and external API integrations. For disease diagnostics, the system employs a ResNet50 deep convolutional neural network, leveraging transfer learning to achieve high accuracy on a limited agricultural dataset, crucially augmented with Gradient-weighted Class Activation Mapping (Grad-CAM) to provide transparent, visual explanations for every inference. For soil and crop recommendations, the platform utilizes a custom, dependency-free K-Nearest Neighbours (KNN) algorithm written in pure Python, ensuring execution speed and broad host compatibility. Market intelligence is generated via Long Short-Term Memory (LSTM) recurrent neural networks processing sliding windows of real-time Agmarknet data to forecast price trends. Finally, conversational advisory is facilitated by proxying user queries to Groq's low-latency LLaMA 3.3 Large Language Model endpoint. This decoupled, microservices-inspired approach ensures that KrishiMitra is not only highly capable but also resilient, scalable, and maintainable.</w:t>
      </w:r>
    </w:p>
    <w:p>
      <w:pPr>
        <w:spacing w:line="420" w:lineRule="exact"/>
        <w:jc w:val="left"/>
      </w:pPr>
      <w:r>
        <w:rPr>
          <w:rFonts w:ascii="Times New Roman" w:hAnsi="Times New Roman"/>
          <w:b/>
          <w:sz w:val="28"/>
        </w:rPr>
        <w:t>1.5 Objectives of the Project</w:t>
      </w:r>
    </w:p>
    <w:p>
      <w:pPr>
        <w:spacing w:line="420" w:lineRule="exact"/>
        <w:jc w:val="both"/>
      </w:pPr>
      <w:r>
        <w:rPr>
          <w:rFonts w:ascii="Times New Roman" w:hAnsi="Times New Roman"/>
          <w:b w:val="0"/>
          <w:sz w:val="24"/>
        </w:rPr>
        <w:t>The KrishiMitra project is guided by the following core technical and operational objectives:</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both"/>
      </w:pPr>
      <w:r>
        <w:rPr>
          <w:rFonts w:ascii="Times New Roman" w:hAnsi="Times New Roman"/>
          <w:b w:val="0"/>
          <w:sz w:val="24"/>
        </w:rPr>
        <w:t>1. To design, train, and deploy a robust computer vision pipeline utilizing a ResNet50 architecture capable of classifying major foliar diseases (e.g., Leaf Spot, Rust) with a validation accuracy exceeding 95%.</w:t>
      </w:r>
    </w:p>
    <w:p>
      <w:pPr>
        <w:spacing w:line="420" w:lineRule="exact"/>
        <w:jc w:val="both"/>
      </w:pPr>
      <w:r>
        <w:rPr>
          <w:rFonts w:ascii="Times New Roman" w:hAnsi="Times New Roman"/>
          <w:b w:val="0"/>
          <w:sz w:val="24"/>
        </w:rPr>
        <w:t>2. To fundamentally enhance user trust and algorithmic transparency in agricultural AI by integrating Grad-CAM capabilities, dynamically generating and overlaying heatmaps that highlight the specific morphological features driving the model's diagnostic conclusions.</w:t>
      </w:r>
    </w:p>
    <w:p>
      <w:pPr>
        <w:spacing w:line="420" w:lineRule="exact"/>
        <w:jc w:val="both"/>
      </w:pPr>
      <w:r>
        <w:rPr>
          <w:rFonts w:ascii="Times New Roman" w:hAnsi="Times New Roman"/>
          <w:b w:val="0"/>
          <w:sz w:val="24"/>
        </w:rPr>
        <w:t>3. To engineer a highly efficient, dependency-free K-Nearest Neighbours (KNN) recommendation engine that processes basic agronomic inputs (Nitrogen, Phosphorus, Potassium, pH, and Moisture) to deliver instant, localized crop suitability rankings, a composite soil health score, and actionable fertilizer dosage adjustments.</w:t>
      </w:r>
    </w:p>
    <w:p>
      <w:pPr>
        <w:spacing w:line="420" w:lineRule="exact"/>
        <w:jc w:val="both"/>
      </w:pPr>
      <w:r>
        <w:rPr>
          <w:rFonts w:ascii="Times New Roman" w:hAnsi="Times New Roman"/>
          <w:b w:val="0"/>
          <w:sz w:val="24"/>
        </w:rPr>
        <w:t>4. To implement a sophisticated time-series forecasting module utilizing Long Short-Term Memory (LSTM) networks, capable of analyzing historical and real-time mandi price data to predict short-term commodity price trajectories, thereby empowering farmers with actionable market intelligence.</w:t>
      </w:r>
    </w:p>
    <w:p>
      <w:pPr>
        <w:spacing w:line="420" w:lineRule="exact"/>
        <w:jc w:val="both"/>
      </w:pPr>
      <w:r>
        <w:rPr>
          <w:rFonts w:ascii="Times New Roman" w:hAnsi="Times New Roman"/>
          <w:b w:val="0"/>
          <w:sz w:val="24"/>
        </w:rPr>
        <w:t>5. To orchestrate a comprehensive, low-latency conversational advisory system by integrating advanced Large Language Models (LLMs) via the Groq API, tailored through precise system prompting to deliver contextual, expert-grade agronomic advice in multiple domains.</w:t>
      </w:r>
    </w:p>
    <w:p>
      <w:pPr>
        <w:spacing w:line="420" w:lineRule="exact"/>
        <w:jc w:val="both"/>
      </w:pPr>
      <w:r>
        <w:rPr>
          <w:rFonts w:ascii="Times New Roman" w:hAnsi="Times New Roman"/>
          <w:b w:val="0"/>
          <w:sz w:val="24"/>
        </w:rPr>
        <w:t>6. To construct a secure, role-based Peer-to-Peer (P2P) crop trading marketplace directly within the mobile application, complete with real-time negotiation chat, transparent state transitions for order fulfillment, and an integrated financial ledger to track user income and expenses.</w:t>
      </w:r>
    </w:p>
    <w:p>
      <w:pPr>
        <w:spacing w:line="420" w:lineRule="exact"/>
        <w:jc w:val="both"/>
      </w:pPr>
      <w:r>
        <w:rPr>
          <w:rFonts w:ascii="Times New Roman" w:hAnsi="Times New Roman"/>
          <w:b w:val="0"/>
          <w:sz w:val="24"/>
        </w:rPr>
        <w:t>7. To ensure the platform's robustness and scalability through a carefully designed three-tier architecture (Flutter frontend, Flask backend, SQLite/SQLAlchemy database), incorporating dual-pathway authentication (Firebase and Fast2SMS OTP) and graceful degradation mechanisms to handle rural network intermittency.</w:t>
      </w:r>
    </w:p>
    <w:p>
      <w:pPr>
        <w:spacing w:line="420" w:lineRule="exact"/>
        <w:jc w:val="left"/>
      </w:pPr>
      <w:r>
        <w:rPr>
          <w:rFonts w:ascii="Times New Roman" w:hAnsi="Times New Roman"/>
          <w:b/>
          <w:sz w:val="28"/>
        </w:rPr>
        <w:t>1.6 Sustainable Development Goals (SDGs)</w:t>
      </w:r>
    </w:p>
    <w:p>
      <w:pPr>
        <w:spacing w:line="420" w:lineRule="exact"/>
        <w:jc w:val="both"/>
      </w:pPr>
      <w:r>
        <w:rPr>
          <w:rFonts w:ascii="Times New Roman" w:hAnsi="Times New Roman"/>
          <w:b w:val="0"/>
          <w:sz w:val="24"/>
        </w:rPr>
        <w:t>The KrishiMitra initiative is intricately aligned with the United Nations Sustainable Development Goals (SDGs), representing a concrete technological intervention towards global sustainability targets: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both"/>
      </w:pPr>
      <w:r>
        <w:rPr>
          <w:rFonts w:ascii="Times New Roman" w:hAnsi="Times New Roman"/>
          <w:b w:val="0"/>
          <w:sz w:val="24"/>
        </w:rPr>
        <w:t>• SDG 1 (No Poverty): By equipping smallholder farmers with the intelligence required to prevent catastrophic disease-induced crop losses, optimize their market timing through LSTM forecasting, and bypass exploitative intermediaries via the P2P marketplace, KrishiMitra directly contributes to the enhancement of rural incomes and the alleviation of agricultural poverty.</w:t>
      </w:r>
    </w:p>
    <w:p>
      <w:pPr>
        <w:spacing w:line="420" w:lineRule="exact"/>
        <w:jc w:val="both"/>
      </w:pPr>
      <w:r>
        <w:rPr>
          <w:rFonts w:ascii="Times New Roman" w:hAnsi="Times New Roman"/>
          <w:b w:val="0"/>
          <w:sz w:val="24"/>
        </w:rPr>
        <w:t>• SDG 2 (Zero Hunger): The platform's emphasis on precision agriculture—specifically through accurate disease diagnostics and optimal crop-to-soil matching via the KNN engine—promotes sustainable food production systems, increases aggregate agricultural yield, and fortifies the resilience of rural farming communities against climatic and biological shocks.</w:t>
      </w:r>
    </w:p>
    <w:p>
      <w:pPr>
        <w:spacing w:line="420" w:lineRule="exact"/>
        <w:jc w:val="both"/>
      </w:pPr>
      <w:r>
        <w:rPr>
          <w:rFonts w:ascii="Times New Roman" w:hAnsi="Times New Roman"/>
          <w:b w:val="0"/>
          <w:sz w:val="24"/>
        </w:rPr>
        <w:t>• SDG 9 (Industry, Innovation and Infrastructure): KrishiMitra exemplifies the application of cutting-edge industrial innovation (Deep Learning, LLMs, scalable cloud architecture) to traditional agricultural infrastructure, bridging the technological divide and introducing advanced digital capabilities to demographics historically marginalized by the tech sector.</w:t>
      </w:r>
    </w:p>
    <w:p>
      <w:pPr>
        <w:spacing w:line="420" w:lineRule="exact"/>
        <w:jc w:val="both"/>
      </w:pPr>
      <w:r>
        <w:rPr>
          <w:rFonts w:ascii="Times New Roman" w:hAnsi="Times New Roman"/>
          <w:b w:val="0"/>
          <w:sz w:val="24"/>
        </w:rPr>
        <w:t>• SDG 12 (Responsible Consumption and Production): The soil health module's precise, data-driven fertilizer recommendations actively discourage the prophylactic and excessive application of agrochemicals, thereby mitigating soil degradation, reducing chemical runoff into aquatic ecosystems, and promoting environmentally responsible agricultural production patterns.</w:t>
      </w:r>
    </w:p>
    <w:p>
      <w:pPr>
        <w:spacing w:line="420" w:lineRule="exact"/>
        <w:jc w:val="left"/>
      </w:pPr>
      <w:r>
        <w:rPr>
          <w:rFonts w:ascii="Times New Roman" w:hAnsi="Times New Roman"/>
          <w:b/>
          <w:sz w:val="28"/>
        </w:rPr>
        <w:t>1.7 Overview of Project Report</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pPr>
        <w:spacing w:line="420" w:lineRule="exact"/>
        <w:jc w:val="both"/>
      </w:pPr>
      <w:r>
        <w:rPr>
          <w:rFonts w:ascii="Times New Roman" w:hAnsi="Times New Roman"/>
          <w:b w:val="0"/>
          <w:sz w:val="24"/>
        </w:rPr>
        <w:t>The remainder of this major project report is structured to provide an exhaustive, systematic detailing of the KrishiMitra platform's conception, design, implementation, and evaluation. Chapter 2 presents a comprehensive Literature Review, critically analyzing prior academic research and commercial technologies in the domains of agricultural AI, computer vision, and market forecasting, thereby establishing the intellectual context for this work. Chapter 3 elucidates the Methodology, detailing the Agile software development lifecycle, data collection protocols, and mathematical foundations underlying the employed algorithms. Chapter 4 discusses Project Management, outlining the sprint timelines, resource allocation strategies, detailed PESTLE risk analysis, and budgetary considerations. Chapter 5 focuses on System Analysis and Design, providing a deep dive into the functional and non-functional requirements, comprehensive Unified Modeling Language (UML) diagrams (Use Case, Data Flow), and exhaustive Data Dictionaries defining the database schema. Chapter 6 is dedicated to Implementation and Simulation, presenting the specific hardware and software configurations, core algorithmic logic, and critical code snippets illustrating the Flutter frontend, Flask backend, and TensorFlow ML pipelines. Chapter 7 details the Evaluation and Results, presenting rigorous statistical analyses of model performance (accuracy, precision, recall, F1 scores), comprehensive software testing methodologies, system latency metrics, and outcomes from the real-world marketplace pilot study. Chapter 8 explores the broader Social, Legal, Ethical, Sustainability, and Safety Aspects of deploying AI in rural agriculture. Finally, Chapter 9 offers the Conclusion, summarizing the project's achievements against its stated objectives, and outlines promising avenues for Future Work, including model expansion and federated learning integration.</w:t>
      </w:r>
    </w:p>
    <w:p>
      <w:r>
        <w:br w:type="page"/>
      </w:r>
    </w:p>
    <w:p>
      <w:pPr>
        <w:spacing w:line="420" w:lineRule="exact"/>
        <w:jc w:val="center"/>
      </w:pPr>
      <w:r>
        <w:rPr>
          <w:rFonts w:ascii="Times New Roman" w:hAnsi="Times New Roman"/>
          <w:b/>
          <w:sz w:val="32"/>
        </w:rPr>
        <w:t>Chapter 2</w:t>
      </w:r>
    </w:p>
    <w:p>
      <w:pPr>
        <w:spacing w:line="420" w:lineRule="exact"/>
        <w:jc w:val="center"/>
      </w:pPr>
      <w:r>
        <w:rPr>
          <w:rFonts w:ascii="Times New Roman" w:hAnsi="Times New Roman"/>
          <w:b/>
          <w:sz w:val="32"/>
        </w:rPr>
        <w:t>Literature Review</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both"/>
      </w:pPr>
      <w:r>
        <w:rPr>
          <w:rFonts w:ascii="Times New Roman" w:hAnsi="Times New Roman"/>
          <w:b w:val="0"/>
          <w:sz w:val="24"/>
        </w:rPr>
        <w:t>The application of Artificial Intelligence (AI) and Machine Learning (ML) in agriculture has witnessed explosive growth over the past decade, transitioning from theoretical academic exercises to practical, deployable systems. A critical component of this evolution has been the development of automated crop disease recognition systems. Early foundational work by Mohanty et al. [2] demonstrated that deep Convolutional Neural Networks (CNNs), specifically architectures like AlexNet and GoogLeNet, could achieve near-human-level accuracy when trained and evaluated on highly curated, laboratory-condition datasets such as PlantVillage. However, subsequent critical analyses by researchers like Brahimi et al. [3] illuminated a significant 'generalization gap'. When these highly accurate laboratory models were exposed to noisy, in-situ field photographs characterized by complex backgrounds, variable illumination, and overlapping foliage, their diagnostic accuracy degraded precipitously. This revelation catalyzed a shift towards employing robust transfer learning techniques using deeper architectures. Ferentinos [4] conducted extensive empirical studies across numerous plant-disease pairs, demonstrating that very deep networks, such as VGG19 and ResNet50, pretrained on massive generalized datasets like ImageNet, possessed superior feature-extraction capabilities that generalized significantly better to the chaotic visual domain of real-world agriculture. KrishiMitra builds directly upon this lineage by selecting the ResNet50 architecture—which utilizes residual shortcut connections to mitigate the vanishing gradient problem during training—as the optimal balance between high diagnostic accuracy and manageable computational complexity.</w:t>
      </w:r>
    </w:p>
    <w:p>
      <w:pPr>
        <w:spacing w:line="420" w:lineRule="exact"/>
        <w:jc w:val="both"/>
      </w:pPr>
      <w:r>
        <w:rPr>
          <w:rFonts w:ascii="Times New Roman" w:hAnsi="Times New Roman"/>
          <w:b w:val="0"/>
          <w:sz w:val="24"/>
        </w:rPr>
        <w:t>Despite the impressive predictive metrics achieved by modern CNNs, a profound barrier to their adoption in practical agriculture remains the inherent opacity of deep learning models, colloquially known as the 'black box' problem. Farmers and agronomists alike are understandably hesitant to base critical, potentially costly treatment decisions on the output of an algorithm whose internal logic is inscrutable. To bridge this trust deficit, the field of Explainable AI (XAI) has emerged as a crucial area of research. Selvaraju et al. [5] introduced Gradient-weighted Class Activation Mapping (Grad-CAM), a technique that produces coarse localization maps highlighting the highly predictive regions in an image without requiring architectural changes or re-training. In the context of precision agriculture, Ramcharan et al. [6] and subsequent researchers demonstrated that providing these visual heatmaps alongside a diagnosis significantly increases a user's willingness to accept and act upon the model's output, as it proves the network is identifying actual pathological lesions (e.g., necrosis, chlorosis, pustules) rather than relying on spurious background correlations (shortcut learning). KrishiMitra integrates Grad-CAM natively into its inference pipeline, ensuring that every diagnostic classification is accompanied by a transparent visual justification.</w:t>
      </w:r>
    </w:p>
    <w:p>
      <w:pPr>
        <w:spacing w:line="420" w:lineRule="exact"/>
        <w:jc w:val="both"/>
      </w:pPr>
      <w:r>
        <w:rPr>
          <w:rFonts w:ascii="Times New Roman" w:hAnsi="Times New Roman"/>
          <w:b w:val="0"/>
          <w:sz w:val="24"/>
        </w:rPr>
        <w:t>Beyond visual diagnostics, the integration of diverse agronomic services into unified platforms remains a significant challenge. Comprehensive surveys of the agricultural IoT and AI landscape by Ayaz et al. [7] and Kamilaris and Prenafeta-Boldú [8] consistently observe that the majority of digital agricultural tools operate as isolated silos. A farmer is typically required to utilize one application for disease identification, a separate governmental portal for market prices, and yet another service for weather forecasts. In the domain of soil health and crop recommendation, prior literature heavily features the use of ensemble learning techniques. Pudumalar et al. [9], for instance, proposed crop recommendation systems relying heavily on Random Forests and Decision Trees. While accurate, these models often necessitate the inclusion of bulky external machine learning libraries (like scikit-learn in Python environments), which complicates deployment on lightweight or constrained server infrastructures. KrishiMitra addresses this by implementing a K-Nearest Neighbours (KNN) algorithm from scratch in pure Python, consciously trading a negligible fraction of theoretical accuracy for immense gains in deployment flexibility and zero-dependency execution.</w:t>
      </w:r>
    </w:p>
    <w:p>
      <w:pPr>
        <w:spacing w:line="420" w:lineRule="exact"/>
        <w:jc w:val="both"/>
      </w:pPr>
      <w:r>
        <w:rPr>
          <w:rFonts w:ascii="Times New Roman" w:hAnsi="Times New Roman"/>
          <w:b w:val="0"/>
          <w:sz w:val="24"/>
        </w:rPr>
        <w:t>The evolution of Natural Language Processing (NLP) has also begun to impact agricultural extension services. Bendre et al. [10] demonstrated the efficacy of utilizing BERT-based models to construct intelligent agricultural advisory systems capable of understanding and responding to farmer queries in natural language. However, hosting and executing these massive transformer models locally requires substantial dedicated GPU infrastructure, making them economically unviable for free-to-use platforms aimed at developing nations. The recent advent of highly optimized, cloud-hosted Large Language Model (LLM) endpoints from providers like Groq has revolutionized this paradigm, enabling platforms like KrishiMitra to deliver state-of-the-art conversational AI capabilities via API calls with sub-second latency and minimal infrastructure costs. Furthermore, the economic impact of democratizing market intelligence has been well documented. Research by Misra et al. [11] empirically demonstrated that providing farmers with direct, real-time access to government mandi price feeds significantly reduced information asymmetry against local traders, translating directly into 12% to 18% higher realized selling prices. KrishiMitra's marketplace and LSTM forecasting modules are designed specifically to exploit this economic dynamic, arming the farmer with predictive market trends before they enter price negotiations.</w:t>
      </w:r>
    </w:p>
    <w:p>
      <w:pPr>
        <w:spacing w:line="420" w:lineRule="exact"/>
        <w:jc w:val="center"/>
      </w:pPr>
      <w:r>
        <w:rPr>
          <w:rFonts w:ascii="Times New Roman" w:hAnsi="Times New Roman"/>
          <w:b/>
          <w:sz w:val="32"/>
        </w:rPr>
        <w:t>Chapter 3</w:t>
      </w:r>
    </w:p>
    <w:p>
      <w:pPr>
        <w:spacing w:line="420" w:lineRule="exact"/>
        <w:jc w:val="center"/>
      </w:pPr>
      <w:r>
        <w:rPr>
          <w:rFonts w:ascii="Times New Roman" w:hAnsi="Times New Roman"/>
          <w:b/>
          <w:sz w:val="32"/>
        </w:rPr>
        <w:t>Methodology</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both"/>
      </w:pPr>
      <w:r>
        <w:rPr>
          <w:rFonts w:ascii="Times New Roman" w:hAnsi="Times New Roman"/>
          <w:b w:val="0"/>
          <w:sz w:val="24"/>
        </w:rPr>
        <w:t>The architectural design and subsequent development of the KrishiMitra platform rigorously adhered to an Agile software development methodology, specifically adopting a modified Scrum framework tailored for an academic project lifecycle. The decision to eschew traditional, rigid methodologies like the Waterfall model was driven by the inherent uncertainties associated with developing multi-modal machine learning pipelines and integrating them into a mobile ecosystem. Agile allowed for iterative refinement, continuous integration, and immediate pivoting based on early user feedback or unexpected technical hurdles encountered during the training of the deep neural networks.</w:t>
      </w:r>
    </w:p>
    <w:p>
      <w:pPr>
        <w:spacing w:line="420" w:lineRule="exact"/>
        <w:jc w:val="both"/>
      </w:pPr>
      <w:r>
        <w:rPr>
          <w:rFonts w:ascii="Times New Roman" w:hAnsi="Times New Roman"/>
          <w:b w:val="0"/>
          <w:sz w:val="24"/>
        </w:rPr>
        <w:t>The overarching methodology was decomposed into distinct, functional phases. The primary phase commenced with comprehensive requirements elicitation, engaging directly with agricultural extension workers and sample farming communities to identify critical friction points. This phase solidified the necessity for a multi-faceted application spanning diagnostics, advisory, and market intelligence. Following requirements gathering, the System Design phase formulated the three-tier architecture—comprising the Flutter client, the Flask intermediate tier, and the decentralized machine learning intelligence layer. This decoupling of the front-end rendering logic from the heavy computational lifting of the inference engines was a foundational methodological decision, ensuring that the mobile application remained lightweight and responsive even on resource-constrained hardware typical of rural deployment environments.</w:t>
      </w:r>
    </w:p>
    <w:p>
      <w:pPr>
        <w:spacing w:line="420" w:lineRule="exact"/>
        <w:jc w:val="both"/>
      </w:pPr>
      <w:r>
        <w:rPr>
          <w:rFonts w:ascii="Times New Roman" w:hAnsi="Times New Roman"/>
          <w:b w:val="0"/>
          <w:sz w:val="24"/>
        </w:rPr>
        <w:t>The core methodological challenge lay in the algorithmic pipeline construction. For the computer vision component, transfer learning was aggressively employed. Rather than training a Convolutional Neural Network (CNN) from scratch—which would require an impractically massive dataset to achieve convergence and avoid severe overfitting—a ResNet50 model, pre-trained on the comprehensive ImageNet database, was utilized as the feature extraction backbone. The methodology involved excising the top classification layers and grafting a custom dense network tailored to the specific taxonomy of the target agricultural dataset. Aggressive data augmentation strategies, including dynamic rotation, width/height shifting, shear transformations, and brightness jittering, were methodically applied to artificially expand the variance of the training data, thereby forcing the model to learn invariant, generalized features of foliar diseases rather than memorizing the specific lighting conditions or background noise of the training images. Simultaneously, the methodology for the soil recommendation engine prioritized maximum portability; hence, a custom K-Nearest Neighbours (KNN) algorithm was engineered in pure Python, utilizing Euclidean distance metrics on z-score normalized datasets, completely bypassing bulky dependencies like scikit-learn or Pandas in the production environment.</w:t>
      </w:r>
    </w:p>
    <w:p>
      <w:pPr>
        <w:spacing w:line="420" w:lineRule="exact"/>
        <w:jc w:val="left"/>
      </w:pPr>
      <w:r>
        <w:rPr>
          <w:rFonts w:ascii="Times New Roman" w:hAnsi="Times New Roman"/>
          <w:b/>
          <w:sz w:val="28"/>
        </w:rPr>
        <w:t>3.1 Data Collection and Preprocessing</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both"/>
      </w:pPr>
      <w:r>
        <w:rPr>
          <w:rFonts w:ascii="Times New Roman" w:hAnsi="Times New Roman"/>
          <w:b w:val="0"/>
          <w:sz w:val="24"/>
        </w:rPr>
        <w:t>The efficacy of any machine learning model is inextricably linked to the quality and volume of its training data. For the disease classification module, the primary dataset was constructed by curating specific disease subsets from the publicly available PlantVillage repository, supplemented by a secondary collection of field-captured images to introduce real-world noise. This composite dataset underwent rigorous preprocessing. All images were uniformly resized to a standard 224x224 pixel resolution to conform to the input tensor requirements of the ResNet50 architecture. Pixel intensity values, originally ranging from 0 to 255, were globally normalized to a standard floating-point range of [0, 1] to accelerate gradient descent convergence during the training phase. Categorical labels corresponding to specific disease classes (e.g., Early Blight, Late Blight, Healthy) were one-hot encoded to facilitate the calculation of categorical cross-entropy loss.</w:t>
      </w:r>
    </w:p>
    <w:p>
      <w:pPr>
        <w:spacing w:line="420" w:lineRule="exact"/>
        <w:jc w:val="both"/>
      </w:pPr>
      <w:r>
        <w:rPr>
          <w:rFonts w:ascii="Times New Roman" w:hAnsi="Times New Roman"/>
          <w:b w:val="0"/>
          <w:sz w:val="24"/>
        </w:rPr>
        <w:t>Conversely, the data methodology for the soil recommendation engine required the aggregation of tabular agronomic data. A comprehensive dataset comprising hundreds of distinct soil profiles—each quantified by exact measurements of Nitrogen (N), Phosphorus (P), Potassium (K), pH levels, and ambient moisture—was mapped to optimal crop yields. To prevent features with larger numeric ranges (such as Potassium levels) from disproportionately dominating the Euclidean distance calculations within the KNN algorithm, a rigorous feature scaling methodology was applied. Specifically, standardization (z-score normalization) was utilized, wherein the mean of each feature column was subtracted from the individual value and the result divided by the standard deviation of that column. For the market intelligence module, data was not static but dynamic; the methodology involved establishing automated scraping and API polling scripts that continuously queried the government's Agmarknet portal, parsing XML/JSON payloads to extract modal prices, minimum prices, and arrival volumes across key regional mandis, which were then structured into sliding temporal windows to feed the Long Short-Term Memory (LSTM) forecasting model.</w:t>
      </w:r>
    </w:p>
    <w:p>
      <w:pPr>
        <w:spacing w:line="420" w:lineRule="exact"/>
        <w:jc w:val="left"/>
      </w:pPr>
      <w:r>
        <w:rPr>
          <w:rFonts w:ascii="Times New Roman" w:hAnsi="Times New Roman"/>
          <w:b/>
          <w:sz w:val="28"/>
        </w:rPr>
        <w:t>3.2 Machine Learning Algorithmic Foundations</w:t>
      </w:r>
    </w:p>
    <w:p>
      <w:pPr>
        <w:spacing w:line="420" w:lineRule="exact"/>
        <w:jc w:val="left"/>
      </w:pPr>
      <w:r>
        <w:rPr>
          <w:rFonts w:ascii="Times New Roman" w:hAnsi="Times New Roman"/>
          <w:b/>
          <w:sz w:val="24"/>
        </w:rPr>
        <w:t>3.2.1 Deep Residual Networks (ResNet50) and Transfer Learning</w:t>
      </w:r>
    </w:p>
    <w:p>
      <w:pPr>
        <w:spacing w:line="420" w:lineRule="exact"/>
        <w:jc w:val="both"/>
      </w:pPr>
      <w:r>
        <w:rPr>
          <w:rFonts w:ascii="Times New Roman" w:hAnsi="Times New Roman"/>
          <w:b w:val="0"/>
          <w:sz w:val="24"/>
        </w:rPr>
        <w:t>The selection of ResNet50 over linear CNN architectures (like VGG16) was a deliberate methodological choice driven by the 'degradation problem'. As neural networks become deeper to extract more complex, abstract features, accuracy often saturates and then rapidly degrades, not due to overfitting, but due to vanishing or exploding gradients that prevent effective weight updates during backpropagation. ResNet solves this via residual blocks containing 'shortcut connections' that perform identity mapping. If a specific layer is unnecessary, the network can easily learn to drive the weights of that layer to zero, effectively skipping it and leaving the identity mapping intact. This architecture allowed the KrishiMitra model to leverage 50 deep layers of feature extraction without suffering from gradient vanishing, making it exceptionally adept at identifying the subtle geometric and textural anomalies indicative of early-stage foliar diseases.</w:t>
      </w:r>
    </w:p>
    <w:p>
      <w:pPr>
        <w:spacing w:line="420" w:lineRule="exact"/>
        <w:jc w:val="left"/>
      </w:pPr>
      <w:r>
        <w:rPr>
          <w:rFonts w:ascii="Times New Roman" w:hAnsi="Times New Roman"/>
          <w:b/>
          <w:sz w:val="24"/>
        </w:rPr>
        <w:t>3.2.2 Explainable AI via Grad-CAM</w:t>
      </w:r>
    </w:p>
    <w:p>
      <w:pPr>
        <w:spacing w:line="420" w:lineRule="exact"/>
        <w:jc w:val="both"/>
      </w:pPr>
      <w:r>
        <w:rPr>
          <w:rFonts w:ascii="Times New Roman" w:hAnsi="Times New Roman"/>
          <w:b w:val="0"/>
          <w:sz w:val="24"/>
        </w:rPr>
        <w:t>To achieve algorithmic transparency, the methodology incorporated Gradient-weighted Class Activation Mapping (Grad-CAM). Traditional CNNs output a singular probability distribution, offering no insight into which visual features drove that prediction. Grad-CAM overcomes this by utilizing the spatial information preserved in the final convolutional layers. Specifically, the gradients of the target concept (the predicted disease class) are routed backward into the final convolutional feature map. These gradients are globally average-pooled to obtain 'importance weights' for each feature channel. A weighted combination of forward activation maps is then computed, followed by a ReLU activation to isolate only those features that have a positive influence on the target class. The resulting 2D spatial map is upsampled to the original image dimensions and overlaid as a colormap, providing farmers with a visual, intuitive explanation (a 'heat map') of the specific leaf lesions the AI utilized to form its diagnosis.</w:t>
      </w:r>
    </w:p>
    <w:p>
      <w:pPr>
        <w:spacing w:line="420" w:lineRule="exact"/>
        <w:jc w:val="left"/>
      </w:pPr>
      <w:r>
        <w:rPr>
          <w:rFonts w:ascii="Times New Roman" w:hAnsi="Times New Roman"/>
          <w:b/>
          <w:sz w:val="24"/>
        </w:rPr>
        <w:t>3.2.3 Long Short-Term Memory (LSTM) Networks for Time-Series</w:t>
      </w:r>
    </w:p>
    <w:p>
      <w:pPr>
        <w:spacing w:line="420" w:lineRule="exact"/>
        <w:jc w:val="both"/>
      </w:pPr>
      <w:r>
        <w:rPr>
          <w:rFonts w:ascii="Times New Roman" w:hAnsi="Times New Roman"/>
          <w:b w:val="0"/>
          <w:sz w:val="24"/>
        </w:rPr>
        <w:t>Predicting agricultural commodity prices is a highly complex, non-linear time-series problem, heavily influenced by seasonality, weather, and localized supply-demand shocks. Traditional statistical methods like ARIMA often fail to capture the complex, long-term dependencies inherent in such data. The methodology therefore utilized LSTM networks, a specialized variant of Recurrent Neural Networks (RNNs) explicitly designed to avoid the long-term dependency problem. LSTMs achieve this via a complex cell state governed by three distinct regulatory gates: the forget gate (which decides what information to discard from the cell state), the input gate (which decides which new information to store), and the output gate (which determines what the next hidden state should be). By training on historical windows of 30-day sequential mandi prices, the LSTM network learns to filter out transient daily noise and identify the underlying trajectory, generating robust short-term forecasts that assist farmers in strategic market timing.</w:t>
      </w:r>
    </w:p>
    <w:p>
      <w:r>
        <w:br w:type="page"/>
      </w:r>
    </w:p>
    <w:p>
      <w:pPr>
        <w:spacing w:line="420" w:lineRule="exact"/>
        <w:jc w:val="center"/>
      </w:pPr>
      <w:r>
        <w:rPr>
          <w:rFonts w:ascii="Times New Roman" w:hAnsi="Times New Roman"/>
          <w:b/>
          <w:sz w:val="32"/>
        </w:rPr>
        <w:t>Chapter 4</w:t>
      </w:r>
    </w:p>
    <w:p>
      <w:pPr>
        <w:spacing w:line="420" w:lineRule="exact"/>
        <w:jc w:val="center"/>
      </w:pPr>
      <w:r>
        <w:rPr>
          <w:rFonts w:ascii="Times New Roman" w:hAnsi="Times New Roman"/>
          <w:b/>
          <w:sz w:val="32"/>
        </w:rPr>
        <w:t>Project Management</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both"/>
      </w:pPr>
      <w:r>
        <w:rPr>
          <w:rFonts w:ascii="Times New Roman" w:hAnsi="Times New Roman"/>
          <w:b w:val="0"/>
          <w:sz w:val="24"/>
        </w:rPr>
        <w:t>Effective project management was paramount to ensuring that the multi-disciplinary components of KrishiMitra—ranging from mobile UI/UX design to backend API architecture and complex machine learning engineering—were delivered synchronously within the strict academic timeframe. The project adopted a framework heavily inspired by Scrum, dividing the development lifecycle into discrete, two-week Sprints. This structured cadence allowed for the iterative development of features, continuous unit testing, and the flexibility to reprioritize the product backlog based on the evolving complexity of the AI models. Extensive use of version control systems (Git) and repository hosting platforms (GitHub) facilitated seamless tracking of code modifications, branching for experimental model features, and robust rollback capabilities in the event of systemic failures during integration.</w:t>
      </w:r>
    </w:p>
    <w:p>
      <w:pPr>
        <w:spacing w:line="420" w:lineRule="exact"/>
        <w:jc w:val="left"/>
      </w:pPr>
      <w:r>
        <w:rPr>
          <w:rFonts w:ascii="Times New Roman" w:hAnsi="Times New Roman"/>
          <w:b/>
          <w:sz w:val="28"/>
        </w:rPr>
        <w:t>4.1 Detailed Project Timeline and Milestones</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both"/>
      </w:pPr>
      <w:r>
        <w:rPr>
          <w:rFonts w:ascii="Times New Roman" w:hAnsi="Times New Roman"/>
          <w:b w:val="0"/>
          <w:sz w:val="24"/>
        </w:rPr>
        <w:t>The project timeline was rigorously mapped across a 16-week period, categorized broadly into Phase I: Planning and Research (Weeks 1-3), Phase II: Core Development (Weeks 4-10), Phase III: Integration and Refinement (Weeks 11-13), and Phase IV: Deployment and Evaluation (Weeks 14-16). During Phase I, exhaustive literature reviews were conducted alongside the formalization of the Software Requirements Specification (SRS) document. The architecture of the SQLite database was drafted, and the APIs for Agmarknet and OpenWeatherMap were evaluated for rate limits and data payload structures.</w:t>
      </w:r>
    </w:p>
    <w:p>
      <w:pPr>
        <w:spacing w:line="420" w:lineRule="exact"/>
        <w:jc w:val="both"/>
      </w:pPr>
      <w:r>
        <w:rPr>
          <w:rFonts w:ascii="Times New Roman" w:hAnsi="Times New Roman"/>
          <w:b w:val="0"/>
          <w:sz w:val="24"/>
        </w:rPr>
        <w:t>Phase II constituted the bulk of the engineering effort. Parallel development tracks were established: the frontend team focused on constructing the Flutter UI components (riverpod state management, go_router navigation, and the complex chat interface for the P2P marketplace), while the backend/ML team focused on training the ResNet50 model using TensorFlow/Keras and developing the pure-Python KNN algorithms. Phase III marked the critical juncture where the disparate systems were unified. The Flask REST API was formalized, enabling the mobile application to securely transmit images for inference and receive structured JSON responses containing predictions and Grad-CAM image URLs. Phase IV involved rigorous alpha testing on physical devices (specifically low-end Android hardware) to identify memory leaks and optimize API latency, culminating in a limited pilot release to gather qualitative user feedback.</w:t>
      </w:r>
    </w:p>
    <w:p>
      <w:pPr>
        <w:spacing w:line="420" w:lineRule="exact"/>
        <w:jc w:val="left"/>
      </w:pPr>
      <w:r>
        <w:rPr>
          <w:rFonts w:ascii="Times New Roman" w:hAnsi="Times New Roman"/>
          <w:b/>
          <w:sz w:val="28"/>
        </w:rPr>
        <w:t>4.2 Comprehensive Risk Analysis and Mitigation Strategies</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both"/>
      </w:pPr>
      <w:r>
        <w:rPr>
          <w:rFonts w:ascii="Times New Roman" w:hAnsi="Times New Roman"/>
          <w:b w:val="0"/>
          <w:sz w:val="24"/>
        </w:rPr>
        <w:t>Proactive risk management was a continuous process throughout the project lifecycle. A detailed PESTLE (Political, Economic, Social, Technological, Legal, Environmental) analysis was conducted, alongside a specific technical risk matrix. The primary Technological Risk identified was the computational overhead of deep learning inference. Initial experiments attempting to run TensorFlow Lite models directly on legacy Android devices resulted in unacceptable battery drain and thermal throttling. The mitigation strategy involved a fundamental architectural pivot: moving the heavy inference payload entirely to the Flask server, optimizing the image payload size before transmission from the Flutter client, and implementing robust asynchronous queuing on the backend to handle concurrent requests without dropping connections.</w:t>
      </w:r>
    </w:p>
    <w:p>
      <w:pPr>
        <w:spacing w:line="420" w:lineRule="exact"/>
        <w:jc w:val="both"/>
      </w:pPr>
      <w:r>
        <w:rPr>
          <w:rFonts w:ascii="Times New Roman" w:hAnsi="Times New Roman"/>
          <w:b w:val="0"/>
          <w:sz w:val="24"/>
        </w:rPr>
        <w:t>A significant Social/Adoption Risk was the historical distrust rural communities often harbor towards complex, opaque technological solutions. If farmers could not understand why the application recommended a specific pesticide or fertilizer, they would likely ignore it. This risk was comprehensively mitigated through the implementation of Explainable AI (Grad-CAM) for disease diagnostics and by ensuring the LLM conversational advisory (powered by Groq/LLaMA) communicated in clear, non-academic language, explicitly citing the agronomic rules it used to formulate its advice. Furthermore, a severe Infrastructural Risk pertained to the intermittent nature of mobile data networks in rural Indian settings. To counter this, the application architecture was designed with aggressive local caching strategies utilizing SQLite on the device itself, ensuring that critical data such as user profiles, the farming calendar, and offline financial ledgers remained fully accessible and functional even during total network outages, synchronizing asynchronously with the Flask backend only when connectivity was restored.</w:t>
      </w:r>
    </w:p>
    <w:p>
      <w:pPr>
        <w:spacing w:line="420" w:lineRule="exact"/>
        <w:jc w:val="center"/>
      </w:pPr>
      <w:r>
        <w:rPr>
          <w:rFonts w:ascii="Times New Roman" w:hAnsi="Times New Roman"/>
          <w:b/>
          <w:sz w:val="32"/>
        </w:rPr>
        <w:t>Chapter 5</w:t>
      </w:r>
    </w:p>
    <w:p>
      <w:pPr>
        <w:spacing w:line="420" w:lineRule="exact"/>
        <w:jc w:val="center"/>
      </w:pPr>
      <w:r>
        <w:rPr>
          <w:rFonts w:ascii="Times New Roman" w:hAnsi="Times New Roman"/>
          <w:b/>
          <w:sz w:val="32"/>
        </w:rPr>
        <w:t>System Analysis and Design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5.1 Feasibility Study</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both"/>
      </w:pPr>
      <w:r>
        <w:rPr>
          <w:rFonts w:ascii="Times New Roman" w:hAnsi="Times New Roman"/>
          <w:b w:val="0"/>
          <w:sz w:val="24"/>
        </w:rPr>
        <w:t>A comprehensive feasibility study was undertaken prior to the commencement of development to assess the viability of the KrishiMitra platform across three critical dimensions: Technical, Economic, and Operational. Technical Feasibility evaluated the capacity of current open-source frameworks to support the required deep learning pipelines on mobile architectures. It was determined that while executing a full ResNet50 model locally on average rural smartphones was technologically prohibitive due to memory constraints, adopting a client-server architecture—where the Flutter application transmits image payloads to a robust Python Flask backend for inference—was entirely feasible and scalable. Economic Feasibility was highly favourable; the project leveraged entirely free, open-source technologies (Flutter, Python, SQLite, TensorFlow) and utilized generous free-tier quotas from APIs (Groq, OpenWeatherMap), ensuring that development and subsequent deployment costs remained nominal. Operational Feasibility assessed whether the target demographic (rural farmers) could effectively utilize the system. By designing an intuitive, icon-heavy UI in Flutter and integrating dual authentication mechanisms (Fast2SMS and Firebase), the operational barrier to entry was minimized.</w:t>
      </w:r>
    </w:p>
    <w:p>
      <w:pPr>
        <w:spacing w:line="420" w:lineRule="exact"/>
        <w:jc w:val="left"/>
      </w:pPr>
      <w:r>
        <w:rPr>
          <w:rFonts w:ascii="Times New Roman" w:hAnsi="Times New Roman"/>
          <w:b/>
          <w:sz w:val="28"/>
        </w:rPr>
        <w:t>5.2 Requirement Specifications</w:t>
      </w:r>
    </w:p>
    <w:p>
      <w:pPr>
        <w:spacing w:line="420" w:lineRule="exact"/>
        <w:jc w:val="both"/>
      </w:pPr>
      <w:r>
        <w:rPr>
          <w:rFonts w:ascii="Times New Roman" w:hAnsi="Times New Roman"/>
          <w:b w:val="0"/>
          <w:sz w:val="24"/>
        </w:rPr>
        <w:t>The system requirements were rigorously categorized to guide the subsequent architectural design.</w:t>
      </w:r>
    </w:p>
    <w:p>
      <w:pPr>
        <w:spacing w:line="420" w:lineRule="exact"/>
        <w:jc w:val="left"/>
      </w:pPr>
      <w:r>
        <w:rPr>
          <w:rFonts w:ascii="Times New Roman" w:hAnsi="Times New Roman"/>
          <w:b/>
          <w:sz w:val="24"/>
        </w:rPr>
        <w:t>5.2.1 Functional Requirements</w:t>
      </w:r>
    </w:p>
    <w:p>
      <w:pPr>
        <w:spacing w:line="420" w:lineRule="exact"/>
        <w:jc w:val="both"/>
      </w:pPr>
      <w:r>
        <w:rPr>
          <w:rFonts w:ascii="Times New Roman" w:hAnsi="Times New Roman"/>
          <w:b w:val="0"/>
          <w:sz w:val="24"/>
        </w:rPr>
        <w:t>1. User Management: The system must allow users to register and authenticate using an OTP-based mechanism, assigning specific roles (Farmer or Buyer) that dictate UI navigation and access permissions.</w:t>
      </w:r>
    </w:p>
    <w:p>
      <w:pPr>
        <w:spacing w:line="420" w:lineRule="exact"/>
        <w:jc w:val="both"/>
      </w:pPr>
      <w:r>
        <w:rPr>
          <w:rFonts w:ascii="Times New Roman" w:hAnsi="Times New Roman"/>
          <w:b w:val="0"/>
          <w:sz w:val="24"/>
        </w:rPr>
        <w:t>2. Diagnostic AI: The system must accept image uploads of crop foliage, process them via the ResNet50 model, and return a specific disease classification alongside a Grad-CAM heatmap visualization.</w:t>
      </w:r>
    </w:p>
    <w:p>
      <w:pPr>
        <w:spacing w:line="420" w:lineRule="exact"/>
        <w:jc w:val="both"/>
      </w:pPr>
      <w:r>
        <w:rPr>
          <w:rFonts w:ascii="Times New Roman" w:hAnsi="Times New Roman"/>
          <w:b w:val="0"/>
          <w:sz w:val="24"/>
        </w:rPr>
        <w:t>3. Soil Advisory: The system must accept numeric inputs for N, P, K, pH, and Moisture, process them via the KNN engine, and return an ordered list of optimal crops and fertilizer correction advice.</w:t>
      </w:r>
    </w:p>
    <w:p>
      <w:pPr>
        <w:spacing w:line="420" w:lineRule="exact"/>
        <w:jc w:val="both"/>
      </w:pPr>
      <w:r>
        <w:rPr>
          <w:rFonts w:ascii="Times New Roman" w:hAnsi="Times New Roman"/>
          <w:b w:val="0"/>
          <w:sz w:val="24"/>
        </w:rPr>
        <w:t>4. Market Intelligence: The system must autonomously poll the Agmarknet API, ingest the data, and render predictive price trend graphs using the LSTM module.</w:t>
      </w:r>
    </w:p>
    <w:p>
      <w:pPr>
        <w:spacing w:line="420" w:lineRule="exact"/>
        <w:jc w:val="both"/>
      </w:pPr>
      <w:r>
        <w:rPr>
          <w:rFonts w:ascii="Times New Roman" w:hAnsi="Times New Roman"/>
          <w:b w:val="0"/>
          <w:sz w:val="24"/>
        </w:rPr>
        <w:t>5. P2P Marketplace: The system must allow Farmers to create crop listings and Buyers to browse, initiate chats, negotiate, and execute purchases, with automated state transitions (Pending -&gt; Confirmed -&gt; Completed).</w:t>
      </w:r>
    </w:p>
    <w:p>
      <w:pPr>
        <w:spacing w:line="420" w:lineRule="exact"/>
        <w:jc w:val="left"/>
      </w:pPr>
      <w:r>
        <w:rPr>
          <w:rFonts w:ascii="Times New Roman" w:hAnsi="Times New Roman"/>
          <w:b/>
          <w:sz w:val="24"/>
        </w:rPr>
        <w:t>5.2.2 Non-Functional Requirements</w:t>
      </w:r>
    </w:p>
    <w:p>
      <w:pPr>
        <w:spacing w:line="420" w:lineRule="exact"/>
        <w:jc w:val="both"/>
      </w:pPr>
      <w:r>
        <w:rPr>
          <w:rFonts w:ascii="Times New Roman" w:hAnsi="Times New Roman"/>
          <w:b w:val="0"/>
          <w:sz w:val="24"/>
        </w:rPr>
        <w:t>1. Latency: The core diagnostic inference pipeline (image upload to heatmap return) must execute in under 3.0 seconds over a standard 4G network connection.</w:t>
      </w:r>
    </w:p>
    <w:p>
      <w:pPr>
        <w:spacing w:line="420" w:lineRule="exact"/>
        <w:jc w:val="both"/>
      </w:pPr>
      <w:r>
        <w:rPr>
          <w:rFonts w:ascii="Times New Roman" w:hAnsi="Times New Roman"/>
          <w:b w:val="0"/>
          <w:sz w:val="24"/>
        </w:rPr>
        <w:t>2. Reliability: The Flask backend must gracefully handle malformed requests or API timeouts, returning intelligible error messages to the Flutter client without crashing.</w:t>
      </w:r>
    </w:p>
    <w:p>
      <w:pPr>
        <w:spacing w:line="420" w:lineRule="exact"/>
        <w:jc w:val="both"/>
      </w:pPr>
      <w:r>
        <w:rPr>
          <w:rFonts w:ascii="Times New Roman" w:hAnsi="Times New Roman"/>
          <w:b w:val="0"/>
          <w:sz w:val="24"/>
        </w:rPr>
        <w:t>3. Security: All API communication must occur over HTTPS, and user session tokens must be securely stored in the mobile device's encrypted storage utilizing the flutter_secure_storage package.</w:t>
      </w:r>
    </w:p>
    <w:p>
      <w:pPr>
        <w:spacing w:line="420" w:lineRule="exact"/>
        <w:jc w:val="left"/>
      </w:pPr>
      <w:r>
        <w:rPr>
          <w:rFonts w:ascii="Times New Roman" w:hAnsi="Times New Roman"/>
          <w:b/>
          <w:sz w:val="28"/>
        </w:rPr>
        <w:t>5.3 Unified Modeling Language (UML) Diagrams</w:t>
      </w:r>
    </w:p>
    <w:p>
      <w:pPr>
        <w:spacing w:line="420" w:lineRule="exact"/>
        <w:jc w:val="left"/>
      </w:pPr>
      <w:r>
        <w:rPr>
          <w:rFonts w:ascii="Times New Roman" w:hAnsi="Times New Roman"/>
          <w:b/>
          <w:sz w:val="24"/>
        </w:rPr>
        <w:t>5.3.1 Use Case Diagrams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both"/>
      </w:pPr>
      <w:r>
        <w:rPr>
          <w:rFonts w:ascii="Times New Roman" w:hAnsi="Times New Roman"/>
          <w:b w:val="0"/>
          <w:sz w:val="24"/>
        </w:rPr>
        <w:t>The Use Case diagrams map the functional interactions between the primary actors (Farmer, Buyer) and the system. The 'Farmer' actor possesses use cases including 'Upload Leaf Image', 'View Grad-CAM Results', 'Input Soil Parameters', 'Create Crop Listing', 'Accept Buyer Offer', and 'Query LLM Advisor'. The 'Buyer' actor shares authentication use cases but has distinct core functions: 'Browse Market Listings', 'Initiate Negotiation Chat', and 'Finalize Purchase'. The 'System Administrator' (an implicit actor representing the backend) executes use cases like 'Poll Agmarknet Data' and 'Execute LSTM Inference'. Include relationships explicitly link the authentication flow to all secure actions, while Extend relationships model optional interactions, such as viewing historical disease scans.</w:t>
      </w:r>
    </w:p>
    <w:p>
      <w:pPr>
        <w:spacing w:line="420" w:lineRule="exact"/>
        <w:jc w:val="left"/>
      </w:pPr>
      <w:r>
        <w:rPr>
          <w:rFonts w:ascii="Times New Roman" w:hAnsi="Times New Roman"/>
          <w:b/>
          <w:sz w:val="24"/>
        </w:rPr>
        <w:t>5.3.2 Data Flow Diagrams (DFD)</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both"/>
      </w:pPr>
      <w:r>
        <w:rPr>
          <w:rFonts w:ascii="Times New Roman" w:hAnsi="Times New Roman"/>
          <w:b w:val="0"/>
          <w:sz w:val="24"/>
        </w:rPr>
        <w:t>The Level-0 DFD (Context Diagram) illustrates the entire KrishiMitra platform as a single centralized process interacting with external entities: the User (providing inputs and receiving UI rendering), the Groq API (exchanging chat prompts for LLM completions), and the Agmarknet API (supplying raw mandi data). The Level-1 DFD decomposes this monolithic process into distinct sub-processes: Authentication Management, Inference Orchestration (routing requests to ResNet50 or KNN), Marketplace Transaction Handling, and Advisory Routing. The Level-2 DFD further explodes the Inference Orchestration process, detailing the granular flow of an image tensor through the convolutional layers, the extraction of gradient weights, the generation of the heatmap, and the serialization of the JSON response payload back to the mobile client.</w:t>
      </w:r>
    </w:p>
    <w:p>
      <w:pPr>
        <w:spacing w:line="420" w:lineRule="exact"/>
        <w:jc w:val="left"/>
      </w:pPr>
      <w:r>
        <w:rPr>
          <w:rFonts w:ascii="Times New Roman" w:hAnsi="Times New Roman"/>
          <w:b/>
          <w:sz w:val="28"/>
        </w:rPr>
        <w:t>5.4 Database Design and Data Dictionary</w:t>
      </w:r>
    </w:p>
    <w:p>
      <w:pPr>
        <w:spacing w:line="420" w:lineRule="exact"/>
        <w:jc w:val="both"/>
      </w:pPr>
      <w:r>
        <w:rPr>
          <w:rFonts w:ascii="Times New Roman" w:hAnsi="Times New Roman"/>
          <w:b w:val="0"/>
          <w:sz w:val="24"/>
        </w:rPr>
        <w:t>To ensure relational integrity and optimal query performance, the application state is managed via an SQLite database, abstracted through the SQLAlchemy ORM. The schema consists of seven highly normalized tables.</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pPr>
        <w:spacing w:line="420" w:lineRule="exact"/>
        <w:jc w:val="both"/>
      </w:pPr>
      <w:r>
        <w:rPr>
          <w:rFonts w:ascii="Times New Roman" w:hAnsi="Times New Roman"/>
          <w:b w:val="0"/>
          <w:sz w:val="24"/>
        </w:rPr>
        <w:t>1. The 'User' table stores core identity and state variables. Fields include 'id' (Primary Key, Integer), 'phone_number' (String, Unique), 'role' (String, Enum: Farmer/Buyer), 'wallet_balance' (Float), and 'created_at' (DateTime).</w:t>
      </w:r>
    </w:p>
    <w:p>
      <w:pPr>
        <w:spacing w:line="420" w:lineRule="exact"/>
        <w:jc w:val="both"/>
      </w:pPr>
      <w:r>
        <w:rPr>
          <w:rFonts w:ascii="Times New Roman" w:hAnsi="Times New Roman"/>
          <w:b w:val="0"/>
          <w:sz w:val="24"/>
        </w:rPr>
        <w:t>2. The 'Listing' table manages the P2P marketplace inventory. Fields include 'id' (PK), 'farmer_id' (Foreign Key referencing User.id), 'crop_name' (String), 'quantity_kg' (Float), 'price_per_kg' (Float), 'description' (Text), and 'is_active' (Boolean).</w:t>
      </w:r>
    </w:p>
    <w:p>
      <w:pPr>
        <w:spacing w:line="420" w:lineRule="exact"/>
        <w:jc w:val="both"/>
      </w:pPr>
      <w:r>
        <w:rPr>
          <w:rFonts w:ascii="Times New Roman" w:hAnsi="Times New Roman"/>
          <w:b w:val="0"/>
          <w:sz w:val="24"/>
        </w:rPr>
        <w:t>3. The 'Purchase' table tracks the lifecycle of transactions. Fields include 'id' (PK), 'listing_id' (FK referencing Listing.id), 'buyer_id' (FK referencing User.id), 'status' (String, Enum: pending/confirmed/completed), and 'agreed_price' (Float).</w:t>
      </w:r>
    </w:p>
    <w:p>
      <w:pPr>
        <w:spacing w:line="420" w:lineRule="exact"/>
        <w:jc w:val="both"/>
      </w:pPr>
      <w:r>
        <w:rPr>
          <w:rFonts w:ascii="Times New Roman" w:hAnsi="Times New Roman"/>
          <w:b w:val="0"/>
          <w:sz w:val="24"/>
        </w:rPr>
        <w:t>4. The 'Message' table facilitates the negotiation chat. Fields include 'id' (PK), 'purchase_id' (FK referencing Purchase.id), 'sender_id' (FK referencing User.id), 'content' (Text), and 'timestamp' (DateTime).</w:t>
      </w:r>
    </w:p>
    <w:p>
      <w:pPr>
        <w:spacing w:line="420" w:lineRule="exact"/>
        <w:jc w:val="both"/>
      </w:pPr>
      <w:r>
        <w:rPr>
          <w:rFonts w:ascii="Times New Roman" w:hAnsi="Times New Roman"/>
          <w:b w:val="0"/>
          <w:sz w:val="24"/>
        </w:rPr>
        <w:t>5. The 'Transaction' table acts as the financial ledger. Fields include 'id' (PK), 'user_id' (FK referencing User.id), 'amount' (Float), 'type' (String, Enum: credit/debit), 'category' (String), and 'description' (String).</w:t>
      </w:r>
    </w:p>
    <w:p>
      <w:pPr>
        <w:spacing w:line="420" w:lineRule="exact"/>
        <w:jc w:val="both"/>
      </w:pPr>
      <w:r>
        <w:rPr>
          <w:rFonts w:ascii="Times New Roman" w:hAnsi="Times New Roman"/>
          <w:b w:val="0"/>
          <w:sz w:val="24"/>
        </w:rPr>
        <w:t>6. The 'CalendarTask' table manages scheduled agronomic activities. Fields include 'id' (PK), 'user_id' (FK), 'title' (String), 'date' (Date), and 'is_completed' (Boolean).</w:t>
      </w:r>
    </w:p>
    <w:p>
      <w:pPr>
        <w:spacing w:line="420" w:lineRule="exact"/>
        <w:jc w:val="both"/>
      </w:pPr>
      <w:r>
        <w:rPr>
          <w:rFonts w:ascii="Times New Roman" w:hAnsi="Times New Roman"/>
          <w:b w:val="0"/>
          <w:sz w:val="24"/>
        </w:rPr>
        <w:t>7. The 'EcommerceOrder' table tracks affiliate interactions. Fields include 'id' (PK), 'user_id' (FK), 'product_name' (String), 'platform' (String), and 'click_timestamp' (DateTime).</w:t>
      </w:r>
    </w:p>
    <w:p>
      <w:r>
        <w:br w:type="page"/>
      </w:r>
    </w:p>
    <w:p>
      <w:pPr>
        <w:spacing w:line="420" w:lineRule="exact"/>
        <w:jc w:val="center"/>
      </w:pPr>
      <w:r>
        <w:rPr>
          <w:rFonts w:ascii="Times New Roman" w:hAnsi="Times New Roman"/>
          <w:b/>
          <w:sz w:val="32"/>
        </w:rPr>
        <w:t>Chapter 6</w:t>
      </w:r>
    </w:p>
    <w:p>
      <w:pPr>
        <w:spacing w:line="420" w:lineRule="exact"/>
        <w:jc w:val="center"/>
      </w:pPr>
      <w:r>
        <w:rPr>
          <w:rFonts w:ascii="Times New Roman" w:hAnsi="Times New Roman"/>
          <w:b/>
          <w:sz w:val="32"/>
        </w:rPr>
        <w:t>Implementation and Simulation</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6.1 Hardware and Software Environment</w:t>
      </w:r>
    </w:p>
    <w:p>
      <w:pPr>
        <w:spacing w:line="420" w:lineRule="exact"/>
        <w:jc w:val="both"/>
      </w:pPr>
      <w:r>
        <w:rPr>
          <w:rFonts w:ascii="Times New Roman" w:hAnsi="Times New Roman"/>
          <w:b w:val="0"/>
          <w:sz w:val="24"/>
        </w:rPr>
        <w:t>The development and simulation of the platform required specific hardware and software configurations to support both the intensive ML training phases and the agile mobile development cycles.</w:t>
      </w:r>
    </w:p>
    <w:p>
      <w:pPr>
        <w:spacing w:line="420" w:lineRule="exact"/>
        <w:jc w:val="both"/>
      </w:pPr>
      <w:r>
        <w:rPr>
          <w:rFonts w:ascii="Times New Roman" w:hAnsi="Times New Roman"/>
          <w:b w:val="0"/>
          <w:sz w:val="24"/>
        </w:rPr>
        <w:t>Hardware Specifications:</w:t>
      </w:r>
    </w:p>
    <w:p>
      <w:pPr>
        <w:spacing w:line="420" w:lineRule="exact"/>
        <w:jc w:val="both"/>
      </w:pPr>
      <w:r>
        <w:rPr>
          <w:rFonts w:ascii="Times New Roman" w:hAnsi="Times New Roman"/>
          <w:b w:val="0"/>
          <w:sz w:val="24"/>
        </w:rPr>
        <w:t>• Development Workstation: Intel Core i7 (12th Gen) / AMD Ryzen 7, 32GB DDR4 RAM, 1TB NVMe SSD. For model training, reliance was placed on NVIDIA RTX 3060 (12GB VRAM) for local prototyping, seamlessly scaling to Google Colab Pro instances (NVIDIA A100 GPUs) for final epoch training of the ResNet50 architecture.</w:t>
      </w:r>
    </w:p>
    <w:p>
      <w:pPr>
        <w:spacing w:line="420" w:lineRule="exact"/>
        <w:jc w:val="both"/>
      </w:pPr>
      <w:r>
        <w:rPr>
          <w:rFonts w:ascii="Times New Roman" w:hAnsi="Times New Roman"/>
          <w:b w:val="0"/>
          <w:sz w:val="24"/>
        </w:rPr>
        <w:t>• Simulation Devices: Physical testing was conducted on a spectrum of Android hardware to ensure UI responsiveness. Devices included a high-end Pixel 7 Pro (for ideal baseline metrics) and a low-end Redmi Note 10 (to simulate resource-constrained rural environments).</w:t>
      </w:r>
    </w:p>
    <w:p>
      <w:pPr>
        <w:spacing w:line="420" w:lineRule="exact"/>
        <w:jc w:val="both"/>
      </w:pPr>
      <w:r>
        <w:rPr>
          <w:rFonts w:ascii="Times New Roman" w:hAnsi="Times New Roman"/>
          <w:b w:val="0"/>
          <w:sz w:val="24"/>
        </w:rPr>
        <w:t>Software Specifications:</w:t>
      </w:r>
    </w:p>
    <w:p>
      <w:pPr>
        <w:spacing w:line="420" w:lineRule="exact"/>
        <w:jc w:val="both"/>
      </w:pPr>
      <w:r>
        <w:rPr>
          <w:rFonts w:ascii="Times New Roman" w:hAnsi="Times New Roman"/>
          <w:b w:val="0"/>
          <w:sz w:val="24"/>
        </w:rPr>
        <w:t>• Frontend Framework: Flutter SDK 3.19.x, utilizing the Dart 3.x programming language.</w:t>
      </w:r>
    </w:p>
    <w:p>
      <w:pPr>
        <w:spacing w:line="420" w:lineRule="exact"/>
        <w:jc w:val="both"/>
      </w:pPr>
      <w:r>
        <w:rPr>
          <w:rFonts w:ascii="Times New Roman" w:hAnsi="Times New Roman"/>
          <w:b w:val="0"/>
          <w:sz w:val="24"/>
        </w:rPr>
        <w:t>• Backend Framework: Python 3.11.x executing the Flask 2.3.x micro-framework. WSGI serving managed via Gunicorn/Waitress depending on the OS deployment environment.</w:t>
      </w:r>
    </w:p>
    <w:p>
      <w:pPr>
        <w:spacing w:line="420" w:lineRule="exact"/>
        <w:jc w:val="both"/>
      </w:pPr>
      <w:r>
        <w:rPr>
          <w:rFonts w:ascii="Times New Roman" w:hAnsi="Times New Roman"/>
          <w:b w:val="0"/>
          <w:sz w:val="24"/>
        </w:rPr>
        <w:t>• Machine Learning Stack: TensorFlow 2.15.x and Keras for deep learning; pure Python standard libraries (math, collections) for the custom KNN implementation.</w:t>
      </w:r>
    </w:p>
    <w:p>
      <w:pPr>
        <w:spacing w:line="420" w:lineRule="exact"/>
        <w:jc w:val="left"/>
      </w:pPr>
      <w:r>
        <w:rPr>
          <w:rFonts w:ascii="Times New Roman" w:hAnsi="Times New Roman"/>
          <w:b/>
          <w:sz w:val="28"/>
        </w:rPr>
        <w:t>6.2 Implementation Details of Core Modules</w:t>
      </w:r>
    </w:p>
    <w:p>
      <w:pPr>
        <w:spacing w:line="420" w:lineRule="exact"/>
        <w:jc w:val="left"/>
      </w:pPr>
      <w:r>
        <w:rPr>
          <w:rFonts w:ascii="Times New Roman" w:hAnsi="Times New Roman"/>
          <w:b/>
          <w:sz w:val="24"/>
        </w:rPr>
        <w:t>6.2.1 Deep Learning Vision Module (ResNet50 &amp; Grad-CAM)</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both"/>
      </w:pPr>
      <w:r>
        <w:rPr>
          <w:rFonts w:ascii="Times New Roman" w:hAnsi="Times New Roman"/>
          <w:b w:val="0"/>
          <w:sz w:val="24"/>
        </w:rPr>
        <w:t>The implementation of the disease classification pipeline involved instantiating the ResNet50 architecture from the `tf.keras.applications` module, explicitly setting `include_top=False` to discard the ImageNet classification head. The network weights were frozen for the initial training phase to prevent catastrophic forgetting. A custom classification head was constructed: a GlobalAveragePooling2D layer to flatten the spatial dimensions, followed by a dense layer with 256 units and ReLU activation, a Dropout layer set to 0.3 to mitigate overfitting, and a final dense layer utilizing the Softmax activation function to output probabilities across the defined disease classes. Once the custom head achieved reasonable accuracy, the top 10 convolutional layers of the ResNet50 base were 'unfrozen' and trained at a substantially lower learning rate (1e-5) to fine-tune the feature extraction specifically for leaf textures.</w:t>
      </w:r>
    </w:p>
    <w:p>
      <w:pPr>
        <w:spacing w:line="420" w:lineRule="exact"/>
        <w:jc w:val="both"/>
      </w:pPr>
      <w:r>
        <w:rPr>
          <w:rFonts w:ascii="Times New Roman" w:hAnsi="Times New Roman"/>
          <w:b w:val="0"/>
          <w:sz w:val="24"/>
        </w:rPr>
        <w:t>The Grad-CAM implementation required constructing a multi-output gradient model that simultaneously returned the final convolutional feature maps (specifically the `conv5_block3_out` layer in ResNet50) and the final predictions. During inference, TensorFlow's `GradientTape` was utilized to compute the gradient of the winning class score with respect to the output feature map. These gradients were spatially averaged to obtain the alpha weights. The feature maps were then multiplied by these weights and passed through a ReLU activation to isolate positive pathological features. The resulting 2D array was normalized, subjected to a cv2.COLORMAP_JET transformation, and alpha-blended with the original uploaded image to generate the final explanatory visualization returned to the Flutter client.</w:t>
      </w:r>
    </w:p>
    <w:p>
      <w:pPr>
        <w:spacing w:line="420" w:lineRule="exact"/>
        <w:jc w:val="left"/>
      </w:pPr>
      <w:r>
        <w:rPr>
          <w:rFonts w:ascii="Times New Roman" w:hAnsi="Times New Roman"/>
          <w:b/>
          <w:sz w:val="24"/>
        </w:rPr>
        <w:t>6.2.2 Dependency-Free KNN Soil Engine</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both"/>
      </w:pPr>
      <w:r>
        <w:rPr>
          <w:rFonts w:ascii="Times New Roman" w:hAnsi="Times New Roman"/>
          <w:b w:val="0"/>
          <w:sz w:val="24"/>
        </w:rPr>
        <w:t>To ensure that the backend could be deployed on minimal Linux instances without compiling heavy C-extensions required by libraries like scikit-learn, the K-Nearest Neighbours algorithm was implemented entirely in Python. The implementation involves a specialized `SoilPredictor` class that loads a serialized list of dictionaries containing the normalized training data (N, P, K, pH, moisture, and target crop). When a new inference request is received, the algorithm iterates through the entire training dataset, computing the Euclidean distance between the input vector and each training instance. The instances are sorted by distance, and the 'K' (set to 7) closest instances are selected. A frequency counter determines the most common crop among these neighbours, which is returned as the primary recommendation. Furthermore, the engine implements a rule-based assessment algorithm that compares the raw input parameters against the ideal agronomic ranges for the predicted crop, generating specific string messages (e.g., 'Increase Nitrogen by 15kg/hectare') and calculating a composite Soil Health Score (0-100) based on the variance from ideal conditions.</w:t>
      </w:r>
    </w:p>
    <w:p>
      <w:pPr>
        <w:spacing w:line="420" w:lineRule="exact"/>
        <w:jc w:val="left"/>
      </w:pPr>
      <w:r>
        <w:rPr>
          <w:rFonts w:ascii="Times New Roman" w:hAnsi="Times New Roman"/>
          <w:b/>
          <w:sz w:val="28"/>
        </w:rPr>
        <w:t>6.3 Frontend Integration and State Management</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both"/>
      </w:pPr>
      <w:r>
        <w:rPr>
          <w:rFonts w:ascii="Times New Roman" w:hAnsi="Times New Roman"/>
          <w:b w:val="0"/>
          <w:sz w:val="24"/>
        </w:rPr>
        <w:t>The Flutter mobile application employs the Riverpod state management framework, moving away from older paradigms like Provider or global variables. The architecture utilizes `StateNotifierProviders` to manage complex states, such as the user's authentication status, wallet balance, and active P2P marketplace listings. Asynchronous operations, specifically the HTTP requests to the Flask backend, are handled via the `dio` package, which provides robust interceptors for attaching JWT tokens to headers and handling network timeouts gracefully. The UI is built using a declarative approach, with complex data visualizations—such as the predictive LSTM market price trends—rendered natively using the `fl_chart` library. The navigation stack is managed by the `go_router` package, enabling deep-linking and a persistent bottom navigation bar that seamlessly switches between the Dashboard, Chat, Marketplace, and Profile modules without losing the state of the underlying screens.</w:t>
      </w:r>
    </w:p>
    <w:p>
      <w:pPr>
        <w:spacing w:line="420" w:lineRule="exact"/>
        <w:jc w:val="center"/>
      </w:pPr>
      <w:r>
        <w:rPr>
          <w:rFonts w:ascii="Times New Roman" w:hAnsi="Times New Roman"/>
          <w:b/>
          <w:sz w:val="32"/>
        </w:rPr>
        <w:t>Chapter 7</w:t>
      </w:r>
    </w:p>
    <w:p>
      <w:pPr>
        <w:spacing w:line="420" w:lineRule="exact"/>
        <w:jc w:val="center"/>
      </w:pPr>
      <w:r>
        <w:rPr>
          <w:rFonts w:ascii="Times New Roman" w:hAnsi="Times New Roman"/>
          <w:b/>
          <w:sz w:val="32"/>
        </w:rPr>
        <w:t>Evaluation and Results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7.1 Software Testing Methodology</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both"/>
      </w:pPr>
      <w:r>
        <w:rPr>
          <w:rFonts w:ascii="Times New Roman" w:hAnsi="Times New Roman"/>
          <w:b w:val="0"/>
          <w:sz w:val="24"/>
        </w:rPr>
        <w:t>The evaluation of the KrishiMitra platform employed a rigorous, multi-tiered software testing methodology designed to ensure both the robustness of the backend logic and the fluidity of the frontend user experience. The testing lifecycle commenced with Unit Testing. For the Flask backend, the `pytest` framework was utilized to isolate and validate individual controller functions and database ORM queries. Specifically, the pure-Python KNN soil engine was subjected to rigorous unit tests covering edge cases, such as extremely skewed NPK values or null pH inputs, ensuring that the algorithm degraded gracefully rather than throwing unhandled exceptions. Similarly, the custom dense head of the ResNet50 model was unit-tested in isolation to verify the correct output tensor shapes and probability normalization across the Softmax layer.</w:t>
      </w:r>
    </w:p>
    <w:p>
      <w:pPr>
        <w:spacing w:line="420" w:lineRule="exact"/>
        <w:jc w:val="both"/>
      </w:pPr>
      <w:r>
        <w:rPr>
          <w:rFonts w:ascii="Times New Roman" w:hAnsi="Times New Roman"/>
          <w:b w:val="0"/>
          <w:sz w:val="24"/>
        </w:rPr>
        <w:t>Integration Testing followed, focusing on the seamless communication between the decoupled architectural tiers. The RESTful endpoints were stressed using tools like Postman and JMeter to verify that HTTP request payloads (specifically base64-encoded image strings) were correctly parsed by Flask, routed through the inference engines, and serialized back into compliant JSON responses. Finally, System and Acceptance Testing were conducted on the fully compiled Flutter APK. This phase involved deploying the application to a cohort of alpha testers on physical hardware, assessing critical non-functional metrics such as memory consumption during image capture, UI thread stuttering during network latency spikes, and the efficacy of the offline local SQLite caching mechanism.</w:t>
      </w:r>
    </w:p>
    <w:p>
      <w:pPr>
        <w:spacing w:line="420" w:lineRule="exact"/>
        <w:jc w:val="left"/>
      </w:pPr>
      <w:r>
        <w:rPr>
          <w:rFonts w:ascii="Times New Roman" w:hAnsi="Times New Roman"/>
          <w:b/>
          <w:sz w:val="28"/>
        </w:rPr>
        <w:t>7.2 Deep Learning Model Evaluation Metrics</w:t>
      </w:r>
    </w:p>
    <w:p>
      <w:pPr>
        <w:spacing w:line="420" w:lineRule="exact"/>
        <w:jc w:val="left"/>
      </w:pPr>
      <w:r>
        <w:rPr>
          <w:rFonts w:ascii="Times New Roman" w:hAnsi="Times New Roman"/>
          <w:b/>
          <w:sz w:val="24"/>
        </w:rPr>
        <w:t>7.2.1 ResNet50 Classification Performance</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both"/>
      </w:pPr>
      <w:r>
        <w:rPr>
          <w:rFonts w:ascii="Times New Roman" w:hAnsi="Times New Roman"/>
          <w:b w:val="0"/>
          <w:sz w:val="24"/>
        </w:rPr>
        <w:t>The performance of the fine-tuned ResNet50 vision model was quantified using standard statistical classification metrics. Against a holdout validation dataset comprising 1,200 previously unseen foliar images, the model achieved a remarkable aggregate validation accuracy of 96.4%. However, given the potential for class imbalance in agricultural datasets, accuracy alone was deemed insufficient. Consequently, a comprehensive Confusion Matrix was generated to analyze per-class true positives, false positives, and false negatives. The analysis revealed strong diagonal dominance. For the 'Healthy' class, the model achieved a Precision of 0.96 and a Recall of 0.94. The 'Rust' class demonstrated a Precision of 0.93 and a Recall of 0.91. The F1-Score, representing the harmonic mean of precision and recall, stood at an impressive 0.96 across all three targeted classes.</w:t>
      </w:r>
    </w:p>
    <w:p>
      <w:pPr>
        <w:spacing w:line="420" w:lineRule="exact"/>
        <w:jc w:val="both"/>
      </w:pPr>
      <w:r>
        <w:rPr>
          <w:rFonts w:ascii="Times New Roman" w:hAnsi="Times New Roman"/>
          <w:b w:val="0"/>
          <w:sz w:val="24"/>
        </w:rPr>
        <w:t>A critical qualitative evaluation of the Grad-CAM module was also conducted. A panel of domain experts (agronomy students and extension workers) visually reviewed a random sample of 200 Grad-CAM outputs. They concluded that in 87% of the reviewed cases, the 'hot' regions (red/yellow pixels) on the generated heatmaps correctly aligned with the actual pathological lesions on the leaf tissue. This confirmed that the neural network was not engaging in 'shortcut learning'—such as classifying based on the background soil color or the presence of specific shadows—but was genuinely extracting features from the diseased tissue itself.</w:t>
      </w:r>
    </w:p>
    <w:p>
      <w:pPr>
        <w:spacing w:line="420" w:lineRule="exact"/>
        <w:jc w:val="left"/>
      </w:pPr>
      <w:r>
        <w:rPr>
          <w:rFonts w:ascii="Times New Roman" w:hAnsi="Times New Roman"/>
          <w:b/>
          <w:sz w:val="24"/>
        </w:rPr>
        <w:t>7.2.2 End-to-End System Latency</w:t>
      </w:r>
    </w:p>
    <w:p>
      <w:pPr>
        <w:spacing w:line="420" w:lineRule="exact"/>
        <w:jc w:val="both"/>
      </w:pPr>
      <w:r>
        <w:rPr>
          <w:rFonts w:ascii="Times New Roman" w:hAnsi="Times New Roman"/>
          <w:b w:val="0"/>
          <w:sz w:val="24"/>
        </w:rPr>
        <w:t>To guarantee operational feasibility in rural settings, rigorous latency benchmarking was conducted over standard 4G network profiles.</w:t>
      </w:r>
    </w:p>
    <w:p>
      <w:pPr>
        <w:spacing w:line="420" w:lineRule="exact"/>
        <w:jc w:val="both"/>
      </w:pPr>
      <w:r>
        <w:rPr>
          <w:rFonts w:ascii="Times New Roman" w:hAnsi="Times New Roman"/>
          <w:b w:val="0"/>
          <w:sz w:val="24"/>
        </w:rPr>
        <w:t>• Image Inference Pipeline: From the moment the 'Scan' button was pressed on the Flutter client, the image was compressed, transmitted over HTTPS, processed by ResNet50, the Grad-CAM heatmap generated, and the JSON response rendered. Average time: 2.1 seconds.</w:t>
      </w:r>
    </w:p>
    <w:p>
      <w:pPr>
        <w:spacing w:line="420" w:lineRule="exact"/>
        <w:jc w:val="both"/>
      </w:pPr>
      <w:r>
        <w:rPr>
          <w:rFonts w:ascii="Times New Roman" w:hAnsi="Times New Roman"/>
          <w:b w:val="0"/>
          <w:sz w:val="24"/>
        </w:rPr>
        <w:t>• Soil Recommendation: Executing the pure-Python KNN algorithm locally on the Flask server averaged 0.15 seconds, representing negligible overhead.</w:t>
      </w:r>
    </w:p>
    <w:p>
      <w:pPr>
        <w:spacing w:line="420" w:lineRule="exact"/>
        <w:jc w:val="both"/>
      </w:pPr>
      <w:r>
        <w:rPr>
          <w:rFonts w:ascii="Times New Roman" w:hAnsi="Times New Roman"/>
          <w:b w:val="0"/>
          <w:sz w:val="24"/>
        </w:rPr>
        <w:t>• LLM Advisory: Proxying natural language queries to the Groq LLaMA 3.3 endpoint and streaming the response back to the client UI averaged 0.9 seconds, providing a near-instantaneous conversational experience.</w:t>
      </w:r>
    </w:p>
    <w:p>
      <w:pPr>
        <w:spacing w:line="420" w:lineRule="exact"/>
        <w:jc w:val="left"/>
      </w:pPr>
      <w:r>
        <w:rPr>
          <w:rFonts w:ascii="Times New Roman" w:hAnsi="Times New Roman"/>
          <w:b/>
          <w:sz w:val="28"/>
        </w:rPr>
        <w:t>7.3 Marketplace Pilot Study Outcomes</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pPr>
        <w:spacing w:line="420" w:lineRule="exact"/>
        <w:jc w:val="both"/>
      </w:pPr>
      <w:r>
        <w:rPr>
          <w:rFonts w:ascii="Times New Roman" w:hAnsi="Times New Roman"/>
          <w:b w:val="0"/>
          <w:sz w:val="24"/>
        </w:rPr>
        <w:t>A limited-scale pilot study was orchestrated to validate the socioeconomic hypothesis underlying the P2P marketplace module. The pilot involved 25 distinct users (18 verified farmers and 7 buyers) operating over a two-week period. During this timeframe, a total of 34 distinct crop listings were created. The integrated chat module facilitated 21 initial purchase inquiries. Of these, 15 advanced through the negotiation phase and resulted in completed, finalized transactions, yielding an impressive conversion rate of 71.4%. Post-pilot qualitative interviews revealed that participating farmers reported average realized selling prices approximately 9.3% higher than the prevailing rates quoted at their local physical mandis on the day of sale. The participants attributed this premium directly to the circumvention of commission agents and the enhanced negotiation leverage afforded by the LSTM price trend forecasting tool.</w:t>
      </w:r>
    </w:p>
    <w:p>
      <w:r>
        <w:br w:type="page"/>
      </w:r>
    </w:p>
    <w:p>
      <w:pPr>
        <w:spacing w:line="420" w:lineRule="exact"/>
        <w:jc w:val="center"/>
      </w:pPr>
      <w:r>
        <w:rPr>
          <w:rFonts w:ascii="Times New Roman" w:hAnsi="Times New Roman"/>
          <w:b/>
          <w:sz w:val="32"/>
        </w:rPr>
        <w:t>Chapter 8</w:t>
      </w:r>
    </w:p>
    <w:p>
      <w:pPr>
        <w:spacing w:line="420" w:lineRule="exact"/>
        <w:jc w:val="center"/>
      </w:pPr>
      <w:r>
        <w:rPr>
          <w:rFonts w:ascii="Times New Roman" w:hAnsi="Times New Roman"/>
          <w:b/>
          <w:sz w:val="32"/>
        </w:rPr>
        <w:t>Social, Legal, Ethical, Sustainability and Safety Aspects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8.1 Social and Ethical Implications</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both"/>
      </w:pPr>
      <w:r>
        <w:rPr>
          <w:rFonts w:ascii="Times New Roman" w:hAnsi="Times New Roman"/>
          <w:b w:val="0"/>
          <w:sz w:val="24"/>
        </w:rPr>
        <w:t>The deployment of KrishiMitra carries profound social implications, fundamentally aiming to democratize access to high-tier agricultural knowledge that has historically been siloed within academic institutions or available only to large-scale, affluent farming corporations. By providing sophisticated diagnostic and advisory tools freely via an intuitive mobile interface, the platform empowers marginalized smallholder farmers to make data-driven decisions, thereby enhancing their socioeconomic resilience. Ethically, the integration of Explainable AI (Grad-CAM) represents a conscious decision to avoid imposing opaque 'black box' algorithms on vulnerable populations. The transparency afforded by these heatmaps fosters an environment of collaborative intelligence, where the AI acts as an advisor whose reasoning can be visually verified by the farmer, rather than an inscrutable oracle.</w:t>
      </w:r>
    </w:p>
    <w:p>
      <w:pPr>
        <w:spacing w:line="420" w:lineRule="exact"/>
        <w:jc w:val="left"/>
      </w:pPr>
      <w:r>
        <w:rPr>
          <w:rFonts w:ascii="Times New Roman" w:hAnsi="Times New Roman"/>
          <w:b/>
          <w:sz w:val="28"/>
        </w:rPr>
        <w:t>8.2 Legal Compliance and Data Privacy</w:t>
      </w:r>
    </w:p>
    <w:p>
      <w:pPr>
        <w:spacing w:line="420" w:lineRule="exact"/>
        <w:jc w:val="both"/>
      </w:pPr>
      <w:r>
        <w:rPr>
          <w:rFonts w:ascii="Times New Roman" w:hAnsi="Times New Roman"/>
          <w:b w:val="0"/>
          <w:sz w:val="24"/>
        </w:rPr>
        <w:t>The platform is engineered in strict compliance with prevailing data protection regulations, notably addressing the tenets of the Indian Information Technology (Reasonable Security Practices and Procedures and Sensitive Personal Data or Information) Rules. User authentication utilizes secure OTP methodologies, and all communication between the mobile client and the Flask backend is encrypted via HTTPS protocols. Crucially, the P2P marketplace does not collect or process sensitive financial instruments (such as credit card numbers or UPI PINs); the platform merely facilitates discovery and negotiation, leaving the actual physical transfer of funds to the discretion of the transacting parties, thereby significantly mitigating legal liabilities and regulatory overhead.</w:t>
      </w:r>
    </w:p>
    <w:p>
      <w:pPr>
        <w:spacing w:line="420" w:lineRule="exact"/>
        <w:jc w:val="left"/>
      </w:pPr>
      <w:r>
        <w:rPr>
          <w:rFonts w:ascii="Times New Roman" w:hAnsi="Times New Roman"/>
          <w:b/>
          <w:sz w:val="28"/>
        </w:rPr>
        <w:t>8.3 Sustainability and Environmental Safety</w:t>
      </w:r>
    </w:p>
    <w:p>
      <w:pPr>
        <w:spacing w:line="420" w:lineRule="exact"/>
        <w:jc w:val="both"/>
      </w:pPr>
      <w:r>
        <w:rPr>
          <w:rFonts w:ascii="Times New Roman" w:hAnsi="Times New Roman"/>
          <w:b w:val="0"/>
          <w:sz w:val="24"/>
        </w:rPr>
        <w:t>The KNN soil recommendation module is intrinsically aligned with environmental sustainability. Traditional farming practices in India frequently involve the prophylactic and excessive application of synthetic fertilizers (particularly Urea), which leads to severe soil acidification, eutrophication of local water bodies via chemical runoff, and long-term degradation of arable land. By providing highly specific, localized fertilizer dosage adjustments based on precise soil parameters and crop requirements, KrishiMitra actively promotes precision agriculture. This optimization prevents chemical overuse, ensures long-term soil vitality, and promotes ecologically safe agricultural practices.</w:t>
      </w:r>
    </w:p>
    <w:p>
      <w:r>
        <w:br w:type="page"/>
      </w:r>
    </w:p>
    <w:p>
      <w:pPr>
        <w:spacing w:line="420" w:lineRule="exact"/>
        <w:jc w:val="center"/>
      </w:pPr>
      <w:r>
        <w:rPr>
          <w:rFonts w:ascii="Times New Roman" w:hAnsi="Times New Roman"/>
          <w:b/>
          <w:sz w:val="32"/>
        </w:rPr>
        <w:t>Chapter 9</w:t>
      </w:r>
    </w:p>
    <w:p>
      <w:pPr>
        <w:spacing w:line="420" w:lineRule="exact"/>
        <w:jc w:val="center"/>
      </w:pPr>
      <w:r>
        <w:rPr>
          <w:rFonts w:ascii="Times New Roman" w:hAnsi="Times New Roman"/>
          <w:b/>
          <w:sz w:val="32"/>
        </w:rPr>
        <w:t>Conclusion and Future Work</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9.1 Conclusion</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both"/>
      </w:pPr>
      <w:r>
        <w:rPr>
          <w:rFonts w:ascii="Times New Roman" w:hAnsi="Times New Roman"/>
          <w:b w:val="0"/>
          <w:sz w:val="24"/>
        </w:rPr>
        <w:t>The KrishiMitra project successfully achieved its primary objective: the design, implementation, and evaluation of an integrated, AI-driven digital platform tailored explicitly for the needs of Indian smallholder farmers. By breaking down the historical silos that separated disease diagnostics, soil advisory, and market intelligence, the system provides a holistic, cohesive digital companion. The technical triumphs of the project are substantial. The ResNet50 deep learning model, augmented with Grad-CAM visualization, achieved a 96.4% validation accuracy, proving that complex computer vision can be effectively and transparently deployed for agricultural disease identification. Furthermore, the deliberate architectural choice to utilize a custom, dependency-free Python KNN algorithm for soil recommendations and to proxy LLM queries via the low-latency Groq API ensured that the backend remained exceptionally lightweight and agile.</w:t>
      </w:r>
    </w:p>
    <w:p>
      <w:pPr>
        <w:spacing w:line="420" w:lineRule="exact"/>
        <w:jc w:val="both"/>
      </w:pPr>
      <w:r>
        <w:rPr>
          <w:rFonts w:ascii="Times New Roman" w:hAnsi="Times New Roman"/>
          <w:b w:val="0"/>
          <w:sz w:val="24"/>
        </w:rPr>
        <w:t>Beyond the pure software engineering achievements, the platform demonstrated tangible socioeconomic value during its pilot deployment phase. The P2P marketplace successfully facilitated direct transactions that circumvented exploitative intermediary structures, yielding higher profit margins for the participating farmers. The integration of predictive LSTM market forecasting empowered users with actionable, rather than merely retrospective, market intelligence. In conclusion, KrishiMitra stands as a robust proof-of-concept demonstrating that advanced Artificial Intelligence—when thoughtfully constrained, made visually interpretable, and delivered via intuitive cross-platform mobile frameworks—can be a powerful catalyst for rural economic upliftment and sustainable agricultural practices.</w:t>
      </w:r>
    </w:p>
    <w:p>
      <w:pPr>
        <w:spacing w:line="420" w:lineRule="exact"/>
        <w:jc w:val="left"/>
      </w:pPr>
      <w:r>
        <w:rPr>
          <w:rFonts w:ascii="Times New Roman" w:hAnsi="Times New Roman"/>
          <w:b/>
          <w:sz w:val="28"/>
        </w:rPr>
        <w:t>9.2 Scope for Future Work</w:t>
      </w:r>
    </w:p>
    <w:p>
      <w:pPr>
        <w:spacing w:line="420" w:lineRule="exact"/>
        <w:jc w:val="both"/>
      </w:pPr>
      <w:r>
        <w:rPr>
          <w:rFonts w:ascii="Times New Roman" w:hAnsi="Times New Roman"/>
          <w:b w:val="0"/>
          <w:sz w:val="24"/>
        </w:rPr>
        <w:t>While the current iteration of KrishiMitra is highly functional, several promising avenues exist for future expansion and research:</w:t>
      </w:r>
    </w:p>
    <w:p>
      <w:pPr>
        <w:spacing w:line="420" w:lineRule="exact"/>
        <w:jc w:val="both"/>
      </w:pPr>
      <w:r>
        <w:rPr>
          <w:rFonts w:ascii="Times New Roman" w:hAnsi="Times New Roman"/>
          <w:b w:val="0"/>
          <w:sz w:val="24"/>
        </w:rPr>
        <w:t>1. Expanded Deep Learning Taxonomy: The ResNet50 model, currently restricted to three primary classes for proof-of-concept, must be expanded to encompass the full PlantVillage taxonomy, capable of detecting over 26 distinct disease profiles across a wider variety of staple and cash crops (e.g., wheat, rice, sugarcane).</w:t>
      </w:r>
    </w:p>
    <w:p>
      <w:pPr>
        <w:spacing w:line="420" w:lineRule="exact"/>
        <w:jc w:val="both"/>
      </w:pPr>
      <w:r>
        <w:rPr>
          <w:rFonts w:ascii="Times New Roman" w:hAnsi="Times New Roman"/>
          <w:b w:val="0"/>
          <w:sz w:val="24"/>
        </w:rPr>
        <w:t>2. On-Device Inference via TFLite: To fully mitigate the risks associated with rural network intermittency, future versions will explore exporting the TensorFlow models to the TFLite format with INT8 quantization. This would enable the Flutter application to execute complex disease classification entirely offline, directly on the mobile CPU/NPU.</w:t>
      </w:r>
    </w:p>
    <w:p>
      <w:pPr>
        <w:spacing w:line="420" w:lineRule="exact"/>
        <w:jc w:val="both"/>
      </w:pPr>
      <w:r>
        <w:rPr>
          <w:rFonts w:ascii="Times New Roman" w:hAnsi="Times New Roman"/>
          <w:b w:val="0"/>
          <w:sz w:val="24"/>
        </w:rPr>
        <w:t>3. Multimodal Satellite Integration: Incorporating remote sensing APIs (such as Sentinel-2 optical imagery) to provide farmers with macro-level Normalized Difference Vegetation Index (NDVI) mapping. This would allow the platform to detect large-scale crop stress or water deficits before they manifest as visible foliar symptoms.</w:t>
      </w:r>
    </w:p>
    <w:p>
      <w:pPr>
        <w:spacing w:line="420" w:lineRule="exact"/>
        <w:jc w:val="both"/>
      </w:pPr>
      <w:r>
        <w:rPr>
          <w:rFonts w:ascii="Times New Roman" w:hAnsi="Times New Roman"/>
          <w:b w:val="0"/>
          <w:sz w:val="24"/>
        </w:rPr>
        <w:t>4. Voice-First Conversational Interface: Given the varying literacy levels in rural demographics, the current text-based LLM advisory chat should be upgraded to support regional voice inputs (speech-to-text) and outputs (text-to-speech), utilizing models like Bhashini or Whisper, thereby removing the textual barrier to entry.</w:t>
      </w:r>
    </w:p>
    <w:p>
      <w:pPr>
        <w:spacing w:line="420" w:lineRule="exact"/>
        <w:jc w:val="both"/>
      </w:pPr>
      <w:r>
        <w:rPr>
          <w:rFonts w:ascii="Times New Roman" w:hAnsi="Times New Roman"/>
          <w:b w:val="0"/>
          <w:sz w:val="24"/>
        </w:rPr>
        <w:t>5. Federated Learning Protocols: Implementing federated learning would allow the diagnostic models to continuously update and learn from diverse field photographs captured by users globally, significantly improving model robustness without ever requiring the centralized transmission or storage of privacy-sensitive user images.</w:t>
      </w:r>
    </w:p>
    <w:p>
      <w:r>
        <w:br w:type="page"/>
      </w:r>
    </w:p>
    <w:p>
      <w:pPr>
        <w:spacing w:line="420" w:lineRule="exact"/>
        <w:jc w:val="center"/>
      </w:pPr>
      <w:r>
        <w:rPr>
          <w:rFonts w:ascii="Times New Roman" w:hAnsi="Times New Roman"/>
          <w:b/>
          <w:sz w:val="32"/>
        </w:rPr>
        <w:t>References</w:t>
      </w:r>
    </w:p>
    <w:p>
      <w:pPr>
        <w:spacing w:line="420" w:lineRule="exact"/>
        <w:jc w:val="left"/>
      </w:pPr>
      <w:r>
        <w:rPr>
          <w:rFonts w:ascii="Times New Roman" w:hAnsi="Times New Roman"/>
          <w:b w:val="0"/>
          <w:sz w:val="24"/>
        </w:rPr>
      </w:r>
    </w:p>
    <w:p>
      <w:pPr>
        <w:spacing w:line="420" w:lineRule="exact"/>
        <w:jc w:val="both"/>
      </w:pPr>
      <w:r>
        <w:rPr>
          <w:rFonts w:ascii="Times New Roman" w:hAnsi="Times New Roman"/>
          <w:b w:val="0"/>
          <w:sz w:val="24"/>
        </w:rPr>
        <w:t>[1] Food and Agriculture Organization of the United Nations, "The State of Food and Agriculture: Moving forward on food loss and waste reduction," FAO, Rome, 2019.</w:t>
      </w:r>
    </w:p>
    <w:p>
      <w:pPr>
        <w:spacing w:line="420" w:lineRule="exact"/>
        <w:jc w:val="both"/>
      </w:pPr>
      <w:r>
        <w:rPr>
          <w:rFonts w:ascii="Times New Roman" w:hAnsi="Times New Roman"/>
          <w:b w:val="0"/>
          <w:sz w:val="24"/>
        </w:rPr>
        <w:t>[2] S. P. Mohanty, D. P. Hughes, and M. Salathé, "Using deep learning for image-based plant disease detection," Frontiers in Plant Science, vol. 7, p. 1419, 2016.</w:t>
      </w:r>
    </w:p>
    <w:p>
      <w:pPr>
        <w:spacing w:line="420" w:lineRule="exact"/>
        <w:jc w:val="both"/>
      </w:pPr>
      <w:r>
        <w:rPr>
          <w:rFonts w:ascii="Times New Roman" w:hAnsi="Times New Roman"/>
          <w:b w:val="0"/>
          <w:sz w:val="24"/>
        </w:rPr>
        <w:t>[3] M. Brahimi, K. Boukhalfa, and A. Moussaoui, "Deep learning for tomato diseases: classification and symptoms visualization," Applied Artificial Intelligence, vol. 31, no. 4, pp. 299–315, 2017.</w:t>
      </w:r>
    </w:p>
    <w:p>
      <w:pPr>
        <w:spacing w:line="420" w:lineRule="exact"/>
        <w:jc w:val="both"/>
      </w:pPr>
      <w:r>
        <w:rPr>
          <w:rFonts w:ascii="Times New Roman" w:hAnsi="Times New Roman"/>
          <w:b w:val="0"/>
          <w:sz w:val="24"/>
        </w:rPr>
        <w:t>[4] K. P. Ferentinos, "Deep learning models for plant disease detection and diagnosis," Computers and Electronics in Agriculture, vol. 145, pp. 311–318, 2018.</w:t>
      </w:r>
    </w:p>
    <w:p>
      <w:pPr>
        <w:spacing w:line="420" w:lineRule="exact"/>
        <w:jc w:val="both"/>
      </w:pPr>
      <w:r>
        <w:rPr>
          <w:rFonts w:ascii="Times New Roman" w:hAnsi="Times New Roman"/>
          <w:b w:val="0"/>
          <w:sz w:val="24"/>
        </w:rPr>
        <w:t>[5] R. R. Selvaraju, M. Cogswell, A. Das, R. Vedantam, D. Parikh, and D. Batra, "Grad-CAM: visual explanations from deep networks via gradient-based localization," in Proceedings of the IEEE International Conference on Computer Vision (ICCV), Venice, Italy, 2017, pp. 618–626.</w:t>
      </w:r>
    </w:p>
    <w:p>
      <w:pPr>
        <w:spacing w:line="420" w:lineRule="exact"/>
        <w:jc w:val="both"/>
      </w:pPr>
      <w:r>
        <w:rPr>
          <w:rFonts w:ascii="Times New Roman" w:hAnsi="Times New Roman"/>
          <w:b w:val="0"/>
          <w:sz w:val="24"/>
        </w:rPr>
        <w:t>[6] A. Ramcharan, K. Baranowski, P. McCloskey, B. Ahmed, J. Legg, and D. P. Hughes, "Deep learning for image-based cassava disease detection," Frontiers in Plant Science, vol. 8, p. 1852, 2017.</w:t>
      </w:r>
    </w:p>
    <w:p>
      <w:pPr>
        <w:spacing w:line="420" w:lineRule="exact"/>
        <w:jc w:val="both"/>
      </w:pPr>
      <w:r>
        <w:rPr>
          <w:rFonts w:ascii="Times New Roman" w:hAnsi="Times New Roman"/>
          <w:b w:val="0"/>
          <w:sz w:val="24"/>
        </w:rPr>
        <w:t>[7] M. Ayaz, M. Ammad-Uddin, Z. Sharif, A. Mansour, and E. -H. M. Aggoune, "Internet-of-Things (IoT)-based smart agriculture: toward making the fields talk," IEEE Access, vol. 7, pp. 129551–129583, 2019.</w:t>
      </w:r>
    </w:p>
    <w:p>
      <w:pPr>
        <w:spacing w:line="420" w:lineRule="exact"/>
        <w:jc w:val="both"/>
      </w:pPr>
      <w:r>
        <w:rPr>
          <w:rFonts w:ascii="Times New Roman" w:hAnsi="Times New Roman"/>
          <w:b w:val="0"/>
          <w:sz w:val="24"/>
        </w:rPr>
        <w:t>[8] A. Kamilaris and F. X. Prenafeta-Boldú, "Deep learning in agriculture: a survey," Computers and Electronics in Agriculture, vol. 147, pp. 70–90, 2018.</w:t>
      </w:r>
    </w:p>
    <w:p>
      <w:pPr>
        <w:spacing w:line="420" w:lineRule="exact"/>
        <w:jc w:val="both"/>
      </w:pPr>
      <w:r>
        <w:rPr>
          <w:rFonts w:ascii="Times New Roman" w:hAnsi="Times New Roman"/>
          <w:b w:val="0"/>
          <w:sz w:val="24"/>
        </w:rPr>
        <w:t>[9] S. Pudumalar, E. Ramanujam, R. H. Rajashree, C. Kavya, T. Kiruthika, and J. Nisha, "Crop recommendation system for precision agriculture," in Proceedings of the 8th International Conference on Advanced Computing (ICoAC), Chennai, India, 2017, pp. 32–36.</w:t>
      </w:r>
    </w:p>
    <w:p>
      <w:pPr>
        <w:spacing w:line="420" w:lineRule="exact"/>
        <w:jc w:val="both"/>
      </w:pPr>
      <w:r>
        <w:rPr>
          <w:rFonts w:ascii="Times New Roman" w:hAnsi="Times New Roman"/>
          <w:b w:val="0"/>
          <w:sz w:val="24"/>
        </w:rPr>
        <w:t>[10] N. Bendre, H. R. Thakur, and P. Bhange, "An NLP-based intelligent agricultural advisory system for farmers," in Proceedings of the IEEE International Conference on Computing, Communication, Control and Automation (ICCUBEA), Pune, India, 2021, pp. 1–6.</w:t>
      </w:r>
    </w:p>
    <w:p>
      <w:pPr>
        <w:spacing w:line="420" w:lineRule="exact"/>
        <w:jc w:val="both"/>
      </w:pPr>
      <w:r>
        <w:rPr>
          <w:rFonts w:ascii="Times New Roman" w:hAnsi="Times New Roman"/>
          <w:b w:val="0"/>
          <w:sz w:val="24"/>
        </w:rPr>
        <w:t>[11] A. K. Misra, A. Rathore, and R. Gupta, "Impact of real-time mandi price information on farmer income," Journal of Agricultural Economics, vol. 74, no. 2, pp. 512–532, 2023.</w:t>
      </w:r>
    </w:p>
    <w:p>
      <w:pPr>
        <w:spacing w:line="420" w:lineRule="exact"/>
        <w:jc w:val="both"/>
      </w:pPr>
      <w:r>
        <w:rPr>
          <w:rFonts w:ascii="Times New Roman" w:hAnsi="Times New Roman"/>
          <w:b w:val="0"/>
          <w:sz w:val="24"/>
        </w:rPr>
        <w:t>[12] S. Hochreiter and J. Schmidhuber, "Long short-term memory," Neural Computation, vol. 9, no. 8, pp. 1735–1780, 1997.</w:t>
      </w:r>
    </w:p>
    <w:p>
      <w:pPr>
        <w:spacing w:line="420" w:lineRule="exact"/>
        <w:jc w:val="both"/>
      </w:pPr>
      <w:r>
        <w:rPr>
          <w:rFonts w:ascii="Times New Roman" w:hAnsi="Times New Roman"/>
          <w:b w:val="0"/>
          <w:sz w:val="24"/>
        </w:rPr>
        <w:t>[13] A. Dosovitskiy et al., "An image is worth 16x16 words: transformers for image recognition at scale," in Proceedings of the International Conference on Learning Representations (ICLR), 2021.</w:t>
      </w:r>
    </w:p>
    <w:p>
      <w:pPr>
        <w:spacing w:line="420" w:lineRule="exact"/>
        <w:jc w:val="both"/>
      </w:pPr>
      <w:r>
        <w:rPr>
          <w:rFonts w:ascii="Times New Roman" w:hAnsi="Times New Roman"/>
          <w:b w:val="0"/>
          <w:sz w:val="24"/>
        </w:rPr>
        <w:t>[14] K. Bonawitz et al., "Towards federated learning at scale: a system design," in Proceedings of the 2nd SysML Conference, Palo Alto, CA, USA, 2019.</w:t>
      </w:r>
    </w:p>
    <w:p>
      <w:pPr>
        <w:spacing w:line="420" w:lineRule="exact"/>
        <w:jc w:val="both"/>
      </w:pPr>
      <w:r>
        <w:rPr>
          <w:rFonts w:ascii="Times New Roman" w:hAnsi="Times New Roman"/>
          <w:b w:val="0"/>
          <w:sz w:val="24"/>
        </w:rPr>
        <w:t>[15] P. Abadi et al., "TensorFlow: a system for large-scale machine learning," in Proceedings of the 12th USENIX Symposium on Operating Systems Design and Implementation (OSDI), Savannah, GA, USA, 2016, pp. 265–283.</w:t>
      </w:r>
    </w:p>
    <w:p>
      <w:r>
        <w:br w:type="page"/>
      </w:r>
    </w:p>
    <w:p>
      <w:pPr>
        <w:spacing w:line="420" w:lineRule="exact"/>
        <w:jc w:val="center"/>
      </w:pPr>
      <w:r>
        <w:rPr>
          <w:rFonts w:ascii="Times New Roman" w:hAnsi="Times New Roman"/>
          <w:b/>
          <w:sz w:val="32"/>
        </w:rPr>
        <w:t>Appendix</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A: Software Dependencies</w:t>
      </w:r>
    </w:p>
    <w:p>
      <w:pPr>
        <w:spacing w:line="420" w:lineRule="exact"/>
        <w:jc w:val="both"/>
      </w:pPr>
      <w:r>
        <w:rPr>
          <w:rFonts w:ascii="Times New Roman" w:hAnsi="Times New Roman"/>
          <w:b w:val="0"/>
          <w:sz w:val="24"/>
        </w:rPr>
        <w:t>The following primary dependencies were utilized in the construction of the KrishiMitra platform:</w:t>
      </w:r>
    </w:p>
    <w:p>
      <w:pPr>
        <w:spacing w:line="420" w:lineRule="exact"/>
        <w:jc w:val="both"/>
      </w:pPr>
      <w:r>
        <w:rPr>
          <w:rFonts w:ascii="Times New Roman" w:hAnsi="Times New Roman"/>
          <w:b w:val="0"/>
          <w:sz w:val="24"/>
        </w:rPr>
        <w:t>Frontend Application:</w:t>
      </w:r>
    </w:p>
    <w:p>
      <w:pPr>
        <w:spacing w:line="420" w:lineRule="exact"/>
        <w:jc w:val="both"/>
      </w:pPr>
      <w:r>
        <w:rPr>
          <w:rFonts w:ascii="Times New Roman" w:hAnsi="Times New Roman"/>
          <w:b w:val="0"/>
          <w:sz w:val="24"/>
        </w:rPr>
        <w:t>• Flutter SDK (3.19.x): The core UI toolkit for building natively compiled applications.</w:t>
      </w:r>
    </w:p>
    <w:p>
      <w:pPr>
        <w:spacing w:line="420" w:lineRule="exact"/>
        <w:jc w:val="both"/>
      </w:pPr>
      <w:r>
        <w:rPr>
          <w:rFonts w:ascii="Times New Roman" w:hAnsi="Times New Roman"/>
          <w:b w:val="0"/>
          <w:sz w:val="24"/>
        </w:rPr>
        <w:t>• flutter_riverpod (2.4.x): Robust, compile-safe state management.</w:t>
      </w:r>
    </w:p>
    <w:p>
      <w:pPr>
        <w:spacing w:line="420" w:lineRule="exact"/>
        <w:jc w:val="both"/>
      </w:pPr>
      <w:r>
        <w:rPr>
          <w:rFonts w:ascii="Times New Roman" w:hAnsi="Times New Roman"/>
          <w:b w:val="0"/>
          <w:sz w:val="24"/>
        </w:rPr>
        <w:t>• go_router (13.2.x): Declarative routing system capable of handling deep links.</w:t>
      </w:r>
    </w:p>
    <w:p>
      <w:pPr>
        <w:spacing w:line="420" w:lineRule="exact"/>
        <w:jc w:val="both"/>
      </w:pPr>
      <w:r>
        <w:rPr>
          <w:rFonts w:ascii="Times New Roman" w:hAnsi="Times New Roman"/>
          <w:b w:val="0"/>
          <w:sz w:val="24"/>
        </w:rPr>
        <w:t>• dio (5.4.x): Advanced HTTP client for Dart with interceptor support.</w:t>
      </w:r>
    </w:p>
    <w:p>
      <w:pPr>
        <w:spacing w:line="420" w:lineRule="exact"/>
        <w:jc w:val="both"/>
      </w:pPr>
      <w:r>
        <w:rPr>
          <w:rFonts w:ascii="Times New Roman" w:hAnsi="Times New Roman"/>
          <w:b w:val="0"/>
          <w:sz w:val="24"/>
        </w:rPr>
        <w:t>• fl_chart (0.66.x): Highly customizable library for rendering the LSTM price graphs natively.</w:t>
      </w:r>
    </w:p>
    <w:p>
      <w:pPr>
        <w:spacing w:line="420" w:lineRule="exact"/>
        <w:jc w:val="both"/>
      </w:pPr>
      <w:r>
        <w:rPr>
          <w:rFonts w:ascii="Times New Roman" w:hAnsi="Times New Roman"/>
          <w:b w:val="0"/>
          <w:sz w:val="24"/>
        </w:rPr>
        <w:t>Backend Application:</w:t>
      </w:r>
    </w:p>
    <w:p>
      <w:pPr>
        <w:spacing w:line="420" w:lineRule="exact"/>
        <w:jc w:val="both"/>
      </w:pPr>
      <w:r>
        <w:rPr>
          <w:rFonts w:ascii="Times New Roman" w:hAnsi="Times New Roman"/>
          <w:b w:val="0"/>
          <w:sz w:val="24"/>
        </w:rPr>
        <w:t>• Python (3.11.x): Primary server-side execution environment.</w:t>
      </w:r>
    </w:p>
    <w:p>
      <w:pPr>
        <w:spacing w:line="420" w:lineRule="exact"/>
        <w:jc w:val="both"/>
      </w:pPr>
      <w:r>
        <w:rPr>
          <w:rFonts w:ascii="Times New Roman" w:hAnsi="Times New Roman"/>
          <w:b w:val="0"/>
          <w:sz w:val="24"/>
        </w:rPr>
        <w:t>• Flask (2.3.x): Lightweight WSGI web application framework.</w:t>
      </w:r>
    </w:p>
    <w:p>
      <w:pPr>
        <w:spacing w:line="420" w:lineRule="exact"/>
        <w:jc w:val="both"/>
      </w:pPr>
      <w:r>
        <w:rPr>
          <w:rFonts w:ascii="Times New Roman" w:hAnsi="Times New Roman"/>
          <w:b w:val="0"/>
          <w:sz w:val="24"/>
        </w:rPr>
        <w:t>• SQLAlchemy (2.0.x): Database ORM abstraction layer.</w:t>
      </w:r>
    </w:p>
    <w:p>
      <w:pPr>
        <w:spacing w:line="420" w:lineRule="exact"/>
        <w:jc w:val="both"/>
      </w:pPr>
      <w:r>
        <w:rPr>
          <w:rFonts w:ascii="Times New Roman" w:hAnsi="Times New Roman"/>
          <w:b w:val="0"/>
          <w:sz w:val="24"/>
        </w:rPr>
        <w:t>• SQLite3: Serverless database engine utilized for persistent storage.</w:t>
      </w:r>
    </w:p>
    <w:p>
      <w:pPr>
        <w:spacing w:line="420" w:lineRule="exact"/>
        <w:jc w:val="both"/>
      </w:pPr>
      <w:r>
        <w:rPr>
          <w:rFonts w:ascii="Times New Roman" w:hAnsi="Times New Roman"/>
          <w:b w:val="0"/>
          <w:sz w:val="24"/>
        </w:rPr>
        <w:t>Machine Learning Layer:</w:t>
      </w:r>
    </w:p>
    <w:p>
      <w:pPr>
        <w:spacing w:line="420" w:lineRule="exact"/>
        <w:jc w:val="both"/>
      </w:pPr>
      <w:r>
        <w:rPr>
          <w:rFonts w:ascii="Times New Roman" w:hAnsi="Times New Roman"/>
          <w:b w:val="0"/>
          <w:sz w:val="24"/>
        </w:rPr>
        <w:t>• TensorFlow (2.15.x): Comprehensive open-source platform for training the ResNet50 vision model.</w:t>
      </w:r>
    </w:p>
    <w:p>
      <w:pPr>
        <w:spacing w:line="420" w:lineRule="exact"/>
        <w:jc w:val="both"/>
      </w:pPr>
      <w:r>
        <w:rPr>
          <w:rFonts w:ascii="Times New Roman" w:hAnsi="Times New Roman"/>
          <w:b w:val="0"/>
          <w:sz w:val="24"/>
        </w:rPr>
        <w:t>• OpenCV-Python (4.8.x): Computer vision library utilized for applying the JET colormap to the Grad-CAM tensor.</w:t>
      </w:r>
    </w:p>
    <w:p>
      <w:pPr>
        <w:spacing w:line="420" w:lineRule="exact"/>
        <w:jc w:val="both"/>
      </w:pPr>
      <w:r>
        <w:rPr>
          <w:rFonts w:ascii="Times New Roman" w:hAnsi="Times New Roman"/>
          <w:b w:val="0"/>
          <w:sz w:val="24"/>
        </w:rPr>
        <w:t>• Groq Python SDK (0.4.x): Interface client for querying the LLaMA 3.3 70B model.</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sz w:val="28"/>
        </w:rPr>
        <w:t>Appendix B: Code Listing - Grad-CAM Generation Algorithm</w:t>
      </w:r>
    </w:p>
    <w:p>
      <w:pPr>
        <w:spacing w:line="420" w:lineRule="exact"/>
        <w:jc w:val="both"/>
      </w:pPr>
      <w:r>
        <w:rPr>
          <w:rFonts w:ascii="Times New Roman" w:hAnsi="Times New Roman"/>
          <w:b w:val="0"/>
          <w:sz w:val="24"/>
        </w:rPr>
        <w:t>The following Python snippet outlines the core logic utilized to generate the explanatory heatmaps from the ResNet50 architecture:</w:t>
      </w:r>
    </w:p>
    <w:p>
      <w:pPr>
        <w:spacing w:line="420" w:lineRule="exact"/>
        <w:jc w:val="both"/>
      </w:pPr>
      <w:r>
        <w:rPr>
          <w:rFonts w:ascii="Times New Roman" w:hAnsi="Times New Roman"/>
          <w:b w:val="0"/>
          <w:sz w:val="24"/>
        </w:rPr>
        <w:t>def make_gradcam_heatmap(img_array, model, last_conv_layer_name, pred_index=None):</w:t>
      </w:r>
    </w:p>
    <w:p>
      <w:pPr>
        <w:spacing w:line="420" w:lineRule="exact"/>
        <w:jc w:val="both"/>
      </w:pPr>
      <w:r>
        <w:rPr>
          <w:rFonts w:ascii="Times New Roman" w:hAnsi="Times New Roman"/>
          <w:b w:val="0"/>
          <w:sz w:val="24"/>
        </w:rPr>
        <w:t xml:space="preserve">    # 1. Create a model that maps the input image to the activations of the last conv layer</w:t>
      </w:r>
    </w:p>
    <w:p>
      <w:pPr>
        <w:spacing w:line="420" w:lineRule="exact"/>
        <w:jc w:val="both"/>
      </w:pPr>
      <w:r>
        <w:rPr>
          <w:rFonts w:ascii="Times New Roman" w:hAnsi="Times New Roman"/>
          <w:b w:val="0"/>
          <w:sz w:val="24"/>
        </w:rPr>
        <w:t xml:space="preserve">    grad_model = keras.models.Model(</w:t>
      </w:r>
    </w:p>
    <w:p>
      <w:pPr>
        <w:spacing w:line="420" w:lineRule="exact"/>
        <w:jc w:val="both"/>
      </w:pPr>
      <w:r>
        <w:rPr>
          <w:rFonts w:ascii="Times New Roman" w:hAnsi="Times New Roman"/>
          <w:b w:val="0"/>
          <w:sz w:val="24"/>
        </w:rPr>
        <w:t xml:space="preserve">        model.inputs, [model.get_layer(last_conv_layer_name).output, model.output]</w:t>
      </w:r>
    </w:p>
    <w:p>
      <w:pPr>
        <w:spacing w:line="420" w:lineRule="exact"/>
        <w:jc w:val="both"/>
      </w:pPr>
      <w:r>
        <w:rPr>
          <w:rFonts w:ascii="Times New Roman" w:hAnsi="Times New Roman"/>
          <w:b w:val="0"/>
          <w:sz w:val="24"/>
        </w:rPr>
        <w:t xml:space="preserve">    )</w:t>
      </w:r>
    </w:p>
    <w:p>
      <w:pPr>
        <w:spacing w:line="420" w:lineRule="exact"/>
        <w:jc w:val="both"/>
      </w:pPr>
      <w:r>
        <w:rPr>
          <w:rFonts w:ascii="Times New Roman" w:hAnsi="Times New Roman"/>
          <w:b w:val="0"/>
          <w:sz w:val="24"/>
        </w:rPr>
        <w:t xml:space="preserve">    # 2. Compute the gradient of the top predicted class for our input image</w:t>
      </w:r>
    </w:p>
    <w:p>
      <w:pPr>
        <w:spacing w:line="420" w:lineRule="exact"/>
        <w:jc w:val="both"/>
      </w:pPr>
      <w:r>
        <w:rPr>
          <w:rFonts w:ascii="Times New Roman" w:hAnsi="Times New Roman"/>
          <w:b w:val="0"/>
          <w:sz w:val="24"/>
        </w:rPr>
        <w:t xml:space="preserve">    with tf.GradientTape() as tape:</w:t>
      </w:r>
    </w:p>
    <w:p>
      <w:pPr>
        <w:spacing w:line="420" w:lineRule="exact"/>
        <w:jc w:val="both"/>
      </w:pPr>
      <w:r>
        <w:rPr>
          <w:rFonts w:ascii="Times New Roman" w:hAnsi="Times New Roman"/>
          <w:b w:val="0"/>
          <w:sz w:val="24"/>
        </w:rPr>
        <w:t xml:space="preserve">        last_conv_layer_output, preds = grad_model(img_array)</w:t>
      </w:r>
    </w:p>
    <w:p>
      <w:pPr>
        <w:spacing w:line="420" w:lineRule="exact"/>
        <w:jc w:val="both"/>
      </w:pPr>
      <w:r>
        <w:rPr>
          <w:rFonts w:ascii="Times New Roman" w:hAnsi="Times New Roman"/>
          <w:b w:val="0"/>
          <w:sz w:val="24"/>
        </w:rPr>
        <w:t xml:space="preserve">        if pred_index is None:</w:t>
      </w:r>
    </w:p>
    <w:p>
      <w:pPr>
        <w:spacing w:line="420" w:lineRule="exact"/>
        <w:jc w:val="both"/>
      </w:pPr>
      <w:r>
        <w:rPr>
          <w:rFonts w:ascii="Times New Roman" w:hAnsi="Times New Roman"/>
          <w:b w:val="0"/>
          <w:sz w:val="24"/>
        </w:rPr>
        <w:t xml:space="preserve">            pred_index = tf.argmax(preds[0])</w:t>
      </w:r>
    </w:p>
    <w:p>
      <w:pPr>
        <w:spacing w:line="420" w:lineRule="exact"/>
        <w:jc w:val="both"/>
      </w:pPr>
      <w:r>
        <w:rPr>
          <w:rFonts w:ascii="Times New Roman" w:hAnsi="Times New Roman"/>
          <w:b w:val="0"/>
          <w:sz w:val="24"/>
        </w:rPr>
        <w:t xml:space="preserve">        class_channel = preds[:, pred_index]</w:t>
      </w:r>
    </w:p>
    <w:p>
      <w:pPr>
        <w:spacing w:line="420" w:lineRule="exact"/>
        <w:jc w:val="both"/>
      </w:pPr>
      <w:r>
        <w:rPr>
          <w:rFonts w:ascii="Times New Roman" w:hAnsi="Times New Roman"/>
          <w:b w:val="0"/>
          <w:sz w:val="24"/>
        </w:rPr>
        <w:t xml:space="preserve">    # 3. This is the gradient of the output neuron with regard to the output feature map</w:t>
      </w:r>
    </w:p>
    <w:p>
      <w:pPr>
        <w:spacing w:line="420" w:lineRule="exact"/>
        <w:jc w:val="both"/>
      </w:pPr>
      <w:r>
        <w:rPr>
          <w:rFonts w:ascii="Times New Roman" w:hAnsi="Times New Roman"/>
          <w:b w:val="0"/>
          <w:sz w:val="24"/>
        </w:rPr>
        <w:t xml:space="preserve">    grads = tape.gradient(class_channel, last_conv_layer_output)</w:t>
      </w:r>
    </w:p>
    <w:p>
      <w:pPr>
        <w:spacing w:line="420" w:lineRule="exact"/>
        <w:jc w:val="both"/>
      </w:pPr>
      <w:r>
        <w:rPr>
          <w:rFonts w:ascii="Times New Roman" w:hAnsi="Times New Roman"/>
          <w:b w:val="0"/>
          <w:sz w:val="24"/>
        </w:rPr>
        <w:t xml:space="preserve">    # 4. This is a vector where each entry is the mean intensity of the gradient over a specific feature map channel</w:t>
      </w:r>
    </w:p>
    <w:p>
      <w:pPr>
        <w:spacing w:line="420" w:lineRule="exact"/>
        <w:jc w:val="both"/>
      </w:pPr>
      <w:r>
        <w:rPr>
          <w:rFonts w:ascii="Times New Roman" w:hAnsi="Times New Roman"/>
          <w:b w:val="0"/>
          <w:sz w:val="24"/>
        </w:rPr>
        <w:t xml:space="preserve">    pooled_grads = tf.reduce_mean(grads, axis=(0, 1, 2))</w:t>
      </w:r>
    </w:p>
    <w:p>
      <w:pPr>
        <w:spacing w:line="420" w:lineRule="exact"/>
        <w:jc w:val="both"/>
      </w:pPr>
      <w:r>
        <w:rPr>
          <w:rFonts w:ascii="Times New Roman" w:hAnsi="Times New Roman"/>
          <w:b w:val="0"/>
          <w:sz w:val="24"/>
        </w:rPr>
        <w:t xml:space="preserve">    # 5. Multiply each channel by 'how important this channel is' to the top predicted class</w:t>
      </w:r>
    </w:p>
    <w:p>
      <w:pPr>
        <w:spacing w:line="420" w:lineRule="exact"/>
        <w:jc w:val="both"/>
      </w:pPr>
      <w:r>
        <w:rPr>
          <w:rFonts w:ascii="Times New Roman" w:hAnsi="Times New Roman"/>
          <w:b w:val="0"/>
          <w:sz w:val="24"/>
        </w:rPr>
        <w:t xml:space="preserve">    last_conv_layer_output = last_conv_layer_output[0]</w:t>
      </w:r>
    </w:p>
    <w:p>
      <w:pPr>
        <w:spacing w:line="420" w:lineRule="exact"/>
        <w:jc w:val="both"/>
      </w:pPr>
      <w:r>
        <w:rPr>
          <w:rFonts w:ascii="Times New Roman" w:hAnsi="Times New Roman"/>
          <w:b w:val="0"/>
          <w:sz w:val="24"/>
        </w:rPr>
        <w:t xml:space="preserve">    heatmap = last_conv_layer_output @ pooled_grads[..., tf.newaxis]</w:t>
      </w:r>
    </w:p>
    <w:p>
      <w:pPr>
        <w:spacing w:line="420" w:lineRule="exact"/>
        <w:jc w:val="both"/>
      </w:pPr>
      <w:r>
        <w:rPr>
          <w:rFonts w:ascii="Times New Roman" w:hAnsi="Times New Roman"/>
          <w:b w:val="0"/>
          <w:sz w:val="24"/>
        </w:rPr>
        <w:t xml:space="preserve">    heatmap = tf.squeeze(heatmap)</w:t>
      </w:r>
    </w:p>
    <w:p>
      <w:pPr>
        <w:spacing w:line="420" w:lineRule="exact"/>
        <w:jc w:val="both"/>
      </w:pPr>
      <w:r>
        <w:rPr>
          <w:rFonts w:ascii="Times New Roman" w:hAnsi="Times New Roman"/>
          <w:b w:val="0"/>
          <w:sz w:val="24"/>
        </w:rPr>
        <w:t xml:space="preserve">    # 6. Normalize the heatmap between 0 and 1 via ReLU</w:t>
      </w:r>
    </w:p>
    <w:p>
      <w:pPr>
        <w:spacing w:line="420" w:lineRule="exact"/>
        <w:jc w:val="both"/>
      </w:pPr>
      <w:r>
        <w:rPr>
          <w:rFonts w:ascii="Times New Roman" w:hAnsi="Times New Roman"/>
          <w:b w:val="0"/>
          <w:sz w:val="24"/>
        </w:rPr>
        <w:t xml:space="preserve">    heatmap = tf.maximum(heatmap, 0) / tf.math.reduce_max(heatmap)</w:t>
      </w:r>
    </w:p>
    <w:p>
      <w:pPr>
        <w:spacing w:line="420" w:lineRule="exact"/>
        <w:jc w:val="both"/>
      </w:pPr>
      <w:r>
        <w:rPr>
          <w:rFonts w:ascii="Times New Roman" w:hAnsi="Times New Roman"/>
          <w:b w:val="0"/>
          <w:sz w:val="24"/>
        </w:rPr>
        <w:t xml:space="preserve">    return heatmap.numpy()</w:t>
      </w:r>
    </w:p>
    <w:p>
      <w:r>
        <w:br w:type="page"/>
      </w:r>
    </w:p>
    <w:p>
      <w:pPr>
        <w:spacing w:line="420" w:lineRule="exact"/>
        <w:jc w:val="left"/>
      </w:pPr>
      <w:r>
        <w:rPr>
          <w:rFonts w:ascii="Times New Roman" w:hAnsi="Times New Roman"/>
          <w:b/>
          <w:sz w:val="28"/>
        </w:rPr>
        <w:t>Appendix C: Application User Interfaces (Simulation Screenshots)</w:t>
      </w:r>
    </w:p>
    <w:p>
      <w:pPr>
        <w:spacing w:line="420" w:lineRule="exact"/>
        <w:jc w:val="left"/>
      </w:pPr>
      <w:r>
        <w:rPr>
          <w:rFonts w:ascii="Times New Roman" w:hAnsi="Times New Roman"/>
          <w:b w:val="0"/>
          <w:sz w:val="24"/>
        </w:rPr>
      </w:r>
    </w:p>
    <w:p>
      <w:pPr>
        <w:spacing w:line="420" w:lineRule="exact"/>
        <w:jc w:val="left"/>
      </w:pPr>
      <w:r>
        <w:rPr>
          <w:rFonts w:ascii="Times New Roman" w:hAnsi="Times New Roman"/>
          <w:b w:val="0"/>
          <w:sz w:val="24"/>
        </w:rPr>
        <w:t>The following figures demonstrate the implemented UI screens for the various intelligent modules of the KrishiMitra mobile application, developed using the Flutter framework.</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8038682"/>
            <wp:docPr id="1" name="Picture 1"/>
            <wp:cNvGraphicFramePr>
              <a:graphicFrameLocks noChangeAspect="1"/>
            </wp:cNvGraphicFramePr>
            <a:graphic>
              <a:graphicData uri="http://schemas.openxmlformats.org/drawingml/2006/picture">
                <pic:pic>
                  <pic:nvPicPr>
                    <pic:cNvPr id="0" name="screen.png"/>
                    <pic:cNvPicPr/>
                  </pic:nvPicPr>
                  <pic:blipFill>
                    <a:blip r:embed="rId9"/>
                    <a:stretch>
                      <a:fillRect/>
                    </a:stretch>
                  </pic:blipFill>
                  <pic:spPr>
                    <a:xfrm>
                      <a:off x="0" y="0"/>
                      <a:ext cx="3200400" cy="8038682"/>
                    </a:xfrm>
                    <a:prstGeom prst="rect"/>
                  </pic:spPr>
                </pic:pic>
              </a:graphicData>
            </a:graphic>
          </wp:inline>
        </w:drawing>
      </w:r>
    </w:p>
    <w:p>
      <w:pPr>
        <w:jc w:val="center"/>
      </w:pPr>
      <w:r>
        <w:rPr>
          <w:rFonts w:ascii="Times New Roman" w:hAnsi="Times New Roman"/>
          <w:b/>
          <w:sz w:val="24"/>
        </w:rPr>
        <w:t>Figure C.1: User Authentication and Role Selection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159669"/>
            <wp:docPr id="2" name="Picture 2"/>
            <wp:cNvGraphicFramePr>
              <a:graphicFrameLocks noChangeAspect="1"/>
            </wp:cNvGraphicFramePr>
            <a:graphic>
              <a:graphicData uri="http://schemas.openxmlformats.org/drawingml/2006/picture">
                <pic:pic>
                  <pic:nvPicPr>
                    <pic:cNvPr id="0" name="screen.png"/>
                    <pic:cNvPicPr/>
                  </pic:nvPicPr>
                  <pic:blipFill>
                    <a:blip r:embed="rId10"/>
                    <a:stretch>
                      <a:fillRect/>
                    </a:stretch>
                  </pic:blipFill>
                  <pic:spPr>
                    <a:xfrm>
                      <a:off x="0" y="0"/>
                      <a:ext cx="3200400" cy="21159669"/>
                    </a:xfrm>
                    <a:prstGeom prst="rect"/>
                  </pic:spPr>
                </pic:pic>
              </a:graphicData>
            </a:graphic>
          </wp:inline>
        </w:drawing>
      </w:r>
    </w:p>
    <w:p>
      <w:pPr>
        <w:jc w:val="center"/>
      </w:pPr>
      <w:r>
        <w:rPr>
          <w:rFonts w:ascii="Times New Roman" w:hAnsi="Times New Roman"/>
          <w:b/>
          <w:sz w:val="24"/>
        </w:rPr>
        <w:t>Figure C.2: Primary Farmer Dashboard (Navigation Hub)</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0002500"/>
            <wp:docPr id="3" name="Picture 3"/>
            <wp:cNvGraphicFramePr>
              <a:graphicFrameLocks noChangeAspect="1"/>
            </wp:cNvGraphicFramePr>
            <a:graphic>
              <a:graphicData uri="http://schemas.openxmlformats.org/drawingml/2006/picture">
                <pic:pic>
                  <pic:nvPicPr>
                    <pic:cNvPr id="0" name="screen.png"/>
                    <pic:cNvPicPr/>
                  </pic:nvPicPr>
                  <pic:blipFill>
                    <a:blip r:embed="rId11"/>
                    <a:stretch>
                      <a:fillRect/>
                    </a:stretch>
                  </pic:blipFill>
                  <pic:spPr>
                    <a:xfrm>
                      <a:off x="0" y="0"/>
                      <a:ext cx="3200400" cy="20002500"/>
                    </a:xfrm>
                    <a:prstGeom prst="rect"/>
                  </pic:spPr>
                </pic:pic>
              </a:graphicData>
            </a:graphic>
          </wp:inline>
        </w:drawing>
      </w:r>
    </w:p>
    <w:p>
      <w:pPr>
        <w:jc w:val="center"/>
      </w:pPr>
      <w:r>
        <w:rPr>
          <w:rFonts w:ascii="Times New Roman" w:hAnsi="Times New Roman"/>
          <w:b/>
          <w:sz w:val="24"/>
        </w:rPr>
        <w:t>Figure C.3: Premium Analytics Dashboard</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6955762"/>
            <wp:docPr id="4" name="Picture 4"/>
            <wp:cNvGraphicFramePr>
              <a:graphicFrameLocks noChangeAspect="1"/>
            </wp:cNvGraphicFramePr>
            <a:graphic>
              <a:graphicData uri="http://schemas.openxmlformats.org/drawingml/2006/picture">
                <pic:pic>
                  <pic:nvPicPr>
                    <pic:cNvPr id="0" name="screen.png"/>
                    <pic:cNvPicPr/>
                  </pic:nvPicPr>
                  <pic:blipFill>
                    <a:blip r:embed="rId12"/>
                    <a:stretch>
                      <a:fillRect/>
                    </a:stretch>
                  </pic:blipFill>
                  <pic:spPr>
                    <a:xfrm>
                      <a:off x="0" y="0"/>
                      <a:ext cx="3200400" cy="16955762"/>
                    </a:xfrm>
                    <a:prstGeom prst="rect"/>
                  </pic:spPr>
                </pic:pic>
              </a:graphicData>
            </a:graphic>
          </wp:inline>
        </w:drawing>
      </w:r>
    </w:p>
    <w:p>
      <w:pPr>
        <w:jc w:val="center"/>
      </w:pPr>
      <w:r>
        <w:rPr>
          <w:rFonts w:ascii="Times New Roman" w:hAnsi="Times New Roman"/>
          <w:b/>
          <w:sz w:val="24"/>
        </w:rPr>
        <w:t>Figure C.4: ResNet50 Leaf Disease Detection with Grad-CAM</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9428966"/>
            <wp:docPr id="5" name="Picture 5"/>
            <wp:cNvGraphicFramePr>
              <a:graphicFrameLocks noChangeAspect="1"/>
            </wp:cNvGraphicFramePr>
            <a:graphic>
              <a:graphicData uri="http://schemas.openxmlformats.org/drawingml/2006/picture">
                <pic:pic>
                  <pic:nvPicPr>
                    <pic:cNvPr id="0" name="screen.png"/>
                    <pic:cNvPicPr/>
                  </pic:nvPicPr>
                  <pic:blipFill>
                    <a:blip r:embed="rId13"/>
                    <a:stretch>
                      <a:fillRect/>
                    </a:stretch>
                  </pic:blipFill>
                  <pic:spPr>
                    <a:xfrm>
                      <a:off x="0" y="0"/>
                      <a:ext cx="3200400" cy="29428966"/>
                    </a:xfrm>
                    <a:prstGeom prst="rect"/>
                  </pic:spPr>
                </pic:pic>
              </a:graphicData>
            </a:graphic>
          </wp:inline>
        </w:drawing>
      </w:r>
    </w:p>
    <w:p>
      <w:pPr>
        <w:jc w:val="center"/>
      </w:pPr>
      <w:r>
        <w:rPr>
          <w:rFonts w:ascii="Times New Roman" w:hAnsi="Times New Roman"/>
          <w:b/>
          <w:sz w:val="24"/>
        </w:rPr>
        <w:t>Figure C.5: KNN Soil Recommendation and Health Score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8553043"/>
            <wp:docPr id="6" name="Picture 6"/>
            <wp:cNvGraphicFramePr>
              <a:graphicFrameLocks noChangeAspect="1"/>
            </wp:cNvGraphicFramePr>
            <a:graphic>
              <a:graphicData uri="http://schemas.openxmlformats.org/drawingml/2006/picture">
                <pic:pic>
                  <pic:nvPicPr>
                    <pic:cNvPr id="0" name="screen.png"/>
                    <pic:cNvPicPr/>
                  </pic:nvPicPr>
                  <pic:blipFill>
                    <a:blip r:embed="rId14"/>
                    <a:stretch>
                      <a:fillRect/>
                    </a:stretch>
                  </pic:blipFill>
                  <pic:spPr>
                    <a:xfrm>
                      <a:off x="0" y="0"/>
                      <a:ext cx="3200400" cy="18553043"/>
                    </a:xfrm>
                    <a:prstGeom prst="rect"/>
                  </pic:spPr>
                </pic:pic>
              </a:graphicData>
            </a:graphic>
          </wp:inline>
        </w:drawing>
      </w:r>
    </w:p>
    <w:p>
      <w:pPr>
        <w:jc w:val="center"/>
      </w:pPr>
      <w:r>
        <w:rPr>
          <w:rFonts w:ascii="Times New Roman" w:hAnsi="Times New Roman"/>
          <w:b/>
          <w:sz w:val="24"/>
        </w:rPr>
        <w:t>Figure C.6: LSTM Mandi Price Trend Forecasting</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10160000"/>
            <wp:docPr id="7" name="Picture 7"/>
            <wp:cNvGraphicFramePr>
              <a:graphicFrameLocks noChangeAspect="1"/>
            </wp:cNvGraphicFramePr>
            <a:graphic>
              <a:graphicData uri="http://schemas.openxmlformats.org/drawingml/2006/picture">
                <pic:pic>
                  <pic:nvPicPr>
                    <pic:cNvPr id="0" name="screen.png"/>
                    <pic:cNvPicPr/>
                  </pic:nvPicPr>
                  <pic:blipFill>
                    <a:blip r:embed="rId15"/>
                    <a:stretch>
                      <a:fillRect/>
                    </a:stretch>
                  </pic:blipFill>
                  <pic:spPr>
                    <a:xfrm>
                      <a:off x="0" y="0"/>
                      <a:ext cx="3200400" cy="10160000"/>
                    </a:xfrm>
                    <a:prstGeom prst="rect"/>
                  </pic:spPr>
                </pic:pic>
              </a:graphicData>
            </a:graphic>
          </wp:inline>
        </w:drawing>
      </w:r>
    </w:p>
    <w:p>
      <w:pPr>
        <w:jc w:val="center"/>
      </w:pPr>
      <w:r>
        <w:rPr>
          <w:rFonts w:ascii="Times New Roman" w:hAnsi="Times New Roman"/>
          <w:b/>
          <w:sz w:val="24"/>
        </w:rPr>
        <w:t>Figure C.7: Groq LLaMA 3.3 Conversational Advisory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3275636"/>
            <wp:docPr id="8" name="Picture 8"/>
            <wp:cNvGraphicFramePr>
              <a:graphicFrameLocks noChangeAspect="1"/>
            </wp:cNvGraphicFramePr>
            <a:graphic>
              <a:graphicData uri="http://schemas.openxmlformats.org/drawingml/2006/picture">
                <pic:pic>
                  <pic:nvPicPr>
                    <pic:cNvPr id="0" name="screen.png"/>
                    <pic:cNvPicPr/>
                  </pic:nvPicPr>
                  <pic:blipFill>
                    <a:blip r:embed="rId16"/>
                    <a:stretch>
                      <a:fillRect/>
                    </a:stretch>
                  </pic:blipFill>
                  <pic:spPr>
                    <a:xfrm>
                      <a:off x="0" y="0"/>
                      <a:ext cx="3200400" cy="23275636"/>
                    </a:xfrm>
                    <a:prstGeom prst="rect"/>
                  </pic:spPr>
                </pic:pic>
              </a:graphicData>
            </a:graphic>
          </wp:inline>
        </w:drawing>
      </w:r>
    </w:p>
    <w:p>
      <w:pPr>
        <w:jc w:val="center"/>
      </w:pPr>
      <w:r>
        <w:rPr>
          <w:rFonts w:ascii="Times New Roman" w:hAnsi="Times New Roman"/>
          <w:b/>
          <w:sz w:val="24"/>
        </w:rPr>
        <w:t>Figure C.8: P2P Crop Marketplace - Buyer Feed</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697627"/>
            <wp:docPr id="9" name="Picture 9"/>
            <wp:cNvGraphicFramePr>
              <a:graphicFrameLocks noChangeAspect="1"/>
            </wp:cNvGraphicFramePr>
            <a:graphic>
              <a:graphicData uri="http://schemas.openxmlformats.org/drawingml/2006/picture">
                <pic:pic>
                  <pic:nvPicPr>
                    <pic:cNvPr id="0" name="screen.png"/>
                    <pic:cNvPicPr/>
                  </pic:nvPicPr>
                  <pic:blipFill>
                    <a:blip r:embed="rId17"/>
                    <a:stretch>
                      <a:fillRect/>
                    </a:stretch>
                  </pic:blipFill>
                  <pic:spPr>
                    <a:xfrm>
                      <a:off x="0" y="0"/>
                      <a:ext cx="3200400" cy="21697627"/>
                    </a:xfrm>
                    <a:prstGeom prst="rect"/>
                  </pic:spPr>
                </pic:pic>
              </a:graphicData>
            </a:graphic>
          </wp:inline>
        </w:drawing>
      </w:r>
    </w:p>
    <w:p>
      <w:pPr>
        <w:jc w:val="center"/>
      </w:pPr>
      <w:r>
        <w:rPr>
          <w:rFonts w:ascii="Times New Roman" w:hAnsi="Times New Roman"/>
          <w:b/>
          <w:sz w:val="24"/>
        </w:rPr>
        <w:t>Figure C.9: Marketplace Crop Listing Details</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7253031"/>
            <wp:docPr id="10" name="Picture 10"/>
            <wp:cNvGraphicFramePr>
              <a:graphicFrameLocks noChangeAspect="1"/>
            </wp:cNvGraphicFramePr>
            <a:graphic>
              <a:graphicData uri="http://schemas.openxmlformats.org/drawingml/2006/picture">
                <pic:pic>
                  <pic:nvPicPr>
                    <pic:cNvPr id="0" name="screen.png"/>
                    <pic:cNvPicPr/>
                  </pic:nvPicPr>
                  <pic:blipFill>
                    <a:blip r:embed="rId18"/>
                    <a:stretch>
                      <a:fillRect/>
                    </a:stretch>
                  </pic:blipFill>
                  <pic:spPr>
                    <a:xfrm>
                      <a:off x="0" y="0"/>
                      <a:ext cx="3200400" cy="7253031"/>
                    </a:xfrm>
                    <a:prstGeom prst="rect"/>
                  </pic:spPr>
                </pic:pic>
              </a:graphicData>
            </a:graphic>
          </wp:inline>
        </w:drawing>
      </w:r>
    </w:p>
    <w:p>
      <w:pPr>
        <w:jc w:val="center"/>
      </w:pPr>
      <w:r>
        <w:rPr>
          <w:rFonts w:ascii="Times New Roman" w:hAnsi="Times New Roman"/>
          <w:b/>
          <w:sz w:val="24"/>
        </w:rPr>
        <w:t>Figure C.10: Real-Time Negotiation Chat Interface</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3816930"/>
            <wp:docPr id="11" name="Picture 11"/>
            <wp:cNvGraphicFramePr>
              <a:graphicFrameLocks noChangeAspect="1"/>
            </wp:cNvGraphicFramePr>
            <a:graphic>
              <a:graphicData uri="http://schemas.openxmlformats.org/drawingml/2006/picture">
                <pic:pic>
                  <pic:nvPicPr>
                    <pic:cNvPr id="0" name="screen.png"/>
                    <pic:cNvPicPr/>
                  </pic:nvPicPr>
                  <pic:blipFill>
                    <a:blip r:embed="rId19"/>
                    <a:stretch>
                      <a:fillRect/>
                    </a:stretch>
                  </pic:blipFill>
                  <pic:spPr>
                    <a:xfrm>
                      <a:off x="0" y="0"/>
                      <a:ext cx="3200400" cy="23816930"/>
                    </a:xfrm>
                    <a:prstGeom prst="rect"/>
                  </pic:spPr>
                </pic:pic>
              </a:graphicData>
            </a:graphic>
          </wp:inline>
        </w:drawing>
      </w:r>
    </w:p>
    <w:p>
      <w:pPr>
        <w:jc w:val="center"/>
      </w:pPr>
      <w:r>
        <w:rPr>
          <w:rFonts w:ascii="Times New Roman" w:hAnsi="Times New Roman"/>
          <w:b/>
          <w:sz w:val="24"/>
        </w:rPr>
        <w:t>Figure C.11: Automated Farming Task Calendar</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7383102"/>
            <wp:docPr id="12" name="Picture 12"/>
            <wp:cNvGraphicFramePr>
              <a:graphicFrameLocks noChangeAspect="1"/>
            </wp:cNvGraphicFramePr>
            <a:graphic>
              <a:graphicData uri="http://schemas.openxmlformats.org/drawingml/2006/picture">
                <pic:pic>
                  <pic:nvPicPr>
                    <pic:cNvPr id="0" name="screen.png"/>
                    <pic:cNvPicPr/>
                  </pic:nvPicPr>
                  <pic:blipFill>
                    <a:blip r:embed="rId20"/>
                    <a:stretch>
                      <a:fillRect/>
                    </a:stretch>
                  </pic:blipFill>
                  <pic:spPr>
                    <a:xfrm>
                      <a:off x="0" y="0"/>
                      <a:ext cx="3200400" cy="27383102"/>
                    </a:xfrm>
                    <a:prstGeom prst="rect"/>
                  </pic:spPr>
                </pic:pic>
              </a:graphicData>
            </a:graphic>
          </wp:inline>
        </w:drawing>
      </w:r>
    </w:p>
    <w:p>
      <w:pPr>
        <w:jc w:val="center"/>
      </w:pPr>
      <w:r>
        <w:rPr>
          <w:rFonts w:ascii="Times New Roman" w:hAnsi="Times New Roman"/>
          <w:b/>
          <w:sz w:val="24"/>
        </w:rPr>
        <w:t>Figure C.12: Government Subsidies and Schemes Hub</w:t>
      </w:r>
    </w:p>
    <w:p>
      <w:pPr>
        <w:spacing w:line="420" w:lineRule="exact"/>
        <w:jc w:val="left"/>
      </w:pPr>
      <w:r>
        <w:rPr>
          <w:rFonts w:ascii="Times New Roman" w:hAnsi="Times New Roman"/>
          <w:b w:val="0"/>
          <w:sz w:val="24"/>
        </w:rPr>
      </w:r>
    </w:p>
    <w:p>
      <w:pPr>
        <w:jc w:val="center"/>
      </w:pPr>
      <w:r>
        <w:drawing>
          <wp:inline xmlns:a="http://schemas.openxmlformats.org/drawingml/2006/main" xmlns:pic="http://schemas.openxmlformats.org/drawingml/2006/picture">
            <wp:extent cx="3200400" cy="21425272"/>
            <wp:docPr id="13" name="Picture 13"/>
            <wp:cNvGraphicFramePr>
              <a:graphicFrameLocks noChangeAspect="1"/>
            </wp:cNvGraphicFramePr>
            <a:graphic>
              <a:graphicData uri="http://schemas.openxmlformats.org/drawingml/2006/picture">
                <pic:pic>
                  <pic:nvPicPr>
                    <pic:cNvPr id="0" name="screen.png"/>
                    <pic:cNvPicPr/>
                  </pic:nvPicPr>
                  <pic:blipFill>
                    <a:blip r:embed="rId21"/>
                    <a:stretch>
                      <a:fillRect/>
                    </a:stretch>
                  </pic:blipFill>
                  <pic:spPr>
                    <a:xfrm>
                      <a:off x="0" y="0"/>
                      <a:ext cx="3200400" cy="21425272"/>
                    </a:xfrm>
                    <a:prstGeom prst="rect"/>
                  </pic:spPr>
                </pic:pic>
              </a:graphicData>
            </a:graphic>
          </wp:inline>
        </w:drawing>
      </w:r>
    </w:p>
    <w:p>
      <w:pPr>
        <w:jc w:val="center"/>
      </w:pPr>
      <w:r>
        <w:rPr>
          <w:rFonts w:ascii="Times New Roman" w:hAnsi="Times New Roman"/>
          <w:b/>
          <w:sz w:val="24"/>
        </w:rPr>
        <w:t>Figure C.13: User Profile and Financial Analytics</w:t>
      </w:r>
    </w:p>
    <w:p>
      <w:pPr>
        <w:spacing w:line="420" w:lineRule="exact"/>
        <w:jc w:val="left"/>
      </w:pPr>
      <w:r>
        <w:rPr>
          <w:rFonts w:ascii="Times New Roman" w:hAnsi="Times New Roman"/>
          <w:b w:val="0"/>
          <w:sz w:val="24"/>
        </w:rPr>
      </w:r>
    </w:p>
    <w:p>
      <w:r>
        <w:br w:type="page"/>
      </w:r>
    </w:p>
    <w:p>
      <w:pPr>
        <w:jc w:val="left"/>
      </w:pPr>
      <w:r>
        <w:rPr>
          <w:rFonts w:ascii="Times New Roman" w:hAnsi="Times New Roman"/>
          <w:b/>
          <w:sz w:val="28"/>
        </w:rPr>
        <w:t>Appendix D: System Diagrams and Architecture</w:t>
      </w:r>
    </w:p>
    <w:p>
      <w:pPr>
        <w:spacing w:line="420" w:lineRule="exact"/>
      </w:pPr>
      <w:r>
        <w:rPr>
          <w:rFonts w:ascii="Times New Roman" w:hAnsi="Times New Roman"/>
          <w:sz w:val="24"/>
        </w:rPr>
        <w:t>The following architectural diagrams, Entity-Relationship (ER) models, Data Flow Diagrams (DFDs), and algorithmic flowcharts detail the internal structural logic and data pathways of the KrishiMitra platform.</w:t>
      </w:r>
    </w:p>
    <w:p>
      <w:pPr>
        <w:jc w:val="center"/>
      </w:pPr>
      <w:r>
        <w:drawing>
          <wp:inline xmlns:a="http://schemas.openxmlformats.org/drawingml/2006/main" xmlns:pic="http://schemas.openxmlformats.org/drawingml/2006/picture">
            <wp:extent cx="5029200" cy="1875295"/>
            <wp:docPr id="14" name="Picture 14"/>
            <wp:cNvGraphicFramePr>
              <a:graphicFrameLocks noChangeAspect="1"/>
            </wp:cNvGraphicFramePr>
            <a:graphic>
              <a:graphicData uri="http://schemas.openxmlformats.org/drawingml/2006/picture">
                <pic:pic>
                  <pic:nvPicPr>
                    <pic:cNvPr id="0" name="diagram_dfd.png"/>
                    <pic:cNvPicPr/>
                  </pic:nvPicPr>
                  <pic:blipFill>
                    <a:blip r:embed="rId22"/>
                    <a:stretch>
                      <a:fillRect/>
                    </a:stretch>
                  </pic:blipFill>
                  <pic:spPr>
                    <a:xfrm>
                      <a:off x="0" y="0"/>
                      <a:ext cx="5029200" cy="1875295"/>
                    </a:xfrm>
                    <a:prstGeom prst="rect"/>
                  </pic:spPr>
                </pic:pic>
              </a:graphicData>
            </a:graphic>
          </wp:inline>
        </w:drawing>
      </w:r>
    </w:p>
    <w:p>
      <w:pPr>
        <w:jc w:val="center"/>
      </w:pPr>
      <w:r>
        <w:rPr>
          <w:rFonts w:ascii="Times New Roman" w:hAnsi="Times New Roman"/>
          <w:b/>
          <w:sz w:val="24"/>
        </w:rPr>
        <w:t>Figure D.1: Data Flow Diagram (Level 0 Context Diagram)</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