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20"/>
        <w:jc w:val="center"/>
      </w:pPr>
      <w:r>
        <w:rPr>
          <w:rFonts w:ascii="Times New Roman" w:hAnsi="Times New Roman"/>
          <w:b/>
          <w:sz w:val="32"/>
        </w:rPr>
        <w:t>List of 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17"/>
            <w:shd w:fill="1F386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Figure No.</w:t>
            </w:r>
          </w:p>
        </w:tc>
        <w:tc>
          <w:tcPr>
            <w:tcW w:type="dxa" w:w="6803"/>
            <w:shd w:fill="1F3864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Caption</w:t>
            </w:r>
          </w:p>
        </w:tc>
        <w:tc>
          <w:tcPr>
            <w:tcW w:type="dxa" w:w="1417"/>
            <w:shd w:fill="1F386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Page No.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1.1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Comparative feature matrix of KrishiMitra vs existing agricultural apps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1.2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KrishiMitra alignment with UN Sustainable Development Goals (SDGs)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3.1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Agile Scrum Methodology applied to KrishiMitra development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20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3.2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V-Model Verification and Validation phases applied to KrishiMitra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22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5.1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Functional Block Diagram of KrishiMitra System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34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5.2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System Flowchart for KrishiMitra Application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36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5.3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Three-Tier System Architecture of KrishiMitra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39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5.4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Use Case Diagram for KrishiMitra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41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5.5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Level 0 Data Flow Diagram (Context Diagram) for KrishiMitra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43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5.6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Level 1 Data Flow Diagram for KrishiMitra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44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5.7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Request-Response Communication Model for KrishiMitra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46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6.1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CNN Disease Detection Pipeline — ResNet50 with Grad-CAM overlay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53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6.2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KNN Soil Analysis Algorithm — Feature space and k=7 nearest neighbour selection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57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6.3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Flutter Disease Detection Screen — Grad-CAM heatmap rendered on leaf image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60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7.1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CNN Model Training and Validation Accuracy/Loss Curves (25 epochs)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68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7.2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Confusion Matrix — CNN Disease Detection (3 classes, 2180 test images)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69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7.3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API Response Time Distribution across all 20+ endpoints (Postman benchmark)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72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7.4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KNN Crop Recommendation Accuracy by Crop Type (Top-1 and Top-3)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73</w:t>
            </w:r>
          </w:p>
        </w:tc>
      </w:tr>
    </w:tbl>
    <w:p>
      <w:pPr>
        <w:spacing w:line="240" w:lineRule="exact"/>
      </w:pPr>
    </w:p>
    <w:p>
      <w:r>
        <w:br w:type="page"/>
      </w:r>
    </w:p>
    <w:p>
      <w:pPr>
        <w:spacing w:before="240" w:after="320"/>
        <w:jc w:val="center"/>
      </w:pPr>
      <w:r>
        <w:rPr>
          <w:rFonts w:ascii="Times New Roman" w:hAnsi="Times New Roman"/>
          <w:b/>
          <w:sz w:val="32"/>
        </w:rPr>
        <w:t>List of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17"/>
            <w:shd w:fill="1F386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Table No.</w:t>
            </w:r>
          </w:p>
        </w:tc>
        <w:tc>
          <w:tcPr>
            <w:tcW w:type="dxa" w:w="6803"/>
            <w:shd w:fill="1F3864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Caption</w:t>
            </w:r>
          </w:p>
        </w:tc>
        <w:tc>
          <w:tcPr>
            <w:tcW w:type="dxa" w:w="1417"/>
            <w:shd w:fill="1F3864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Page No.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2.1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Summary of Literature Reviews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3.1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Mapping KrishiMitra Development Stages to Agile Scrum Phases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21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4.1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Project Planning Timeline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26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4.2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Project Implementation Timeline (Sprint Schedule)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27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4.3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PESTLE Risk Analysis for KrishiMitra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29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4.4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Estimated Project Budget for KrishiMitra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31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5.1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KrishiMitra System Requirements Specification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34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5.2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Comparison of Mobile Frontend Frameworks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37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5.3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Comparison of Backend Web Frameworks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38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5.4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Standards and Protocols Applied in KrishiMitra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40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5.5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KrishiMitra Database Schema (7 Tables)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47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6.1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Development and Testing Hardware Configuration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51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6.2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Software Development Tools Used in KrishiMitra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52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6.3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Simulation and Testing Tools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63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7.1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KrishiMitra Test Plan and Results (22 Test Cases)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67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7.2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CNN Disease Detection Model Performance — Precision, Recall, F1-Score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69</w:t>
            </w:r>
          </w:p>
        </w:tc>
      </w:tr>
      <w:tr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7.3</w:t>
            </w:r>
          </w:p>
        </w:tc>
        <w:tc>
          <w:tcPr>
            <w:tcW w:type="dxa" w:w="6803"/>
            <w:shd w:fill="F5F5F5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KNN Soil Crop Recommendation Performance Metrics</w:t>
            </w:r>
          </w:p>
        </w:tc>
        <w:tc>
          <w:tcPr>
            <w:tcW w:type="dxa" w:w="1417"/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71</w:t>
            </w:r>
          </w:p>
        </w:tc>
      </w:tr>
      <w:tr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7.4</w:t>
            </w:r>
          </w:p>
        </w:tc>
        <w:tc>
          <w:tcPr>
            <w:tcW w:type="dxa" w:w="6803"/>
            <w:shd w:fill="FFFFFF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2"/>
              </w:rPr>
              <w:t>API Response Time Benchmarks (All Endpoints)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2"/>
              </w:rPr>
              <w:t>72</w:t>
            </w:r>
          </w:p>
        </w:tc>
      </w:tr>
    </w:tbl>
    <w:p>
      <w:pPr>
        <w:spacing w:line="240" w:lineRule="exact"/>
      </w:pPr>
    </w:p>
    <w:p>
      <w:r>
        <w:br w:type="page"/>
      </w:r>
    </w:p>
    <w:p>
      <w:pPr>
        <w:spacing w:before="240" w:after="320"/>
        <w:jc w:val="center"/>
      </w:pPr>
      <w:r>
        <w:rPr>
          <w:rFonts w:ascii="Times New Roman" w:hAnsi="Times New Roman"/>
          <w:b/>
          <w:sz w:val="32"/>
        </w:rPr>
        <w:t>List of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ADC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Analog to Digital Converter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AI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Artificial Intelligence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API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Application Programming Interface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APK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Android Package Kit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ARM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Advanced RISC Machine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BERT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Bidirectional Encoder Representations from Transformers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CNN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Convolutional Neural Network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CORS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Cross-Origin Resource Sharing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CPU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Central Processing Unit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CRUD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Create, Read, Update, Delete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CSV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Comma-Separated Values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DPDPA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Digital Personal Data Protection Act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DFD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Data Flow Diagram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FAO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Food and Agriculture Organisation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GDP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Gross Domestic Product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GPU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Graphics Processing Unit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Grad-CAM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Gradient-weighted Class Activation Mapping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HTTP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Hypertext Transfer Protocol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HTTPS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Hypertext Transfer Protocol Secure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ICAR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Indian Council of Agricultural Research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ICT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Information and Communication Technology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IDE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Integrated Development Environment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IMD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India Meteorological Department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IoT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Internet of Things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IRJET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International Research Journal of Engineering and Technology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JSON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JavaScript Object Notation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JWT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JSON Web Token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KNN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K-Nearest Neighbours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LLM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Large Language Model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LSTM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Long Short-Term Memory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MCA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Master of Computer Applications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ML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Machine Learning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MQTT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Message Queuing Telemetry Transport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MSE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Mean Squared Error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NLP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Natural Language Processing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NPK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Nitrogen, Phosphorus, Potassium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NSSO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National Sample Survey Office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ORM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Object-Relational Mapping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OTP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One-Time Password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P2P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Peer-to-Peer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PESTLE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Political, Economic, Social, Technological, Legal, Environmental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pH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Potential of Hydrogen (soil acidity measure)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REST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Representational State Transfer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RMSE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Root Mean Squared Error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SDG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Sustainable Development Goal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SMS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Short Message Service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SQL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Structured Query Language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SQLite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Structured Query Language Lite (lightweight database engine)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TLS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Transport Layer Security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UI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User Interface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UML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Unified Modelling Language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UPI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Unified Payments Interface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URL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Uniform Resource Locator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UX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User Experience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VCS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Version Control System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XAI</w:t>
            </w:r>
          </w:p>
        </w:tc>
        <w:tc>
          <w:tcPr>
            <w:tcW w:type="dxa" w:w="7370"/>
            <w:shd w:fill="FFFF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Explainable Artificial Intelligence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XML</w:t>
            </w:r>
          </w:p>
        </w:tc>
        <w:tc>
          <w:tcPr>
            <w:tcW w:type="dxa" w:w="7370"/>
            <w:shd w:fill="F0F4FF" w:val="clea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22"/>
              </w:rPr>
              <w:t>Extensible Markup Language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